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E15034" w14:textId="57A2EBE6" w:rsidR="006C26F3" w:rsidRPr="00724D33" w:rsidRDefault="006C26F3" w:rsidP="006C26F3">
      <w:pPr>
        <w:spacing w:before="100" w:beforeAutospacing="1" w:after="100" w:afterAutospacing="1" w:line="312" w:lineRule="atLeast"/>
        <w:jc w:val="both"/>
        <w:outlineLvl w:val="4"/>
        <w:rPr>
          <w:rFonts w:ascii="Republika" w:eastAsia="Times New Roman" w:hAnsi="Republika" w:cs="Times New Roman"/>
          <w:b/>
          <w:bCs/>
          <w:caps/>
          <w:color w:val="211F20"/>
          <w:sz w:val="24"/>
          <w:szCs w:val="24"/>
          <w:lang w:eastAsia="sl-SI"/>
        </w:rPr>
      </w:pPr>
      <w:r w:rsidRPr="00724D33">
        <w:rPr>
          <w:rFonts w:ascii="Republika" w:eastAsia="Times New Roman" w:hAnsi="Republika" w:cs="Times New Roman"/>
          <w:b/>
          <w:bCs/>
          <w:caps/>
          <w:color w:val="211F20"/>
          <w:sz w:val="24"/>
          <w:szCs w:val="24"/>
          <w:lang w:eastAsia="sl-SI"/>
        </w:rPr>
        <w:t>Opis elektronskega načina oddaje vloge:</w:t>
      </w:r>
    </w:p>
    <w:p w14:paraId="65CEB687" w14:textId="77777777" w:rsidR="006C26F3" w:rsidRDefault="006C26F3" w:rsidP="006C26F3">
      <w:pPr>
        <w:jc w:val="both"/>
        <w:rPr>
          <w:rFonts w:ascii="Republika" w:hAnsi="Republika"/>
          <w:color w:val="111111"/>
          <w:sz w:val="26"/>
          <w:szCs w:val="26"/>
        </w:rPr>
      </w:pPr>
      <w:r>
        <w:rPr>
          <w:rFonts w:ascii="Republika" w:hAnsi="Republika"/>
          <w:color w:val="111111"/>
          <w:sz w:val="26"/>
          <w:szCs w:val="26"/>
        </w:rPr>
        <w:t>Postopek se začne na zahtevo (vlogo) tujca, ki želi pridobiti lastninsko pravico na nepremičnini v Republiki Sloveniji. Tujec, ki ne živi v Republiki Sloveniji, je dolžan imenovati pooblaščenca v Republiki Sloveniji v skladu s 53. členom </w:t>
      </w:r>
      <w:hyperlink r:id="rId4" w:tgtFrame="_blank" w:history="1">
        <w:r>
          <w:rPr>
            <w:rStyle w:val="Hiperpovezava"/>
            <w:rFonts w:ascii="Republika" w:hAnsi="Republika"/>
            <w:color w:val="397289"/>
            <w:sz w:val="26"/>
            <w:szCs w:val="26"/>
          </w:rPr>
          <w:t>Zakona o splošnem upravnem postopku</w:t>
        </w:r>
      </w:hyperlink>
      <w:r>
        <w:rPr>
          <w:rFonts w:ascii="Republika" w:hAnsi="Republika"/>
          <w:color w:val="111111"/>
          <w:sz w:val="26"/>
          <w:szCs w:val="26"/>
        </w:rPr>
        <w:t>.</w:t>
      </w:r>
    </w:p>
    <w:p w14:paraId="463D3880" w14:textId="77777777" w:rsidR="006C26F3" w:rsidRDefault="006C26F3" w:rsidP="006C26F3">
      <w:pPr>
        <w:jc w:val="both"/>
        <w:rPr>
          <w:rFonts w:ascii="Republika" w:hAnsi="Republika"/>
          <w:color w:val="111111"/>
          <w:sz w:val="26"/>
          <w:szCs w:val="26"/>
        </w:rPr>
      </w:pPr>
      <w:r>
        <w:rPr>
          <w:rFonts w:ascii="Republika" w:hAnsi="Republika"/>
          <w:color w:val="111111"/>
          <w:sz w:val="26"/>
          <w:szCs w:val="26"/>
        </w:rPr>
        <w:t>Vlogi mora vlagatelj priložiti:</w:t>
      </w:r>
    </w:p>
    <w:p w14:paraId="35AD7013" w14:textId="34370009" w:rsidR="006C26F3" w:rsidRDefault="006C26F3" w:rsidP="006C26F3">
      <w:pPr>
        <w:jc w:val="both"/>
        <w:rPr>
          <w:rFonts w:ascii="Republika" w:hAnsi="Republika"/>
          <w:color w:val="111111"/>
          <w:sz w:val="26"/>
          <w:szCs w:val="26"/>
        </w:rPr>
      </w:pPr>
      <w:r w:rsidRPr="003D62C3">
        <w:rPr>
          <w:rFonts w:ascii="Republika" w:hAnsi="Republika"/>
          <w:color w:val="111111"/>
          <w:sz w:val="26"/>
          <w:szCs w:val="26"/>
        </w:rPr>
        <w:t xml:space="preserve">- </w:t>
      </w:r>
      <w:r w:rsidR="00724D33" w:rsidRPr="003D62C3">
        <w:rPr>
          <w:rFonts w:ascii="Republika" w:hAnsi="Republika"/>
          <w:color w:val="111111"/>
          <w:sz w:val="26"/>
          <w:szCs w:val="26"/>
        </w:rPr>
        <w:t>elektronsko overjeno</w:t>
      </w:r>
      <w:r w:rsidR="00453214" w:rsidRPr="003D62C3">
        <w:rPr>
          <w:rFonts w:ascii="Republika" w:hAnsi="Republika"/>
          <w:color w:val="111111"/>
          <w:sz w:val="26"/>
          <w:szCs w:val="26"/>
        </w:rPr>
        <w:t xml:space="preserve"> (skenirano) </w:t>
      </w:r>
      <w:r w:rsidR="00724D33" w:rsidRPr="003D62C3">
        <w:rPr>
          <w:rFonts w:ascii="Republika" w:hAnsi="Republika"/>
          <w:color w:val="111111"/>
          <w:sz w:val="26"/>
          <w:szCs w:val="26"/>
        </w:rPr>
        <w:t xml:space="preserve">kopijo osebnega dokumenta, </w:t>
      </w:r>
      <w:r w:rsidRPr="003D62C3">
        <w:rPr>
          <w:rFonts w:ascii="Republika" w:hAnsi="Republika"/>
          <w:color w:val="111111"/>
          <w:sz w:val="26"/>
          <w:szCs w:val="26"/>
        </w:rPr>
        <w:t>iz katerega so razvidni naslednji podatki: osebno ime, datum rojstva in državljanstvo (npr. potnega lista)</w:t>
      </w:r>
      <w:r w:rsidR="00724D33" w:rsidRPr="003D62C3">
        <w:rPr>
          <w:rFonts w:ascii="Republika" w:hAnsi="Republika"/>
          <w:color w:val="111111"/>
          <w:sz w:val="26"/>
          <w:szCs w:val="26"/>
        </w:rPr>
        <w:t>, ki ga pripravi uradna oseba skladno s 178.f členom Zakona o splošnem upravnem postopku,</w:t>
      </w:r>
    </w:p>
    <w:p w14:paraId="59B1601E" w14:textId="6F3FDE65" w:rsidR="006C26F3" w:rsidRDefault="006C26F3" w:rsidP="006C26F3">
      <w:pPr>
        <w:jc w:val="both"/>
        <w:rPr>
          <w:rFonts w:ascii="Republika" w:hAnsi="Republika"/>
          <w:color w:val="111111"/>
          <w:sz w:val="26"/>
          <w:szCs w:val="26"/>
        </w:rPr>
      </w:pPr>
      <w:r>
        <w:rPr>
          <w:rFonts w:ascii="Republika" w:hAnsi="Republika"/>
          <w:color w:val="111111"/>
          <w:sz w:val="26"/>
          <w:szCs w:val="26"/>
        </w:rPr>
        <w:t>- listino, s katero izkazuje pravico do ugotovitve vzajemnosti (npr. osnutek ali kopija pogodbe, predpogodba)</w:t>
      </w:r>
    </w:p>
    <w:p w14:paraId="7F90D4A9" w14:textId="7D7EC047" w:rsidR="006C26F3" w:rsidRPr="006C26F3" w:rsidRDefault="006C26F3" w:rsidP="006C26F3">
      <w:pPr>
        <w:jc w:val="both"/>
        <w:rPr>
          <w:rFonts w:ascii="Republika" w:hAnsi="Republika"/>
          <w:color w:val="111111"/>
          <w:sz w:val="26"/>
          <w:szCs w:val="26"/>
        </w:rPr>
      </w:pPr>
      <w:r>
        <w:rPr>
          <w:rFonts w:ascii="Republika" w:hAnsi="Republika"/>
          <w:color w:val="111111"/>
          <w:sz w:val="26"/>
          <w:szCs w:val="26"/>
        </w:rPr>
        <w:t xml:space="preserve">- </w:t>
      </w:r>
      <w:r w:rsidRPr="006C26F3">
        <w:rPr>
          <w:rFonts w:ascii="Republika" w:hAnsi="Republika"/>
          <w:color w:val="111111"/>
          <w:sz w:val="26"/>
          <w:szCs w:val="26"/>
        </w:rPr>
        <w:t>če ima tujec dvojno državljanstvo, tudi dokazilo o zadnjem stalnem prebivališču (v obliki javne listine v originalu ali overjeni fotokopiji),</w:t>
      </w:r>
    </w:p>
    <w:p w14:paraId="0043BCFC" w14:textId="5325C974" w:rsidR="006C26F3" w:rsidRDefault="006C26F3" w:rsidP="006C26F3">
      <w:pPr>
        <w:jc w:val="both"/>
        <w:rPr>
          <w:rFonts w:ascii="Republika" w:hAnsi="Republika"/>
          <w:color w:val="111111"/>
          <w:sz w:val="26"/>
          <w:szCs w:val="26"/>
        </w:rPr>
      </w:pPr>
      <w:r>
        <w:rPr>
          <w:rFonts w:ascii="Republika" w:hAnsi="Republika"/>
          <w:color w:val="111111"/>
          <w:sz w:val="26"/>
          <w:szCs w:val="26"/>
        </w:rPr>
        <w:t xml:space="preserve">- </w:t>
      </w:r>
      <w:r w:rsidRPr="006C26F3">
        <w:rPr>
          <w:rFonts w:ascii="Republika" w:hAnsi="Republika"/>
          <w:color w:val="111111"/>
          <w:sz w:val="26"/>
          <w:szCs w:val="26"/>
        </w:rPr>
        <w:t>če tujec nima državljanstva nobene države, tudi izjavo o tem, ali naj se pri ugotavljanju vzajemnosti upošteva pravni red države njegovega rojstva ali države, v kateri ima stalno prebivališče, ali države, v kateri je imel tujec zadnje stalno prebivališče pred pridobitvijo dovoljenja za stalno prebivanje v Republiki Sloveniji,</w:t>
      </w:r>
    </w:p>
    <w:p w14:paraId="04C1493A" w14:textId="77777777" w:rsidR="006C26F3" w:rsidRDefault="006C26F3" w:rsidP="006C26F3">
      <w:pPr>
        <w:jc w:val="both"/>
        <w:rPr>
          <w:rFonts w:ascii="Republika" w:hAnsi="Republika"/>
          <w:color w:val="111111"/>
          <w:sz w:val="26"/>
          <w:szCs w:val="26"/>
        </w:rPr>
      </w:pPr>
      <w:r>
        <w:rPr>
          <w:rFonts w:ascii="Republika" w:hAnsi="Republika"/>
          <w:color w:val="111111"/>
          <w:sz w:val="26"/>
          <w:szCs w:val="26"/>
        </w:rPr>
        <w:t>Ob vložitvi vloge je treba plačati upravno takso v višini 22,60 EUR.</w:t>
      </w:r>
    </w:p>
    <w:p w14:paraId="0622DFE2" w14:textId="77777777" w:rsidR="006C26F3" w:rsidRDefault="006C26F3" w:rsidP="006C26F3">
      <w:pPr>
        <w:jc w:val="both"/>
        <w:rPr>
          <w:rFonts w:ascii="Republika" w:hAnsi="Republika"/>
          <w:color w:val="111111"/>
          <w:sz w:val="26"/>
          <w:szCs w:val="26"/>
        </w:rPr>
      </w:pPr>
      <w:r>
        <w:rPr>
          <w:rFonts w:ascii="Republika" w:hAnsi="Republika"/>
          <w:color w:val="111111"/>
          <w:sz w:val="26"/>
          <w:szCs w:val="26"/>
        </w:rPr>
        <w:t xml:space="preserve">Ministrstvo vodi evidenco o obstoju vzajemnosti po posameznih državah.  Če iz evidence o obstoju vzajemnosti izhaja, da je že bila ugotovljena vzajemnost pri pridobivanju lastninske pravice z enakim pravnim poslom, na enakovrstni nepremičnini, ki leži na enakovrstnem območju in se pravni red od zadnjega vpisa v evidenco ni spremenil, ministrstvo izda odločbo s skrajšano obrazložitvijo v roku 30 dni od prejema popolne vloge. Če niso izpolnjeni pogoji za izdajo odločbe s skrajšano obrazložitvijo, ministrstvo izda odločbo v 90 dneh od prejema popolne vloge. </w:t>
      </w:r>
    </w:p>
    <w:p w14:paraId="777EAF62" w14:textId="6BAE3A9C" w:rsidR="00670ED9" w:rsidRPr="006C26F3" w:rsidRDefault="006C26F3" w:rsidP="006C26F3">
      <w:pPr>
        <w:jc w:val="both"/>
        <w:rPr>
          <w:rFonts w:ascii="Republika" w:hAnsi="Republika"/>
          <w:color w:val="111111"/>
          <w:sz w:val="26"/>
          <w:szCs w:val="26"/>
        </w:rPr>
      </w:pPr>
      <w:r>
        <w:rPr>
          <w:rFonts w:ascii="Republika" w:hAnsi="Republika"/>
          <w:color w:val="111111"/>
          <w:sz w:val="26"/>
          <w:szCs w:val="26"/>
        </w:rPr>
        <w:t xml:space="preserve">Da odločba postane pravnomočna, mora poteči 30-dnevni rok za vložitev tožbe v upravnem sporu. Tožbo v upravnem sporu lahko vložita tudi državni odvetnik in samoupravna lokalna skupnost, na območju katere leži nepremičnina. Če se vsi upravičenci po vročitvi odločbe odpovedo pravici do vložitve tožbe v upravnem sporu, postane odločba pravnomočna z dnem, ko se zadnji od upravičencev do vložitve tožbe odpove tej pravici. Če se upravičenci ne odpovedo pravici do vložitve tožbe v upravnem sporu, ministrstvo po preteku 30 dni od zadnje vročitve odločbe zaprosi upravno sodišče za podatek, ali je bila zoper konkretno odločbo vložena tožba. Ko prejme potrdilo upravnega sodišča, da ni bil sprožen upravni spor, potrdi odločbo s klavzulo o pravnomočnosti oziroma izda potrdilo o pravnomočnosti odločbe. Tako opremljena odločba velja eno leto od dneva, ko je postala </w:t>
      </w:r>
      <w:r>
        <w:rPr>
          <w:rFonts w:ascii="Republika" w:hAnsi="Republika"/>
          <w:color w:val="111111"/>
          <w:sz w:val="26"/>
          <w:szCs w:val="26"/>
        </w:rPr>
        <w:lastRenderedPageBreak/>
        <w:t>pravnomočna in predstavlja verodostojni dokument, na podlagi katerega se lahko vpiše lastninska pravica v zemljiško knjigo za konkretno nepremičnino.</w:t>
      </w:r>
    </w:p>
    <w:sectPr w:rsidR="00670ED9" w:rsidRPr="006C26F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26F3"/>
    <w:rsid w:val="003D62C3"/>
    <w:rsid w:val="00453214"/>
    <w:rsid w:val="004D160D"/>
    <w:rsid w:val="005A7FFA"/>
    <w:rsid w:val="00670ED9"/>
    <w:rsid w:val="006C26F3"/>
    <w:rsid w:val="00724D3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874AF"/>
  <w15:chartTrackingRefBased/>
  <w15:docId w15:val="{8C93D6C7-C50B-483C-8111-CD33AE856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C26F3"/>
    <w:pPr>
      <w:spacing w:line="256"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6C26F3"/>
    <w:rPr>
      <w:color w:val="1F6D7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4266219">
      <w:bodyDiv w:val="1"/>
      <w:marLeft w:val="0"/>
      <w:marRight w:val="0"/>
      <w:marTop w:val="0"/>
      <w:marBottom w:val="0"/>
      <w:divBdr>
        <w:top w:val="none" w:sz="0" w:space="0" w:color="auto"/>
        <w:left w:val="none" w:sz="0" w:space="0" w:color="auto"/>
        <w:bottom w:val="none" w:sz="0" w:space="0" w:color="auto"/>
        <w:right w:val="none" w:sz="0" w:space="0" w:color="auto"/>
      </w:divBdr>
    </w:div>
    <w:div w:id="1882280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pisrs.si/Pis.web/pregledPredpisa?id=ZAKO160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435</Words>
  <Characters>2482</Characters>
  <Application>Microsoft Office Word</Application>
  <DocSecurity>4</DocSecurity>
  <Lines>20</Lines>
  <Paragraphs>5</Paragraphs>
  <ScaleCrop>false</ScaleCrop>
  <Company>MJU</Company>
  <LinksUpToDate>false</LinksUpToDate>
  <CharactersWithSpaces>2912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Naumovski</dc:creator>
  <cp:keywords/>
  <dc:description/>
  <cp:lastModifiedBy>Monika Naumovski</cp:lastModifiedBy>
  <cp:revision>2</cp:revision>
  <dcterms:created xsi:type="dcterms:W3CDTF">2023-01-31T09:52:00Z</dcterms:created>
  <dcterms:modified xsi:type="dcterms:W3CDTF">2023-01-31T09:52:00Z</dcterms:modified>
</cp:coreProperties>
</file>