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B936" w14:textId="77777777" w:rsidR="002E5972" w:rsidRDefault="002E5972" w:rsidP="0009358A">
      <w:pPr>
        <w:pStyle w:val="Odstavek0"/>
        <w:spacing w:before="0" w:line="260" w:lineRule="atLeast"/>
        <w:jc w:val="left"/>
        <w:rPr>
          <w:color w:val="000000"/>
          <w:sz w:val="20"/>
          <w:szCs w:val="20"/>
        </w:rPr>
      </w:pPr>
    </w:p>
    <w:p w14:paraId="72AA28C7" w14:textId="5B4383DD" w:rsidR="002E5972" w:rsidRDefault="002E5972" w:rsidP="0009358A">
      <w:pPr>
        <w:pStyle w:val="Vrstapredpisa"/>
        <w:spacing w:before="0" w:line="260" w:lineRule="atLeast"/>
        <w:jc w:val="both"/>
        <w:rPr>
          <w:b w:val="0"/>
          <w:bCs w:val="0"/>
          <w:color w:val="auto"/>
          <w:spacing w:val="0"/>
          <w:sz w:val="20"/>
          <w:szCs w:val="20"/>
        </w:rPr>
      </w:pPr>
      <w:r w:rsidRPr="00131283">
        <w:rPr>
          <w:b w:val="0"/>
          <w:bCs w:val="0"/>
          <w:color w:val="auto"/>
          <w:spacing w:val="0"/>
          <w:sz w:val="20"/>
          <w:szCs w:val="20"/>
        </w:rPr>
        <w:t xml:space="preserve">Na podlagi </w:t>
      </w:r>
      <w:r w:rsidR="00E96555">
        <w:rPr>
          <w:b w:val="0"/>
          <w:bCs w:val="0"/>
          <w:color w:val="auto"/>
          <w:spacing w:val="0"/>
          <w:sz w:val="20"/>
          <w:szCs w:val="20"/>
        </w:rPr>
        <w:t xml:space="preserve">dvanajstega </w:t>
      </w:r>
      <w:r w:rsidRPr="00131283">
        <w:rPr>
          <w:b w:val="0"/>
          <w:bCs w:val="0"/>
          <w:color w:val="auto"/>
          <w:spacing w:val="0"/>
          <w:sz w:val="20"/>
          <w:szCs w:val="20"/>
        </w:rPr>
        <w:t>odstavka 94. člena Zakona o trošarinah (Uradni list RS, št. 47/16, 92/21</w:t>
      </w:r>
      <w:r>
        <w:rPr>
          <w:b w:val="0"/>
          <w:bCs w:val="0"/>
          <w:color w:val="auto"/>
          <w:spacing w:val="0"/>
          <w:sz w:val="20"/>
          <w:szCs w:val="20"/>
        </w:rPr>
        <w:t xml:space="preserve">, </w:t>
      </w:r>
      <w:r w:rsidRPr="00131283">
        <w:rPr>
          <w:b w:val="0"/>
          <w:bCs w:val="0"/>
          <w:color w:val="auto"/>
          <w:spacing w:val="0"/>
          <w:sz w:val="20"/>
          <w:szCs w:val="20"/>
        </w:rPr>
        <w:t>192/21</w:t>
      </w:r>
      <w:r>
        <w:rPr>
          <w:b w:val="0"/>
          <w:bCs w:val="0"/>
          <w:color w:val="auto"/>
          <w:spacing w:val="0"/>
          <w:sz w:val="20"/>
          <w:szCs w:val="20"/>
        </w:rPr>
        <w:t xml:space="preserve"> in </w:t>
      </w:r>
      <w:r w:rsidR="00AB5A7E">
        <w:rPr>
          <w:b w:val="0"/>
          <w:bCs w:val="0"/>
          <w:color w:val="auto"/>
          <w:spacing w:val="0"/>
          <w:sz w:val="20"/>
          <w:szCs w:val="20"/>
        </w:rPr>
        <w:t>140/</w:t>
      </w:r>
      <w:r>
        <w:rPr>
          <w:b w:val="0"/>
          <w:bCs w:val="0"/>
          <w:color w:val="auto"/>
          <w:spacing w:val="0"/>
          <w:sz w:val="20"/>
          <w:szCs w:val="20"/>
        </w:rPr>
        <w:t>22</w:t>
      </w:r>
      <w:r w:rsidRPr="00131283">
        <w:rPr>
          <w:b w:val="0"/>
          <w:bCs w:val="0"/>
          <w:color w:val="auto"/>
          <w:spacing w:val="0"/>
          <w:sz w:val="20"/>
          <w:szCs w:val="20"/>
        </w:rPr>
        <w:t>) minister za finance izdaja</w:t>
      </w:r>
    </w:p>
    <w:p w14:paraId="5DE85333" w14:textId="77777777" w:rsidR="0009358A" w:rsidRPr="00131283" w:rsidRDefault="0009358A" w:rsidP="0009358A">
      <w:pPr>
        <w:pStyle w:val="Vrstapredpisa"/>
        <w:spacing w:before="0" w:line="260" w:lineRule="atLeast"/>
        <w:jc w:val="both"/>
        <w:rPr>
          <w:b w:val="0"/>
          <w:bCs w:val="0"/>
          <w:color w:val="auto"/>
          <w:spacing w:val="0"/>
          <w:sz w:val="20"/>
          <w:szCs w:val="20"/>
        </w:rPr>
      </w:pPr>
    </w:p>
    <w:p w14:paraId="04EB442C" w14:textId="77777777" w:rsidR="002E5972" w:rsidRPr="00131283" w:rsidRDefault="002E5972" w:rsidP="0009358A">
      <w:pPr>
        <w:pStyle w:val="Vrstapredpisa"/>
        <w:spacing w:before="0" w:line="260" w:lineRule="atLeast"/>
        <w:jc w:val="both"/>
        <w:rPr>
          <w:b w:val="0"/>
          <w:bCs w:val="0"/>
          <w:color w:val="auto"/>
          <w:spacing w:val="0"/>
          <w:sz w:val="20"/>
          <w:szCs w:val="20"/>
        </w:rPr>
      </w:pPr>
    </w:p>
    <w:p w14:paraId="50A2F26C" w14:textId="52915102" w:rsidR="002E5972" w:rsidRPr="00131283" w:rsidRDefault="002E5972" w:rsidP="0009358A">
      <w:pPr>
        <w:pStyle w:val="Vrstapredpisa"/>
        <w:spacing w:before="0" w:line="260" w:lineRule="atLeast"/>
        <w:rPr>
          <w:sz w:val="20"/>
          <w:szCs w:val="20"/>
        </w:rPr>
      </w:pPr>
      <w:r w:rsidRPr="00131283">
        <w:rPr>
          <w:sz w:val="20"/>
          <w:szCs w:val="20"/>
        </w:rPr>
        <w:t>PRAVILNIK</w:t>
      </w:r>
    </w:p>
    <w:p w14:paraId="163AFA0B" w14:textId="2AB32178" w:rsidR="002E5972" w:rsidRDefault="002E5972" w:rsidP="0009358A">
      <w:pPr>
        <w:pStyle w:val="Vrstapredpisa"/>
        <w:spacing w:before="0" w:line="260" w:lineRule="atLeast"/>
        <w:rPr>
          <w:bCs w:val="0"/>
          <w:color w:val="auto"/>
          <w:spacing w:val="0"/>
          <w:sz w:val="20"/>
          <w:szCs w:val="20"/>
        </w:rPr>
      </w:pPr>
      <w:r>
        <w:rPr>
          <w:bCs w:val="0"/>
          <w:color w:val="auto"/>
          <w:spacing w:val="0"/>
          <w:sz w:val="20"/>
          <w:szCs w:val="20"/>
        </w:rPr>
        <w:t xml:space="preserve">o </w:t>
      </w:r>
      <w:r w:rsidR="004955C8">
        <w:rPr>
          <w:bCs w:val="0"/>
          <w:color w:val="auto"/>
          <w:spacing w:val="0"/>
          <w:sz w:val="20"/>
          <w:szCs w:val="20"/>
        </w:rPr>
        <w:t xml:space="preserve">kriterijih za </w:t>
      </w:r>
      <w:r>
        <w:rPr>
          <w:bCs w:val="0"/>
          <w:color w:val="auto"/>
          <w:spacing w:val="0"/>
          <w:sz w:val="20"/>
          <w:szCs w:val="20"/>
        </w:rPr>
        <w:t>določite</w:t>
      </w:r>
      <w:r w:rsidR="004955C8">
        <w:rPr>
          <w:bCs w:val="0"/>
          <w:color w:val="auto"/>
          <w:spacing w:val="0"/>
          <w:sz w:val="20"/>
          <w:szCs w:val="20"/>
        </w:rPr>
        <w:t>v</w:t>
      </w:r>
      <w:r>
        <w:rPr>
          <w:bCs w:val="0"/>
          <w:color w:val="auto"/>
          <w:spacing w:val="0"/>
          <w:sz w:val="20"/>
          <w:szCs w:val="20"/>
        </w:rPr>
        <w:t xml:space="preserve"> normativne porabe goriva</w:t>
      </w:r>
      <w:r w:rsidR="004955C8">
        <w:rPr>
          <w:bCs w:val="0"/>
          <w:color w:val="auto"/>
          <w:spacing w:val="0"/>
          <w:sz w:val="20"/>
          <w:szCs w:val="20"/>
        </w:rPr>
        <w:t xml:space="preserve"> za kmetijstvo</w:t>
      </w:r>
      <w:r w:rsidR="002553FD">
        <w:rPr>
          <w:bCs w:val="0"/>
          <w:color w:val="auto"/>
          <w:spacing w:val="0"/>
          <w:sz w:val="20"/>
          <w:szCs w:val="20"/>
        </w:rPr>
        <w:t xml:space="preserve">, postopku dodelitve </w:t>
      </w:r>
      <w:r w:rsidR="004955C8">
        <w:rPr>
          <w:bCs w:val="0"/>
          <w:color w:val="auto"/>
          <w:spacing w:val="0"/>
          <w:sz w:val="20"/>
          <w:szCs w:val="20"/>
        </w:rPr>
        <w:t xml:space="preserve">in obliki </w:t>
      </w:r>
      <w:r w:rsidR="002553FD">
        <w:rPr>
          <w:bCs w:val="0"/>
          <w:color w:val="auto"/>
          <w:spacing w:val="0"/>
          <w:sz w:val="20"/>
          <w:szCs w:val="20"/>
        </w:rPr>
        <w:t xml:space="preserve">enolične </w:t>
      </w:r>
      <w:r w:rsidR="004955C8">
        <w:rPr>
          <w:bCs w:val="0"/>
          <w:color w:val="auto"/>
          <w:spacing w:val="0"/>
          <w:sz w:val="20"/>
          <w:szCs w:val="20"/>
        </w:rPr>
        <w:t xml:space="preserve">identifikacijske </w:t>
      </w:r>
      <w:r w:rsidR="002553FD">
        <w:rPr>
          <w:bCs w:val="0"/>
          <w:color w:val="auto"/>
          <w:spacing w:val="0"/>
          <w:sz w:val="20"/>
          <w:szCs w:val="20"/>
        </w:rPr>
        <w:t xml:space="preserve">oznake in postopku </w:t>
      </w:r>
      <w:r w:rsidR="004955C8">
        <w:rPr>
          <w:bCs w:val="0"/>
          <w:color w:val="auto"/>
          <w:spacing w:val="0"/>
          <w:sz w:val="20"/>
          <w:szCs w:val="20"/>
        </w:rPr>
        <w:t xml:space="preserve">vzpostavitve </w:t>
      </w:r>
      <w:r w:rsidR="002553FD">
        <w:rPr>
          <w:bCs w:val="0"/>
          <w:color w:val="auto"/>
          <w:spacing w:val="0"/>
          <w:sz w:val="20"/>
          <w:szCs w:val="20"/>
        </w:rPr>
        <w:t>dostopa do informacijskega sistema davčnega organa za prodajo za gorivo za kmetijstvo</w:t>
      </w:r>
    </w:p>
    <w:p w14:paraId="6F97458B" w14:textId="5EFD1588" w:rsidR="002E5972" w:rsidRDefault="002E5972" w:rsidP="0009358A">
      <w:pPr>
        <w:pStyle w:val="Vrstapredpisa"/>
        <w:spacing w:before="0" w:line="260" w:lineRule="atLeast"/>
        <w:rPr>
          <w:bCs w:val="0"/>
          <w:color w:val="auto"/>
          <w:spacing w:val="0"/>
          <w:sz w:val="20"/>
          <w:szCs w:val="20"/>
        </w:rPr>
      </w:pPr>
    </w:p>
    <w:p w14:paraId="2E2FDBCC" w14:textId="7D0FEF55" w:rsidR="002467E1" w:rsidRDefault="002467E1" w:rsidP="0009358A">
      <w:pPr>
        <w:pStyle w:val="Vrstapredpisa"/>
        <w:spacing w:before="0" w:line="260" w:lineRule="atLeast"/>
        <w:rPr>
          <w:bCs w:val="0"/>
          <w:color w:val="auto"/>
          <w:spacing w:val="0"/>
          <w:sz w:val="20"/>
          <w:szCs w:val="20"/>
        </w:rPr>
      </w:pPr>
    </w:p>
    <w:p w14:paraId="675D81FE" w14:textId="77777777" w:rsidR="002467E1" w:rsidRPr="00131283" w:rsidRDefault="002467E1" w:rsidP="0009358A">
      <w:pPr>
        <w:pStyle w:val="Vrstapredpisa"/>
        <w:spacing w:before="0" w:line="260" w:lineRule="atLeast"/>
        <w:rPr>
          <w:bCs w:val="0"/>
          <w:color w:val="auto"/>
          <w:spacing w:val="0"/>
          <w:sz w:val="20"/>
          <w:szCs w:val="20"/>
        </w:rPr>
      </w:pPr>
    </w:p>
    <w:p w14:paraId="1953E5A0" w14:textId="77777777" w:rsidR="002E5972" w:rsidRPr="00131283" w:rsidRDefault="002E5972" w:rsidP="0009358A">
      <w:pPr>
        <w:pStyle w:val="len0"/>
        <w:spacing w:before="0" w:line="260" w:lineRule="atLeast"/>
        <w:rPr>
          <w:sz w:val="20"/>
          <w:szCs w:val="20"/>
        </w:rPr>
      </w:pPr>
      <w:r w:rsidRPr="00131283">
        <w:rPr>
          <w:sz w:val="20"/>
          <w:szCs w:val="20"/>
        </w:rPr>
        <w:t>1. člen</w:t>
      </w:r>
    </w:p>
    <w:p w14:paraId="429CF5FB" w14:textId="77777777" w:rsidR="002E5972" w:rsidRDefault="002E5972" w:rsidP="0009358A">
      <w:pPr>
        <w:pStyle w:val="lennaslov0"/>
        <w:spacing w:line="260" w:lineRule="atLeast"/>
        <w:rPr>
          <w:sz w:val="20"/>
          <w:szCs w:val="20"/>
        </w:rPr>
      </w:pPr>
      <w:r w:rsidRPr="00131283">
        <w:rPr>
          <w:sz w:val="20"/>
          <w:szCs w:val="20"/>
        </w:rPr>
        <w:t>(namen pravilnika)</w:t>
      </w:r>
    </w:p>
    <w:p w14:paraId="739FB0B5" w14:textId="77777777" w:rsidR="007C647C" w:rsidRDefault="007C647C" w:rsidP="0009358A">
      <w:pPr>
        <w:pStyle w:val="Odstavek0"/>
        <w:spacing w:before="0" w:line="260" w:lineRule="atLeast"/>
        <w:rPr>
          <w:sz w:val="20"/>
          <w:szCs w:val="20"/>
        </w:rPr>
      </w:pPr>
    </w:p>
    <w:p w14:paraId="700E13AC" w14:textId="2C09160D" w:rsidR="002E5972" w:rsidRDefault="002E5972" w:rsidP="0009358A">
      <w:pPr>
        <w:pStyle w:val="Odstavek0"/>
        <w:spacing w:before="0" w:line="260" w:lineRule="atLeast"/>
        <w:rPr>
          <w:sz w:val="20"/>
          <w:szCs w:val="20"/>
        </w:rPr>
      </w:pPr>
      <w:r w:rsidRPr="00131283">
        <w:rPr>
          <w:sz w:val="20"/>
          <w:szCs w:val="20"/>
        </w:rPr>
        <w:t>Ta pravilnik podrobneje ureja kriterije za določitev normativne porabe goriva</w:t>
      </w:r>
      <w:r>
        <w:rPr>
          <w:sz w:val="20"/>
          <w:szCs w:val="20"/>
        </w:rPr>
        <w:t xml:space="preserve"> za kmetijstvo, način in postopek dodelitve ter obliko enolične identifikacijske oznake ter postopek vzpostavitve dostopa do informacijskega sistema davčnega organa</w:t>
      </w:r>
      <w:r w:rsidR="004955C8">
        <w:rPr>
          <w:sz w:val="20"/>
          <w:szCs w:val="20"/>
        </w:rPr>
        <w:t xml:space="preserve">. </w:t>
      </w:r>
    </w:p>
    <w:p w14:paraId="6715A3DE" w14:textId="77777777" w:rsidR="002E5972" w:rsidRPr="00131283" w:rsidRDefault="002E5972" w:rsidP="0009358A">
      <w:pPr>
        <w:pStyle w:val="Odstavek0"/>
        <w:spacing w:before="0" w:line="260" w:lineRule="atLeast"/>
        <w:rPr>
          <w:sz w:val="20"/>
          <w:szCs w:val="20"/>
        </w:rPr>
      </w:pPr>
    </w:p>
    <w:p w14:paraId="443C7B8D" w14:textId="77777777" w:rsidR="002E5972" w:rsidRPr="00131283" w:rsidRDefault="002E5972" w:rsidP="0009358A">
      <w:pPr>
        <w:pStyle w:val="len0"/>
        <w:spacing w:before="0" w:line="260" w:lineRule="atLeast"/>
        <w:rPr>
          <w:sz w:val="20"/>
          <w:szCs w:val="20"/>
        </w:rPr>
      </w:pPr>
      <w:r w:rsidRPr="00131283">
        <w:rPr>
          <w:sz w:val="20"/>
          <w:szCs w:val="20"/>
        </w:rPr>
        <w:t>2. člen</w:t>
      </w:r>
    </w:p>
    <w:p w14:paraId="5F5CAC62" w14:textId="77777777" w:rsidR="002E5972" w:rsidRDefault="002E5972" w:rsidP="0009358A">
      <w:pPr>
        <w:pStyle w:val="lennaslov0"/>
        <w:spacing w:line="260" w:lineRule="atLeast"/>
        <w:rPr>
          <w:sz w:val="20"/>
          <w:szCs w:val="20"/>
        </w:rPr>
      </w:pPr>
      <w:r w:rsidRPr="00131283">
        <w:rPr>
          <w:sz w:val="20"/>
          <w:szCs w:val="20"/>
        </w:rPr>
        <w:t>(kriteriji za določitev normativne porabe goriva)</w:t>
      </w:r>
    </w:p>
    <w:p w14:paraId="014E157B" w14:textId="77777777" w:rsidR="002E5972" w:rsidRPr="00131283" w:rsidRDefault="002E5972" w:rsidP="0009358A">
      <w:pPr>
        <w:pStyle w:val="lennaslov0"/>
        <w:spacing w:line="260" w:lineRule="atLeast"/>
        <w:rPr>
          <w:sz w:val="20"/>
          <w:szCs w:val="20"/>
        </w:rPr>
      </w:pPr>
    </w:p>
    <w:p w14:paraId="2B9AB60C" w14:textId="00A8A88A" w:rsidR="002E5972" w:rsidRPr="00131283" w:rsidRDefault="002E5972" w:rsidP="0009358A">
      <w:pPr>
        <w:pStyle w:val="Odstavek0"/>
        <w:spacing w:before="0" w:line="260" w:lineRule="atLeast"/>
        <w:rPr>
          <w:strike/>
          <w:sz w:val="20"/>
          <w:szCs w:val="20"/>
        </w:rPr>
      </w:pPr>
      <w:r w:rsidRPr="00131283">
        <w:rPr>
          <w:sz w:val="20"/>
          <w:szCs w:val="20"/>
        </w:rPr>
        <w:t xml:space="preserve">Normativna poraba goriva za kmetijska in gozdna zemljišča iz </w:t>
      </w:r>
      <w:r>
        <w:rPr>
          <w:sz w:val="20"/>
          <w:szCs w:val="20"/>
        </w:rPr>
        <w:t>četrtega</w:t>
      </w:r>
      <w:r w:rsidRPr="00131283">
        <w:rPr>
          <w:sz w:val="20"/>
          <w:szCs w:val="20"/>
        </w:rPr>
        <w:t xml:space="preserve"> odstavka 94. člena</w:t>
      </w:r>
      <w:r>
        <w:rPr>
          <w:sz w:val="20"/>
          <w:szCs w:val="20"/>
        </w:rPr>
        <w:t xml:space="preserve"> </w:t>
      </w:r>
      <w:r w:rsidR="004955C8" w:rsidRPr="00131283">
        <w:rPr>
          <w:sz w:val="20"/>
          <w:szCs w:val="20"/>
        </w:rPr>
        <w:t xml:space="preserve">Zakona o trošarinah (Uradni list RS, št. 47/16, 92/21, 192/21 in </w:t>
      </w:r>
      <w:r w:rsidR="00E96555">
        <w:rPr>
          <w:sz w:val="20"/>
          <w:szCs w:val="20"/>
        </w:rPr>
        <w:t>140</w:t>
      </w:r>
      <w:r w:rsidR="004955C8" w:rsidRPr="00131283">
        <w:rPr>
          <w:sz w:val="20"/>
          <w:szCs w:val="20"/>
        </w:rPr>
        <w:t>/22; v nadaljnjem besedilu: zakon)</w:t>
      </w:r>
      <w:r w:rsidRPr="00131283">
        <w:rPr>
          <w:sz w:val="20"/>
          <w:szCs w:val="20"/>
        </w:rPr>
        <w:t xml:space="preserve"> znaša:</w:t>
      </w:r>
    </w:p>
    <w:p w14:paraId="6946C433" w14:textId="4142C20E" w:rsidR="002E5972" w:rsidRPr="00131283" w:rsidRDefault="002E5972" w:rsidP="0009358A">
      <w:pPr>
        <w:pStyle w:val="tevilnatoka"/>
        <w:spacing w:line="260" w:lineRule="atLeast"/>
        <w:ind w:left="0" w:firstLine="0"/>
        <w:rPr>
          <w:sz w:val="20"/>
          <w:szCs w:val="20"/>
        </w:rPr>
      </w:pPr>
      <w:r w:rsidRPr="00131283">
        <w:rPr>
          <w:sz w:val="20"/>
          <w:szCs w:val="20"/>
        </w:rPr>
        <w:t>200 litrov na hektar njive, njive za rejo polžev, jagod na njivi, trajnih rastlin na njivskih površinah, rastlinjaka, rastlinjaka s sadnimi rastlinami, matičnjaka, trajnega travnika, hmeljišča v premeni, ekstenzivnega sadovnjaka, travinj z razpršenimi neupravičenimi značilnostmi, začasnih travinj in kmetijskega zemljišča v pripravi;</w:t>
      </w:r>
    </w:p>
    <w:p w14:paraId="5AE1B5B3" w14:textId="391B6F2C" w:rsidR="002E5972" w:rsidRPr="00131283" w:rsidRDefault="002E5972" w:rsidP="0009358A">
      <w:pPr>
        <w:pStyle w:val="tevilnatoka"/>
        <w:spacing w:line="260" w:lineRule="atLeast"/>
        <w:ind w:left="0" w:firstLine="0"/>
        <w:rPr>
          <w:sz w:val="20"/>
          <w:szCs w:val="20"/>
        </w:rPr>
      </w:pPr>
      <w:r w:rsidRPr="00131283">
        <w:rPr>
          <w:sz w:val="20"/>
          <w:szCs w:val="20"/>
        </w:rPr>
        <w:t>420 litrov na hektar vinograda, intenzivnega sadovnjaka, hmeljišča, oljčnika ali ostalih trajnih nasadov;</w:t>
      </w:r>
    </w:p>
    <w:p w14:paraId="20047C08" w14:textId="6C84CDE3" w:rsidR="002E5972" w:rsidRPr="00131283" w:rsidRDefault="002E5972" w:rsidP="0009358A">
      <w:pPr>
        <w:pStyle w:val="tevilnatoka"/>
        <w:spacing w:line="260" w:lineRule="atLeast"/>
        <w:ind w:left="0" w:firstLine="0"/>
        <w:rPr>
          <w:sz w:val="20"/>
          <w:szCs w:val="20"/>
        </w:rPr>
      </w:pPr>
      <w:r w:rsidRPr="00131283">
        <w:rPr>
          <w:sz w:val="20"/>
          <w:szCs w:val="20"/>
        </w:rPr>
        <w:t>50 litrov na hektar plantaže gozdnega drevja;</w:t>
      </w:r>
    </w:p>
    <w:p w14:paraId="566ADECF" w14:textId="3DDB74AD" w:rsidR="00B73B44" w:rsidRPr="00131283" w:rsidRDefault="002E5972" w:rsidP="0009358A">
      <w:pPr>
        <w:pStyle w:val="tevilnatoka"/>
        <w:spacing w:line="260" w:lineRule="atLeast"/>
        <w:ind w:left="0" w:firstLine="0"/>
        <w:rPr>
          <w:sz w:val="20"/>
          <w:szCs w:val="20"/>
        </w:rPr>
      </w:pPr>
      <w:r w:rsidRPr="00131283">
        <w:rPr>
          <w:sz w:val="20"/>
          <w:szCs w:val="20"/>
        </w:rPr>
        <w:t>15 litrov na hektar gozda.</w:t>
      </w:r>
    </w:p>
    <w:p w14:paraId="7709E383" w14:textId="77777777" w:rsidR="002E5972" w:rsidRPr="00131283" w:rsidRDefault="002E5972" w:rsidP="0009358A">
      <w:pPr>
        <w:pStyle w:val="tevilnatoka"/>
        <w:numPr>
          <w:ilvl w:val="0"/>
          <w:numId w:val="0"/>
        </w:numPr>
        <w:spacing w:line="260" w:lineRule="atLeast"/>
        <w:ind w:left="425"/>
        <w:rPr>
          <w:sz w:val="20"/>
          <w:szCs w:val="20"/>
        </w:rPr>
      </w:pPr>
    </w:p>
    <w:p w14:paraId="516A0742" w14:textId="77777777" w:rsidR="002E5972" w:rsidRPr="00131283" w:rsidRDefault="002E5972" w:rsidP="0009358A">
      <w:pPr>
        <w:pStyle w:val="tevilnatoka"/>
        <w:numPr>
          <w:ilvl w:val="0"/>
          <w:numId w:val="0"/>
        </w:numPr>
        <w:spacing w:line="260" w:lineRule="atLeast"/>
        <w:ind w:left="425"/>
        <w:jc w:val="center"/>
        <w:rPr>
          <w:b/>
          <w:sz w:val="20"/>
          <w:szCs w:val="20"/>
        </w:rPr>
      </w:pPr>
      <w:r w:rsidRPr="00131283">
        <w:rPr>
          <w:b/>
          <w:sz w:val="20"/>
          <w:szCs w:val="20"/>
        </w:rPr>
        <w:t>3. člen</w:t>
      </w:r>
    </w:p>
    <w:p w14:paraId="6BA553C1" w14:textId="2F47C975" w:rsidR="002E5972" w:rsidRDefault="002E5972" w:rsidP="0009358A">
      <w:pPr>
        <w:pStyle w:val="tevilnatoka"/>
        <w:numPr>
          <w:ilvl w:val="0"/>
          <w:numId w:val="0"/>
        </w:numPr>
        <w:spacing w:line="260" w:lineRule="atLeast"/>
        <w:ind w:left="425"/>
        <w:jc w:val="center"/>
        <w:rPr>
          <w:b/>
          <w:bCs/>
          <w:sz w:val="20"/>
          <w:szCs w:val="20"/>
        </w:rPr>
      </w:pPr>
      <w:r w:rsidRPr="00131283">
        <w:rPr>
          <w:b/>
          <w:bCs/>
          <w:sz w:val="20"/>
          <w:szCs w:val="20"/>
        </w:rPr>
        <w:t>(določanje normativne porabe goriva kmetijska in gozdna zemljišča)</w:t>
      </w:r>
    </w:p>
    <w:p w14:paraId="408AF8B7" w14:textId="77777777" w:rsidR="002E5972" w:rsidRPr="00131283" w:rsidRDefault="002E5972" w:rsidP="0009358A">
      <w:pPr>
        <w:pStyle w:val="tevilnatoka"/>
        <w:numPr>
          <w:ilvl w:val="0"/>
          <w:numId w:val="0"/>
        </w:numPr>
        <w:spacing w:line="260" w:lineRule="atLeast"/>
        <w:ind w:left="425"/>
        <w:jc w:val="center"/>
        <w:rPr>
          <w:b/>
          <w:bCs/>
          <w:sz w:val="20"/>
          <w:szCs w:val="20"/>
        </w:rPr>
      </w:pPr>
    </w:p>
    <w:p w14:paraId="64EBAC33" w14:textId="384F043B" w:rsidR="002E5972" w:rsidRDefault="002E5972" w:rsidP="0009358A">
      <w:pPr>
        <w:pStyle w:val="Odstavek0"/>
        <w:spacing w:before="0" w:line="260" w:lineRule="atLeast"/>
        <w:rPr>
          <w:sz w:val="20"/>
          <w:szCs w:val="20"/>
        </w:rPr>
      </w:pPr>
      <w:r w:rsidRPr="00131283">
        <w:rPr>
          <w:sz w:val="20"/>
          <w:szCs w:val="20"/>
        </w:rPr>
        <w:t>(</w:t>
      </w:r>
      <w:r w:rsidR="00D436B6">
        <w:rPr>
          <w:sz w:val="20"/>
          <w:szCs w:val="20"/>
        </w:rPr>
        <w:t>1</w:t>
      </w:r>
      <w:r w:rsidRPr="00131283">
        <w:rPr>
          <w:sz w:val="20"/>
          <w:szCs w:val="20"/>
        </w:rPr>
        <w:t>) Normativno porabo goriva za kmetijska zemljišča iz</w:t>
      </w:r>
      <w:r>
        <w:rPr>
          <w:sz w:val="20"/>
          <w:szCs w:val="20"/>
        </w:rPr>
        <w:t xml:space="preserve"> četrtega</w:t>
      </w:r>
      <w:r w:rsidRPr="00131283">
        <w:rPr>
          <w:sz w:val="20"/>
          <w:szCs w:val="20"/>
        </w:rPr>
        <w:t xml:space="preserve"> odstavka 94. člena zakona za koledarsko leto določi davčni organ na podlagi površine kmetijskih zemljišč v uporabi </w:t>
      </w:r>
      <w:r w:rsidR="00677323">
        <w:rPr>
          <w:sz w:val="20"/>
          <w:szCs w:val="20"/>
        </w:rPr>
        <w:t xml:space="preserve">osebe, ki je nosilec kmetijskega gospodarstva ali član agrarne skupnosti, </w:t>
      </w:r>
      <w:r w:rsidRPr="00131283">
        <w:rPr>
          <w:sz w:val="20"/>
          <w:szCs w:val="20"/>
        </w:rPr>
        <w:t xml:space="preserve">tako da za kmetijsko zemljišče iz 1. in 2. točke prvega odstavka prejšnjega člena upošteva največjo upravičeno površino, za kmetijsko zemljišče iz 3. točke prvega odstavka prejšnjega člena pa površino, kot jo izkazujejo grafične enote rabe zemljišč kmetijskega gospodarstva (v nadaljnjem besedilu: GERK) pod posamezno vrsto dejanske rabe, kakor je za posamezno kmetijsko gospodarstvo, na dan 30. junija preteklega leta, evidentirana v registru kmetijskih gospodarstev pri ministrstvu, pristojnem za kmetijstvo. </w:t>
      </w:r>
    </w:p>
    <w:p w14:paraId="2A5123EE" w14:textId="77777777" w:rsidR="007C647C" w:rsidRDefault="007C647C" w:rsidP="0009358A">
      <w:pPr>
        <w:pStyle w:val="Odstavek0"/>
        <w:spacing w:before="0" w:line="260" w:lineRule="atLeast"/>
        <w:rPr>
          <w:sz w:val="20"/>
          <w:szCs w:val="20"/>
        </w:rPr>
      </w:pPr>
    </w:p>
    <w:p w14:paraId="60684452" w14:textId="6FA50F84" w:rsidR="002E5972" w:rsidRDefault="002E5972" w:rsidP="007C647C">
      <w:pPr>
        <w:pStyle w:val="Odstavek0"/>
        <w:spacing w:before="0" w:line="260" w:lineRule="atLeast"/>
        <w:rPr>
          <w:sz w:val="20"/>
          <w:szCs w:val="20"/>
        </w:rPr>
      </w:pPr>
      <w:r w:rsidRPr="00131283">
        <w:rPr>
          <w:sz w:val="20"/>
          <w:szCs w:val="20"/>
        </w:rPr>
        <w:t>(</w:t>
      </w:r>
      <w:r w:rsidR="00D436B6">
        <w:rPr>
          <w:sz w:val="20"/>
          <w:szCs w:val="20"/>
        </w:rPr>
        <w:t>2</w:t>
      </w:r>
      <w:r w:rsidRPr="00131283">
        <w:rPr>
          <w:sz w:val="20"/>
          <w:szCs w:val="20"/>
        </w:rPr>
        <w:t xml:space="preserve">) </w:t>
      </w:r>
      <w:r w:rsidRPr="007C647C">
        <w:rPr>
          <w:sz w:val="20"/>
          <w:szCs w:val="20"/>
        </w:rPr>
        <w:t>Normativno</w:t>
      </w:r>
      <w:r w:rsidRPr="00131283">
        <w:rPr>
          <w:sz w:val="20"/>
          <w:szCs w:val="20"/>
        </w:rPr>
        <w:t xml:space="preserve"> porabo goriva </w:t>
      </w:r>
      <w:r>
        <w:rPr>
          <w:sz w:val="20"/>
          <w:szCs w:val="20"/>
        </w:rPr>
        <w:t xml:space="preserve">za </w:t>
      </w:r>
      <w:r w:rsidRPr="00131283">
        <w:rPr>
          <w:sz w:val="20"/>
          <w:szCs w:val="20"/>
        </w:rPr>
        <w:t xml:space="preserve">gozdna zemljišča iz </w:t>
      </w:r>
      <w:r>
        <w:rPr>
          <w:sz w:val="20"/>
          <w:szCs w:val="20"/>
        </w:rPr>
        <w:t xml:space="preserve">četrtega </w:t>
      </w:r>
      <w:r w:rsidRPr="00131283">
        <w:rPr>
          <w:sz w:val="20"/>
          <w:szCs w:val="20"/>
        </w:rPr>
        <w:t>odstavka 94. člena zakona za koledarsko leto določi davčni organ na podlagi površine gozdnih zemljišč</w:t>
      </w:r>
      <w:r w:rsidR="007C647C">
        <w:rPr>
          <w:sz w:val="20"/>
          <w:szCs w:val="20"/>
        </w:rPr>
        <w:t xml:space="preserve">, </w:t>
      </w:r>
      <w:r w:rsidR="007C647C" w:rsidRPr="00131283">
        <w:rPr>
          <w:sz w:val="20"/>
          <w:szCs w:val="20"/>
        </w:rPr>
        <w:t xml:space="preserve">ki je po dejanski rabi v zemljiškem katastru opredeljena kot gozd </w:t>
      </w:r>
      <w:r w:rsidRPr="00131283">
        <w:rPr>
          <w:sz w:val="20"/>
          <w:szCs w:val="20"/>
        </w:rPr>
        <w:t xml:space="preserve">v uporabi </w:t>
      </w:r>
      <w:r w:rsidR="00E9102F">
        <w:rPr>
          <w:sz w:val="20"/>
          <w:szCs w:val="20"/>
        </w:rPr>
        <w:t>osebe</w:t>
      </w:r>
      <w:r w:rsidRPr="00131283">
        <w:rPr>
          <w:sz w:val="20"/>
          <w:szCs w:val="20"/>
        </w:rPr>
        <w:t xml:space="preserve">, na dan 30. junija preteklega leta. </w:t>
      </w:r>
    </w:p>
    <w:p w14:paraId="4F71A4F6" w14:textId="0A5CB49F" w:rsidR="00F504BA" w:rsidRDefault="00F504BA" w:rsidP="00DF1F24">
      <w:pPr>
        <w:pStyle w:val="Odstavek0"/>
        <w:spacing w:before="0" w:line="260" w:lineRule="atLeast"/>
        <w:rPr>
          <w:sz w:val="20"/>
          <w:szCs w:val="20"/>
        </w:rPr>
      </w:pPr>
    </w:p>
    <w:p w14:paraId="2189DF40" w14:textId="6728585C" w:rsidR="00B521C2" w:rsidRDefault="00B521C2" w:rsidP="00DF1F24">
      <w:pPr>
        <w:pStyle w:val="Odstavek0"/>
        <w:spacing w:before="0" w:line="260" w:lineRule="atLeast"/>
        <w:rPr>
          <w:sz w:val="20"/>
          <w:szCs w:val="20"/>
        </w:rPr>
      </w:pPr>
    </w:p>
    <w:p w14:paraId="11D2A29B" w14:textId="334B30ED" w:rsidR="00B521C2" w:rsidRDefault="00B521C2" w:rsidP="00DF1F24">
      <w:pPr>
        <w:pStyle w:val="Odstavek0"/>
        <w:spacing w:before="0" w:line="260" w:lineRule="atLeast"/>
        <w:rPr>
          <w:sz w:val="20"/>
          <w:szCs w:val="20"/>
        </w:rPr>
      </w:pPr>
    </w:p>
    <w:p w14:paraId="66A0C95D" w14:textId="42985B43" w:rsidR="00B521C2" w:rsidRDefault="00B521C2" w:rsidP="00DF1F24">
      <w:pPr>
        <w:pStyle w:val="Odstavek0"/>
        <w:spacing w:before="0" w:line="260" w:lineRule="atLeast"/>
        <w:rPr>
          <w:sz w:val="20"/>
          <w:szCs w:val="20"/>
        </w:rPr>
      </w:pPr>
    </w:p>
    <w:p w14:paraId="3E0F8037" w14:textId="0950DFB1" w:rsidR="002553FD" w:rsidRDefault="002553FD" w:rsidP="0009358A">
      <w:pPr>
        <w:pStyle w:val="tevilnatoka"/>
        <w:numPr>
          <w:ilvl w:val="0"/>
          <w:numId w:val="0"/>
        </w:numPr>
        <w:spacing w:line="260" w:lineRule="atLeast"/>
        <w:ind w:left="425"/>
        <w:jc w:val="center"/>
        <w:rPr>
          <w:b/>
          <w:sz w:val="20"/>
          <w:szCs w:val="20"/>
        </w:rPr>
      </w:pPr>
    </w:p>
    <w:p w14:paraId="7EA24AC9" w14:textId="77777777" w:rsidR="002467E1" w:rsidRDefault="002467E1" w:rsidP="0009358A">
      <w:pPr>
        <w:pStyle w:val="tevilnatoka"/>
        <w:numPr>
          <w:ilvl w:val="0"/>
          <w:numId w:val="0"/>
        </w:numPr>
        <w:spacing w:line="260" w:lineRule="atLeast"/>
        <w:ind w:left="425"/>
        <w:jc w:val="center"/>
        <w:rPr>
          <w:b/>
          <w:sz w:val="20"/>
          <w:szCs w:val="20"/>
        </w:rPr>
      </w:pPr>
    </w:p>
    <w:p w14:paraId="41A4A64C" w14:textId="10A4B93B" w:rsidR="002E5972" w:rsidRPr="00131283" w:rsidRDefault="00464F1C" w:rsidP="0009358A">
      <w:pPr>
        <w:pStyle w:val="tevilnatoka"/>
        <w:numPr>
          <w:ilvl w:val="0"/>
          <w:numId w:val="0"/>
        </w:numPr>
        <w:spacing w:line="260" w:lineRule="atLeast"/>
        <w:ind w:left="425"/>
        <w:jc w:val="center"/>
        <w:rPr>
          <w:b/>
          <w:sz w:val="20"/>
          <w:szCs w:val="20"/>
        </w:rPr>
      </w:pPr>
      <w:r>
        <w:rPr>
          <w:b/>
          <w:sz w:val="20"/>
          <w:szCs w:val="20"/>
        </w:rPr>
        <w:t>4</w:t>
      </w:r>
      <w:r w:rsidR="002E5972" w:rsidRPr="00131283">
        <w:rPr>
          <w:b/>
          <w:sz w:val="20"/>
          <w:szCs w:val="20"/>
        </w:rPr>
        <w:t>. člen</w:t>
      </w:r>
    </w:p>
    <w:p w14:paraId="478CEE0A" w14:textId="1088D170" w:rsidR="00D0291A" w:rsidRDefault="002E5972" w:rsidP="003B0DE7">
      <w:pPr>
        <w:pStyle w:val="tevilnatoka"/>
        <w:numPr>
          <w:ilvl w:val="0"/>
          <w:numId w:val="0"/>
        </w:numPr>
        <w:spacing w:line="260" w:lineRule="atLeast"/>
        <w:ind w:left="425"/>
        <w:jc w:val="center"/>
        <w:rPr>
          <w:sz w:val="20"/>
          <w:szCs w:val="20"/>
        </w:rPr>
      </w:pPr>
      <w:r w:rsidRPr="00131283">
        <w:rPr>
          <w:b/>
          <w:bCs/>
          <w:color w:val="000000"/>
          <w:sz w:val="20"/>
          <w:szCs w:val="20"/>
          <w:shd w:val="clear" w:color="auto" w:fill="FFFFFF"/>
        </w:rPr>
        <w:t>(</w:t>
      </w:r>
      <w:r>
        <w:rPr>
          <w:b/>
          <w:bCs/>
          <w:color w:val="000000"/>
          <w:sz w:val="20"/>
          <w:szCs w:val="20"/>
          <w:shd w:val="clear" w:color="auto" w:fill="FFFFFF"/>
        </w:rPr>
        <w:t>dodelit</w:t>
      </w:r>
      <w:r w:rsidR="006137D5">
        <w:rPr>
          <w:b/>
          <w:bCs/>
          <w:color w:val="000000"/>
          <w:sz w:val="20"/>
          <w:szCs w:val="20"/>
          <w:shd w:val="clear" w:color="auto" w:fill="FFFFFF"/>
        </w:rPr>
        <w:t>e</w:t>
      </w:r>
      <w:r>
        <w:rPr>
          <w:b/>
          <w:bCs/>
          <w:color w:val="000000"/>
          <w:sz w:val="20"/>
          <w:szCs w:val="20"/>
          <w:shd w:val="clear" w:color="auto" w:fill="FFFFFF"/>
        </w:rPr>
        <w:t xml:space="preserve">v enolične </w:t>
      </w:r>
      <w:r>
        <w:rPr>
          <w:b/>
          <w:bCs/>
          <w:sz w:val="20"/>
          <w:szCs w:val="20"/>
        </w:rPr>
        <w:t>identifikacijske oznake)</w:t>
      </w:r>
      <w:r w:rsidR="00D0291A" w:rsidRPr="00D0291A">
        <w:rPr>
          <w:sz w:val="20"/>
          <w:szCs w:val="20"/>
        </w:rPr>
        <w:t xml:space="preserve"> </w:t>
      </w:r>
    </w:p>
    <w:p w14:paraId="6BD76FFB" w14:textId="77777777" w:rsidR="00170EC7" w:rsidRPr="003B0DE7" w:rsidRDefault="00170EC7" w:rsidP="003B0DE7">
      <w:pPr>
        <w:pStyle w:val="tevilnatoka"/>
        <w:numPr>
          <w:ilvl w:val="0"/>
          <w:numId w:val="0"/>
        </w:numPr>
        <w:spacing w:line="260" w:lineRule="atLeast"/>
        <w:ind w:left="425"/>
        <w:jc w:val="center"/>
        <w:rPr>
          <w:b/>
          <w:bCs/>
          <w:sz w:val="20"/>
          <w:szCs w:val="20"/>
        </w:rPr>
      </w:pPr>
    </w:p>
    <w:p w14:paraId="5BF50592" w14:textId="487CF5E7" w:rsidR="00464F1C" w:rsidRPr="00602EC9" w:rsidRDefault="00D51D26" w:rsidP="00170EC7">
      <w:pPr>
        <w:pStyle w:val="Odstavek0"/>
        <w:spacing w:before="0" w:line="260" w:lineRule="atLeast"/>
        <w:rPr>
          <w:color w:val="000000"/>
          <w:sz w:val="20"/>
          <w:szCs w:val="20"/>
          <w:shd w:val="clear" w:color="auto" w:fill="FFFFFF"/>
        </w:rPr>
      </w:pPr>
      <w:r w:rsidRPr="00602EC9">
        <w:rPr>
          <w:sz w:val="20"/>
          <w:szCs w:val="20"/>
        </w:rPr>
        <w:t>(1)</w:t>
      </w:r>
      <w:r w:rsidR="00B521C2" w:rsidRPr="00602EC9">
        <w:rPr>
          <w:sz w:val="20"/>
          <w:szCs w:val="20"/>
        </w:rPr>
        <w:t xml:space="preserve"> </w:t>
      </w:r>
      <w:r w:rsidR="00DF1F24" w:rsidRPr="00602EC9">
        <w:rPr>
          <w:sz w:val="20"/>
          <w:szCs w:val="20"/>
        </w:rPr>
        <w:t>V skladu s petim odstavkom 94. člena zakona d</w:t>
      </w:r>
      <w:r w:rsidRPr="00602EC9">
        <w:rPr>
          <w:sz w:val="20"/>
          <w:szCs w:val="20"/>
        </w:rPr>
        <w:t xml:space="preserve">avčni organ do 1. januarja tekočega leta v informacijskem sistemu </w:t>
      </w:r>
      <w:r w:rsidR="00DF1F24" w:rsidRPr="00602EC9">
        <w:rPr>
          <w:sz w:val="20"/>
          <w:szCs w:val="20"/>
        </w:rPr>
        <w:t>davčnega organa</w:t>
      </w:r>
      <w:r w:rsidR="00170EC7" w:rsidRPr="00602EC9">
        <w:rPr>
          <w:sz w:val="20"/>
          <w:szCs w:val="20"/>
        </w:rPr>
        <w:t xml:space="preserve"> </w:t>
      </w:r>
      <w:r w:rsidR="00B521C2" w:rsidRPr="00602EC9">
        <w:rPr>
          <w:sz w:val="20"/>
          <w:szCs w:val="20"/>
        </w:rPr>
        <w:t xml:space="preserve">določi </w:t>
      </w:r>
      <w:r w:rsidR="00345AF8">
        <w:rPr>
          <w:sz w:val="20"/>
          <w:szCs w:val="20"/>
        </w:rPr>
        <w:t xml:space="preserve">seznam </w:t>
      </w:r>
      <w:r w:rsidR="00DF1F24" w:rsidRPr="00602EC9">
        <w:rPr>
          <w:sz w:val="20"/>
          <w:szCs w:val="20"/>
        </w:rPr>
        <w:t xml:space="preserve">oseb, ki </w:t>
      </w:r>
      <w:r w:rsidR="00345AF8">
        <w:rPr>
          <w:sz w:val="20"/>
          <w:szCs w:val="20"/>
        </w:rPr>
        <w:t xml:space="preserve">za tekoče leto </w:t>
      </w:r>
      <w:r w:rsidR="00DF1F24" w:rsidRPr="00602EC9">
        <w:rPr>
          <w:sz w:val="20"/>
          <w:szCs w:val="20"/>
        </w:rPr>
        <w:t>izpolnjujejo pogoj</w:t>
      </w:r>
      <w:r w:rsidR="00B521C2" w:rsidRPr="00602EC9">
        <w:rPr>
          <w:sz w:val="20"/>
          <w:szCs w:val="20"/>
        </w:rPr>
        <w:t>e</w:t>
      </w:r>
      <w:r w:rsidR="00DF1F24" w:rsidRPr="00602EC9">
        <w:rPr>
          <w:sz w:val="20"/>
          <w:szCs w:val="20"/>
        </w:rPr>
        <w:t xml:space="preserve"> za nakup goriva za kmetijst</w:t>
      </w:r>
      <w:r w:rsidR="00464F1C" w:rsidRPr="00602EC9">
        <w:rPr>
          <w:sz w:val="20"/>
          <w:szCs w:val="20"/>
        </w:rPr>
        <w:t>vo.</w:t>
      </w:r>
      <w:r w:rsidR="00464F1C" w:rsidRPr="00602EC9">
        <w:rPr>
          <w:color w:val="000000"/>
          <w:sz w:val="20"/>
          <w:szCs w:val="20"/>
          <w:shd w:val="clear" w:color="auto" w:fill="FFFFFF"/>
        </w:rPr>
        <w:t xml:space="preserve"> </w:t>
      </w:r>
    </w:p>
    <w:p w14:paraId="71298C07" w14:textId="26B647F8" w:rsidR="00464F1C" w:rsidRPr="00602EC9" w:rsidRDefault="00464F1C" w:rsidP="00170EC7">
      <w:pPr>
        <w:pStyle w:val="Odstavek0"/>
        <w:spacing w:before="0" w:line="260" w:lineRule="atLeast"/>
        <w:rPr>
          <w:color w:val="000000"/>
          <w:sz w:val="20"/>
          <w:szCs w:val="20"/>
          <w:shd w:val="clear" w:color="auto" w:fill="FFFFFF"/>
        </w:rPr>
      </w:pPr>
    </w:p>
    <w:p w14:paraId="710F0036" w14:textId="57F21958" w:rsidR="00464F1C" w:rsidRPr="00602EC9" w:rsidRDefault="00464F1C" w:rsidP="00464F1C">
      <w:pPr>
        <w:pStyle w:val="Odstavek0"/>
        <w:spacing w:before="0" w:line="260" w:lineRule="atLeast"/>
        <w:rPr>
          <w:sz w:val="20"/>
          <w:szCs w:val="20"/>
        </w:rPr>
      </w:pPr>
      <w:r w:rsidRPr="00602EC9">
        <w:rPr>
          <w:sz w:val="20"/>
          <w:szCs w:val="20"/>
        </w:rPr>
        <w:t>(2)</w:t>
      </w:r>
      <w:r w:rsidRPr="00602EC9">
        <w:rPr>
          <w:sz w:val="20"/>
          <w:szCs w:val="20"/>
        </w:rPr>
        <w:tab/>
        <w:t xml:space="preserve">Fizične osebe upravičenost do nakupa goriva za kmetijstvo za tekoče leto </w:t>
      </w:r>
      <w:r w:rsidR="00886733" w:rsidRPr="00602EC9">
        <w:rPr>
          <w:sz w:val="20"/>
          <w:szCs w:val="20"/>
        </w:rPr>
        <w:t>preverijo</w:t>
      </w:r>
      <w:r w:rsidR="00886733" w:rsidRPr="00886733">
        <w:rPr>
          <w:sz w:val="20"/>
          <w:szCs w:val="20"/>
        </w:rPr>
        <w:t xml:space="preserve"> preko odprtega portala </w:t>
      </w:r>
      <w:proofErr w:type="spellStart"/>
      <w:r w:rsidR="00886733" w:rsidRPr="00886733">
        <w:rPr>
          <w:sz w:val="20"/>
          <w:szCs w:val="20"/>
        </w:rPr>
        <w:t>eDavki</w:t>
      </w:r>
      <w:proofErr w:type="spellEnd"/>
      <w:r w:rsidR="00886733" w:rsidRPr="00886733">
        <w:rPr>
          <w:sz w:val="20"/>
          <w:szCs w:val="20"/>
        </w:rPr>
        <w:t xml:space="preserve">, </w:t>
      </w:r>
      <w:r w:rsidRPr="00602EC9">
        <w:rPr>
          <w:sz w:val="20"/>
          <w:szCs w:val="20"/>
        </w:rPr>
        <w:t>z vnosom enolične identifikacijske oznake</w:t>
      </w:r>
      <w:r w:rsidR="00D32CF0" w:rsidRPr="00602EC9">
        <w:rPr>
          <w:sz w:val="20"/>
          <w:szCs w:val="20"/>
        </w:rPr>
        <w:t xml:space="preserve"> v strukturi, ki je določena v</w:t>
      </w:r>
      <w:r w:rsidRPr="00602EC9">
        <w:rPr>
          <w:sz w:val="20"/>
          <w:szCs w:val="20"/>
        </w:rPr>
        <w:t xml:space="preserve"> 5. člen</w:t>
      </w:r>
      <w:r w:rsidR="00D32CF0" w:rsidRPr="00602EC9">
        <w:rPr>
          <w:sz w:val="20"/>
          <w:szCs w:val="20"/>
        </w:rPr>
        <w:t>u</w:t>
      </w:r>
      <w:r w:rsidRPr="00602EC9">
        <w:rPr>
          <w:sz w:val="20"/>
          <w:szCs w:val="20"/>
        </w:rPr>
        <w:t xml:space="preserve"> tega pravilnika.</w:t>
      </w:r>
    </w:p>
    <w:p w14:paraId="39F3B8D4" w14:textId="0841F27F" w:rsidR="00464F1C" w:rsidRPr="00602EC9" w:rsidRDefault="00464F1C" w:rsidP="00170EC7">
      <w:pPr>
        <w:pStyle w:val="Odstavek0"/>
        <w:spacing w:before="0" w:line="260" w:lineRule="atLeast"/>
        <w:rPr>
          <w:color w:val="000000"/>
          <w:sz w:val="20"/>
          <w:szCs w:val="20"/>
          <w:shd w:val="clear" w:color="auto" w:fill="FFFFFF"/>
        </w:rPr>
      </w:pPr>
    </w:p>
    <w:p w14:paraId="67B868DB" w14:textId="07C9FC09" w:rsidR="00464F1C" w:rsidRPr="00602EC9" w:rsidRDefault="00464F1C" w:rsidP="00464F1C">
      <w:pPr>
        <w:pStyle w:val="Odstavek0"/>
        <w:spacing w:before="0" w:line="260" w:lineRule="atLeast"/>
        <w:rPr>
          <w:sz w:val="20"/>
          <w:szCs w:val="20"/>
        </w:rPr>
      </w:pPr>
      <w:r w:rsidRPr="00602EC9">
        <w:rPr>
          <w:sz w:val="20"/>
          <w:szCs w:val="20"/>
        </w:rPr>
        <w:t>(3)</w:t>
      </w:r>
      <w:r w:rsidRPr="00602EC9">
        <w:rPr>
          <w:sz w:val="20"/>
          <w:szCs w:val="20"/>
        </w:rPr>
        <w:tab/>
        <w:t xml:space="preserve">Pravne osebe, samostojni podjetniki posamezniki ali agrarne skupnosti upravičenost do nakupa goriva za kmetijstvo za tekoče leto preverijo </w:t>
      </w:r>
      <w:r w:rsidR="00886733" w:rsidRPr="00602EC9">
        <w:rPr>
          <w:sz w:val="20"/>
          <w:szCs w:val="20"/>
        </w:rPr>
        <w:t xml:space="preserve">preko </w:t>
      </w:r>
      <w:r w:rsidR="00886733">
        <w:rPr>
          <w:sz w:val="20"/>
          <w:szCs w:val="20"/>
        </w:rPr>
        <w:t xml:space="preserve">odprtega </w:t>
      </w:r>
      <w:r w:rsidR="00886733" w:rsidRPr="00602EC9">
        <w:rPr>
          <w:sz w:val="20"/>
          <w:szCs w:val="20"/>
        </w:rPr>
        <w:t xml:space="preserve">portala </w:t>
      </w:r>
      <w:proofErr w:type="spellStart"/>
      <w:r w:rsidR="00886733" w:rsidRPr="00602EC9">
        <w:rPr>
          <w:sz w:val="20"/>
          <w:szCs w:val="20"/>
        </w:rPr>
        <w:t>eDavki</w:t>
      </w:r>
      <w:proofErr w:type="spellEnd"/>
      <w:r w:rsidR="00886733">
        <w:rPr>
          <w:sz w:val="20"/>
          <w:szCs w:val="20"/>
        </w:rPr>
        <w:t>,</w:t>
      </w:r>
      <w:r w:rsidR="00886733" w:rsidRPr="00602EC9">
        <w:rPr>
          <w:sz w:val="20"/>
          <w:szCs w:val="20"/>
        </w:rPr>
        <w:t xml:space="preserve"> </w:t>
      </w:r>
      <w:r w:rsidRPr="00602EC9">
        <w:rPr>
          <w:sz w:val="20"/>
          <w:szCs w:val="20"/>
        </w:rPr>
        <w:t xml:space="preserve">z vnosom davčne številke. </w:t>
      </w:r>
    </w:p>
    <w:p w14:paraId="2640537D" w14:textId="7EA42608" w:rsidR="00464F1C" w:rsidRPr="00602EC9" w:rsidRDefault="00464F1C" w:rsidP="00464F1C">
      <w:pPr>
        <w:pStyle w:val="Odstavek0"/>
        <w:spacing w:before="0" w:line="260" w:lineRule="atLeast"/>
        <w:rPr>
          <w:sz w:val="20"/>
          <w:szCs w:val="20"/>
        </w:rPr>
      </w:pPr>
    </w:p>
    <w:p w14:paraId="7A53F39E" w14:textId="4023067E" w:rsidR="00464F1C" w:rsidRPr="00602EC9" w:rsidRDefault="00460764" w:rsidP="00464F1C">
      <w:pPr>
        <w:pStyle w:val="Odstavek0"/>
        <w:spacing w:before="0" w:line="260" w:lineRule="atLeast"/>
        <w:rPr>
          <w:sz w:val="20"/>
          <w:szCs w:val="20"/>
        </w:rPr>
      </w:pPr>
      <w:r w:rsidRPr="00602EC9">
        <w:rPr>
          <w:sz w:val="20"/>
          <w:szCs w:val="20"/>
        </w:rPr>
        <w:t>(4) Pravna oseba, samostojni podjetnik posameznik ali agrarna skupnost, ki za tekoče leto  izpolnjuje pogoj za nakup goriva za kmetijstvo</w:t>
      </w:r>
      <w:r w:rsidR="00345AF8">
        <w:rPr>
          <w:sz w:val="20"/>
          <w:szCs w:val="20"/>
        </w:rPr>
        <w:t>,</w:t>
      </w:r>
      <w:r w:rsidR="00D32CF0" w:rsidRPr="00602EC9">
        <w:rPr>
          <w:sz w:val="20"/>
          <w:szCs w:val="20"/>
        </w:rPr>
        <w:t xml:space="preserve"> v informacijski sistem davčnega organa</w:t>
      </w:r>
      <w:r w:rsidRPr="00602EC9">
        <w:rPr>
          <w:sz w:val="20"/>
          <w:szCs w:val="20"/>
        </w:rPr>
        <w:t xml:space="preserve"> vnese ime, priimek in davčno številko osebe, ki je </w:t>
      </w:r>
      <w:r w:rsidR="00345AF8">
        <w:rPr>
          <w:sz w:val="20"/>
          <w:szCs w:val="20"/>
        </w:rPr>
        <w:t xml:space="preserve">za tekoče leto </w:t>
      </w:r>
      <w:r w:rsidRPr="00602EC9">
        <w:rPr>
          <w:sz w:val="20"/>
          <w:szCs w:val="20"/>
        </w:rPr>
        <w:t>odgovorna za nakup goriva za kmetij</w:t>
      </w:r>
      <w:r w:rsidR="00D32CF0" w:rsidRPr="00602EC9">
        <w:rPr>
          <w:sz w:val="20"/>
          <w:szCs w:val="20"/>
        </w:rPr>
        <w:t>stvo, s čimer se ji v informacijskem sistemu davčnega organa dodeli enolična identifikacija oznaka, v strukturi, ki je določena v 5. členu tega pravilnika.</w:t>
      </w:r>
      <w:r w:rsidRPr="00602EC9">
        <w:rPr>
          <w:sz w:val="20"/>
          <w:szCs w:val="20"/>
        </w:rPr>
        <w:t xml:space="preserve"> Navodila in postopki za vnos podatkov iz tega odstavka so objavljeni na spletnih straneh davčnega organa. </w:t>
      </w:r>
    </w:p>
    <w:p w14:paraId="761837FF" w14:textId="74B9B643" w:rsidR="00464F1C" w:rsidRPr="00602EC9" w:rsidRDefault="00464F1C" w:rsidP="00170EC7">
      <w:pPr>
        <w:pStyle w:val="tevilnatoka"/>
        <w:numPr>
          <w:ilvl w:val="0"/>
          <w:numId w:val="0"/>
        </w:numPr>
        <w:spacing w:line="260" w:lineRule="atLeast"/>
        <w:rPr>
          <w:i/>
          <w:sz w:val="20"/>
          <w:szCs w:val="20"/>
        </w:rPr>
      </w:pPr>
    </w:p>
    <w:p w14:paraId="6EC8A99D" w14:textId="579D3402" w:rsidR="00464F1C" w:rsidRPr="00131283" w:rsidRDefault="00464F1C" w:rsidP="00464F1C">
      <w:pPr>
        <w:pStyle w:val="tevilnatoka"/>
        <w:numPr>
          <w:ilvl w:val="0"/>
          <w:numId w:val="0"/>
        </w:numPr>
        <w:spacing w:line="260" w:lineRule="atLeast"/>
        <w:ind w:left="425"/>
        <w:jc w:val="center"/>
        <w:rPr>
          <w:b/>
          <w:sz w:val="20"/>
          <w:szCs w:val="20"/>
        </w:rPr>
      </w:pPr>
      <w:r>
        <w:rPr>
          <w:b/>
          <w:sz w:val="20"/>
          <w:szCs w:val="20"/>
        </w:rPr>
        <w:t>5</w:t>
      </w:r>
      <w:r w:rsidRPr="00131283">
        <w:rPr>
          <w:b/>
          <w:sz w:val="20"/>
          <w:szCs w:val="20"/>
        </w:rPr>
        <w:t>. člen</w:t>
      </w:r>
    </w:p>
    <w:p w14:paraId="231FE8F1" w14:textId="77777777" w:rsidR="00464F1C" w:rsidRDefault="00464F1C" w:rsidP="00464F1C">
      <w:pPr>
        <w:pStyle w:val="tevilnatoka"/>
        <w:numPr>
          <w:ilvl w:val="0"/>
          <w:numId w:val="0"/>
        </w:numPr>
        <w:spacing w:line="260" w:lineRule="atLeast"/>
        <w:ind w:left="425"/>
        <w:jc w:val="center"/>
        <w:rPr>
          <w:b/>
          <w:bCs/>
          <w:sz w:val="20"/>
          <w:szCs w:val="20"/>
        </w:rPr>
      </w:pPr>
      <w:r w:rsidRPr="00131283">
        <w:rPr>
          <w:b/>
          <w:bCs/>
          <w:sz w:val="20"/>
          <w:szCs w:val="20"/>
        </w:rPr>
        <w:t>(</w:t>
      </w:r>
      <w:r>
        <w:rPr>
          <w:b/>
          <w:bCs/>
          <w:sz w:val="20"/>
          <w:szCs w:val="20"/>
        </w:rPr>
        <w:t>enolična identifikacijska oznaka</w:t>
      </w:r>
      <w:r w:rsidRPr="00131283">
        <w:rPr>
          <w:b/>
          <w:bCs/>
          <w:sz w:val="20"/>
          <w:szCs w:val="20"/>
        </w:rPr>
        <w:t>)</w:t>
      </w:r>
    </w:p>
    <w:p w14:paraId="1A38379A" w14:textId="77777777" w:rsidR="00464F1C" w:rsidRPr="00131283" w:rsidRDefault="00464F1C" w:rsidP="00464F1C">
      <w:pPr>
        <w:pStyle w:val="tevilnatoka"/>
        <w:numPr>
          <w:ilvl w:val="0"/>
          <w:numId w:val="0"/>
        </w:numPr>
        <w:spacing w:line="260" w:lineRule="atLeast"/>
        <w:ind w:left="425"/>
        <w:jc w:val="center"/>
        <w:rPr>
          <w:b/>
          <w:bCs/>
          <w:sz w:val="20"/>
          <w:szCs w:val="20"/>
        </w:rPr>
      </w:pPr>
    </w:p>
    <w:p w14:paraId="79B9BE72" w14:textId="7F3DB195" w:rsidR="00464F1C" w:rsidRDefault="00464F1C" w:rsidP="00464F1C">
      <w:pPr>
        <w:pStyle w:val="Odstavek0"/>
        <w:spacing w:before="0" w:line="260" w:lineRule="atLeast"/>
        <w:rPr>
          <w:sz w:val="20"/>
          <w:szCs w:val="20"/>
        </w:rPr>
      </w:pPr>
      <w:r w:rsidRPr="00001C43">
        <w:rPr>
          <w:sz w:val="20"/>
          <w:szCs w:val="20"/>
        </w:rPr>
        <w:t>Enolična identifikacijska oznaka iz petega odstavka 94. člena zakona je 11 mestna numerična</w:t>
      </w:r>
      <w:r>
        <w:rPr>
          <w:sz w:val="20"/>
          <w:szCs w:val="20"/>
        </w:rPr>
        <w:t xml:space="preserve"> oznaka</w:t>
      </w:r>
      <w:r w:rsidRPr="00001C43">
        <w:rPr>
          <w:sz w:val="20"/>
          <w:szCs w:val="20"/>
        </w:rPr>
        <w:t xml:space="preserve">, v strukturi </w:t>
      </w:r>
      <w:r>
        <w:rPr>
          <w:sz w:val="20"/>
          <w:szCs w:val="20"/>
        </w:rPr>
        <w:t>DDDDDDDD</w:t>
      </w:r>
      <w:r w:rsidRPr="00001C43">
        <w:rPr>
          <w:sz w:val="20"/>
          <w:szCs w:val="20"/>
        </w:rPr>
        <w:t>MMM</w:t>
      </w:r>
      <w:r>
        <w:rPr>
          <w:sz w:val="20"/>
          <w:szCs w:val="20"/>
        </w:rPr>
        <w:t xml:space="preserve">. Njeni sestavni deli so: </w:t>
      </w:r>
    </w:p>
    <w:p w14:paraId="65CC21C2" w14:textId="77777777" w:rsidR="00464F1C" w:rsidRDefault="00464F1C" w:rsidP="00464F1C">
      <w:pPr>
        <w:pStyle w:val="Odstavekseznama"/>
        <w:overflowPunct w:val="0"/>
        <w:autoSpaceDE w:val="0"/>
        <w:autoSpaceDN w:val="0"/>
        <w:adjustRightInd w:val="0"/>
        <w:spacing w:after="0" w:line="260" w:lineRule="atLeast"/>
        <w:ind w:left="332"/>
        <w:jc w:val="both"/>
        <w:rPr>
          <w:rFonts w:ascii="Arial" w:eastAsia="Times New Roman" w:hAnsi="Arial" w:cs="Arial"/>
          <w:sz w:val="20"/>
          <w:szCs w:val="20"/>
        </w:rPr>
      </w:pPr>
    </w:p>
    <w:p w14:paraId="6338038A" w14:textId="77777777" w:rsidR="00464F1C" w:rsidRDefault="00464F1C" w:rsidP="00464F1C">
      <w:pPr>
        <w:pStyle w:val="Odstavekseznama"/>
        <w:overflowPunct w:val="0"/>
        <w:autoSpaceDE w:val="0"/>
        <w:autoSpaceDN w:val="0"/>
        <w:adjustRightInd w:val="0"/>
        <w:spacing w:after="0" w:line="260" w:lineRule="atLeast"/>
        <w:ind w:left="332"/>
        <w:jc w:val="both"/>
        <w:rPr>
          <w:rFonts w:ascii="Arial" w:eastAsia="Times New Roman" w:hAnsi="Arial" w:cs="Arial"/>
          <w:sz w:val="20"/>
          <w:szCs w:val="20"/>
        </w:rPr>
      </w:pPr>
      <w:r>
        <w:rPr>
          <w:rFonts w:ascii="Arial" w:eastAsia="Times New Roman" w:hAnsi="Arial" w:cs="Arial"/>
          <w:sz w:val="20"/>
          <w:szCs w:val="20"/>
        </w:rPr>
        <w:t xml:space="preserve">- DDDDDDDD: </w:t>
      </w:r>
      <w:r w:rsidRPr="00001C43">
        <w:rPr>
          <w:rFonts w:ascii="Arial" w:eastAsia="Times New Roman" w:hAnsi="Arial" w:cs="Arial"/>
          <w:sz w:val="20"/>
          <w:szCs w:val="20"/>
        </w:rPr>
        <w:t>davčna številka</w:t>
      </w:r>
      <w:r w:rsidRPr="00E343AE">
        <w:rPr>
          <w:rFonts w:ascii="Arial" w:eastAsia="Times New Roman" w:hAnsi="Arial" w:cs="Arial"/>
          <w:sz w:val="20"/>
          <w:szCs w:val="20"/>
        </w:rPr>
        <w:t xml:space="preserve"> </w:t>
      </w:r>
      <w:r w:rsidRPr="00001C43">
        <w:rPr>
          <w:rFonts w:ascii="Arial" w:eastAsia="Times New Roman" w:hAnsi="Arial" w:cs="Arial"/>
          <w:sz w:val="20"/>
          <w:szCs w:val="20"/>
        </w:rPr>
        <w:t>osebe</w:t>
      </w:r>
      <w:r>
        <w:rPr>
          <w:rFonts w:ascii="Arial" w:eastAsia="Times New Roman" w:hAnsi="Arial" w:cs="Arial"/>
          <w:sz w:val="20"/>
          <w:szCs w:val="20"/>
        </w:rPr>
        <w:t xml:space="preserve"> iz petega odstavka 94. člena zakona; </w:t>
      </w:r>
    </w:p>
    <w:p w14:paraId="76ECACD5" w14:textId="77777777" w:rsidR="00464F1C" w:rsidRDefault="00464F1C" w:rsidP="00464F1C">
      <w:pPr>
        <w:pStyle w:val="Odstavekseznama"/>
        <w:overflowPunct w:val="0"/>
        <w:autoSpaceDE w:val="0"/>
        <w:autoSpaceDN w:val="0"/>
        <w:adjustRightInd w:val="0"/>
        <w:spacing w:after="0" w:line="260" w:lineRule="atLeast"/>
        <w:ind w:left="332"/>
        <w:jc w:val="both"/>
        <w:rPr>
          <w:rFonts w:ascii="Arial" w:eastAsia="Times New Roman" w:hAnsi="Arial" w:cs="Arial"/>
          <w:sz w:val="20"/>
          <w:szCs w:val="20"/>
        </w:rPr>
      </w:pPr>
      <w:r>
        <w:rPr>
          <w:rFonts w:ascii="Arial" w:eastAsia="Times New Roman" w:hAnsi="Arial" w:cs="Arial"/>
          <w:sz w:val="20"/>
          <w:szCs w:val="20"/>
        </w:rPr>
        <w:t xml:space="preserve">- </w:t>
      </w:r>
      <w:r w:rsidRPr="00001C43">
        <w:rPr>
          <w:rFonts w:ascii="Arial" w:eastAsia="Times New Roman" w:hAnsi="Arial" w:cs="Arial"/>
          <w:sz w:val="20"/>
          <w:szCs w:val="20"/>
        </w:rPr>
        <w:t>MMM</w:t>
      </w:r>
      <w:r>
        <w:rPr>
          <w:rFonts w:ascii="Arial" w:eastAsia="Times New Roman" w:hAnsi="Arial" w:cs="Arial"/>
          <w:sz w:val="20"/>
          <w:szCs w:val="20"/>
        </w:rPr>
        <w:t xml:space="preserve">: </w:t>
      </w:r>
      <w:r w:rsidRPr="00001C43">
        <w:rPr>
          <w:rFonts w:ascii="Arial" w:eastAsia="Times New Roman" w:hAnsi="Arial" w:cs="Arial"/>
          <w:sz w:val="20"/>
          <w:szCs w:val="20"/>
        </w:rPr>
        <w:t>1</w:t>
      </w:r>
      <w:r>
        <w:rPr>
          <w:rFonts w:ascii="Arial" w:eastAsia="Times New Roman" w:hAnsi="Arial" w:cs="Arial"/>
          <w:sz w:val="20"/>
          <w:szCs w:val="20"/>
        </w:rPr>
        <w:t>1</w:t>
      </w:r>
      <w:r w:rsidRPr="00001C43">
        <w:rPr>
          <w:rFonts w:ascii="Arial" w:eastAsia="Times New Roman" w:hAnsi="Arial" w:cs="Arial"/>
          <w:sz w:val="20"/>
          <w:szCs w:val="20"/>
        </w:rPr>
        <w:t>. do 13. številka enotne matične številke občana</w:t>
      </w:r>
      <w:r>
        <w:rPr>
          <w:rFonts w:ascii="Arial" w:eastAsia="Times New Roman" w:hAnsi="Arial" w:cs="Arial"/>
          <w:sz w:val="20"/>
          <w:szCs w:val="20"/>
        </w:rPr>
        <w:t>, fizične osebe iz petega odstavka 94. člena zakona ali fizične osebe</w:t>
      </w:r>
      <w:r w:rsidRPr="00B36BD4">
        <w:rPr>
          <w:rFonts w:ascii="Arial" w:eastAsia="Times New Roman" w:hAnsi="Arial" w:cs="Arial"/>
          <w:sz w:val="20"/>
          <w:szCs w:val="20"/>
        </w:rPr>
        <w:t xml:space="preserve">, ki ga </w:t>
      </w:r>
      <w:r>
        <w:rPr>
          <w:rFonts w:ascii="Arial" w:eastAsia="Times New Roman" w:hAnsi="Arial" w:cs="Arial"/>
          <w:sz w:val="20"/>
          <w:szCs w:val="20"/>
        </w:rPr>
        <w:t xml:space="preserve">je oseba iz petega odstavka 94. člena zakona, ki je </w:t>
      </w:r>
      <w:r w:rsidRPr="00001C43">
        <w:rPr>
          <w:rFonts w:ascii="Arial" w:eastAsia="Times New Roman" w:hAnsi="Arial" w:cs="Arial"/>
          <w:sz w:val="20"/>
          <w:szCs w:val="20"/>
        </w:rPr>
        <w:t>pravna oseba</w:t>
      </w:r>
      <w:r>
        <w:rPr>
          <w:rFonts w:ascii="Arial" w:eastAsia="Times New Roman" w:hAnsi="Arial" w:cs="Arial"/>
          <w:sz w:val="20"/>
          <w:szCs w:val="20"/>
        </w:rPr>
        <w:t>, samostojni podjetnik posameznik</w:t>
      </w:r>
      <w:r w:rsidRPr="00775DB3">
        <w:rPr>
          <w:rFonts w:ascii="Arial" w:eastAsia="Times New Roman" w:hAnsi="Arial" w:cs="Arial"/>
          <w:sz w:val="20"/>
          <w:szCs w:val="20"/>
        </w:rPr>
        <w:t xml:space="preserve"> </w:t>
      </w:r>
      <w:r w:rsidRPr="00001C43">
        <w:rPr>
          <w:rFonts w:ascii="Arial" w:eastAsia="Times New Roman" w:hAnsi="Arial" w:cs="Arial"/>
          <w:sz w:val="20"/>
          <w:szCs w:val="20"/>
        </w:rPr>
        <w:t xml:space="preserve">ali </w:t>
      </w:r>
      <w:r>
        <w:rPr>
          <w:rFonts w:ascii="Arial" w:eastAsia="Times New Roman" w:hAnsi="Arial" w:cs="Arial"/>
          <w:sz w:val="20"/>
          <w:szCs w:val="20"/>
        </w:rPr>
        <w:t>član agrarne skupnosti, določila</w:t>
      </w:r>
      <w:r w:rsidRPr="00B36BD4">
        <w:rPr>
          <w:rFonts w:ascii="Arial" w:eastAsia="Times New Roman" w:hAnsi="Arial" w:cs="Arial"/>
          <w:sz w:val="20"/>
          <w:szCs w:val="20"/>
        </w:rPr>
        <w:t xml:space="preserve"> za </w:t>
      </w:r>
      <w:r>
        <w:rPr>
          <w:rFonts w:ascii="Arial" w:eastAsia="Times New Roman" w:hAnsi="Arial" w:cs="Arial"/>
          <w:sz w:val="20"/>
          <w:szCs w:val="20"/>
        </w:rPr>
        <w:t>nakup</w:t>
      </w:r>
      <w:r w:rsidRPr="00B36BD4">
        <w:rPr>
          <w:rFonts w:ascii="Arial" w:eastAsia="Times New Roman" w:hAnsi="Arial" w:cs="Arial"/>
          <w:sz w:val="20"/>
          <w:szCs w:val="20"/>
        </w:rPr>
        <w:t xml:space="preserve"> goriva za kmetijstvo</w:t>
      </w:r>
      <w:r w:rsidRPr="00001C43">
        <w:rPr>
          <w:rFonts w:ascii="Arial" w:eastAsia="Times New Roman" w:hAnsi="Arial" w:cs="Arial"/>
          <w:sz w:val="20"/>
          <w:szCs w:val="20"/>
        </w:rPr>
        <w:t xml:space="preserve">.  </w:t>
      </w:r>
    </w:p>
    <w:p w14:paraId="1D796486" w14:textId="77777777" w:rsidR="00DF1F24" w:rsidRPr="00803C84" w:rsidRDefault="00DF1F24" w:rsidP="00170EC7">
      <w:pPr>
        <w:pStyle w:val="Odstavek0"/>
        <w:spacing w:before="0" w:line="260" w:lineRule="atLeast"/>
        <w:rPr>
          <w:sz w:val="20"/>
          <w:szCs w:val="20"/>
        </w:rPr>
      </w:pPr>
    </w:p>
    <w:p w14:paraId="28551607" w14:textId="421DA9EE" w:rsidR="00D436B6" w:rsidRPr="00131283" w:rsidRDefault="004C256E" w:rsidP="0009358A">
      <w:pPr>
        <w:pStyle w:val="tevilnatoka"/>
        <w:numPr>
          <w:ilvl w:val="0"/>
          <w:numId w:val="0"/>
        </w:numPr>
        <w:spacing w:line="260" w:lineRule="atLeast"/>
        <w:ind w:left="425"/>
        <w:jc w:val="center"/>
        <w:rPr>
          <w:b/>
          <w:sz w:val="20"/>
          <w:szCs w:val="20"/>
        </w:rPr>
      </w:pPr>
      <w:r>
        <w:rPr>
          <w:b/>
          <w:sz w:val="20"/>
          <w:szCs w:val="20"/>
        </w:rPr>
        <w:t>6</w:t>
      </w:r>
      <w:r w:rsidR="00D436B6" w:rsidRPr="00131283">
        <w:rPr>
          <w:b/>
          <w:sz w:val="20"/>
          <w:szCs w:val="20"/>
        </w:rPr>
        <w:t>. člen</w:t>
      </w:r>
    </w:p>
    <w:p w14:paraId="3D83ED16" w14:textId="1422CE90" w:rsidR="00D436B6" w:rsidRPr="00D436B6" w:rsidRDefault="00D436B6" w:rsidP="0009358A">
      <w:pPr>
        <w:pStyle w:val="tevilnatoka"/>
        <w:numPr>
          <w:ilvl w:val="0"/>
          <w:numId w:val="0"/>
        </w:numPr>
        <w:spacing w:line="260" w:lineRule="atLeast"/>
        <w:ind w:left="425"/>
        <w:jc w:val="center"/>
        <w:rPr>
          <w:b/>
          <w:sz w:val="20"/>
          <w:szCs w:val="20"/>
        </w:rPr>
      </w:pPr>
      <w:r>
        <w:rPr>
          <w:b/>
          <w:sz w:val="20"/>
          <w:szCs w:val="20"/>
        </w:rPr>
        <w:t>(</w:t>
      </w:r>
      <w:r w:rsidRPr="00D436B6">
        <w:rPr>
          <w:b/>
          <w:sz w:val="20"/>
          <w:szCs w:val="20"/>
        </w:rPr>
        <w:t>dostop do informacijskega sistema davčnega organa</w:t>
      </w:r>
      <w:r>
        <w:rPr>
          <w:b/>
          <w:sz w:val="20"/>
          <w:szCs w:val="20"/>
        </w:rPr>
        <w:t>)</w:t>
      </w:r>
    </w:p>
    <w:p w14:paraId="3E9C07CB" w14:textId="6306265D" w:rsidR="000B6BC8" w:rsidRDefault="00B73D9F" w:rsidP="00307937">
      <w:pPr>
        <w:pStyle w:val="Odstavek0"/>
        <w:spacing w:line="260" w:lineRule="atLeast"/>
        <w:rPr>
          <w:sz w:val="20"/>
          <w:szCs w:val="20"/>
        </w:rPr>
      </w:pPr>
      <w:r>
        <w:rPr>
          <w:sz w:val="20"/>
          <w:szCs w:val="20"/>
        </w:rPr>
        <w:t>(1)</w:t>
      </w:r>
      <w:r w:rsidR="000B6BC8">
        <w:rPr>
          <w:sz w:val="20"/>
          <w:szCs w:val="20"/>
        </w:rPr>
        <w:t xml:space="preserve"> </w:t>
      </w:r>
      <w:r w:rsidR="00E172A2">
        <w:rPr>
          <w:sz w:val="20"/>
          <w:szCs w:val="20"/>
        </w:rPr>
        <w:t>T</w:t>
      </w:r>
      <w:r w:rsidR="000B6BC8">
        <w:rPr>
          <w:sz w:val="20"/>
          <w:szCs w:val="20"/>
        </w:rPr>
        <w:t>rgov</w:t>
      </w:r>
      <w:r w:rsidR="0000147B">
        <w:rPr>
          <w:sz w:val="20"/>
          <w:szCs w:val="20"/>
        </w:rPr>
        <w:t>e</w:t>
      </w:r>
      <w:r w:rsidR="000B6BC8">
        <w:rPr>
          <w:sz w:val="20"/>
          <w:szCs w:val="20"/>
        </w:rPr>
        <w:t>c, ki prodaja gorivo za kmetijstvo</w:t>
      </w:r>
      <w:r w:rsidR="00E94E88">
        <w:rPr>
          <w:sz w:val="20"/>
          <w:szCs w:val="20"/>
        </w:rPr>
        <w:t xml:space="preserve"> si za potrebe ugota</w:t>
      </w:r>
      <w:r w:rsidR="0000147B">
        <w:rPr>
          <w:sz w:val="20"/>
          <w:szCs w:val="20"/>
        </w:rPr>
        <w:t>v</w:t>
      </w:r>
      <w:r w:rsidR="00E94E88">
        <w:rPr>
          <w:sz w:val="20"/>
          <w:szCs w:val="20"/>
        </w:rPr>
        <w:t>ljanja upravičenosti do nakupa</w:t>
      </w:r>
      <w:r w:rsidR="0000147B">
        <w:rPr>
          <w:sz w:val="20"/>
          <w:szCs w:val="20"/>
        </w:rPr>
        <w:t xml:space="preserve"> g</w:t>
      </w:r>
      <w:r w:rsidR="00E94E88">
        <w:rPr>
          <w:sz w:val="20"/>
          <w:szCs w:val="20"/>
        </w:rPr>
        <w:t>oriva za kmetijstvo  zagotovi</w:t>
      </w:r>
      <w:r w:rsidR="000B6BC8">
        <w:rPr>
          <w:sz w:val="20"/>
          <w:szCs w:val="20"/>
        </w:rPr>
        <w:t xml:space="preserve"> d</w:t>
      </w:r>
      <w:r w:rsidR="00307937">
        <w:rPr>
          <w:sz w:val="20"/>
          <w:szCs w:val="20"/>
        </w:rPr>
        <w:t>ostop do informacijskega sistema davčnega organa</w:t>
      </w:r>
      <w:r w:rsidR="003B0DE7">
        <w:rPr>
          <w:sz w:val="20"/>
          <w:szCs w:val="20"/>
        </w:rPr>
        <w:t xml:space="preserve">, </w:t>
      </w:r>
      <w:r w:rsidR="0000147B">
        <w:rPr>
          <w:sz w:val="20"/>
          <w:szCs w:val="20"/>
        </w:rPr>
        <w:t>v sk</w:t>
      </w:r>
      <w:r w:rsidR="00E94E88">
        <w:rPr>
          <w:sz w:val="20"/>
          <w:szCs w:val="20"/>
        </w:rPr>
        <w:t>l</w:t>
      </w:r>
      <w:r w:rsidR="0000147B">
        <w:rPr>
          <w:sz w:val="20"/>
          <w:szCs w:val="20"/>
        </w:rPr>
        <w:t>a</w:t>
      </w:r>
      <w:r w:rsidR="00E94E88">
        <w:rPr>
          <w:sz w:val="20"/>
          <w:szCs w:val="20"/>
        </w:rPr>
        <w:t>du s postopkom, ki je</w:t>
      </w:r>
      <w:r w:rsidR="00307937">
        <w:rPr>
          <w:sz w:val="20"/>
          <w:szCs w:val="20"/>
        </w:rPr>
        <w:t xml:space="preserve"> </w:t>
      </w:r>
      <w:r w:rsidR="000B6BC8" w:rsidRPr="00426189">
        <w:rPr>
          <w:sz w:val="20"/>
          <w:szCs w:val="20"/>
        </w:rPr>
        <w:t>objavljen na spletnih straneh davčnega organa</w:t>
      </w:r>
      <w:r w:rsidR="000B6BC8">
        <w:rPr>
          <w:sz w:val="20"/>
          <w:szCs w:val="20"/>
        </w:rPr>
        <w:t xml:space="preserve">.  </w:t>
      </w:r>
    </w:p>
    <w:p w14:paraId="7D56F364" w14:textId="473C82CD" w:rsidR="00827720" w:rsidRDefault="00827720" w:rsidP="00827720">
      <w:pPr>
        <w:pStyle w:val="Odstavek0"/>
        <w:spacing w:line="260" w:lineRule="atLeast"/>
        <w:rPr>
          <w:sz w:val="20"/>
          <w:szCs w:val="20"/>
        </w:rPr>
      </w:pPr>
      <w:r>
        <w:rPr>
          <w:sz w:val="20"/>
          <w:szCs w:val="20"/>
        </w:rPr>
        <w:t>(</w:t>
      </w:r>
      <w:r w:rsidR="00B521C2">
        <w:rPr>
          <w:sz w:val="20"/>
          <w:szCs w:val="20"/>
        </w:rPr>
        <w:t>2</w:t>
      </w:r>
      <w:r>
        <w:rPr>
          <w:sz w:val="20"/>
          <w:szCs w:val="20"/>
        </w:rPr>
        <w:t>) Če dostop do informacijskega sistema davčnega organa</w:t>
      </w:r>
      <w:r w:rsidR="006D2EBB">
        <w:rPr>
          <w:sz w:val="20"/>
          <w:szCs w:val="20"/>
        </w:rPr>
        <w:t xml:space="preserve"> </w:t>
      </w:r>
      <w:r>
        <w:rPr>
          <w:sz w:val="20"/>
          <w:szCs w:val="20"/>
        </w:rPr>
        <w:t>ni na voljo</w:t>
      </w:r>
      <w:r w:rsidR="00BB23A1">
        <w:rPr>
          <w:sz w:val="20"/>
          <w:szCs w:val="20"/>
        </w:rPr>
        <w:t>,</w:t>
      </w:r>
      <w:r w:rsidR="002B11B1">
        <w:rPr>
          <w:sz w:val="20"/>
          <w:szCs w:val="20"/>
        </w:rPr>
        <w:t xml:space="preserve"> </w:t>
      </w:r>
      <w:r>
        <w:rPr>
          <w:sz w:val="20"/>
          <w:szCs w:val="20"/>
        </w:rPr>
        <w:t>trgovec</w:t>
      </w:r>
      <w:r w:rsidR="00925A66">
        <w:rPr>
          <w:sz w:val="20"/>
          <w:szCs w:val="20"/>
        </w:rPr>
        <w:t xml:space="preserve">, ki prodaja </w:t>
      </w:r>
      <w:r>
        <w:rPr>
          <w:sz w:val="20"/>
          <w:szCs w:val="20"/>
        </w:rPr>
        <w:t>goriv</w:t>
      </w:r>
      <w:r w:rsidR="00925A66">
        <w:rPr>
          <w:sz w:val="20"/>
          <w:szCs w:val="20"/>
        </w:rPr>
        <w:t>o</w:t>
      </w:r>
      <w:r>
        <w:rPr>
          <w:sz w:val="20"/>
          <w:szCs w:val="20"/>
        </w:rPr>
        <w:t xml:space="preserve"> za</w:t>
      </w:r>
      <w:r w:rsidR="00BB23A1">
        <w:rPr>
          <w:sz w:val="20"/>
          <w:szCs w:val="20"/>
        </w:rPr>
        <w:t xml:space="preserve"> kmetijstvo</w:t>
      </w:r>
      <w:r>
        <w:rPr>
          <w:sz w:val="20"/>
          <w:szCs w:val="20"/>
        </w:rPr>
        <w:t xml:space="preserve"> </w:t>
      </w:r>
      <w:r w:rsidR="00925A66">
        <w:rPr>
          <w:sz w:val="20"/>
          <w:szCs w:val="20"/>
        </w:rPr>
        <w:t>preveri</w:t>
      </w:r>
      <w:r>
        <w:rPr>
          <w:sz w:val="20"/>
          <w:szCs w:val="20"/>
        </w:rPr>
        <w:t xml:space="preserve"> obstoj enolične identifikacijske oznake </w:t>
      </w:r>
      <w:r w:rsidR="00677364">
        <w:rPr>
          <w:sz w:val="20"/>
          <w:szCs w:val="20"/>
        </w:rPr>
        <w:t xml:space="preserve">kupca goriva za kmetijstvo </w:t>
      </w:r>
      <w:r>
        <w:rPr>
          <w:sz w:val="20"/>
          <w:szCs w:val="20"/>
        </w:rPr>
        <w:t>pri davčnem organu. D</w:t>
      </w:r>
      <w:r w:rsidRPr="00827720">
        <w:rPr>
          <w:sz w:val="20"/>
          <w:szCs w:val="20"/>
        </w:rPr>
        <w:t>avčni organ informacijo o nedelovanju informacijskega sistema objavi na svoji spletni strani.</w:t>
      </w:r>
      <w:r>
        <w:rPr>
          <w:sz w:val="20"/>
          <w:szCs w:val="20"/>
        </w:rPr>
        <w:t xml:space="preserve">   </w:t>
      </w:r>
    </w:p>
    <w:p w14:paraId="76657168" w14:textId="77777777" w:rsidR="00AC5A93" w:rsidRDefault="00AC5A93" w:rsidP="00925A66">
      <w:pPr>
        <w:pStyle w:val="tevilnatoka"/>
        <w:numPr>
          <w:ilvl w:val="0"/>
          <w:numId w:val="0"/>
        </w:numPr>
        <w:spacing w:line="260" w:lineRule="atLeast"/>
        <w:ind w:left="425"/>
        <w:jc w:val="center"/>
        <w:rPr>
          <w:b/>
          <w:sz w:val="20"/>
          <w:szCs w:val="20"/>
        </w:rPr>
      </w:pPr>
    </w:p>
    <w:p w14:paraId="5C9AF625" w14:textId="564D8147" w:rsidR="00925A66" w:rsidRPr="00131283" w:rsidRDefault="00925A66" w:rsidP="00925A66">
      <w:pPr>
        <w:pStyle w:val="tevilnatoka"/>
        <w:numPr>
          <w:ilvl w:val="0"/>
          <w:numId w:val="0"/>
        </w:numPr>
        <w:spacing w:line="260" w:lineRule="atLeast"/>
        <w:ind w:left="425"/>
        <w:jc w:val="center"/>
        <w:rPr>
          <w:b/>
          <w:sz w:val="20"/>
          <w:szCs w:val="20"/>
        </w:rPr>
      </w:pPr>
      <w:r>
        <w:rPr>
          <w:b/>
          <w:sz w:val="20"/>
          <w:szCs w:val="20"/>
        </w:rPr>
        <w:t>7</w:t>
      </w:r>
      <w:r w:rsidRPr="00131283">
        <w:rPr>
          <w:b/>
          <w:sz w:val="20"/>
          <w:szCs w:val="20"/>
        </w:rPr>
        <w:t>. člen</w:t>
      </w:r>
    </w:p>
    <w:p w14:paraId="3FE1C993" w14:textId="5757502E" w:rsidR="00925A66" w:rsidRPr="00D436B6" w:rsidRDefault="00925A66" w:rsidP="00925A66">
      <w:pPr>
        <w:pStyle w:val="tevilnatoka"/>
        <w:numPr>
          <w:ilvl w:val="0"/>
          <w:numId w:val="0"/>
        </w:numPr>
        <w:spacing w:line="260" w:lineRule="atLeast"/>
        <w:ind w:left="425"/>
        <w:jc w:val="center"/>
        <w:rPr>
          <w:b/>
          <w:sz w:val="20"/>
          <w:szCs w:val="20"/>
        </w:rPr>
      </w:pPr>
      <w:r>
        <w:rPr>
          <w:b/>
          <w:sz w:val="20"/>
          <w:szCs w:val="20"/>
        </w:rPr>
        <w:t>(poročanje o količini prodanega goriva za kmetijstvo)</w:t>
      </w:r>
    </w:p>
    <w:p w14:paraId="2AEEB1D2" w14:textId="78FD24B2" w:rsidR="00FC67BD" w:rsidRPr="00D81CE1" w:rsidRDefault="00925A66" w:rsidP="0009358A">
      <w:pPr>
        <w:pStyle w:val="Odstavek0"/>
        <w:spacing w:line="260" w:lineRule="atLeast"/>
        <w:rPr>
          <w:sz w:val="20"/>
          <w:szCs w:val="20"/>
        </w:rPr>
      </w:pPr>
      <w:r>
        <w:rPr>
          <w:sz w:val="20"/>
          <w:szCs w:val="20"/>
        </w:rPr>
        <w:t xml:space="preserve">Trgovec, ki prodaja gorivo za kmetijstvo predloži poročilo iz osmega odstavka 94. člena </w:t>
      </w:r>
      <w:r w:rsidR="00426189">
        <w:rPr>
          <w:sz w:val="20"/>
          <w:szCs w:val="20"/>
        </w:rPr>
        <w:t>v elektronski obliki preko informacijskega sistema davčnega organa</w:t>
      </w:r>
      <w:r w:rsidR="001410F6">
        <w:rPr>
          <w:sz w:val="20"/>
          <w:szCs w:val="20"/>
        </w:rPr>
        <w:t xml:space="preserve"> </w:t>
      </w:r>
      <w:r w:rsidRPr="00925A66">
        <w:rPr>
          <w:sz w:val="20"/>
          <w:szCs w:val="20"/>
        </w:rPr>
        <w:t xml:space="preserve">na obrazcu </w:t>
      </w:r>
      <w:r>
        <w:rPr>
          <w:sz w:val="20"/>
          <w:szCs w:val="20"/>
        </w:rPr>
        <w:t>»Poročilo o prodaji goriva za kmetijstvo«</w:t>
      </w:r>
      <w:r w:rsidRPr="00925A66">
        <w:rPr>
          <w:sz w:val="20"/>
          <w:szCs w:val="20"/>
        </w:rPr>
        <w:t>, ki je objavljen na spletni strani davčnega organa</w:t>
      </w:r>
      <w:r w:rsidR="00FC67BD">
        <w:rPr>
          <w:sz w:val="20"/>
          <w:szCs w:val="20"/>
        </w:rPr>
        <w:t xml:space="preserve"> </w:t>
      </w:r>
      <w:r>
        <w:rPr>
          <w:sz w:val="20"/>
          <w:szCs w:val="20"/>
        </w:rPr>
        <w:t>i</w:t>
      </w:r>
      <w:r w:rsidR="00A74267">
        <w:rPr>
          <w:sz w:val="20"/>
          <w:szCs w:val="20"/>
        </w:rPr>
        <w:t>n</w:t>
      </w:r>
      <w:r w:rsidR="00FC67BD">
        <w:rPr>
          <w:sz w:val="20"/>
          <w:szCs w:val="20"/>
        </w:rPr>
        <w:t xml:space="preserve"> vsebuje</w:t>
      </w:r>
      <w:r>
        <w:rPr>
          <w:sz w:val="20"/>
          <w:szCs w:val="20"/>
        </w:rPr>
        <w:t xml:space="preserve"> naslednje</w:t>
      </w:r>
      <w:r w:rsidR="00FC67BD">
        <w:rPr>
          <w:sz w:val="20"/>
          <w:szCs w:val="20"/>
        </w:rPr>
        <w:t xml:space="preserve">: identifikacijske </w:t>
      </w:r>
      <w:r w:rsidR="00FC67BD">
        <w:rPr>
          <w:sz w:val="20"/>
          <w:szCs w:val="20"/>
        </w:rPr>
        <w:lastRenderedPageBreak/>
        <w:t xml:space="preserve">podatke </w:t>
      </w:r>
      <w:r>
        <w:rPr>
          <w:sz w:val="20"/>
          <w:szCs w:val="20"/>
        </w:rPr>
        <w:t>trgovca, ki prodaja gorivo za kmetijstvo</w:t>
      </w:r>
      <w:r w:rsidR="00FC67BD">
        <w:rPr>
          <w:sz w:val="20"/>
          <w:szCs w:val="20"/>
        </w:rPr>
        <w:t xml:space="preserve">, obdobje </w:t>
      </w:r>
      <w:r>
        <w:rPr>
          <w:sz w:val="20"/>
          <w:szCs w:val="20"/>
        </w:rPr>
        <w:t xml:space="preserve">poročanja in </w:t>
      </w:r>
      <w:r w:rsidR="00FC67BD">
        <w:rPr>
          <w:sz w:val="20"/>
          <w:szCs w:val="20"/>
        </w:rPr>
        <w:t xml:space="preserve">količino prodanega goriva za kmetijstvo.  </w:t>
      </w:r>
    </w:p>
    <w:p w14:paraId="13A1A402" w14:textId="2CBCA336" w:rsidR="00102D4D" w:rsidRDefault="00102D4D" w:rsidP="0009358A">
      <w:pPr>
        <w:pStyle w:val="tevilnatoka"/>
        <w:numPr>
          <w:ilvl w:val="0"/>
          <w:numId w:val="0"/>
        </w:numPr>
        <w:spacing w:line="260" w:lineRule="atLeast"/>
        <w:ind w:left="425"/>
        <w:jc w:val="center"/>
        <w:rPr>
          <w:b/>
          <w:bCs/>
          <w:sz w:val="20"/>
          <w:szCs w:val="20"/>
        </w:rPr>
      </w:pPr>
    </w:p>
    <w:p w14:paraId="740653F0" w14:textId="1444D2D6" w:rsidR="002E5972" w:rsidRPr="008E3438" w:rsidRDefault="00925A66" w:rsidP="0009358A">
      <w:pPr>
        <w:pStyle w:val="tevilnatoka"/>
        <w:numPr>
          <w:ilvl w:val="0"/>
          <w:numId w:val="0"/>
        </w:numPr>
        <w:spacing w:line="260" w:lineRule="atLeast"/>
        <w:ind w:left="425"/>
        <w:jc w:val="center"/>
        <w:rPr>
          <w:b/>
          <w:bCs/>
          <w:sz w:val="20"/>
          <w:szCs w:val="20"/>
        </w:rPr>
      </w:pPr>
      <w:r>
        <w:rPr>
          <w:b/>
          <w:bCs/>
          <w:sz w:val="20"/>
          <w:szCs w:val="20"/>
        </w:rPr>
        <w:t>8</w:t>
      </w:r>
      <w:r w:rsidR="002E5972" w:rsidRPr="008E3438">
        <w:rPr>
          <w:b/>
          <w:bCs/>
          <w:sz w:val="20"/>
          <w:szCs w:val="20"/>
        </w:rPr>
        <w:t>. člen</w:t>
      </w:r>
    </w:p>
    <w:p w14:paraId="31CF0FB4" w14:textId="77777777" w:rsidR="002E5972" w:rsidRPr="008E3438" w:rsidRDefault="002E5972" w:rsidP="0009358A">
      <w:pPr>
        <w:pStyle w:val="tevilnatoka"/>
        <w:numPr>
          <w:ilvl w:val="0"/>
          <w:numId w:val="0"/>
        </w:numPr>
        <w:spacing w:line="260" w:lineRule="atLeast"/>
        <w:ind w:left="425"/>
        <w:jc w:val="center"/>
        <w:rPr>
          <w:b/>
          <w:bCs/>
          <w:sz w:val="20"/>
          <w:szCs w:val="20"/>
        </w:rPr>
      </w:pPr>
      <w:r w:rsidRPr="008E3438">
        <w:rPr>
          <w:b/>
          <w:bCs/>
          <w:sz w:val="20"/>
          <w:szCs w:val="20"/>
        </w:rPr>
        <w:t>(poraba goriva za vozila z vgrajenimi napravami)</w:t>
      </w:r>
    </w:p>
    <w:p w14:paraId="6F9A4D6C" w14:textId="77777777" w:rsidR="002E5972" w:rsidRPr="00131283" w:rsidRDefault="002E5972" w:rsidP="0009358A">
      <w:pPr>
        <w:pStyle w:val="lennaslov0"/>
        <w:spacing w:line="260" w:lineRule="atLeast"/>
        <w:rPr>
          <w:sz w:val="20"/>
          <w:szCs w:val="20"/>
        </w:rPr>
      </w:pPr>
    </w:p>
    <w:p w14:paraId="38BE22C4" w14:textId="718A6F35" w:rsidR="002533A5" w:rsidRDefault="002E5972" w:rsidP="0009358A">
      <w:pPr>
        <w:pStyle w:val="Odstavek0"/>
        <w:spacing w:before="0" w:line="260" w:lineRule="atLeast"/>
        <w:rPr>
          <w:sz w:val="20"/>
          <w:szCs w:val="20"/>
        </w:rPr>
      </w:pPr>
      <w:r w:rsidRPr="00131283">
        <w:rPr>
          <w:sz w:val="20"/>
          <w:szCs w:val="20"/>
        </w:rPr>
        <w:t xml:space="preserve">Za vozila z vgrajenimi napravami, ki izpolnjujejo pogoje za nakup </w:t>
      </w:r>
      <w:r>
        <w:rPr>
          <w:sz w:val="20"/>
          <w:szCs w:val="20"/>
        </w:rPr>
        <w:t>goriva</w:t>
      </w:r>
      <w:r w:rsidR="00C605D2">
        <w:rPr>
          <w:sz w:val="20"/>
          <w:szCs w:val="20"/>
        </w:rPr>
        <w:t xml:space="preserve"> za kmetijstvo</w:t>
      </w:r>
      <w:r>
        <w:rPr>
          <w:sz w:val="20"/>
          <w:szCs w:val="20"/>
        </w:rPr>
        <w:t xml:space="preserve"> </w:t>
      </w:r>
      <w:r w:rsidRPr="00131283">
        <w:rPr>
          <w:sz w:val="20"/>
          <w:szCs w:val="20"/>
        </w:rPr>
        <w:t>v skladu s 94.</w:t>
      </w:r>
      <w:r w:rsidR="00C605D2">
        <w:rPr>
          <w:sz w:val="20"/>
          <w:szCs w:val="20"/>
        </w:rPr>
        <w:t xml:space="preserve"> členom zakona</w:t>
      </w:r>
      <w:r w:rsidRPr="00131283">
        <w:rPr>
          <w:sz w:val="20"/>
          <w:szCs w:val="20"/>
        </w:rPr>
        <w:t xml:space="preserve"> in </w:t>
      </w:r>
      <w:r w:rsidR="00C605D2" w:rsidRPr="00131283">
        <w:rPr>
          <w:sz w:val="20"/>
          <w:szCs w:val="20"/>
        </w:rPr>
        <w:t xml:space="preserve">izpolnjujejo pogoje za </w:t>
      </w:r>
      <w:r w:rsidR="0053076F" w:rsidRPr="00131283">
        <w:rPr>
          <w:sz w:val="20"/>
          <w:szCs w:val="20"/>
        </w:rPr>
        <w:t xml:space="preserve">vračilo trošarine </w:t>
      </w:r>
      <w:r w:rsidR="00C605D2">
        <w:rPr>
          <w:sz w:val="20"/>
          <w:szCs w:val="20"/>
        </w:rPr>
        <w:t xml:space="preserve">v skladu s </w:t>
      </w:r>
      <w:r w:rsidRPr="00131283">
        <w:rPr>
          <w:sz w:val="20"/>
          <w:szCs w:val="20"/>
        </w:rPr>
        <w:t>95. členom zakona</w:t>
      </w:r>
      <w:r w:rsidR="001F0CBB">
        <w:rPr>
          <w:sz w:val="20"/>
          <w:szCs w:val="20"/>
        </w:rPr>
        <w:t>, in</w:t>
      </w:r>
      <w:r w:rsidR="001F0CBB" w:rsidRPr="001F0CBB">
        <w:rPr>
          <w:sz w:val="20"/>
          <w:szCs w:val="20"/>
        </w:rPr>
        <w:t xml:space="preserve"> rezervoarja za pogon motorja in pogon kmetijske ali gozdarske mehanizacije </w:t>
      </w:r>
      <w:r w:rsidR="001F0CBB">
        <w:rPr>
          <w:sz w:val="20"/>
          <w:szCs w:val="20"/>
        </w:rPr>
        <w:t xml:space="preserve">nista </w:t>
      </w:r>
      <w:r w:rsidR="001F0CBB" w:rsidRPr="001F0CBB">
        <w:rPr>
          <w:sz w:val="20"/>
          <w:szCs w:val="20"/>
        </w:rPr>
        <w:t>ločena</w:t>
      </w:r>
      <w:r w:rsidRPr="00131283">
        <w:rPr>
          <w:sz w:val="20"/>
          <w:szCs w:val="20"/>
        </w:rPr>
        <w:t>,</w:t>
      </w:r>
      <w:r w:rsidR="001F0CBB">
        <w:rPr>
          <w:sz w:val="20"/>
          <w:szCs w:val="20"/>
        </w:rPr>
        <w:t xml:space="preserve"> </w:t>
      </w:r>
      <w:r w:rsidRPr="00131283">
        <w:rPr>
          <w:sz w:val="20"/>
          <w:szCs w:val="20"/>
        </w:rPr>
        <w:t>se za celotno količino porabljenega goriva uveljavlja vračilo trošarine v skladu s 95. členom zakona.</w:t>
      </w:r>
      <w:r w:rsidR="009A7CC0">
        <w:rPr>
          <w:sz w:val="20"/>
          <w:szCs w:val="20"/>
        </w:rPr>
        <w:t xml:space="preserve"> </w:t>
      </w:r>
    </w:p>
    <w:p w14:paraId="135F1841" w14:textId="3AF8BF20" w:rsidR="00122E5C" w:rsidRDefault="00122E5C" w:rsidP="0009358A">
      <w:pPr>
        <w:pStyle w:val="Odstavek0"/>
        <w:spacing w:before="0" w:line="260" w:lineRule="atLeast"/>
        <w:rPr>
          <w:sz w:val="20"/>
          <w:szCs w:val="20"/>
        </w:rPr>
      </w:pPr>
    </w:p>
    <w:p w14:paraId="73C8FE1F" w14:textId="77777777" w:rsidR="001F0CBB" w:rsidRPr="00131283" w:rsidRDefault="001F0CBB" w:rsidP="0009358A">
      <w:pPr>
        <w:pStyle w:val="Odstavek0"/>
        <w:spacing w:before="0" w:line="260" w:lineRule="atLeast"/>
        <w:rPr>
          <w:sz w:val="20"/>
          <w:szCs w:val="20"/>
        </w:rPr>
      </w:pPr>
    </w:p>
    <w:p w14:paraId="433BF5DA" w14:textId="6A2220ED" w:rsidR="002E5972" w:rsidRDefault="002E5972" w:rsidP="0009358A">
      <w:pPr>
        <w:pStyle w:val="len0"/>
        <w:spacing w:before="0" w:line="260" w:lineRule="atLeast"/>
        <w:rPr>
          <w:b w:val="0"/>
          <w:bCs/>
          <w:sz w:val="20"/>
          <w:szCs w:val="20"/>
        </w:rPr>
      </w:pPr>
      <w:r w:rsidRPr="00131283">
        <w:rPr>
          <w:b w:val="0"/>
          <w:bCs/>
          <w:sz w:val="20"/>
          <w:szCs w:val="20"/>
        </w:rPr>
        <w:t>KONČNA DOLOČBA</w:t>
      </w:r>
    </w:p>
    <w:p w14:paraId="2B07B286" w14:textId="615896A5" w:rsidR="00654282" w:rsidRDefault="00654282" w:rsidP="0009358A">
      <w:pPr>
        <w:pStyle w:val="len0"/>
        <w:spacing w:before="0" w:line="260" w:lineRule="atLeast"/>
        <w:rPr>
          <w:b w:val="0"/>
          <w:bCs/>
          <w:sz w:val="20"/>
          <w:szCs w:val="20"/>
        </w:rPr>
      </w:pPr>
    </w:p>
    <w:p w14:paraId="6E5385F5" w14:textId="77777777" w:rsidR="002E5972" w:rsidRPr="00131283" w:rsidRDefault="002E5972" w:rsidP="0009358A">
      <w:pPr>
        <w:pStyle w:val="len0"/>
        <w:spacing w:before="0" w:line="260" w:lineRule="atLeast"/>
        <w:rPr>
          <w:b w:val="0"/>
          <w:bCs/>
          <w:sz w:val="20"/>
          <w:szCs w:val="20"/>
        </w:rPr>
      </w:pPr>
    </w:p>
    <w:p w14:paraId="1546F913" w14:textId="1554F2BD" w:rsidR="002E5972" w:rsidRPr="008E3438" w:rsidRDefault="00602EC9" w:rsidP="0009358A">
      <w:pPr>
        <w:pStyle w:val="tevilnatoka"/>
        <w:numPr>
          <w:ilvl w:val="0"/>
          <w:numId w:val="0"/>
        </w:numPr>
        <w:spacing w:line="260" w:lineRule="atLeast"/>
        <w:ind w:left="425"/>
        <w:jc w:val="center"/>
        <w:rPr>
          <w:b/>
          <w:sz w:val="20"/>
          <w:szCs w:val="20"/>
        </w:rPr>
      </w:pPr>
      <w:r>
        <w:rPr>
          <w:b/>
          <w:sz w:val="20"/>
          <w:szCs w:val="20"/>
        </w:rPr>
        <w:t>9</w:t>
      </w:r>
      <w:r w:rsidR="002E5972" w:rsidRPr="008E3438">
        <w:rPr>
          <w:b/>
          <w:sz w:val="20"/>
          <w:szCs w:val="20"/>
        </w:rPr>
        <w:t>. člen</w:t>
      </w:r>
    </w:p>
    <w:p w14:paraId="5ECE051F" w14:textId="77360452" w:rsidR="002E5972" w:rsidRPr="008E3438" w:rsidRDefault="002E5972" w:rsidP="0009358A">
      <w:pPr>
        <w:pStyle w:val="tevilnatoka"/>
        <w:numPr>
          <w:ilvl w:val="0"/>
          <w:numId w:val="0"/>
        </w:numPr>
        <w:spacing w:line="260" w:lineRule="atLeast"/>
        <w:ind w:left="425"/>
        <w:jc w:val="center"/>
        <w:rPr>
          <w:b/>
          <w:sz w:val="20"/>
          <w:szCs w:val="20"/>
        </w:rPr>
      </w:pPr>
      <w:r w:rsidRPr="008E3438">
        <w:rPr>
          <w:b/>
          <w:sz w:val="20"/>
          <w:szCs w:val="20"/>
        </w:rPr>
        <w:t xml:space="preserve">(začetek </w:t>
      </w:r>
      <w:r w:rsidR="001D775F">
        <w:rPr>
          <w:b/>
          <w:sz w:val="20"/>
          <w:szCs w:val="20"/>
        </w:rPr>
        <w:t>veljavnosti</w:t>
      </w:r>
      <w:r w:rsidRPr="008E3438">
        <w:rPr>
          <w:b/>
          <w:sz w:val="20"/>
          <w:szCs w:val="20"/>
        </w:rPr>
        <w:t>)</w:t>
      </w:r>
    </w:p>
    <w:p w14:paraId="20A77172" w14:textId="77777777" w:rsidR="002E5972" w:rsidRPr="00131283" w:rsidRDefault="002E5972" w:rsidP="0009358A">
      <w:pPr>
        <w:pStyle w:val="lennaslov0"/>
        <w:spacing w:line="260" w:lineRule="atLeast"/>
        <w:rPr>
          <w:sz w:val="20"/>
          <w:szCs w:val="20"/>
        </w:rPr>
      </w:pPr>
    </w:p>
    <w:p w14:paraId="52B7ED91" w14:textId="3A0E5DB4" w:rsidR="002E5972" w:rsidRPr="00131283" w:rsidRDefault="002E5972" w:rsidP="0009358A">
      <w:pPr>
        <w:pStyle w:val="Odstavek0"/>
        <w:spacing w:before="0" w:line="260" w:lineRule="atLeast"/>
        <w:rPr>
          <w:sz w:val="20"/>
          <w:szCs w:val="20"/>
        </w:rPr>
      </w:pPr>
      <w:r w:rsidRPr="00131283">
        <w:rPr>
          <w:sz w:val="20"/>
          <w:szCs w:val="20"/>
        </w:rPr>
        <w:t xml:space="preserve">Ta pravilnik začne veljati </w:t>
      </w:r>
      <w:r w:rsidR="009824D7">
        <w:rPr>
          <w:sz w:val="20"/>
          <w:szCs w:val="20"/>
        </w:rPr>
        <w:t xml:space="preserve">naslednji </w:t>
      </w:r>
      <w:r w:rsidRPr="00131283">
        <w:rPr>
          <w:sz w:val="20"/>
          <w:szCs w:val="20"/>
        </w:rPr>
        <w:t>dan po objavi v Uradnem listu Republike Slovenije.</w:t>
      </w:r>
    </w:p>
    <w:p w14:paraId="5C85624F" w14:textId="77777777" w:rsidR="002E5972" w:rsidRDefault="002E5972" w:rsidP="0009358A">
      <w:pPr>
        <w:pStyle w:val="Podpisnik"/>
        <w:widowControl w:val="0"/>
        <w:spacing w:line="260" w:lineRule="atLeast"/>
        <w:rPr>
          <w:sz w:val="20"/>
          <w:szCs w:val="20"/>
        </w:rPr>
      </w:pPr>
    </w:p>
    <w:p w14:paraId="0419696A" w14:textId="77777777" w:rsidR="002E5972" w:rsidRDefault="002E5972" w:rsidP="0009358A">
      <w:pPr>
        <w:pStyle w:val="Podpisnik"/>
        <w:widowControl w:val="0"/>
        <w:spacing w:line="260" w:lineRule="atLeast"/>
        <w:rPr>
          <w:sz w:val="20"/>
          <w:szCs w:val="20"/>
        </w:rPr>
      </w:pPr>
      <w:r>
        <w:rPr>
          <w:sz w:val="20"/>
          <w:szCs w:val="20"/>
        </w:rPr>
        <w:t xml:space="preserve">                  </w:t>
      </w:r>
    </w:p>
    <w:p w14:paraId="5CA2C69A" w14:textId="6BA9E6DF" w:rsidR="008E2744" w:rsidRPr="00131283" w:rsidRDefault="008E2744" w:rsidP="0009358A">
      <w:pPr>
        <w:spacing w:line="260" w:lineRule="atLeast"/>
        <w:jc w:val="center"/>
        <w:rPr>
          <w:sz w:val="20"/>
          <w:szCs w:val="20"/>
        </w:rPr>
      </w:pPr>
    </w:p>
    <w:p w14:paraId="04807A84" w14:textId="7134BF33" w:rsidR="007A121F" w:rsidRPr="00131283" w:rsidRDefault="007A121F" w:rsidP="0009358A">
      <w:pPr>
        <w:pStyle w:val="Odstavek0"/>
        <w:widowControl w:val="0"/>
        <w:spacing w:before="0" w:line="260" w:lineRule="atLeast"/>
        <w:ind w:firstLine="0"/>
        <w:jc w:val="left"/>
        <w:rPr>
          <w:sz w:val="20"/>
          <w:szCs w:val="20"/>
        </w:rPr>
      </w:pPr>
      <w:r w:rsidRPr="00131283">
        <w:rPr>
          <w:sz w:val="20"/>
          <w:szCs w:val="20"/>
        </w:rPr>
        <w:t>Št. 007-</w:t>
      </w:r>
      <w:r w:rsidR="00CD401D">
        <w:rPr>
          <w:sz w:val="20"/>
          <w:szCs w:val="20"/>
        </w:rPr>
        <w:t>1014</w:t>
      </w:r>
      <w:r w:rsidRPr="00131283">
        <w:rPr>
          <w:sz w:val="20"/>
          <w:szCs w:val="20"/>
        </w:rPr>
        <w:t>/2022/</w:t>
      </w:r>
    </w:p>
    <w:p w14:paraId="4FE8C38A" w14:textId="265EA297" w:rsidR="007A121F" w:rsidRPr="00131283" w:rsidRDefault="007A121F" w:rsidP="0009358A">
      <w:pPr>
        <w:pStyle w:val="Odstavek0"/>
        <w:widowControl w:val="0"/>
        <w:spacing w:before="0" w:line="260" w:lineRule="atLeast"/>
        <w:ind w:firstLine="0"/>
        <w:jc w:val="left"/>
        <w:rPr>
          <w:sz w:val="20"/>
          <w:szCs w:val="20"/>
        </w:rPr>
      </w:pPr>
      <w:r w:rsidRPr="00131283">
        <w:rPr>
          <w:sz w:val="20"/>
          <w:szCs w:val="20"/>
        </w:rPr>
        <w:t>Ljubljana,</w:t>
      </w:r>
      <w:r w:rsidR="002553FD">
        <w:rPr>
          <w:sz w:val="20"/>
          <w:szCs w:val="20"/>
        </w:rPr>
        <w:t xml:space="preserve"> </w:t>
      </w:r>
      <w:r w:rsidR="00CD401D">
        <w:rPr>
          <w:sz w:val="20"/>
          <w:szCs w:val="20"/>
        </w:rPr>
        <w:t>14</w:t>
      </w:r>
      <w:r w:rsidRPr="00131283">
        <w:rPr>
          <w:sz w:val="20"/>
          <w:szCs w:val="20"/>
        </w:rPr>
        <w:t>.</w:t>
      </w:r>
      <w:r w:rsidR="008A4166" w:rsidRPr="00131283">
        <w:rPr>
          <w:sz w:val="20"/>
          <w:szCs w:val="20"/>
        </w:rPr>
        <w:t xml:space="preserve"> </w:t>
      </w:r>
      <w:r w:rsidR="002553FD">
        <w:rPr>
          <w:sz w:val="20"/>
          <w:szCs w:val="20"/>
        </w:rPr>
        <w:t xml:space="preserve">novembra </w:t>
      </w:r>
      <w:r w:rsidRPr="00131283">
        <w:rPr>
          <w:sz w:val="20"/>
          <w:szCs w:val="20"/>
        </w:rPr>
        <w:t>2022</w:t>
      </w:r>
    </w:p>
    <w:p w14:paraId="2FA257B5" w14:textId="56064DC4" w:rsidR="007A121F" w:rsidRPr="00131283" w:rsidRDefault="007A121F" w:rsidP="0009358A">
      <w:pPr>
        <w:pStyle w:val="Odstavek0"/>
        <w:widowControl w:val="0"/>
        <w:spacing w:before="0" w:line="260" w:lineRule="atLeast"/>
        <w:ind w:firstLine="0"/>
        <w:jc w:val="left"/>
        <w:rPr>
          <w:sz w:val="20"/>
          <w:szCs w:val="20"/>
        </w:rPr>
      </w:pPr>
      <w:r w:rsidRPr="00131283">
        <w:rPr>
          <w:sz w:val="20"/>
          <w:szCs w:val="20"/>
        </w:rPr>
        <w:t>EVA 2022-1611-0</w:t>
      </w:r>
      <w:r w:rsidR="00CD401D">
        <w:rPr>
          <w:sz w:val="20"/>
          <w:szCs w:val="20"/>
        </w:rPr>
        <w:t>131</w:t>
      </w:r>
    </w:p>
    <w:p w14:paraId="020B74AD" w14:textId="64D49E23" w:rsidR="007A121F" w:rsidRPr="00131283" w:rsidRDefault="002A5FB9" w:rsidP="0009358A">
      <w:pPr>
        <w:pStyle w:val="Podpisnik"/>
        <w:widowControl w:val="0"/>
        <w:spacing w:line="260" w:lineRule="atLeast"/>
        <w:rPr>
          <w:sz w:val="20"/>
          <w:szCs w:val="20"/>
        </w:rPr>
      </w:pPr>
      <w:r w:rsidRPr="00131283">
        <w:rPr>
          <w:sz w:val="20"/>
          <w:szCs w:val="20"/>
        </w:rPr>
        <w:t>Klemen Boštjančič</w:t>
      </w:r>
    </w:p>
    <w:p w14:paraId="0C87D3FD" w14:textId="3739A0CF" w:rsidR="007A121F" w:rsidRPr="00131283" w:rsidRDefault="007A121F" w:rsidP="0009358A">
      <w:pPr>
        <w:pStyle w:val="Podpisnik"/>
        <w:widowControl w:val="0"/>
        <w:spacing w:line="260" w:lineRule="atLeast"/>
        <w:jc w:val="left"/>
        <w:rPr>
          <w:sz w:val="20"/>
          <w:szCs w:val="20"/>
        </w:rPr>
      </w:pPr>
      <w:r w:rsidRPr="00131283">
        <w:rPr>
          <w:sz w:val="20"/>
          <w:szCs w:val="20"/>
        </w:rPr>
        <w:tab/>
        <w:t xml:space="preserve">  </w:t>
      </w:r>
      <w:r w:rsidR="00DF0DF8">
        <w:rPr>
          <w:sz w:val="20"/>
          <w:szCs w:val="20"/>
        </w:rPr>
        <w:t xml:space="preserve"> </w:t>
      </w:r>
      <w:r w:rsidRPr="00131283">
        <w:rPr>
          <w:sz w:val="20"/>
          <w:szCs w:val="20"/>
        </w:rPr>
        <w:t>minister za finance</w:t>
      </w:r>
    </w:p>
    <w:p w14:paraId="77DB5092" w14:textId="77777777" w:rsidR="008D075D" w:rsidRPr="00131283" w:rsidRDefault="008D075D" w:rsidP="0009358A">
      <w:pPr>
        <w:pStyle w:val="Podpisnik"/>
        <w:widowControl w:val="0"/>
        <w:spacing w:line="260" w:lineRule="atLeast"/>
        <w:rPr>
          <w:strike/>
          <w:sz w:val="20"/>
          <w:szCs w:val="20"/>
        </w:rPr>
      </w:pPr>
    </w:p>
    <w:p w14:paraId="700AEC8C" w14:textId="77777777" w:rsidR="008E2744" w:rsidRPr="00131283" w:rsidRDefault="008E2744" w:rsidP="0009358A">
      <w:pPr>
        <w:spacing w:line="260" w:lineRule="atLeast"/>
        <w:rPr>
          <w:sz w:val="20"/>
          <w:szCs w:val="20"/>
        </w:rPr>
      </w:pPr>
    </w:p>
    <w:sectPr w:rsidR="008E2744" w:rsidRPr="00131283" w:rsidSect="00DF0DF8">
      <w:headerReference w:type="default" r:id="rId7"/>
      <w:pgSz w:w="11906" w:h="16838"/>
      <w:pgMar w:top="1418"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91A1" w14:textId="77777777" w:rsidR="008C5B2D" w:rsidRDefault="008C5B2D" w:rsidP="00DF0DF8">
      <w:pPr>
        <w:spacing w:after="0" w:line="240" w:lineRule="auto"/>
      </w:pPr>
      <w:r>
        <w:separator/>
      </w:r>
    </w:p>
  </w:endnote>
  <w:endnote w:type="continuationSeparator" w:id="0">
    <w:p w14:paraId="77781247" w14:textId="77777777" w:rsidR="008C5B2D" w:rsidRDefault="008C5B2D" w:rsidP="00DF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CE3C" w14:textId="77777777" w:rsidR="008C5B2D" w:rsidRDefault="008C5B2D" w:rsidP="00DF0DF8">
      <w:pPr>
        <w:spacing w:after="0" w:line="240" w:lineRule="auto"/>
      </w:pPr>
      <w:r>
        <w:separator/>
      </w:r>
    </w:p>
  </w:footnote>
  <w:footnote w:type="continuationSeparator" w:id="0">
    <w:p w14:paraId="345384A2" w14:textId="77777777" w:rsidR="008C5B2D" w:rsidRDefault="008C5B2D" w:rsidP="00DF0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F08E" w14:textId="4B5612FB" w:rsidR="00DF0DF8" w:rsidRPr="00E96555" w:rsidRDefault="00E96555" w:rsidP="00DF0DF8">
    <w:pPr>
      <w:pStyle w:val="Glava"/>
      <w:jc w:val="right"/>
      <w:rPr>
        <w:b/>
        <w:bCs/>
      </w:rPr>
    </w:pPr>
    <w:r w:rsidRPr="00E96555">
      <w:rPr>
        <w:b/>
        <w:bCs/>
      </w:rPr>
      <w:t>PREDLOG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1B47"/>
    <w:multiLevelType w:val="hybridMultilevel"/>
    <w:tmpl w:val="01849434"/>
    <w:lvl w:ilvl="0" w:tplc="0C185E16">
      <w:start w:val="1"/>
      <w:numFmt w:val="decimal"/>
      <w:lvlText w:val="(%1)"/>
      <w:lvlJc w:val="left"/>
      <w:pPr>
        <w:ind w:left="1353"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 w15:restartNumberingAfterBreak="0">
    <w:nsid w:val="3D5D4AAD"/>
    <w:multiLevelType w:val="hybridMultilevel"/>
    <w:tmpl w:val="4F504110"/>
    <w:lvl w:ilvl="0" w:tplc="CDB40E5C">
      <w:start w:val="1"/>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2"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outline w:val="0"/>
        <w:shadow w:val="0"/>
        <w:emboss w:val="0"/>
        <w:imprint w:val="0"/>
        <w:vanish w:val="0"/>
        <w:webHidden w:val="0"/>
        <w:spacing w:val="-20"/>
        <w:kern w:val="0"/>
        <w:position w:val="0"/>
        <w:u w:val="none"/>
        <w:effect w:val="none"/>
        <w:vertAlign w:val="baseline"/>
        <w:em w:val="none"/>
        <w:specVanish w: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15:restartNumberingAfterBreak="0">
    <w:nsid w:val="68C40714"/>
    <w:multiLevelType w:val="hybridMultilevel"/>
    <w:tmpl w:val="F7644B02"/>
    <w:lvl w:ilvl="0" w:tplc="2CAC0E48">
      <w:start w:val="1"/>
      <w:numFmt w:val="upperRoman"/>
      <w:lvlText w:val="%1."/>
      <w:lvlJc w:val="left"/>
      <w:pPr>
        <w:ind w:left="720" w:hanging="72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4" w15:restartNumberingAfterBreak="0">
    <w:nsid w:val="7D311F8B"/>
    <w:multiLevelType w:val="hybridMultilevel"/>
    <w:tmpl w:val="9DDCA556"/>
    <w:lvl w:ilvl="0" w:tplc="0424000F">
      <w:start w:val="1"/>
      <w:numFmt w:val="decimal"/>
      <w:lvlText w:val="%1."/>
      <w:lvlJc w:val="left"/>
      <w:pPr>
        <w:tabs>
          <w:tab w:val="num" w:pos="720"/>
        </w:tabs>
        <w:ind w:left="720" w:hanging="360"/>
      </w:pPr>
    </w:lvl>
    <w:lvl w:ilvl="1" w:tplc="0424000F">
      <w:start w:val="1"/>
      <w:numFmt w:val="decimal"/>
      <w:lvlText w:val="%2."/>
      <w:lvlJc w:val="left"/>
      <w:pPr>
        <w:tabs>
          <w:tab w:val="num" w:pos="1440"/>
        </w:tabs>
        <w:ind w:left="1440" w:hanging="360"/>
      </w:pPr>
    </w:lvl>
    <w:lvl w:ilvl="2" w:tplc="16820000">
      <w:numFmt w:val="bullet"/>
      <w:lvlText w:val="-"/>
      <w:lvlJc w:val="left"/>
      <w:pPr>
        <w:ind w:left="2160" w:hanging="360"/>
      </w:pPr>
      <w:rPr>
        <w:rFonts w:ascii="Arial" w:eastAsia="Times New Roman" w:hAnsi="Arial" w:cs="Arial" w:hint="default"/>
      </w:rPr>
    </w:lvl>
    <w:lvl w:ilvl="3" w:tplc="0424000F">
      <w:start w:val="1"/>
      <w:numFmt w:val="decimal"/>
      <w:lvlText w:val="%4."/>
      <w:lvlJc w:val="left"/>
      <w:pPr>
        <w:tabs>
          <w:tab w:val="num" w:pos="2880"/>
        </w:tabs>
        <w:ind w:left="2880" w:hanging="360"/>
      </w:p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9F3"/>
    <w:rsid w:val="0000147B"/>
    <w:rsid w:val="00001C43"/>
    <w:rsid w:val="00005DBB"/>
    <w:rsid w:val="000106AC"/>
    <w:rsid w:val="0002192E"/>
    <w:rsid w:val="00027AF8"/>
    <w:rsid w:val="000308B3"/>
    <w:rsid w:val="00032F0A"/>
    <w:rsid w:val="00046AA7"/>
    <w:rsid w:val="00050D35"/>
    <w:rsid w:val="00051622"/>
    <w:rsid w:val="00052E7D"/>
    <w:rsid w:val="00053C8D"/>
    <w:rsid w:val="0005771D"/>
    <w:rsid w:val="0006367B"/>
    <w:rsid w:val="00064DA0"/>
    <w:rsid w:val="00070481"/>
    <w:rsid w:val="00077CD6"/>
    <w:rsid w:val="00090468"/>
    <w:rsid w:val="0009358A"/>
    <w:rsid w:val="0009537A"/>
    <w:rsid w:val="00096459"/>
    <w:rsid w:val="0009662B"/>
    <w:rsid w:val="000A46ED"/>
    <w:rsid w:val="000A56E5"/>
    <w:rsid w:val="000B03F8"/>
    <w:rsid w:val="000B61F1"/>
    <w:rsid w:val="000B6BC8"/>
    <w:rsid w:val="000C383E"/>
    <w:rsid w:val="000D1A3E"/>
    <w:rsid w:val="000E0260"/>
    <w:rsid w:val="000F60FD"/>
    <w:rsid w:val="00102D4D"/>
    <w:rsid w:val="00122E5C"/>
    <w:rsid w:val="00131283"/>
    <w:rsid w:val="001410F6"/>
    <w:rsid w:val="00141CA1"/>
    <w:rsid w:val="0014259F"/>
    <w:rsid w:val="0016040D"/>
    <w:rsid w:val="00164B7F"/>
    <w:rsid w:val="00165420"/>
    <w:rsid w:val="0016715C"/>
    <w:rsid w:val="00170EC7"/>
    <w:rsid w:val="00182D40"/>
    <w:rsid w:val="0018445B"/>
    <w:rsid w:val="0019133C"/>
    <w:rsid w:val="001B6F46"/>
    <w:rsid w:val="001C29A8"/>
    <w:rsid w:val="001D44B3"/>
    <w:rsid w:val="001D775F"/>
    <w:rsid w:val="001F0CBB"/>
    <w:rsid w:val="001F1433"/>
    <w:rsid w:val="00210A92"/>
    <w:rsid w:val="0022112F"/>
    <w:rsid w:val="0023732B"/>
    <w:rsid w:val="002467E1"/>
    <w:rsid w:val="002533A5"/>
    <w:rsid w:val="002553FD"/>
    <w:rsid w:val="00280F9B"/>
    <w:rsid w:val="002824FE"/>
    <w:rsid w:val="0029123C"/>
    <w:rsid w:val="002A5FB9"/>
    <w:rsid w:val="002B11B1"/>
    <w:rsid w:val="002B2CD5"/>
    <w:rsid w:val="002C4145"/>
    <w:rsid w:val="002E5599"/>
    <w:rsid w:val="002E5972"/>
    <w:rsid w:val="002E6CD7"/>
    <w:rsid w:val="002E6FFF"/>
    <w:rsid w:val="002E7695"/>
    <w:rsid w:val="002F37A8"/>
    <w:rsid w:val="003063E4"/>
    <w:rsid w:val="00307937"/>
    <w:rsid w:val="00311BBF"/>
    <w:rsid w:val="00315FC8"/>
    <w:rsid w:val="00321FBC"/>
    <w:rsid w:val="00327278"/>
    <w:rsid w:val="00334450"/>
    <w:rsid w:val="00335311"/>
    <w:rsid w:val="003357F5"/>
    <w:rsid w:val="00345AF8"/>
    <w:rsid w:val="00384301"/>
    <w:rsid w:val="00387178"/>
    <w:rsid w:val="0039596E"/>
    <w:rsid w:val="003A4740"/>
    <w:rsid w:val="003B0DE7"/>
    <w:rsid w:val="003B73BF"/>
    <w:rsid w:val="003D6324"/>
    <w:rsid w:val="003E0802"/>
    <w:rsid w:val="003E311C"/>
    <w:rsid w:val="003E53F1"/>
    <w:rsid w:val="003F3857"/>
    <w:rsid w:val="00401360"/>
    <w:rsid w:val="00402986"/>
    <w:rsid w:val="004060AD"/>
    <w:rsid w:val="004119EA"/>
    <w:rsid w:val="00415926"/>
    <w:rsid w:val="00426189"/>
    <w:rsid w:val="004446E1"/>
    <w:rsid w:val="00460764"/>
    <w:rsid w:val="00464F1C"/>
    <w:rsid w:val="004679AB"/>
    <w:rsid w:val="00490D29"/>
    <w:rsid w:val="00490D90"/>
    <w:rsid w:val="0049192C"/>
    <w:rsid w:val="00494CB8"/>
    <w:rsid w:val="004955C8"/>
    <w:rsid w:val="004B2559"/>
    <w:rsid w:val="004B3AA5"/>
    <w:rsid w:val="004B6713"/>
    <w:rsid w:val="004C256E"/>
    <w:rsid w:val="004D0D15"/>
    <w:rsid w:val="004D6767"/>
    <w:rsid w:val="004F4BF1"/>
    <w:rsid w:val="004F6946"/>
    <w:rsid w:val="00514A0A"/>
    <w:rsid w:val="0053076F"/>
    <w:rsid w:val="00530F83"/>
    <w:rsid w:val="00532ED4"/>
    <w:rsid w:val="00540B61"/>
    <w:rsid w:val="00542A3F"/>
    <w:rsid w:val="00566FD6"/>
    <w:rsid w:val="0057503E"/>
    <w:rsid w:val="00580E21"/>
    <w:rsid w:val="0059299F"/>
    <w:rsid w:val="00592C12"/>
    <w:rsid w:val="00593A61"/>
    <w:rsid w:val="005A0F15"/>
    <w:rsid w:val="005B5E97"/>
    <w:rsid w:val="005D363C"/>
    <w:rsid w:val="005D73DE"/>
    <w:rsid w:val="005F206E"/>
    <w:rsid w:val="005F2EF7"/>
    <w:rsid w:val="005F6FE9"/>
    <w:rsid w:val="00601E75"/>
    <w:rsid w:val="00602EC9"/>
    <w:rsid w:val="006137D5"/>
    <w:rsid w:val="0061757F"/>
    <w:rsid w:val="00620819"/>
    <w:rsid w:val="00621BEC"/>
    <w:rsid w:val="00624D53"/>
    <w:rsid w:val="0063485E"/>
    <w:rsid w:val="00642E47"/>
    <w:rsid w:val="00654282"/>
    <w:rsid w:val="00677323"/>
    <w:rsid w:val="00677364"/>
    <w:rsid w:val="006800EC"/>
    <w:rsid w:val="006A32DA"/>
    <w:rsid w:val="006D1FC3"/>
    <w:rsid w:val="006D2EBB"/>
    <w:rsid w:val="006F0091"/>
    <w:rsid w:val="006F0E79"/>
    <w:rsid w:val="00715605"/>
    <w:rsid w:val="007169E5"/>
    <w:rsid w:val="00717D5B"/>
    <w:rsid w:val="00763259"/>
    <w:rsid w:val="007645E2"/>
    <w:rsid w:val="00773603"/>
    <w:rsid w:val="00775DB3"/>
    <w:rsid w:val="007878D5"/>
    <w:rsid w:val="00795771"/>
    <w:rsid w:val="007958ED"/>
    <w:rsid w:val="007A0BFB"/>
    <w:rsid w:val="007A121F"/>
    <w:rsid w:val="007A158B"/>
    <w:rsid w:val="007B067A"/>
    <w:rsid w:val="007C647C"/>
    <w:rsid w:val="007C6A2E"/>
    <w:rsid w:val="00803C84"/>
    <w:rsid w:val="0081225A"/>
    <w:rsid w:val="008134E6"/>
    <w:rsid w:val="00827720"/>
    <w:rsid w:val="00831221"/>
    <w:rsid w:val="0083327A"/>
    <w:rsid w:val="00886733"/>
    <w:rsid w:val="00895CC6"/>
    <w:rsid w:val="008A2981"/>
    <w:rsid w:val="008A4166"/>
    <w:rsid w:val="008A5650"/>
    <w:rsid w:val="008C4AA2"/>
    <w:rsid w:val="008C5B2D"/>
    <w:rsid w:val="008D075D"/>
    <w:rsid w:val="008D17EF"/>
    <w:rsid w:val="008D6B17"/>
    <w:rsid w:val="008E0F93"/>
    <w:rsid w:val="008E2744"/>
    <w:rsid w:val="008E3438"/>
    <w:rsid w:val="009244BE"/>
    <w:rsid w:val="00925A66"/>
    <w:rsid w:val="00926B39"/>
    <w:rsid w:val="00926CB1"/>
    <w:rsid w:val="00930059"/>
    <w:rsid w:val="0093790A"/>
    <w:rsid w:val="00945D9C"/>
    <w:rsid w:val="00963A7D"/>
    <w:rsid w:val="00974E2B"/>
    <w:rsid w:val="0097773B"/>
    <w:rsid w:val="009824D7"/>
    <w:rsid w:val="00985BC1"/>
    <w:rsid w:val="00991A01"/>
    <w:rsid w:val="0099588D"/>
    <w:rsid w:val="009977F0"/>
    <w:rsid w:val="009A02A2"/>
    <w:rsid w:val="009A6EEA"/>
    <w:rsid w:val="009A7CC0"/>
    <w:rsid w:val="009C286F"/>
    <w:rsid w:val="009C694A"/>
    <w:rsid w:val="00A0249B"/>
    <w:rsid w:val="00A02EB2"/>
    <w:rsid w:val="00A26DE9"/>
    <w:rsid w:val="00A44699"/>
    <w:rsid w:val="00A617ED"/>
    <w:rsid w:val="00A631F3"/>
    <w:rsid w:val="00A708AC"/>
    <w:rsid w:val="00A74267"/>
    <w:rsid w:val="00A83578"/>
    <w:rsid w:val="00A848FC"/>
    <w:rsid w:val="00A8723C"/>
    <w:rsid w:val="00AB5883"/>
    <w:rsid w:val="00AB5A7E"/>
    <w:rsid w:val="00AC286C"/>
    <w:rsid w:val="00AC5A93"/>
    <w:rsid w:val="00AC633E"/>
    <w:rsid w:val="00AD2AC1"/>
    <w:rsid w:val="00AE4131"/>
    <w:rsid w:val="00AF19D5"/>
    <w:rsid w:val="00B1010D"/>
    <w:rsid w:val="00B12B94"/>
    <w:rsid w:val="00B23209"/>
    <w:rsid w:val="00B342A3"/>
    <w:rsid w:val="00B3437E"/>
    <w:rsid w:val="00B36BD4"/>
    <w:rsid w:val="00B4668A"/>
    <w:rsid w:val="00B521C2"/>
    <w:rsid w:val="00B60FBF"/>
    <w:rsid w:val="00B73B44"/>
    <w:rsid w:val="00B73D9F"/>
    <w:rsid w:val="00B759F3"/>
    <w:rsid w:val="00BA338C"/>
    <w:rsid w:val="00BB23A1"/>
    <w:rsid w:val="00BD286E"/>
    <w:rsid w:val="00BE7CBF"/>
    <w:rsid w:val="00C00098"/>
    <w:rsid w:val="00C062B1"/>
    <w:rsid w:val="00C24F74"/>
    <w:rsid w:val="00C33CB5"/>
    <w:rsid w:val="00C453BF"/>
    <w:rsid w:val="00C559DB"/>
    <w:rsid w:val="00C605D2"/>
    <w:rsid w:val="00C74A2B"/>
    <w:rsid w:val="00C7544A"/>
    <w:rsid w:val="00C81325"/>
    <w:rsid w:val="00C87A36"/>
    <w:rsid w:val="00C922B2"/>
    <w:rsid w:val="00CA4FCA"/>
    <w:rsid w:val="00CC2CAC"/>
    <w:rsid w:val="00CC4079"/>
    <w:rsid w:val="00CC73FB"/>
    <w:rsid w:val="00CD401D"/>
    <w:rsid w:val="00CE7D48"/>
    <w:rsid w:val="00D01792"/>
    <w:rsid w:val="00D0291A"/>
    <w:rsid w:val="00D13E30"/>
    <w:rsid w:val="00D222A6"/>
    <w:rsid w:val="00D32CF0"/>
    <w:rsid w:val="00D343D4"/>
    <w:rsid w:val="00D436B6"/>
    <w:rsid w:val="00D51D26"/>
    <w:rsid w:val="00D57C69"/>
    <w:rsid w:val="00D61A2E"/>
    <w:rsid w:val="00D64D71"/>
    <w:rsid w:val="00D65ED2"/>
    <w:rsid w:val="00D81CE1"/>
    <w:rsid w:val="00D92728"/>
    <w:rsid w:val="00D96DD8"/>
    <w:rsid w:val="00DA51F2"/>
    <w:rsid w:val="00DB060E"/>
    <w:rsid w:val="00DB20EE"/>
    <w:rsid w:val="00DB2D0C"/>
    <w:rsid w:val="00DC3833"/>
    <w:rsid w:val="00DD589D"/>
    <w:rsid w:val="00DD599C"/>
    <w:rsid w:val="00DE1269"/>
    <w:rsid w:val="00DE4A3F"/>
    <w:rsid w:val="00DF0DF8"/>
    <w:rsid w:val="00DF1F24"/>
    <w:rsid w:val="00DF774A"/>
    <w:rsid w:val="00E05F3F"/>
    <w:rsid w:val="00E172A2"/>
    <w:rsid w:val="00E2055B"/>
    <w:rsid w:val="00E343AE"/>
    <w:rsid w:val="00E45692"/>
    <w:rsid w:val="00E47B0E"/>
    <w:rsid w:val="00E557DA"/>
    <w:rsid w:val="00E57EEB"/>
    <w:rsid w:val="00E62327"/>
    <w:rsid w:val="00E719EE"/>
    <w:rsid w:val="00E83EDE"/>
    <w:rsid w:val="00E842FE"/>
    <w:rsid w:val="00E9102F"/>
    <w:rsid w:val="00E94E88"/>
    <w:rsid w:val="00E96555"/>
    <w:rsid w:val="00E97464"/>
    <w:rsid w:val="00EA6943"/>
    <w:rsid w:val="00EC6DD6"/>
    <w:rsid w:val="00EE2459"/>
    <w:rsid w:val="00EE3C95"/>
    <w:rsid w:val="00EF4604"/>
    <w:rsid w:val="00F01064"/>
    <w:rsid w:val="00F0213F"/>
    <w:rsid w:val="00F23047"/>
    <w:rsid w:val="00F24F9B"/>
    <w:rsid w:val="00F44B02"/>
    <w:rsid w:val="00F5048C"/>
    <w:rsid w:val="00F504BA"/>
    <w:rsid w:val="00F53FBB"/>
    <w:rsid w:val="00F61337"/>
    <w:rsid w:val="00F661BA"/>
    <w:rsid w:val="00F74792"/>
    <w:rsid w:val="00F74BA2"/>
    <w:rsid w:val="00F77A66"/>
    <w:rsid w:val="00F8410C"/>
    <w:rsid w:val="00FB26F6"/>
    <w:rsid w:val="00FB4111"/>
    <w:rsid w:val="00FB6EC6"/>
    <w:rsid w:val="00FC3630"/>
    <w:rsid w:val="00FC67BD"/>
    <w:rsid w:val="00FF74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C0F9"/>
  <w15:chartTrackingRefBased/>
  <w15:docId w15:val="{E18F0771-EC0B-4176-B412-A807CCFE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en">
    <w:name w:val="len"/>
    <w:basedOn w:val="Navaden"/>
    <w:rsid w:val="00B759F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B759F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B759F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A4469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44699"/>
    <w:rPr>
      <w:rFonts w:ascii="Segoe UI" w:hAnsi="Segoe UI" w:cs="Segoe UI"/>
      <w:sz w:val="18"/>
      <w:szCs w:val="18"/>
    </w:rPr>
  </w:style>
  <w:style w:type="character" w:styleId="Hiperpovezava">
    <w:name w:val="Hyperlink"/>
    <w:basedOn w:val="Privzetapisavaodstavka"/>
    <w:uiPriority w:val="99"/>
    <w:semiHidden/>
    <w:unhideWhenUsed/>
    <w:rsid w:val="00D13E30"/>
    <w:rPr>
      <w:color w:val="0000FF"/>
      <w:u w:val="single"/>
    </w:rPr>
  </w:style>
  <w:style w:type="character" w:customStyle="1" w:styleId="VrstapredpisaZnak">
    <w:name w:val="Vrsta predpisa Znak"/>
    <w:link w:val="Vrstapredpisa"/>
    <w:locked/>
    <w:rsid w:val="00D13E30"/>
    <w:rPr>
      <w:rFonts w:ascii="Arial" w:eastAsia="Times New Roman" w:hAnsi="Arial" w:cs="Arial"/>
      <w:b/>
      <w:bCs/>
      <w:color w:val="000000"/>
      <w:spacing w:val="40"/>
    </w:rPr>
  </w:style>
  <w:style w:type="paragraph" w:customStyle="1" w:styleId="Vrstapredpisa">
    <w:name w:val="Vrsta predpisa"/>
    <w:basedOn w:val="Navaden"/>
    <w:link w:val="VrstapredpisaZnak"/>
    <w:qFormat/>
    <w:rsid w:val="00D13E30"/>
    <w:pPr>
      <w:suppressAutoHyphens/>
      <w:overflowPunct w:val="0"/>
      <w:autoSpaceDE w:val="0"/>
      <w:autoSpaceDN w:val="0"/>
      <w:adjustRightInd w:val="0"/>
      <w:spacing w:before="480" w:after="0" w:line="240" w:lineRule="auto"/>
      <w:jc w:val="center"/>
    </w:pPr>
    <w:rPr>
      <w:rFonts w:ascii="Arial" w:eastAsia="Times New Roman" w:hAnsi="Arial" w:cs="Arial"/>
      <w:b/>
      <w:bCs/>
      <w:color w:val="000000"/>
      <w:spacing w:val="40"/>
    </w:rPr>
  </w:style>
  <w:style w:type="character" w:customStyle="1" w:styleId="NaslovpredpisaZnak">
    <w:name w:val="Naslov_predpisa Znak"/>
    <w:link w:val="Naslovpredpisa"/>
    <w:locked/>
    <w:rsid w:val="00D13E30"/>
    <w:rPr>
      <w:rFonts w:ascii="Arial" w:eastAsia="Times New Roman" w:hAnsi="Arial" w:cs="Arial"/>
      <w:b/>
    </w:rPr>
  </w:style>
  <w:style w:type="paragraph" w:customStyle="1" w:styleId="Naslovpredpisa">
    <w:name w:val="Naslov_predpisa"/>
    <w:basedOn w:val="Navaden"/>
    <w:link w:val="NaslovpredpisaZnak"/>
    <w:qFormat/>
    <w:rsid w:val="00D13E30"/>
    <w:pPr>
      <w:suppressAutoHyphens/>
      <w:overflowPunct w:val="0"/>
      <w:autoSpaceDE w:val="0"/>
      <w:autoSpaceDN w:val="0"/>
      <w:adjustRightInd w:val="0"/>
      <w:spacing w:after="0" w:line="240" w:lineRule="auto"/>
      <w:jc w:val="center"/>
    </w:pPr>
    <w:rPr>
      <w:rFonts w:ascii="Arial" w:eastAsia="Times New Roman" w:hAnsi="Arial" w:cs="Arial"/>
      <w:b/>
    </w:rPr>
  </w:style>
  <w:style w:type="character" w:customStyle="1" w:styleId="lenZnak">
    <w:name w:val="Člen Znak"/>
    <w:link w:val="len0"/>
    <w:locked/>
    <w:rsid w:val="00D13E30"/>
    <w:rPr>
      <w:rFonts w:ascii="Arial" w:eastAsia="Times New Roman" w:hAnsi="Arial" w:cs="Arial"/>
      <w:b/>
    </w:rPr>
  </w:style>
  <w:style w:type="paragraph" w:customStyle="1" w:styleId="len0">
    <w:name w:val="Člen"/>
    <w:basedOn w:val="Navaden"/>
    <w:link w:val="lenZnak"/>
    <w:qFormat/>
    <w:rsid w:val="00D13E30"/>
    <w:pPr>
      <w:suppressAutoHyphens/>
      <w:overflowPunct w:val="0"/>
      <w:autoSpaceDE w:val="0"/>
      <w:autoSpaceDN w:val="0"/>
      <w:adjustRightInd w:val="0"/>
      <w:spacing w:before="480" w:after="0" w:line="240" w:lineRule="auto"/>
      <w:jc w:val="center"/>
    </w:pPr>
    <w:rPr>
      <w:rFonts w:ascii="Arial" w:eastAsia="Times New Roman" w:hAnsi="Arial" w:cs="Arial"/>
      <w:b/>
    </w:rPr>
  </w:style>
  <w:style w:type="paragraph" w:customStyle="1" w:styleId="tevilnatoka111">
    <w:name w:val="Številčna točka 1.1.1"/>
    <w:basedOn w:val="Navaden"/>
    <w:qFormat/>
    <w:rsid w:val="00D13E30"/>
    <w:pPr>
      <w:widowControl w:val="0"/>
      <w:numPr>
        <w:ilvl w:val="2"/>
        <w:numId w:val="1"/>
      </w:numPr>
      <w:overflowPunct w:val="0"/>
      <w:autoSpaceDE w:val="0"/>
      <w:autoSpaceDN w:val="0"/>
      <w:adjustRightInd w:val="0"/>
      <w:spacing w:after="0" w:line="240" w:lineRule="auto"/>
      <w:jc w:val="both"/>
    </w:pPr>
    <w:rPr>
      <w:rFonts w:ascii="Arial" w:eastAsia="Times New Roman" w:hAnsi="Arial" w:cs="Times New Roman"/>
      <w:szCs w:val="16"/>
      <w:lang w:eastAsia="sl-SI"/>
    </w:rPr>
  </w:style>
  <w:style w:type="character" w:customStyle="1" w:styleId="OdstavekZnak">
    <w:name w:val="Odstavek Znak"/>
    <w:link w:val="Odstavek0"/>
    <w:locked/>
    <w:rsid w:val="00D13E30"/>
    <w:rPr>
      <w:rFonts w:ascii="Arial" w:eastAsia="Times New Roman" w:hAnsi="Arial" w:cs="Arial"/>
    </w:rPr>
  </w:style>
  <w:style w:type="paragraph" w:customStyle="1" w:styleId="Odstavek0">
    <w:name w:val="Odstavek"/>
    <w:basedOn w:val="Navaden"/>
    <w:link w:val="OdstavekZnak"/>
    <w:qFormat/>
    <w:rsid w:val="00D13E30"/>
    <w:pPr>
      <w:overflowPunct w:val="0"/>
      <w:autoSpaceDE w:val="0"/>
      <w:autoSpaceDN w:val="0"/>
      <w:adjustRightInd w:val="0"/>
      <w:spacing w:before="240" w:after="0" w:line="240" w:lineRule="auto"/>
      <w:ind w:firstLine="1021"/>
      <w:jc w:val="both"/>
    </w:pPr>
    <w:rPr>
      <w:rFonts w:ascii="Arial" w:eastAsia="Times New Roman" w:hAnsi="Arial" w:cs="Arial"/>
    </w:rPr>
  </w:style>
  <w:style w:type="paragraph" w:customStyle="1" w:styleId="Prehodneinkoncnedolocbe">
    <w:name w:val="Prehodne in koncne dolocbe"/>
    <w:basedOn w:val="Navaden"/>
    <w:rsid w:val="00D13E30"/>
    <w:pPr>
      <w:overflowPunct w:val="0"/>
      <w:autoSpaceDE w:val="0"/>
      <w:autoSpaceDN w:val="0"/>
      <w:adjustRightInd w:val="0"/>
      <w:spacing w:before="400" w:after="600" w:line="240" w:lineRule="auto"/>
      <w:jc w:val="both"/>
    </w:pPr>
    <w:rPr>
      <w:rFonts w:ascii="Arial" w:eastAsia="Times New Roman" w:hAnsi="Arial" w:cs="Times New Roman"/>
      <w:b/>
      <w:szCs w:val="16"/>
      <w:lang w:eastAsia="sl-SI"/>
    </w:rPr>
  </w:style>
  <w:style w:type="character" w:customStyle="1" w:styleId="tevilnatokaZnak">
    <w:name w:val="Številčna točka Znak"/>
    <w:basedOn w:val="OdstavekZnak"/>
    <w:link w:val="tevilnatoka"/>
    <w:locked/>
    <w:rsid w:val="00D13E30"/>
    <w:rPr>
      <w:rFonts w:ascii="Arial" w:eastAsia="Times New Roman" w:hAnsi="Arial" w:cs="Arial"/>
    </w:rPr>
  </w:style>
  <w:style w:type="paragraph" w:customStyle="1" w:styleId="tevilnatoka">
    <w:name w:val="Številčna točka"/>
    <w:basedOn w:val="Navaden"/>
    <w:link w:val="tevilnatokaZnak"/>
    <w:qFormat/>
    <w:rsid w:val="00D13E30"/>
    <w:pPr>
      <w:numPr>
        <w:numId w:val="1"/>
      </w:numPr>
      <w:spacing w:after="0" w:line="240" w:lineRule="auto"/>
      <w:jc w:val="both"/>
    </w:pPr>
    <w:rPr>
      <w:rFonts w:ascii="Arial" w:eastAsia="Times New Roman" w:hAnsi="Arial" w:cs="Arial"/>
    </w:rPr>
  </w:style>
  <w:style w:type="paragraph" w:customStyle="1" w:styleId="lennaslov0">
    <w:name w:val="Člen_naslov"/>
    <w:basedOn w:val="len0"/>
    <w:qFormat/>
    <w:rsid w:val="00D13E30"/>
    <w:pPr>
      <w:spacing w:before="0"/>
    </w:pPr>
  </w:style>
  <w:style w:type="character" w:customStyle="1" w:styleId="rtaZnak">
    <w:name w:val="Črta Znak"/>
    <w:link w:val="rta"/>
    <w:locked/>
    <w:rsid w:val="00D13E30"/>
    <w:rPr>
      <w:rFonts w:ascii="Arial" w:eastAsia="Times New Roman" w:hAnsi="Arial" w:cs="Arial"/>
    </w:rPr>
  </w:style>
  <w:style w:type="paragraph" w:customStyle="1" w:styleId="rta">
    <w:name w:val="Črta"/>
    <w:basedOn w:val="Navaden"/>
    <w:link w:val="rtaZnak"/>
    <w:qFormat/>
    <w:rsid w:val="00D13E30"/>
    <w:pPr>
      <w:overflowPunct w:val="0"/>
      <w:autoSpaceDE w:val="0"/>
      <w:autoSpaceDN w:val="0"/>
      <w:adjustRightInd w:val="0"/>
      <w:spacing w:before="360" w:after="0" w:line="240" w:lineRule="auto"/>
      <w:jc w:val="center"/>
    </w:pPr>
    <w:rPr>
      <w:rFonts w:ascii="Arial" w:eastAsia="Times New Roman" w:hAnsi="Arial" w:cs="Arial"/>
    </w:rPr>
  </w:style>
  <w:style w:type="paragraph" w:customStyle="1" w:styleId="NPB">
    <w:name w:val="NPB"/>
    <w:basedOn w:val="Vrstapredpisa"/>
    <w:qFormat/>
    <w:rsid w:val="00D13E30"/>
    <w:rPr>
      <w:spacing w:val="0"/>
    </w:rPr>
  </w:style>
  <w:style w:type="paragraph" w:customStyle="1" w:styleId="tevilnatoka11Nova">
    <w:name w:val="Številčna točka 1.1 Nova"/>
    <w:basedOn w:val="tevilnatoka"/>
    <w:qFormat/>
    <w:rsid w:val="00D13E30"/>
    <w:pPr>
      <w:numPr>
        <w:ilvl w:val="1"/>
      </w:numPr>
      <w:tabs>
        <w:tab w:val="clear" w:pos="425"/>
        <w:tab w:val="num" w:pos="360"/>
      </w:tabs>
    </w:pPr>
  </w:style>
  <w:style w:type="paragraph" w:styleId="Odstavekseznama">
    <w:name w:val="List Paragraph"/>
    <w:basedOn w:val="Navaden"/>
    <w:uiPriority w:val="34"/>
    <w:qFormat/>
    <w:rsid w:val="001C29A8"/>
    <w:pPr>
      <w:ind w:left="720"/>
      <w:contextualSpacing/>
    </w:pPr>
  </w:style>
  <w:style w:type="character" w:styleId="Pripombasklic">
    <w:name w:val="annotation reference"/>
    <w:basedOn w:val="Privzetapisavaodstavka"/>
    <w:uiPriority w:val="99"/>
    <w:semiHidden/>
    <w:unhideWhenUsed/>
    <w:rsid w:val="00D01792"/>
    <w:rPr>
      <w:sz w:val="16"/>
      <w:szCs w:val="16"/>
    </w:rPr>
  </w:style>
  <w:style w:type="paragraph" w:styleId="Pripombabesedilo">
    <w:name w:val="annotation text"/>
    <w:basedOn w:val="Navaden"/>
    <w:link w:val="PripombabesediloZnak"/>
    <w:uiPriority w:val="99"/>
    <w:semiHidden/>
    <w:unhideWhenUsed/>
    <w:rsid w:val="00D0179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01792"/>
    <w:rPr>
      <w:sz w:val="20"/>
      <w:szCs w:val="20"/>
    </w:rPr>
  </w:style>
  <w:style w:type="paragraph" w:styleId="Zadevapripombe">
    <w:name w:val="annotation subject"/>
    <w:basedOn w:val="Pripombabesedilo"/>
    <w:next w:val="Pripombabesedilo"/>
    <w:link w:val="ZadevapripombeZnak"/>
    <w:uiPriority w:val="99"/>
    <w:semiHidden/>
    <w:unhideWhenUsed/>
    <w:rsid w:val="00D01792"/>
    <w:rPr>
      <w:b/>
      <w:bCs/>
    </w:rPr>
  </w:style>
  <w:style w:type="character" w:customStyle="1" w:styleId="ZadevapripombeZnak">
    <w:name w:val="Zadeva pripombe Znak"/>
    <w:basedOn w:val="PripombabesediloZnak"/>
    <w:link w:val="Zadevapripombe"/>
    <w:uiPriority w:val="99"/>
    <w:semiHidden/>
    <w:rsid w:val="00D01792"/>
    <w:rPr>
      <w:b/>
      <w:bCs/>
      <w:sz w:val="20"/>
      <w:szCs w:val="20"/>
    </w:rPr>
  </w:style>
  <w:style w:type="paragraph" w:customStyle="1" w:styleId="Podpisnik">
    <w:name w:val="Podpisnik"/>
    <w:basedOn w:val="Navaden"/>
    <w:link w:val="PodpisnikZnak"/>
    <w:qFormat/>
    <w:rsid w:val="007A121F"/>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PodpisnikZnak">
    <w:name w:val="Podpisnik Znak"/>
    <w:basedOn w:val="Privzetapisavaodstavka"/>
    <w:link w:val="Podpisnik"/>
    <w:rsid w:val="007A121F"/>
    <w:rPr>
      <w:rFonts w:ascii="Arial" w:eastAsia="Times New Roman" w:hAnsi="Arial" w:cs="Arial"/>
      <w:lang w:eastAsia="sl-SI"/>
    </w:rPr>
  </w:style>
  <w:style w:type="paragraph" w:styleId="Revizija">
    <w:name w:val="Revision"/>
    <w:hidden/>
    <w:uiPriority w:val="99"/>
    <w:semiHidden/>
    <w:rsid w:val="00335311"/>
    <w:pPr>
      <w:spacing w:after="0" w:line="240" w:lineRule="auto"/>
    </w:pPr>
  </w:style>
  <w:style w:type="paragraph" w:customStyle="1" w:styleId="tevilnatoka0">
    <w:name w:val="tevilnatoka"/>
    <w:basedOn w:val="Navaden"/>
    <w:rsid w:val="008A298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2E769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DF0DF8"/>
    <w:pPr>
      <w:tabs>
        <w:tab w:val="center" w:pos="4536"/>
        <w:tab w:val="right" w:pos="9072"/>
      </w:tabs>
      <w:spacing w:after="0" w:line="240" w:lineRule="auto"/>
    </w:pPr>
  </w:style>
  <w:style w:type="character" w:customStyle="1" w:styleId="GlavaZnak">
    <w:name w:val="Glava Znak"/>
    <w:basedOn w:val="Privzetapisavaodstavka"/>
    <w:link w:val="Glava"/>
    <w:uiPriority w:val="99"/>
    <w:rsid w:val="00DF0DF8"/>
  </w:style>
  <w:style w:type="paragraph" w:styleId="Noga">
    <w:name w:val="footer"/>
    <w:basedOn w:val="Navaden"/>
    <w:link w:val="NogaZnak"/>
    <w:uiPriority w:val="99"/>
    <w:unhideWhenUsed/>
    <w:rsid w:val="00DF0DF8"/>
    <w:pPr>
      <w:tabs>
        <w:tab w:val="center" w:pos="4536"/>
        <w:tab w:val="right" w:pos="9072"/>
      </w:tabs>
      <w:spacing w:after="0" w:line="240" w:lineRule="auto"/>
    </w:pPr>
  </w:style>
  <w:style w:type="character" w:customStyle="1" w:styleId="NogaZnak">
    <w:name w:val="Noga Znak"/>
    <w:basedOn w:val="Privzetapisavaodstavka"/>
    <w:link w:val="Noga"/>
    <w:uiPriority w:val="99"/>
    <w:rsid w:val="00DF0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2468">
      <w:bodyDiv w:val="1"/>
      <w:marLeft w:val="0"/>
      <w:marRight w:val="0"/>
      <w:marTop w:val="0"/>
      <w:marBottom w:val="0"/>
      <w:divBdr>
        <w:top w:val="none" w:sz="0" w:space="0" w:color="auto"/>
        <w:left w:val="none" w:sz="0" w:space="0" w:color="auto"/>
        <w:bottom w:val="none" w:sz="0" w:space="0" w:color="auto"/>
        <w:right w:val="none" w:sz="0" w:space="0" w:color="auto"/>
      </w:divBdr>
    </w:div>
    <w:div w:id="119613322">
      <w:bodyDiv w:val="1"/>
      <w:marLeft w:val="0"/>
      <w:marRight w:val="0"/>
      <w:marTop w:val="0"/>
      <w:marBottom w:val="0"/>
      <w:divBdr>
        <w:top w:val="none" w:sz="0" w:space="0" w:color="auto"/>
        <w:left w:val="none" w:sz="0" w:space="0" w:color="auto"/>
        <w:bottom w:val="none" w:sz="0" w:space="0" w:color="auto"/>
        <w:right w:val="none" w:sz="0" w:space="0" w:color="auto"/>
      </w:divBdr>
    </w:div>
    <w:div w:id="123084230">
      <w:bodyDiv w:val="1"/>
      <w:marLeft w:val="0"/>
      <w:marRight w:val="0"/>
      <w:marTop w:val="0"/>
      <w:marBottom w:val="0"/>
      <w:divBdr>
        <w:top w:val="none" w:sz="0" w:space="0" w:color="auto"/>
        <w:left w:val="none" w:sz="0" w:space="0" w:color="auto"/>
        <w:bottom w:val="none" w:sz="0" w:space="0" w:color="auto"/>
        <w:right w:val="none" w:sz="0" w:space="0" w:color="auto"/>
      </w:divBdr>
    </w:div>
    <w:div w:id="431710410">
      <w:bodyDiv w:val="1"/>
      <w:marLeft w:val="0"/>
      <w:marRight w:val="0"/>
      <w:marTop w:val="0"/>
      <w:marBottom w:val="0"/>
      <w:divBdr>
        <w:top w:val="none" w:sz="0" w:space="0" w:color="auto"/>
        <w:left w:val="none" w:sz="0" w:space="0" w:color="auto"/>
        <w:bottom w:val="none" w:sz="0" w:space="0" w:color="auto"/>
        <w:right w:val="none" w:sz="0" w:space="0" w:color="auto"/>
      </w:divBdr>
    </w:div>
    <w:div w:id="816070096">
      <w:bodyDiv w:val="1"/>
      <w:marLeft w:val="0"/>
      <w:marRight w:val="0"/>
      <w:marTop w:val="0"/>
      <w:marBottom w:val="0"/>
      <w:divBdr>
        <w:top w:val="none" w:sz="0" w:space="0" w:color="auto"/>
        <w:left w:val="none" w:sz="0" w:space="0" w:color="auto"/>
        <w:bottom w:val="none" w:sz="0" w:space="0" w:color="auto"/>
        <w:right w:val="none" w:sz="0" w:space="0" w:color="auto"/>
      </w:divBdr>
    </w:div>
    <w:div w:id="1395816049">
      <w:bodyDiv w:val="1"/>
      <w:marLeft w:val="0"/>
      <w:marRight w:val="0"/>
      <w:marTop w:val="0"/>
      <w:marBottom w:val="0"/>
      <w:divBdr>
        <w:top w:val="none" w:sz="0" w:space="0" w:color="auto"/>
        <w:left w:val="none" w:sz="0" w:space="0" w:color="auto"/>
        <w:bottom w:val="none" w:sz="0" w:space="0" w:color="auto"/>
        <w:right w:val="none" w:sz="0" w:space="0" w:color="auto"/>
      </w:divBdr>
    </w:div>
    <w:div w:id="1419250076">
      <w:bodyDiv w:val="1"/>
      <w:marLeft w:val="0"/>
      <w:marRight w:val="0"/>
      <w:marTop w:val="0"/>
      <w:marBottom w:val="0"/>
      <w:divBdr>
        <w:top w:val="none" w:sz="0" w:space="0" w:color="auto"/>
        <w:left w:val="none" w:sz="0" w:space="0" w:color="auto"/>
        <w:bottom w:val="none" w:sz="0" w:space="0" w:color="auto"/>
        <w:right w:val="none" w:sz="0" w:space="0" w:color="auto"/>
      </w:divBdr>
      <w:divsChild>
        <w:div w:id="1203787250">
          <w:marLeft w:val="0"/>
          <w:marRight w:val="0"/>
          <w:marTop w:val="360"/>
          <w:marBottom w:val="0"/>
          <w:divBdr>
            <w:top w:val="none" w:sz="0" w:space="0" w:color="auto"/>
            <w:left w:val="none" w:sz="0" w:space="0" w:color="auto"/>
            <w:bottom w:val="none" w:sz="0" w:space="0" w:color="auto"/>
            <w:right w:val="none" w:sz="0" w:space="0" w:color="auto"/>
          </w:divBdr>
        </w:div>
      </w:divsChild>
    </w:div>
    <w:div w:id="1514799307">
      <w:bodyDiv w:val="1"/>
      <w:marLeft w:val="0"/>
      <w:marRight w:val="0"/>
      <w:marTop w:val="0"/>
      <w:marBottom w:val="0"/>
      <w:divBdr>
        <w:top w:val="none" w:sz="0" w:space="0" w:color="auto"/>
        <w:left w:val="none" w:sz="0" w:space="0" w:color="auto"/>
        <w:bottom w:val="none" w:sz="0" w:space="0" w:color="auto"/>
        <w:right w:val="none" w:sz="0" w:space="0" w:color="auto"/>
      </w:divBdr>
    </w:div>
    <w:div w:id="1804273655">
      <w:bodyDiv w:val="1"/>
      <w:marLeft w:val="0"/>
      <w:marRight w:val="0"/>
      <w:marTop w:val="0"/>
      <w:marBottom w:val="0"/>
      <w:divBdr>
        <w:top w:val="none" w:sz="0" w:space="0" w:color="auto"/>
        <w:left w:val="none" w:sz="0" w:space="0" w:color="auto"/>
        <w:bottom w:val="none" w:sz="0" w:space="0" w:color="auto"/>
        <w:right w:val="none" w:sz="0" w:space="0" w:color="auto"/>
      </w:divBdr>
    </w:div>
    <w:div w:id="1960068370">
      <w:bodyDiv w:val="1"/>
      <w:marLeft w:val="0"/>
      <w:marRight w:val="0"/>
      <w:marTop w:val="0"/>
      <w:marBottom w:val="0"/>
      <w:divBdr>
        <w:top w:val="none" w:sz="0" w:space="0" w:color="auto"/>
        <w:left w:val="none" w:sz="0" w:space="0" w:color="auto"/>
        <w:bottom w:val="none" w:sz="0" w:space="0" w:color="auto"/>
        <w:right w:val="none" w:sz="0" w:space="0" w:color="auto"/>
      </w:divBdr>
    </w:div>
    <w:div w:id="198719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Pages>
  <Words>924</Words>
  <Characters>5267</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SMC</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Škafar</dc:creator>
  <cp:keywords/>
  <dc:description/>
  <cp:lastModifiedBy>DSDCJP</cp:lastModifiedBy>
  <cp:revision>17</cp:revision>
  <cp:lastPrinted>2022-10-20T08:01:00Z</cp:lastPrinted>
  <dcterms:created xsi:type="dcterms:W3CDTF">2022-11-11T07:16:00Z</dcterms:created>
  <dcterms:modified xsi:type="dcterms:W3CDTF">2022-11-14T14:19:00Z</dcterms:modified>
</cp:coreProperties>
</file>