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72B7" w14:textId="12CE16BA" w:rsidR="00DE41E1" w:rsidRPr="00C336E7" w:rsidRDefault="00DE41E1" w:rsidP="00C336E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C336E7">
        <w:rPr>
          <w:rFonts w:ascii="Arial" w:eastAsia="Times New Roman" w:hAnsi="Arial" w:cs="Arial"/>
          <w:color w:val="000000"/>
          <w:lang w:eastAsia="sl-SI"/>
        </w:rPr>
        <w:t>Na podlagi 2. in 3. točke prvega odstavka 114.</w:t>
      </w:r>
      <w:r w:rsidR="002E28A4" w:rsidRPr="00C336E7">
        <w:rPr>
          <w:rFonts w:ascii="Arial" w:eastAsia="Times New Roman" w:hAnsi="Arial" w:cs="Arial"/>
          <w:color w:val="000000"/>
          <w:lang w:eastAsia="sl-SI"/>
        </w:rPr>
        <w:t> </w:t>
      </w:r>
      <w:r w:rsidRPr="00C336E7">
        <w:rPr>
          <w:rFonts w:ascii="Arial" w:eastAsia="Times New Roman" w:hAnsi="Arial" w:cs="Arial"/>
          <w:color w:val="000000"/>
          <w:lang w:eastAsia="sl-SI"/>
        </w:rPr>
        <w:t>člena Zakona o finančnem poslovanju, postopkih zaradi insolventnosti in prisilnem prenehanju (</w:t>
      </w:r>
      <w:r w:rsidR="008A4C76" w:rsidRPr="00C336E7">
        <w:rPr>
          <w:rFonts w:ascii="Arial" w:eastAsia="Times New Roman" w:hAnsi="Arial" w:cs="Arial"/>
          <w:color w:val="000000"/>
          <w:lang w:eastAsia="sl-SI"/>
        </w:rPr>
        <w:t xml:space="preserve">Uradni list RS, št. 176/21 – uradno prečiščeno besedilo, 178/21 – </w:t>
      </w:r>
      <w:proofErr w:type="spellStart"/>
      <w:r w:rsidR="008A4C76" w:rsidRPr="00C336E7">
        <w:rPr>
          <w:rFonts w:ascii="Arial" w:eastAsia="Times New Roman" w:hAnsi="Arial" w:cs="Arial"/>
          <w:color w:val="000000"/>
          <w:lang w:eastAsia="sl-SI"/>
        </w:rPr>
        <w:t>popr</w:t>
      </w:r>
      <w:proofErr w:type="spellEnd"/>
      <w:r w:rsidR="008A4C76" w:rsidRPr="00C336E7">
        <w:rPr>
          <w:rFonts w:ascii="Arial" w:eastAsia="Times New Roman" w:hAnsi="Arial" w:cs="Arial"/>
          <w:color w:val="000000"/>
          <w:lang w:eastAsia="sl-SI"/>
        </w:rPr>
        <w:t xml:space="preserve">. in 196/21 – </w:t>
      </w:r>
      <w:proofErr w:type="spellStart"/>
      <w:r w:rsidR="008A4C76" w:rsidRPr="00C336E7">
        <w:rPr>
          <w:rFonts w:ascii="Arial" w:eastAsia="Times New Roman" w:hAnsi="Arial" w:cs="Arial"/>
          <w:color w:val="000000"/>
          <w:lang w:eastAsia="sl-SI"/>
        </w:rPr>
        <w:t>odl</w:t>
      </w:r>
      <w:proofErr w:type="spellEnd"/>
      <w:r w:rsidR="008A4C76" w:rsidRPr="00C336E7">
        <w:rPr>
          <w:rFonts w:ascii="Arial" w:eastAsia="Times New Roman" w:hAnsi="Arial" w:cs="Arial"/>
          <w:color w:val="000000"/>
          <w:lang w:eastAsia="sl-SI"/>
        </w:rPr>
        <w:t>. US</w:t>
      </w:r>
      <w:r w:rsidRPr="00C336E7">
        <w:rPr>
          <w:rFonts w:ascii="Arial" w:eastAsia="Times New Roman" w:hAnsi="Arial" w:cs="Arial"/>
          <w:color w:val="000000"/>
          <w:lang w:eastAsia="sl-SI"/>
        </w:rPr>
        <w:t>) minist</w:t>
      </w:r>
      <w:r w:rsidR="0073142A" w:rsidRPr="00C336E7">
        <w:rPr>
          <w:rFonts w:ascii="Arial" w:eastAsia="Times New Roman" w:hAnsi="Arial" w:cs="Arial"/>
          <w:color w:val="000000"/>
          <w:lang w:eastAsia="sl-SI"/>
        </w:rPr>
        <w:t>rica</w:t>
      </w:r>
      <w:r w:rsidRPr="00C336E7">
        <w:rPr>
          <w:rFonts w:ascii="Arial" w:eastAsia="Times New Roman" w:hAnsi="Arial" w:cs="Arial"/>
          <w:color w:val="000000"/>
          <w:lang w:eastAsia="sl-SI"/>
        </w:rPr>
        <w:t xml:space="preserve"> za pravosodje</w:t>
      </w:r>
      <w:r w:rsidR="009F0B34" w:rsidRPr="00C336E7">
        <w:rPr>
          <w:rFonts w:ascii="Arial" w:eastAsia="Times New Roman" w:hAnsi="Arial" w:cs="Arial"/>
          <w:color w:val="000000"/>
          <w:lang w:eastAsia="sl-SI"/>
        </w:rPr>
        <w:t xml:space="preserve"> izdaja</w:t>
      </w:r>
    </w:p>
    <w:p w14:paraId="77B8C1C1" w14:textId="77777777" w:rsidR="00DE41E1" w:rsidRPr="00C336E7" w:rsidRDefault="00DE41E1" w:rsidP="00C336E7">
      <w:pPr>
        <w:shd w:val="clear" w:color="auto" w:fill="FFFFFF"/>
        <w:spacing w:after="0" w:line="276" w:lineRule="auto"/>
        <w:ind w:firstLine="240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3A4A6E96" w14:textId="67731249" w:rsidR="009F0B34" w:rsidRPr="00C336E7" w:rsidRDefault="00DE41E1" w:rsidP="00C336E7">
      <w:pPr>
        <w:spacing w:after="0" w:line="276" w:lineRule="auto"/>
        <w:jc w:val="center"/>
        <w:rPr>
          <w:rFonts w:ascii="Arial" w:hAnsi="Arial" w:cs="Arial"/>
          <w:b/>
          <w:bCs/>
          <w:lang w:eastAsia="sl-SI"/>
        </w:rPr>
      </w:pPr>
      <w:r w:rsidRPr="00C336E7">
        <w:rPr>
          <w:rFonts w:ascii="Arial" w:hAnsi="Arial" w:cs="Arial"/>
          <w:lang w:eastAsia="sl-SI"/>
        </w:rPr>
        <w:br/>
      </w:r>
      <w:r w:rsidR="009F0B34" w:rsidRPr="00C336E7">
        <w:rPr>
          <w:rFonts w:ascii="Arial" w:hAnsi="Arial" w:cs="Arial"/>
          <w:b/>
          <w:bCs/>
          <w:lang w:eastAsia="sl-SI"/>
        </w:rPr>
        <w:t>PRAVILNIK</w:t>
      </w:r>
    </w:p>
    <w:p w14:paraId="6EBDC930" w14:textId="2E457947" w:rsidR="00DE41E1" w:rsidRPr="00C336E7" w:rsidRDefault="009F0B34" w:rsidP="00C336E7">
      <w:pPr>
        <w:spacing w:after="0" w:line="276" w:lineRule="auto"/>
        <w:jc w:val="center"/>
        <w:rPr>
          <w:rFonts w:ascii="Arial" w:hAnsi="Arial" w:cs="Arial"/>
          <w:b/>
          <w:bCs/>
          <w:lang w:eastAsia="sl-SI"/>
        </w:rPr>
      </w:pPr>
      <w:r w:rsidRPr="00C336E7">
        <w:rPr>
          <w:rFonts w:ascii="Arial" w:hAnsi="Arial" w:cs="Arial"/>
          <w:b/>
          <w:bCs/>
          <w:lang w:eastAsia="sl-SI"/>
        </w:rPr>
        <w:t xml:space="preserve"> </w:t>
      </w:r>
      <w:r w:rsidR="00DE41E1" w:rsidRPr="00C336E7">
        <w:rPr>
          <w:rFonts w:ascii="Arial" w:hAnsi="Arial" w:cs="Arial"/>
          <w:b/>
          <w:bCs/>
          <w:lang w:eastAsia="sl-SI"/>
        </w:rPr>
        <w:t>o spremembah in dopolnitvah Pravilnika o tarifi za odmero nagrade upravitelja v postopkih zaradi insolventnosti in prisilne likvidacije ter stroških, do povrnitve katerih je upravitelj v teh postopkih upravičen</w:t>
      </w:r>
    </w:p>
    <w:p w14:paraId="66922581" w14:textId="77777777" w:rsidR="009F0B34" w:rsidRPr="00C336E7" w:rsidRDefault="009F0B34" w:rsidP="00C336E7">
      <w:pPr>
        <w:spacing w:after="0" w:line="276" w:lineRule="auto"/>
        <w:jc w:val="center"/>
        <w:rPr>
          <w:rFonts w:ascii="Arial" w:eastAsia="Times New Roman" w:hAnsi="Arial" w:cs="Arial"/>
          <w:b/>
          <w:bCs/>
          <w:shd w:val="clear" w:color="auto" w:fill="FFFFFF"/>
          <w:lang w:eastAsia="sl-SI"/>
        </w:rPr>
      </w:pPr>
    </w:p>
    <w:p w14:paraId="01DC2449" w14:textId="4706AFC6" w:rsidR="00DE41E1" w:rsidRPr="00C336E7" w:rsidRDefault="00DE41E1" w:rsidP="00C336E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sl-SI"/>
        </w:rPr>
      </w:pPr>
      <w:r w:rsidRPr="00C336E7">
        <w:rPr>
          <w:rFonts w:ascii="Arial" w:eastAsia="Times New Roman" w:hAnsi="Arial" w:cs="Arial"/>
          <w:b/>
          <w:bCs/>
          <w:shd w:val="clear" w:color="auto" w:fill="FFFFFF"/>
          <w:lang w:eastAsia="sl-SI"/>
        </w:rPr>
        <w:t>1. člen</w:t>
      </w:r>
    </w:p>
    <w:p w14:paraId="7568C315" w14:textId="2D94BFF6" w:rsidR="00DE41E1" w:rsidRPr="00C336E7" w:rsidRDefault="00DE41E1" w:rsidP="00C336E7">
      <w:pPr>
        <w:spacing w:after="0" w:line="276" w:lineRule="auto"/>
        <w:rPr>
          <w:rFonts w:ascii="Arial" w:eastAsia="Times New Roman" w:hAnsi="Arial" w:cs="Arial"/>
          <w:lang w:eastAsia="sl-SI"/>
        </w:rPr>
      </w:pPr>
    </w:p>
    <w:p w14:paraId="4B6EC348" w14:textId="09BCFB68" w:rsidR="000E6890" w:rsidRPr="00C336E7" w:rsidRDefault="00DE41E1" w:rsidP="00C336E7">
      <w:pPr>
        <w:shd w:val="clear" w:color="auto" w:fill="FFFFFF"/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C336E7">
        <w:rPr>
          <w:rFonts w:ascii="Arial" w:eastAsia="Times New Roman" w:hAnsi="Arial" w:cs="Arial"/>
          <w:color w:val="000000"/>
          <w:lang w:eastAsia="sl-SI"/>
        </w:rPr>
        <w:t>V Pravilniku o tarifi za odmero nagrade upravitelja v postopkih zaradi insolventnosti in prisilne likvidacije ter stroških, do povrnitve katerih je upravitelj v teh postopkih upravičen (Uradni list RS, št. 91/08, 119/08, 53/09</w:t>
      </w:r>
      <w:r w:rsidR="0073142A" w:rsidRPr="00C336E7">
        <w:rPr>
          <w:rFonts w:ascii="Arial" w:eastAsia="Times New Roman" w:hAnsi="Arial" w:cs="Arial"/>
          <w:color w:val="000000"/>
          <w:lang w:eastAsia="sl-SI"/>
        </w:rPr>
        <w:t>,</w:t>
      </w:r>
      <w:r w:rsidRPr="00C336E7">
        <w:rPr>
          <w:rFonts w:ascii="Arial" w:eastAsia="Times New Roman" w:hAnsi="Arial" w:cs="Arial"/>
          <w:color w:val="000000"/>
          <w:lang w:eastAsia="sl-SI"/>
        </w:rPr>
        <w:t xml:space="preserve"> 13/14</w:t>
      </w:r>
      <w:r w:rsidR="0073142A" w:rsidRPr="00C336E7">
        <w:rPr>
          <w:rFonts w:ascii="Arial" w:eastAsia="Times New Roman" w:hAnsi="Arial" w:cs="Arial"/>
          <w:color w:val="000000"/>
          <w:lang w:eastAsia="sl-SI"/>
        </w:rPr>
        <w:t xml:space="preserve"> in 66/22</w:t>
      </w:r>
      <w:r w:rsidRPr="00C336E7">
        <w:rPr>
          <w:rFonts w:ascii="Arial" w:eastAsia="Times New Roman" w:hAnsi="Arial" w:cs="Arial"/>
          <w:color w:val="000000"/>
          <w:lang w:eastAsia="sl-SI"/>
        </w:rPr>
        <w:t>) se</w:t>
      </w:r>
      <w:r w:rsidR="00E72686" w:rsidRPr="00C336E7">
        <w:rPr>
          <w:rFonts w:ascii="Arial" w:eastAsia="Times New Roman" w:hAnsi="Arial" w:cs="Arial"/>
          <w:color w:val="000000"/>
          <w:lang w:eastAsia="sl-SI"/>
        </w:rPr>
        <w:t xml:space="preserve"> v</w:t>
      </w:r>
      <w:r w:rsidR="00E926A6" w:rsidRPr="00C336E7">
        <w:rPr>
          <w:rFonts w:ascii="Arial" w:hAnsi="Arial" w:cs="Arial"/>
          <w:bCs/>
          <w:color w:val="000000" w:themeColor="text1"/>
        </w:rPr>
        <w:t xml:space="preserve"> </w:t>
      </w:r>
      <w:r w:rsidR="002252E9" w:rsidRPr="00C336E7">
        <w:rPr>
          <w:rFonts w:ascii="Arial" w:hAnsi="Arial" w:cs="Arial"/>
          <w:bCs/>
          <w:color w:val="000000" w:themeColor="text1"/>
        </w:rPr>
        <w:t xml:space="preserve">7. členu </w:t>
      </w:r>
      <w:r w:rsidR="009F0B34" w:rsidRPr="00C336E7">
        <w:rPr>
          <w:rFonts w:ascii="Arial" w:hAnsi="Arial" w:cs="Arial"/>
          <w:bCs/>
          <w:color w:val="000000" w:themeColor="text1"/>
        </w:rPr>
        <w:t xml:space="preserve">prvi odstavek </w:t>
      </w:r>
      <w:r w:rsidR="00F7761B" w:rsidRPr="00C336E7">
        <w:rPr>
          <w:rFonts w:ascii="Arial" w:hAnsi="Arial" w:cs="Arial"/>
          <w:bCs/>
          <w:color w:val="000000" w:themeColor="text1"/>
        </w:rPr>
        <w:t>spremeni</w:t>
      </w:r>
      <w:r w:rsidR="009F0B34" w:rsidRPr="00C336E7">
        <w:rPr>
          <w:rFonts w:ascii="Arial" w:hAnsi="Arial" w:cs="Arial"/>
          <w:bCs/>
          <w:color w:val="000000" w:themeColor="text1"/>
        </w:rPr>
        <w:t xml:space="preserve"> tako, da se glasi:</w:t>
      </w:r>
    </w:p>
    <w:p w14:paraId="2B76C567" w14:textId="77777777" w:rsidR="009F0B34" w:rsidRPr="00C336E7" w:rsidRDefault="009F0B34" w:rsidP="00C336E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039928CB" w14:textId="7BA4B172" w:rsidR="000E6890" w:rsidRPr="00C336E7" w:rsidRDefault="000E6890" w:rsidP="00C336E7">
      <w:pPr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C336E7">
        <w:rPr>
          <w:rFonts w:ascii="Arial" w:hAnsi="Arial" w:cs="Arial"/>
          <w:bCs/>
          <w:color w:val="000000" w:themeColor="text1"/>
        </w:rPr>
        <w:t>»</w:t>
      </w:r>
      <w:r w:rsidR="009F0B34" w:rsidRPr="00C336E7">
        <w:rPr>
          <w:rFonts w:ascii="Arial" w:hAnsi="Arial" w:cs="Arial"/>
          <w:bCs/>
          <w:color w:val="000000" w:themeColor="text1"/>
        </w:rPr>
        <w:t>(1) Nadomestilo upravitelja za unovčenje stečajne mase in razdelitev se odmeri po naslednji preglednici:</w:t>
      </w:r>
    </w:p>
    <w:p w14:paraId="78386456" w14:textId="77777777" w:rsidR="009F0B34" w:rsidRPr="00C336E7" w:rsidRDefault="009F0B34" w:rsidP="00C336E7">
      <w:pPr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</w:p>
    <w:tbl>
      <w:tblPr>
        <w:tblW w:w="80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806"/>
        <w:gridCol w:w="2235"/>
        <w:gridCol w:w="3010"/>
      </w:tblGrid>
      <w:tr w:rsidR="00F50871" w:rsidRPr="00C336E7" w14:paraId="5D591F38" w14:textId="77777777" w:rsidTr="00C336E7">
        <w:trPr>
          <w:trHeight w:hRule="exact" w:val="672"/>
          <w:jc w:val="center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EA7B202" w14:textId="77777777" w:rsidR="00F50871" w:rsidRPr="00C336E7" w:rsidRDefault="00F50871" w:rsidP="00C336E7">
            <w:pPr>
              <w:spacing w:after="0" w:line="276" w:lineRule="auto"/>
              <w:rPr>
                <w:rFonts w:ascii="Arial" w:hAnsi="Arial" w:cs="Arial"/>
              </w:rPr>
            </w:pPr>
            <w:r w:rsidRPr="00C336E7">
              <w:rPr>
                <w:rFonts w:ascii="Arial" w:hAnsi="Arial" w:cs="Arial"/>
                <w:lang w:val="x-none"/>
              </w:rPr>
              <w:t>Postavka</w:t>
            </w:r>
          </w:p>
        </w:tc>
        <w:tc>
          <w:tcPr>
            <w:tcW w:w="40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264CE2C" w14:textId="77777777" w:rsidR="00F50871" w:rsidRPr="00C336E7" w:rsidRDefault="00F50871" w:rsidP="00C336E7">
            <w:pPr>
              <w:spacing w:after="0" w:line="276" w:lineRule="auto"/>
              <w:rPr>
                <w:rFonts w:ascii="Arial" w:hAnsi="Arial" w:cs="Arial"/>
              </w:rPr>
            </w:pPr>
            <w:r w:rsidRPr="00C336E7">
              <w:rPr>
                <w:rFonts w:ascii="Arial" w:hAnsi="Arial" w:cs="Arial"/>
                <w:lang w:val="x-none"/>
              </w:rPr>
              <w:t>Osnova za izračun v eurih</w:t>
            </w:r>
          </w:p>
        </w:tc>
        <w:tc>
          <w:tcPr>
            <w:tcW w:w="3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046207D" w14:textId="77777777" w:rsidR="00F50871" w:rsidRPr="00C336E7" w:rsidRDefault="00F50871" w:rsidP="00C336E7">
            <w:pPr>
              <w:spacing w:after="0" w:line="276" w:lineRule="auto"/>
              <w:rPr>
                <w:rFonts w:ascii="Arial" w:hAnsi="Arial" w:cs="Arial"/>
              </w:rPr>
            </w:pPr>
            <w:r w:rsidRPr="00C336E7">
              <w:rPr>
                <w:rFonts w:ascii="Arial" w:hAnsi="Arial" w:cs="Arial"/>
                <w:lang w:val="x-none"/>
              </w:rPr>
              <w:t>Nadomestilo v eurih</w:t>
            </w:r>
          </w:p>
        </w:tc>
      </w:tr>
      <w:tr w:rsidR="00F50871" w:rsidRPr="00C336E7" w14:paraId="65DE3176" w14:textId="77777777" w:rsidTr="00C336E7">
        <w:trPr>
          <w:trHeight w:hRule="exact" w:val="583"/>
          <w:jc w:val="center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F0F8FF2" w14:textId="77777777" w:rsidR="00F50871" w:rsidRPr="00C336E7" w:rsidRDefault="00F50871" w:rsidP="00C336E7">
            <w:pPr>
              <w:spacing w:after="0" w:line="276" w:lineRule="auto"/>
              <w:rPr>
                <w:rFonts w:ascii="Arial" w:hAnsi="Arial" w:cs="Arial"/>
              </w:rPr>
            </w:pPr>
            <w:r w:rsidRPr="00C336E7">
              <w:rPr>
                <w:rFonts w:ascii="Arial" w:hAnsi="Arial" w:cs="Arial"/>
                <w:lang w:val="x-none"/>
              </w:rPr>
              <w:t>I.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3120045" w14:textId="77777777" w:rsidR="00F50871" w:rsidRPr="00C336E7" w:rsidRDefault="00F50871" w:rsidP="00C336E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C336E7">
              <w:rPr>
                <w:rFonts w:ascii="Arial" w:hAnsi="Arial" w:cs="Arial"/>
                <w:lang w:val="x-none"/>
              </w:rPr>
              <w:t>do 37.500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4A12A3C" w14:textId="77777777" w:rsidR="00F50871" w:rsidRPr="00C336E7" w:rsidRDefault="00F50871" w:rsidP="00C336E7">
            <w:pPr>
              <w:spacing w:after="0" w:line="276" w:lineRule="auto"/>
              <w:rPr>
                <w:rFonts w:ascii="Arial" w:hAnsi="Arial" w:cs="Arial"/>
              </w:rPr>
            </w:pPr>
            <w:r w:rsidRPr="00C336E7">
              <w:rPr>
                <w:rFonts w:ascii="Arial" w:hAnsi="Arial" w:cs="Arial"/>
                <w:lang w:val="x-none"/>
              </w:rPr>
              <w:t>10%</w:t>
            </w:r>
          </w:p>
        </w:tc>
      </w:tr>
      <w:tr w:rsidR="00F50871" w:rsidRPr="00C336E7" w14:paraId="0C3F5887" w14:textId="77777777" w:rsidTr="00C336E7">
        <w:trPr>
          <w:trHeight w:hRule="exact" w:val="607"/>
          <w:jc w:val="center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81C6AD7" w14:textId="77777777" w:rsidR="00F50871" w:rsidRPr="00C336E7" w:rsidRDefault="00F50871" w:rsidP="00C336E7">
            <w:pPr>
              <w:spacing w:after="0" w:line="276" w:lineRule="auto"/>
              <w:rPr>
                <w:rFonts w:ascii="Arial" w:hAnsi="Arial" w:cs="Arial"/>
              </w:rPr>
            </w:pPr>
            <w:r w:rsidRPr="00C336E7">
              <w:rPr>
                <w:rFonts w:ascii="Arial" w:hAnsi="Arial" w:cs="Arial"/>
                <w:lang w:val="x-none"/>
              </w:rPr>
              <w:t>II.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53B6DF5" w14:textId="77777777" w:rsidR="00F50871" w:rsidRPr="00C336E7" w:rsidRDefault="00F50871" w:rsidP="00C336E7">
            <w:pPr>
              <w:spacing w:after="0" w:line="276" w:lineRule="auto"/>
              <w:rPr>
                <w:rFonts w:ascii="Arial" w:hAnsi="Arial" w:cs="Arial"/>
              </w:rPr>
            </w:pPr>
            <w:r w:rsidRPr="00C336E7">
              <w:rPr>
                <w:rFonts w:ascii="Arial" w:hAnsi="Arial" w:cs="Arial"/>
                <w:lang w:val="x-none"/>
              </w:rPr>
              <w:t>nad 37.500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3F61E28" w14:textId="77777777" w:rsidR="00F50871" w:rsidRPr="00C336E7" w:rsidRDefault="00F50871" w:rsidP="00C336E7">
            <w:pPr>
              <w:spacing w:after="0" w:line="276" w:lineRule="auto"/>
              <w:rPr>
                <w:rFonts w:ascii="Arial" w:hAnsi="Arial" w:cs="Arial"/>
              </w:rPr>
            </w:pPr>
            <w:r w:rsidRPr="00C336E7">
              <w:rPr>
                <w:rFonts w:ascii="Arial" w:hAnsi="Arial" w:cs="Arial"/>
                <w:lang w:val="x-none"/>
              </w:rPr>
              <w:t>do 375.000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3EFA951" w14:textId="77777777" w:rsidR="00F50871" w:rsidRPr="00C336E7" w:rsidRDefault="00F50871" w:rsidP="00C336E7">
            <w:pPr>
              <w:spacing w:after="0" w:line="276" w:lineRule="auto"/>
              <w:rPr>
                <w:rFonts w:ascii="Arial" w:hAnsi="Arial" w:cs="Arial"/>
              </w:rPr>
            </w:pPr>
            <w:r w:rsidRPr="00C336E7">
              <w:rPr>
                <w:rFonts w:ascii="Arial" w:hAnsi="Arial" w:cs="Arial"/>
                <w:lang w:val="x-none"/>
              </w:rPr>
              <w:t>3.750 + 4% nad 37.500</w:t>
            </w:r>
          </w:p>
        </w:tc>
      </w:tr>
      <w:tr w:rsidR="00F50871" w:rsidRPr="00C336E7" w14:paraId="78C44E02" w14:textId="77777777" w:rsidTr="00C336E7">
        <w:trPr>
          <w:trHeight w:hRule="exact" w:val="654"/>
          <w:jc w:val="center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533ED2F" w14:textId="77777777" w:rsidR="00F50871" w:rsidRPr="00C336E7" w:rsidRDefault="00F50871" w:rsidP="00C336E7">
            <w:pPr>
              <w:spacing w:after="0" w:line="276" w:lineRule="auto"/>
              <w:rPr>
                <w:rFonts w:ascii="Arial" w:hAnsi="Arial" w:cs="Arial"/>
              </w:rPr>
            </w:pPr>
            <w:r w:rsidRPr="00C336E7">
              <w:rPr>
                <w:rFonts w:ascii="Arial" w:hAnsi="Arial" w:cs="Arial"/>
                <w:lang w:val="x-none"/>
              </w:rPr>
              <w:t>III.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41F227A" w14:textId="77777777" w:rsidR="00F50871" w:rsidRPr="00C336E7" w:rsidRDefault="00F50871" w:rsidP="00C336E7">
            <w:pPr>
              <w:spacing w:after="0" w:line="276" w:lineRule="auto"/>
              <w:rPr>
                <w:rFonts w:ascii="Arial" w:hAnsi="Arial" w:cs="Arial"/>
              </w:rPr>
            </w:pPr>
            <w:r w:rsidRPr="00C336E7">
              <w:rPr>
                <w:rFonts w:ascii="Arial" w:hAnsi="Arial" w:cs="Arial"/>
                <w:lang w:val="x-none"/>
              </w:rPr>
              <w:t>nad 375.000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97A8CA5" w14:textId="77777777" w:rsidR="00F50871" w:rsidRPr="00C336E7" w:rsidRDefault="00F50871" w:rsidP="00C336E7">
            <w:pPr>
              <w:spacing w:after="0" w:line="276" w:lineRule="auto"/>
              <w:rPr>
                <w:rFonts w:ascii="Arial" w:hAnsi="Arial" w:cs="Arial"/>
              </w:rPr>
            </w:pPr>
            <w:r w:rsidRPr="00C336E7">
              <w:rPr>
                <w:rFonts w:ascii="Arial" w:hAnsi="Arial" w:cs="Arial"/>
                <w:lang w:val="x-none"/>
              </w:rPr>
              <w:t>do 750.000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D72661E" w14:textId="77777777" w:rsidR="00F50871" w:rsidRPr="00C336E7" w:rsidRDefault="00F50871" w:rsidP="00C336E7">
            <w:pPr>
              <w:spacing w:after="0" w:line="276" w:lineRule="auto"/>
              <w:rPr>
                <w:rFonts w:ascii="Arial" w:hAnsi="Arial" w:cs="Arial"/>
              </w:rPr>
            </w:pPr>
            <w:r w:rsidRPr="00C336E7">
              <w:rPr>
                <w:rFonts w:ascii="Arial" w:hAnsi="Arial" w:cs="Arial"/>
                <w:lang w:val="x-none"/>
              </w:rPr>
              <w:t>17.250 + 3% nad 375.000</w:t>
            </w:r>
          </w:p>
        </w:tc>
      </w:tr>
      <w:tr w:rsidR="00F50871" w:rsidRPr="00C336E7" w14:paraId="64459EED" w14:textId="77777777" w:rsidTr="00C336E7">
        <w:trPr>
          <w:trHeight w:hRule="exact" w:val="702"/>
          <w:jc w:val="center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DF19D03" w14:textId="77777777" w:rsidR="00F50871" w:rsidRPr="00C336E7" w:rsidRDefault="00F50871" w:rsidP="00C336E7">
            <w:pPr>
              <w:spacing w:after="0" w:line="276" w:lineRule="auto"/>
              <w:rPr>
                <w:rFonts w:ascii="Arial" w:hAnsi="Arial" w:cs="Arial"/>
              </w:rPr>
            </w:pPr>
            <w:r w:rsidRPr="00C336E7">
              <w:rPr>
                <w:rFonts w:ascii="Arial" w:hAnsi="Arial" w:cs="Arial"/>
                <w:lang w:val="x-none"/>
              </w:rPr>
              <w:t>IV.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9214059" w14:textId="77777777" w:rsidR="00F50871" w:rsidRPr="00C336E7" w:rsidRDefault="00F50871" w:rsidP="00C336E7">
            <w:pPr>
              <w:spacing w:after="0" w:line="276" w:lineRule="auto"/>
              <w:rPr>
                <w:rFonts w:ascii="Arial" w:hAnsi="Arial" w:cs="Arial"/>
              </w:rPr>
            </w:pPr>
            <w:r w:rsidRPr="00C336E7">
              <w:rPr>
                <w:rFonts w:ascii="Arial" w:hAnsi="Arial" w:cs="Arial"/>
                <w:lang w:val="x-none"/>
              </w:rPr>
              <w:t>nad 750.000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BAE8260" w14:textId="77777777" w:rsidR="00F50871" w:rsidRPr="00C336E7" w:rsidRDefault="00F50871" w:rsidP="00C336E7">
            <w:pPr>
              <w:spacing w:after="0" w:line="276" w:lineRule="auto"/>
              <w:rPr>
                <w:rFonts w:ascii="Arial" w:hAnsi="Arial" w:cs="Arial"/>
              </w:rPr>
            </w:pPr>
            <w:r w:rsidRPr="00C336E7">
              <w:rPr>
                <w:rFonts w:ascii="Arial" w:hAnsi="Arial" w:cs="Arial"/>
                <w:lang w:val="x-none"/>
              </w:rPr>
              <w:t>do 2.250.000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0CC9A3B" w14:textId="77777777" w:rsidR="00F50871" w:rsidRPr="00C336E7" w:rsidRDefault="00F50871" w:rsidP="00C336E7">
            <w:pPr>
              <w:spacing w:after="0" w:line="276" w:lineRule="auto"/>
              <w:rPr>
                <w:rFonts w:ascii="Arial" w:hAnsi="Arial" w:cs="Arial"/>
              </w:rPr>
            </w:pPr>
            <w:r w:rsidRPr="00C336E7">
              <w:rPr>
                <w:rFonts w:ascii="Arial" w:hAnsi="Arial" w:cs="Arial"/>
                <w:lang w:val="x-none"/>
              </w:rPr>
              <w:t>28.500 + 1% nad 750.000</w:t>
            </w:r>
          </w:p>
        </w:tc>
      </w:tr>
      <w:tr w:rsidR="00F50871" w:rsidRPr="00C336E7" w14:paraId="2E245C3D" w14:textId="77777777" w:rsidTr="00C336E7">
        <w:trPr>
          <w:trHeight w:hRule="exact" w:val="736"/>
          <w:jc w:val="center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DEECD9A" w14:textId="77777777" w:rsidR="00F50871" w:rsidRPr="00C336E7" w:rsidRDefault="00F50871" w:rsidP="00C336E7">
            <w:pPr>
              <w:spacing w:after="0" w:line="276" w:lineRule="auto"/>
              <w:rPr>
                <w:rFonts w:ascii="Arial" w:hAnsi="Arial" w:cs="Arial"/>
              </w:rPr>
            </w:pPr>
            <w:r w:rsidRPr="00C336E7">
              <w:rPr>
                <w:rFonts w:ascii="Arial" w:hAnsi="Arial" w:cs="Arial"/>
                <w:lang w:val="x-none"/>
              </w:rPr>
              <w:t>V.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D526F2E" w14:textId="77777777" w:rsidR="00F50871" w:rsidRPr="00C336E7" w:rsidRDefault="00F50871" w:rsidP="00C336E7">
            <w:pPr>
              <w:spacing w:after="0" w:line="276" w:lineRule="auto"/>
              <w:rPr>
                <w:rFonts w:ascii="Arial" w:hAnsi="Arial" w:cs="Arial"/>
              </w:rPr>
            </w:pPr>
            <w:r w:rsidRPr="00C336E7">
              <w:rPr>
                <w:rFonts w:ascii="Arial" w:hAnsi="Arial" w:cs="Arial"/>
                <w:lang w:val="x-none"/>
              </w:rPr>
              <w:t>nad 2.250.000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E7FF035" w14:textId="77777777" w:rsidR="00F50871" w:rsidRPr="00C336E7" w:rsidRDefault="00F50871" w:rsidP="00C336E7">
            <w:pPr>
              <w:spacing w:after="0" w:line="276" w:lineRule="auto"/>
              <w:rPr>
                <w:rFonts w:ascii="Arial" w:hAnsi="Arial" w:cs="Arial"/>
              </w:rPr>
            </w:pPr>
            <w:r w:rsidRPr="00C336E7">
              <w:rPr>
                <w:rFonts w:ascii="Arial" w:hAnsi="Arial" w:cs="Arial"/>
                <w:lang w:val="x-none"/>
              </w:rPr>
              <w:t>do 3.550.000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D2EF972" w14:textId="77777777" w:rsidR="00F50871" w:rsidRPr="00C336E7" w:rsidRDefault="00F50871" w:rsidP="00C336E7">
            <w:pPr>
              <w:spacing w:after="0" w:line="276" w:lineRule="auto"/>
              <w:rPr>
                <w:rFonts w:ascii="Arial" w:hAnsi="Arial" w:cs="Arial"/>
              </w:rPr>
            </w:pPr>
            <w:r w:rsidRPr="00C336E7">
              <w:rPr>
                <w:rFonts w:ascii="Arial" w:hAnsi="Arial" w:cs="Arial"/>
                <w:lang w:val="x-none"/>
              </w:rPr>
              <w:t>43.500 + 0,5% nad 2.250.000</w:t>
            </w:r>
          </w:p>
        </w:tc>
      </w:tr>
      <w:tr w:rsidR="00F50871" w:rsidRPr="00C336E7" w14:paraId="311C8A31" w14:textId="77777777" w:rsidTr="00C336E7">
        <w:trPr>
          <w:trHeight w:hRule="exact" w:val="1571"/>
          <w:jc w:val="center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3F35120" w14:textId="77777777" w:rsidR="00F50871" w:rsidRPr="00C336E7" w:rsidRDefault="00F50871" w:rsidP="00C336E7">
            <w:pPr>
              <w:spacing w:after="0" w:line="276" w:lineRule="auto"/>
              <w:rPr>
                <w:rFonts w:ascii="Arial" w:hAnsi="Arial" w:cs="Arial"/>
              </w:rPr>
            </w:pPr>
            <w:r w:rsidRPr="00C336E7">
              <w:rPr>
                <w:rFonts w:ascii="Arial" w:hAnsi="Arial" w:cs="Arial"/>
                <w:lang w:val="x-none"/>
              </w:rPr>
              <w:t>VI.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87BFE9B" w14:textId="77777777" w:rsidR="00F50871" w:rsidRPr="00C336E7" w:rsidRDefault="00F50871" w:rsidP="00C336E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C336E7">
              <w:rPr>
                <w:rFonts w:ascii="Arial" w:hAnsi="Arial" w:cs="Arial"/>
                <w:lang w:val="x-none"/>
              </w:rPr>
              <w:t>nad 3.550.000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7E3732C" w14:textId="77777777" w:rsidR="00F50871" w:rsidRPr="00C336E7" w:rsidRDefault="00F50871" w:rsidP="00C336E7">
            <w:pPr>
              <w:spacing w:after="0" w:line="276" w:lineRule="auto"/>
              <w:rPr>
                <w:rFonts w:ascii="Arial" w:hAnsi="Arial" w:cs="Arial"/>
              </w:rPr>
            </w:pPr>
            <w:r w:rsidRPr="00C336E7">
              <w:rPr>
                <w:rFonts w:ascii="Arial" w:hAnsi="Arial" w:cs="Arial"/>
                <w:lang w:val="x-none"/>
              </w:rPr>
              <w:t>50.000 + 0,3% nad 3.550.000,</w:t>
            </w:r>
          </w:p>
          <w:p w14:paraId="6BC64A48" w14:textId="6D21EF53" w:rsidR="00F50871" w:rsidRPr="00C336E7" w:rsidRDefault="00F50871" w:rsidP="00C336E7">
            <w:pPr>
              <w:spacing w:after="0" w:line="276" w:lineRule="auto"/>
              <w:rPr>
                <w:rFonts w:ascii="Arial" w:hAnsi="Arial" w:cs="Arial"/>
              </w:rPr>
            </w:pPr>
            <w:r w:rsidRPr="00C336E7">
              <w:rPr>
                <w:rFonts w:ascii="Arial" w:hAnsi="Arial" w:cs="Arial"/>
                <w:lang w:val="x-none"/>
              </w:rPr>
              <w:t xml:space="preserve">vendar največ </w:t>
            </w:r>
            <w:r w:rsidR="00F32019" w:rsidRPr="00C336E7">
              <w:rPr>
                <w:rFonts w:ascii="Arial" w:hAnsi="Arial" w:cs="Arial"/>
              </w:rPr>
              <w:t>10</w:t>
            </w:r>
            <w:r w:rsidRPr="00C336E7">
              <w:rPr>
                <w:rFonts w:ascii="Arial" w:hAnsi="Arial" w:cs="Arial"/>
                <w:lang w:val="x-none"/>
              </w:rPr>
              <w:t>0.000</w:t>
            </w:r>
          </w:p>
        </w:tc>
      </w:tr>
    </w:tbl>
    <w:p w14:paraId="7BB91DFA" w14:textId="5460FE1C" w:rsidR="00DB231D" w:rsidRPr="00C336E7" w:rsidRDefault="00DB231D" w:rsidP="00C336E7">
      <w:pPr>
        <w:spacing w:after="0" w:line="276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C336E7">
        <w:rPr>
          <w:rFonts w:ascii="Arial" w:hAnsi="Arial" w:cs="Arial"/>
          <w:bCs/>
          <w:color w:val="000000" w:themeColor="text1"/>
        </w:rPr>
        <w:t>«</w:t>
      </w:r>
      <w:r w:rsidR="00F7761B" w:rsidRPr="00C336E7">
        <w:rPr>
          <w:rFonts w:ascii="Arial" w:hAnsi="Arial" w:cs="Arial"/>
          <w:bCs/>
          <w:color w:val="000000" w:themeColor="text1"/>
        </w:rPr>
        <w:t>.</w:t>
      </w:r>
    </w:p>
    <w:p w14:paraId="1C706A72" w14:textId="77777777" w:rsidR="003E484D" w:rsidRPr="00C336E7" w:rsidRDefault="003E484D" w:rsidP="00C336E7">
      <w:pPr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</w:p>
    <w:p w14:paraId="12889B5E" w14:textId="14F4E3E5" w:rsidR="00E72686" w:rsidRPr="00C336E7" w:rsidRDefault="00F7761B" w:rsidP="00C336E7">
      <w:pPr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C336E7">
        <w:rPr>
          <w:rFonts w:ascii="Arial" w:hAnsi="Arial" w:cs="Arial"/>
          <w:bCs/>
          <w:color w:val="000000" w:themeColor="text1"/>
        </w:rPr>
        <w:t>Za tretjim odstavkom se d</w:t>
      </w:r>
      <w:r w:rsidR="00E72686" w:rsidRPr="00C336E7">
        <w:rPr>
          <w:rFonts w:ascii="Arial" w:hAnsi="Arial" w:cs="Arial"/>
          <w:bCs/>
          <w:color w:val="000000" w:themeColor="text1"/>
        </w:rPr>
        <w:t>oda nov četrti odstavek, ki se glasi:</w:t>
      </w:r>
    </w:p>
    <w:p w14:paraId="7C8E6AF7" w14:textId="77777777" w:rsidR="00E72686" w:rsidRPr="00C336E7" w:rsidRDefault="00E72686" w:rsidP="00C336E7">
      <w:pPr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</w:p>
    <w:p w14:paraId="7EAA6D81" w14:textId="11D78D81" w:rsidR="00E72686" w:rsidRPr="00C336E7" w:rsidRDefault="00F7761B" w:rsidP="00C336E7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336E7">
        <w:rPr>
          <w:rFonts w:ascii="Arial" w:hAnsi="Arial" w:cs="Arial"/>
          <w:color w:val="000000"/>
          <w:shd w:val="clear" w:color="auto" w:fill="FFFFFF"/>
        </w:rPr>
        <w:t>»</w:t>
      </w:r>
      <w:r w:rsidR="008234C4" w:rsidRPr="00C336E7">
        <w:rPr>
          <w:rFonts w:ascii="Arial" w:hAnsi="Arial" w:cs="Arial"/>
          <w:color w:val="000000"/>
          <w:shd w:val="clear" w:color="auto" w:fill="FFFFFF"/>
        </w:rPr>
        <w:t xml:space="preserve">(4) </w:t>
      </w:r>
      <w:r w:rsidR="00E72686" w:rsidRPr="00C336E7">
        <w:rPr>
          <w:rFonts w:ascii="Arial" w:hAnsi="Arial" w:cs="Arial"/>
          <w:color w:val="000000"/>
          <w:shd w:val="clear" w:color="auto" w:fill="FFFFFF"/>
        </w:rPr>
        <w:t>Nadomestilo, določeno po prvem odstavku tega člena, se lahko zviša ali zniža največ za 20 odstotkov, če je unovčeno premoženje sestavljalo premoženje, ki je bilo različnih oblik, vrst ali</w:t>
      </w:r>
      <w:r w:rsidR="0073142A" w:rsidRPr="00C336E7">
        <w:rPr>
          <w:rFonts w:ascii="Arial" w:hAnsi="Arial" w:cs="Arial"/>
          <w:color w:val="000000"/>
          <w:shd w:val="clear" w:color="auto" w:fill="FFFFFF"/>
        </w:rPr>
        <w:t xml:space="preserve"> je bilo</w:t>
      </w:r>
      <w:r w:rsidR="00E72686" w:rsidRPr="00C336E7">
        <w:rPr>
          <w:rFonts w:ascii="Arial" w:hAnsi="Arial" w:cs="Arial"/>
          <w:color w:val="000000"/>
          <w:shd w:val="clear" w:color="auto" w:fill="FFFFFF"/>
        </w:rPr>
        <w:t xml:space="preserve"> večjega števila, kar je terjalo več oziroma manj prodaj.«</w:t>
      </w:r>
      <w:r w:rsidRPr="00C336E7">
        <w:rPr>
          <w:rFonts w:ascii="Arial" w:hAnsi="Arial" w:cs="Arial"/>
          <w:color w:val="000000"/>
          <w:shd w:val="clear" w:color="auto" w:fill="FFFFFF"/>
        </w:rPr>
        <w:t>.</w:t>
      </w:r>
    </w:p>
    <w:p w14:paraId="47399EF9" w14:textId="089495C5" w:rsidR="003E484D" w:rsidRPr="00C336E7" w:rsidRDefault="003E484D" w:rsidP="00C336E7">
      <w:pPr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</w:p>
    <w:p w14:paraId="52845233" w14:textId="155C4204" w:rsidR="00223ED3" w:rsidRPr="00C336E7" w:rsidRDefault="003E484D" w:rsidP="00C336E7">
      <w:pPr>
        <w:spacing w:after="0" w:line="276" w:lineRule="auto"/>
        <w:jc w:val="both"/>
        <w:rPr>
          <w:rFonts w:ascii="Arial" w:hAnsi="Arial" w:cs="Arial"/>
        </w:rPr>
      </w:pPr>
      <w:r w:rsidRPr="00C336E7">
        <w:rPr>
          <w:rFonts w:ascii="Arial" w:hAnsi="Arial" w:cs="Arial"/>
          <w:bCs/>
          <w:color w:val="000000" w:themeColor="text1"/>
        </w:rPr>
        <w:t xml:space="preserve">Dosedanji </w:t>
      </w:r>
      <w:r w:rsidR="008234C4" w:rsidRPr="00C336E7">
        <w:rPr>
          <w:rFonts w:ascii="Arial" w:hAnsi="Arial" w:cs="Arial"/>
          <w:bCs/>
          <w:color w:val="000000" w:themeColor="text1"/>
        </w:rPr>
        <w:t>četrti</w:t>
      </w:r>
      <w:r w:rsidRPr="00C336E7">
        <w:rPr>
          <w:rFonts w:ascii="Arial" w:hAnsi="Arial" w:cs="Arial"/>
          <w:bCs/>
          <w:color w:val="000000" w:themeColor="text1"/>
        </w:rPr>
        <w:t xml:space="preserve"> odstavek postane </w:t>
      </w:r>
      <w:r w:rsidR="00F7761B" w:rsidRPr="00C336E7">
        <w:rPr>
          <w:rFonts w:ascii="Arial" w:hAnsi="Arial" w:cs="Arial"/>
          <w:bCs/>
          <w:color w:val="000000" w:themeColor="text1"/>
        </w:rPr>
        <w:t xml:space="preserve">peti </w:t>
      </w:r>
      <w:r w:rsidRPr="00C336E7">
        <w:rPr>
          <w:rFonts w:ascii="Arial" w:hAnsi="Arial" w:cs="Arial"/>
          <w:bCs/>
          <w:color w:val="000000" w:themeColor="text1"/>
        </w:rPr>
        <w:t>odstavek.</w:t>
      </w:r>
    </w:p>
    <w:p w14:paraId="06C8B694" w14:textId="5D10F3B3" w:rsidR="00835A06" w:rsidRPr="00C336E7" w:rsidRDefault="00835A06" w:rsidP="00C336E7">
      <w:pPr>
        <w:spacing w:after="0" w:line="276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</w:p>
    <w:p w14:paraId="6E62131C" w14:textId="4AB365A2" w:rsidR="00835A06" w:rsidRPr="00C336E7" w:rsidRDefault="00835A06" w:rsidP="00C336E7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hd w:val="clear" w:color="auto" w:fill="FFFFFF"/>
        </w:rPr>
      </w:pPr>
      <w:r w:rsidRPr="00C336E7">
        <w:rPr>
          <w:rFonts w:ascii="Arial" w:eastAsia="Calibri" w:hAnsi="Arial" w:cs="Arial"/>
          <w:b/>
          <w:bCs/>
          <w:color w:val="000000"/>
          <w:shd w:val="clear" w:color="auto" w:fill="FFFFFF"/>
        </w:rPr>
        <w:t>3. člen</w:t>
      </w:r>
    </w:p>
    <w:p w14:paraId="3D4D42B0" w14:textId="58043AAB" w:rsidR="008E4EDB" w:rsidRPr="00C336E7" w:rsidRDefault="008E4EDB" w:rsidP="00C336E7">
      <w:pPr>
        <w:spacing w:after="0" w:line="276" w:lineRule="auto"/>
        <w:jc w:val="center"/>
        <w:rPr>
          <w:rFonts w:ascii="Arial" w:eastAsia="Calibri" w:hAnsi="Arial" w:cs="Arial"/>
          <w:color w:val="000000"/>
          <w:shd w:val="clear" w:color="auto" w:fill="FFFFFF"/>
        </w:rPr>
      </w:pPr>
    </w:p>
    <w:p w14:paraId="386E8E90" w14:textId="68F73A0B" w:rsidR="00F7761B" w:rsidRPr="00C336E7" w:rsidRDefault="008F5100" w:rsidP="00C336E7">
      <w:pPr>
        <w:spacing w:after="0" w:line="276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C336E7">
        <w:rPr>
          <w:rFonts w:ascii="Arial" w:eastAsia="Calibri" w:hAnsi="Arial" w:cs="Arial"/>
          <w:color w:val="000000"/>
          <w:shd w:val="clear" w:color="auto" w:fill="FFFFFF"/>
        </w:rPr>
        <w:t xml:space="preserve">V 22. členu se v prvi alineji </w:t>
      </w:r>
      <w:r w:rsidR="00F7761B" w:rsidRPr="00C336E7">
        <w:rPr>
          <w:rFonts w:ascii="Arial" w:eastAsia="Calibri" w:hAnsi="Arial" w:cs="Arial"/>
          <w:color w:val="000000"/>
          <w:shd w:val="clear" w:color="auto" w:fill="FFFFFF"/>
        </w:rPr>
        <w:t xml:space="preserve">znesek </w:t>
      </w:r>
      <w:r w:rsidRPr="00C336E7">
        <w:rPr>
          <w:rFonts w:ascii="Arial" w:eastAsia="Calibri" w:hAnsi="Arial" w:cs="Arial"/>
          <w:color w:val="000000"/>
          <w:shd w:val="clear" w:color="auto" w:fill="FFFFFF"/>
        </w:rPr>
        <w:t>»</w:t>
      </w:r>
      <w:r w:rsidR="008234C4" w:rsidRPr="00C336E7">
        <w:rPr>
          <w:rFonts w:ascii="Arial" w:eastAsia="Calibri" w:hAnsi="Arial" w:cs="Arial"/>
          <w:color w:val="000000"/>
          <w:shd w:val="clear" w:color="auto" w:fill="FFFFFF"/>
        </w:rPr>
        <w:t>1</w:t>
      </w:r>
      <w:r w:rsidR="00F7761B" w:rsidRPr="00C336E7">
        <w:rPr>
          <w:rFonts w:ascii="Arial" w:eastAsia="Calibri" w:hAnsi="Arial" w:cs="Arial"/>
          <w:color w:val="000000"/>
          <w:shd w:val="clear" w:color="auto" w:fill="FFFFFF"/>
        </w:rPr>
        <w:t>.</w:t>
      </w:r>
      <w:r w:rsidR="008234C4" w:rsidRPr="00C336E7">
        <w:rPr>
          <w:rFonts w:ascii="Arial" w:eastAsia="Calibri" w:hAnsi="Arial" w:cs="Arial"/>
          <w:color w:val="000000"/>
          <w:shd w:val="clear" w:color="auto" w:fill="FFFFFF"/>
        </w:rPr>
        <w:t>200 eurov</w:t>
      </w:r>
      <w:r w:rsidRPr="00C336E7">
        <w:rPr>
          <w:rFonts w:ascii="Arial" w:eastAsia="Calibri" w:hAnsi="Arial" w:cs="Arial"/>
          <w:color w:val="000000"/>
          <w:shd w:val="clear" w:color="auto" w:fill="FFFFFF"/>
        </w:rPr>
        <w:t xml:space="preserve">« nadomesti z </w:t>
      </w:r>
      <w:r w:rsidR="00F7761B" w:rsidRPr="00C336E7">
        <w:rPr>
          <w:rFonts w:ascii="Arial" w:eastAsia="Calibri" w:hAnsi="Arial" w:cs="Arial"/>
          <w:color w:val="000000"/>
          <w:shd w:val="clear" w:color="auto" w:fill="FFFFFF"/>
        </w:rPr>
        <w:t xml:space="preserve">zneskom </w:t>
      </w:r>
      <w:r w:rsidRPr="00C336E7">
        <w:rPr>
          <w:rFonts w:ascii="Arial" w:eastAsia="Calibri" w:hAnsi="Arial" w:cs="Arial"/>
          <w:color w:val="000000"/>
          <w:shd w:val="clear" w:color="auto" w:fill="FFFFFF"/>
        </w:rPr>
        <w:t>»</w:t>
      </w:r>
      <w:r w:rsidR="008234C4" w:rsidRPr="00C336E7">
        <w:rPr>
          <w:rFonts w:ascii="Arial" w:eastAsia="Calibri" w:hAnsi="Arial" w:cs="Arial"/>
          <w:color w:val="000000"/>
          <w:shd w:val="clear" w:color="auto" w:fill="FFFFFF"/>
        </w:rPr>
        <w:t>1</w:t>
      </w:r>
      <w:r w:rsidR="00F7761B" w:rsidRPr="00C336E7">
        <w:rPr>
          <w:rFonts w:ascii="Arial" w:eastAsia="Calibri" w:hAnsi="Arial" w:cs="Arial"/>
          <w:color w:val="000000"/>
          <w:shd w:val="clear" w:color="auto" w:fill="FFFFFF"/>
        </w:rPr>
        <w:t>.</w:t>
      </w:r>
      <w:r w:rsidR="008234C4" w:rsidRPr="00C336E7">
        <w:rPr>
          <w:rFonts w:ascii="Arial" w:eastAsia="Calibri" w:hAnsi="Arial" w:cs="Arial"/>
          <w:color w:val="000000"/>
          <w:shd w:val="clear" w:color="auto" w:fill="FFFFFF"/>
        </w:rPr>
        <w:t>081</w:t>
      </w:r>
      <w:r w:rsidR="00F7761B" w:rsidRPr="00C336E7">
        <w:rPr>
          <w:rFonts w:ascii="Arial" w:eastAsia="Calibri" w:hAnsi="Arial" w:cs="Arial"/>
          <w:color w:val="000000"/>
          <w:shd w:val="clear" w:color="auto" w:fill="FFFFFF"/>
        </w:rPr>
        <w:t xml:space="preserve"> eurov</w:t>
      </w:r>
      <w:r w:rsidRPr="00C336E7">
        <w:rPr>
          <w:rFonts w:ascii="Arial" w:eastAsia="Calibri" w:hAnsi="Arial" w:cs="Arial"/>
          <w:color w:val="000000"/>
          <w:shd w:val="clear" w:color="auto" w:fill="FFFFFF"/>
        </w:rPr>
        <w:t>«</w:t>
      </w:r>
      <w:r w:rsidR="00C909ED" w:rsidRPr="00C336E7">
        <w:rPr>
          <w:rFonts w:ascii="Arial" w:eastAsia="Calibri" w:hAnsi="Arial" w:cs="Arial"/>
          <w:color w:val="000000"/>
          <w:shd w:val="clear" w:color="auto" w:fill="FFFFFF"/>
        </w:rPr>
        <w:t xml:space="preserve">, </w:t>
      </w:r>
      <w:r w:rsidRPr="00C336E7">
        <w:rPr>
          <w:rFonts w:ascii="Arial" w:eastAsia="Calibri" w:hAnsi="Arial" w:cs="Arial"/>
          <w:color w:val="000000"/>
          <w:shd w:val="clear" w:color="auto" w:fill="FFFFFF"/>
        </w:rPr>
        <w:t xml:space="preserve">v drugi alineji </w:t>
      </w:r>
      <w:r w:rsidR="00C909ED" w:rsidRPr="00C336E7">
        <w:rPr>
          <w:rFonts w:ascii="Arial" w:eastAsia="Calibri" w:hAnsi="Arial" w:cs="Arial"/>
          <w:color w:val="000000"/>
          <w:shd w:val="clear" w:color="auto" w:fill="FFFFFF"/>
        </w:rPr>
        <w:t xml:space="preserve">pa </w:t>
      </w:r>
      <w:r w:rsidR="00F7761B" w:rsidRPr="00C336E7">
        <w:rPr>
          <w:rFonts w:ascii="Arial" w:eastAsia="Calibri" w:hAnsi="Arial" w:cs="Arial"/>
          <w:color w:val="000000"/>
          <w:shd w:val="clear" w:color="auto" w:fill="FFFFFF"/>
        </w:rPr>
        <w:t xml:space="preserve">se znesek </w:t>
      </w:r>
      <w:r w:rsidRPr="00C336E7">
        <w:rPr>
          <w:rFonts w:ascii="Arial" w:eastAsia="Calibri" w:hAnsi="Arial" w:cs="Arial"/>
          <w:color w:val="000000"/>
          <w:shd w:val="clear" w:color="auto" w:fill="FFFFFF"/>
        </w:rPr>
        <w:t>»</w:t>
      </w:r>
      <w:r w:rsidR="008234C4" w:rsidRPr="00C336E7">
        <w:rPr>
          <w:rFonts w:ascii="Arial" w:eastAsia="Calibri" w:hAnsi="Arial" w:cs="Arial"/>
          <w:color w:val="000000"/>
          <w:shd w:val="clear" w:color="auto" w:fill="FFFFFF"/>
        </w:rPr>
        <w:t xml:space="preserve">600 </w:t>
      </w:r>
      <w:r w:rsidRPr="00C336E7">
        <w:rPr>
          <w:rFonts w:ascii="Arial" w:eastAsia="Calibri" w:hAnsi="Arial" w:cs="Arial"/>
          <w:color w:val="000000"/>
          <w:shd w:val="clear" w:color="auto" w:fill="FFFFFF"/>
        </w:rPr>
        <w:t xml:space="preserve">eurov« </w:t>
      </w:r>
      <w:r w:rsidR="00F7761B" w:rsidRPr="00C336E7">
        <w:rPr>
          <w:rFonts w:ascii="Arial" w:eastAsia="Calibri" w:hAnsi="Arial" w:cs="Arial"/>
          <w:color w:val="000000"/>
          <w:shd w:val="clear" w:color="auto" w:fill="FFFFFF"/>
        </w:rPr>
        <w:t xml:space="preserve">nadomesti </w:t>
      </w:r>
      <w:r w:rsidRPr="00C336E7">
        <w:rPr>
          <w:rFonts w:ascii="Arial" w:eastAsia="Calibri" w:hAnsi="Arial" w:cs="Arial"/>
          <w:color w:val="000000"/>
          <w:shd w:val="clear" w:color="auto" w:fill="FFFFFF"/>
        </w:rPr>
        <w:t xml:space="preserve">z </w:t>
      </w:r>
      <w:r w:rsidR="00F7761B" w:rsidRPr="00C336E7">
        <w:rPr>
          <w:rFonts w:ascii="Arial" w:eastAsia="Calibri" w:hAnsi="Arial" w:cs="Arial"/>
          <w:color w:val="000000"/>
          <w:shd w:val="clear" w:color="auto" w:fill="FFFFFF"/>
        </w:rPr>
        <w:t xml:space="preserve">zneskom </w:t>
      </w:r>
      <w:r w:rsidRPr="00C336E7">
        <w:rPr>
          <w:rFonts w:ascii="Arial" w:eastAsia="Calibri" w:hAnsi="Arial" w:cs="Arial"/>
          <w:color w:val="000000"/>
          <w:shd w:val="clear" w:color="auto" w:fill="FFFFFF"/>
        </w:rPr>
        <w:t>»</w:t>
      </w:r>
      <w:r w:rsidR="008234C4" w:rsidRPr="00C336E7">
        <w:rPr>
          <w:rFonts w:ascii="Arial" w:eastAsia="Calibri" w:hAnsi="Arial" w:cs="Arial"/>
          <w:color w:val="000000"/>
          <w:shd w:val="clear" w:color="auto" w:fill="FFFFFF"/>
        </w:rPr>
        <w:t>541</w:t>
      </w:r>
      <w:r w:rsidRPr="00C336E7">
        <w:rPr>
          <w:rFonts w:ascii="Arial" w:eastAsia="Calibri" w:hAnsi="Arial" w:cs="Arial"/>
          <w:color w:val="000000"/>
          <w:shd w:val="clear" w:color="auto" w:fill="FFFFFF"/>
        </w:rPr>
        <w:t xml:space="preserve"> eurov«.</w:t>
      </w:r>
    </w:p>
    <w:p w14:paraId="73A8B109" w14:textId="77777777" w:rsidR="00F7761B" w:rsidRPr="00C336E7" w:rsidRDefault="00F7761B" w:rsidP="00C336E7">
      <w:pPr>
        <w:spacing w:after="0" w:line="276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</w:p>
    <w:p w14:paraId="082F14A0" w14:textId="77777777" w:rsidR="00E926A6" w:rsidRPr="00C336E7" w:rsidRDefault="00E926A6" w:rsidP="00C336E7">
      <w:pPr>
        <w:spacing w:after="0" w:line="276" w:lineRule="auto"/>
        <w:jc w:val="center"/>
        <w:rPr>
          <w:rFonts w:ascii="Arial" w:hAnsi="Arial" w:cs="Arial"/>
        </w:rPr>
      </w:pPr>
    </w:p>
    <w:p w14:paraId="39524DFD" w14:textId="4330388D" w:rsidR="00AD750C" w:rsidRPr="00C336E7" w:rsidRDefault="00F32019" w:rsidP="00C336E7">
      <w:pPr>
        <w:spacing w:after="0" w:line="276" w:lineRule="auto"/>
        <w:jc w:val="center"/>
        <w:rPr>
          <w:rFonts w:ascii="Arial" w:hAnsi="Arial" w:cs="Arial"/>
        </w:rPr>
      </w:pPr>
      <w:r w:rsidRPr="00C336E7">
        <w:rPr>
          <w:rFonts w:ascii="Arial" w:hAnsi="Arial" w:cs="Arial"/>
        </w:rPr>
        <w:t xml:space="preserve">PREHODNA IN </w:t>
      </w:r>
      <w:r w:rsidR="00AD750C" w:rsidRPr="00C336E7">
        <w:rPr>
          <w:rFonts w:ascii="Arial" w:hAnsi="Arial" w:cs="Arial"/>
        </w:rPr>
        <w:t>KONČNA DOLOČBA</w:t>
      </w:r>
    </w:p>
    <w:p w14:paraId="2586A61F" w14:textId="77777777" w:rsidR="00AD750C" w:rsidRPr="00C336E7" w:rsidRDefault="00AD750C" w:rsidP="00C336E7">
      <w:pPr>
        <w:spacing w:after="0" w:line="276" w:lineRule="auto"/>
        <w:jc w:val="both"/>
        <w:rPr>
          <w:rFonts w:ascii="Arial" w:hAnsi="Arial" w:cs="Arial"/>
        </w:rPr>
      </w:pPr>
    </w:p>
    <w:p w14:paraId="399FCA7B" w14:textId="667F090B" w:rsidR="00AD750C" w:rsidRPr="00C336E7" w:rsidRDefault="00AD29F7" w:rsidP="00C336E7">
      <w:pPr>
        <w:spacing w:after="0" w:line="276" w:lineRule="auto"/>
        <w:ind w:left="360"/>
        <w:jc w:val="center"/>
        <w:rPr>
          <w:rFonts w:ascii="Arial" w:hAnsi="Arial" w:cs="Arial"/>
          <w:b/>
          <w:color w:val="000000" w:themeColor="text1"/>
        </w:rPr>
      </w:pPr>
      <w:bookmarkStart w:id="0" w:name="_Hlk106697068"/>
      <w:r w:rsidRPr="00C336E7">
        <w:rPr>
          <w:rFonts w:ascii="Arial" w:hAnsi="Arial" w:cs="Arial"/>
          <w:b/>
          <w:color w:val="000000" w:themeColor="text1"/>
        </w:rPr>
        <w:t xml:space="preserve">4. </w:t>
      </w:r>
      <w:r w:rsidR="00AD750C" w:rsidRPr="00C336E7">
        <w:rPr>
          <w:rFonts w:ascii="Arial" w:hAnsi="Arial" w:cs="Arial"/>
          <w:b/>
          <w:color w:val="000000" w:themeColor="text1"/>
        </w:rPr>
        <w:t>člen</w:t>
      </w:r>
    </w:p>
    <w:p w14:paraId="328ADEC3" w14:textId="77777777" w:rsidR="00FE731E" w:rsidRPr="00C336E7" w:rsidRDefault="00FE731E" w:rsidP="00C336E7">
      <w:pPr>
        <w:spacing w:after="0" w:line="276" w:lineRule="auto"/>
        <w:ind w:left="360"/>
        <w:jc w:val="center"/>
        <w:rPr>
          <w:rFonts w:ascii="Arial" w:hAnsi="Arial" w:cs="Arial"/>
          <w:b/>
          <w:color w:val="000000" w:themeColor="text1"/>
        </w:rPr>
      </w:pPr>
    </w:p>
    <w:p w14:paraId="52C19675" w14:textId="7C183AAD" w:rsidR="00E56FC5" w:rsidRPr="00C336E7" w:rsidRDefault="00E56FC5" w:rsidP="00C336E7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336E7">
        <w:rPr>
          <w:rFonts w:ascii="Arial" w:hAnsi="Arial" w:cs="Arial"/>
          <w:color w:val="000000"/>
          <w:shd w:val="clear" w:color="auto" w:fill="FFFFFF"/>
        </w:rPr>
        <w:t>V postopkih, ki so se začeli pred uveljavitvijo Pravilnika o tarifi za odmero nagrade upravitelja v postopkih zaradi insolventnosti in prisilne likvidacije ter stroških, do povrnitve katerih je upravitelj v teh postopkih upravičen (Uradni list RS, št. 66/22)</w:t>
      </w:r>
      <w:r w:rsidR="00C336E7" w:rsidRPr="00C336E7">
        <w:rPr>
          <w:rFonts w:ascii="Arial" w:hAnsi="Arial" w:cs="Arial"/>
          <w:color w:val="000000"/>
          <w:shd w:val="clear" w:color="auto" w:fill="FFFFFF"/>
        </w:rPr>
        <w:t>,</w:t>
      </w:r>
      <w:r w:rsidRPr="00C336E7">
        <w:rPr>
          <w:rFonts w:ascii="Arial" w:hAnsi="Arial" w:cs="Arial"/>
          <w:color w:val="000000"/>
          <w:shd w:val="clear" w:color="auto" w:fill="FFFFFF"/>
        </w:rPr>
        <w:t xml:space="preserve"> se nagrada in stroški odmerijo po Pravilniku o tarifi za odmero nagrade upravitelja v postopkih zaradi insolventnosti in prisilne likvidacije ter stroških, do povrnitve katerih je upravitelj v teh postopkih upravičen (Uradni list RS, št. 91/08, 119/08, 53/09 in 13/14).</w:t>
      </w:r>
    </w:p>
    <w:p w14:paraId="0A72775E" w14:textId="77777777" w:rsidR="00C336E7" w:rsidRDefault="00C336E7" w:rsidP="00C336E7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F411BDA" w14:textId="2E86F504" w:rsidR="00EE7725" w:rsidRPr="00C336E7" w:rsidRDefault="00EE7725" w:rsidP="00C336E7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336E7">
        <w:rPr>
          <w:rFonts w:ascii="Arial" w:hAnsi="Arial" w:cs="Arial"/>
          <w:color w:val="000000"/>
          <w:shd w:val="clear" w:color="auto" w:fill="FFFFFF"/>
        </w:rPr>
        <w:t>V postopkih, ki so se začeli v obdobju veljavnosti Pravilnika o spremembah in dopolnitvah Pravilnika o tarifi za odmero nagrade upravitelja v postopkih zaradi insolventnosti in prisilne likvidacije ter stroških, do povrnitve katerih je upravitelj v teh postopkih upravičen (Uradni list RS, št. 66/22), se nagrada in stroški odmerijo po Pravilniku o tarifi za odmero nagrade upravitelja v postopkih zaradi insolventnosti in prisilne likvidacije ter stroških, do povrnitve katerih je upravitelj v teh postopkih upravičen (Uradni list RS, št. 91/08, 119/08, 53/09, 13/14 in 66/22), če je upravitelj do uveljavitve tega pravilnika že pridobil pravico zahtevati plačilo nagrade ali povrnitev stroškov.</w:t>
      </w:r>
    </w:p>
    <w:bookmarkEnd w:id="0"/>
    <w:p w14:paraId="07D5A7BF" w14:textId="77777777" w:rsidR="009E50A0" w:rsidRPr="00C336E7" w:rsidRDefault="009E50A0" w:rsidP="00C336E7">
      <w:pPr>
        <w:spacing w:after="0" w:line="276" w:lineRule="auto"/>
        <w:jc w:val="both"/>
        <w:rPr>
          <w:rFonts w:ascii="Arial" w:hAnsi="Arial" w:cs="Arial"/>
        </w:rPr>
      </w:pPr>
    </w:p>
    <w:p w14:paraId="2F92C503" w14:textId="34D08A22" w:rsidR="00AD750C" w:rsidRPr="00C336E7" w:rsidRDefault="00AD29F7" w:rsidP="00C336E7">
      <w:pPr>
        <w:pStyle w:val="Odstavekseznama"/>
        <w:spacing w:after="0" w:line="276" w:lineRule="auto"/>
        <w:ind w:left="426"/>
        <w:jc w:val="center"/>
        <w:rPr>
          <w:rFonts w:ascii="Arial" w:hAnsi="Arial" w:cs="Arial"/>
          <w:b/>
          <w:bCs/>
        </w:rPr>
      </w:pPr>
      <w:r w:rsidRPr="00C336E7">
        <w:rPr>
          <w:rFonts w:ascii="Arial" w:hAnsi="Arial" w:cs="Arial"/>
          <w:b/>
          <w:bCs/>
        </w:rPr>
        <w:t xml:space="preserve">5. </w:t>
      </w:r>
      <w:r w:rsidR="00AD750C" w:rsidRPr="00C336E7">
        <w:rPr>
          <w:rFonts w:ascii="Arial" w:hAnsi="Arial" w:cs="Arial"/>
          <w:b/>
          <w:bCs/>
        </w:rPr>
        <w:t>člen</w:t>
      </w:r>
    </w:p>
    <w:p w14:paraId="2C9CC85A" w14:textId="77777777" w:rsidR="00AD750C" w:rsidRPr="00C336E7" w:rsidRDefault="00AD750C" w:rsidP="00C336E7">
      <w:pPr>
        <w:spacing w:after="0" w:line="276" w:lineRule="auto"/>
        <w:rPr>
          <w:rFonts w:ascii="Arial" w:hAnsi="Arial" w:cs="Arial"/>
        </w:rPr>
      </w:pPr>
    </w:p>
    <w:p w14:paraId="15BEEA62" w14:textId="77777777" w:rsidR="00AD750C" w:rsidRPr="00C336E7" w:rsidRDefault="00AD750C" w:rsidP="00C336E7">
      <w:pPr>
        <w:spacing w:after="0" w:line="276" w:lineRule="auto"/>
        <w:rPr>
          <w:rFonts w:ascii="Arial" w:hAnsi="Arial" w:cs="Arial"/>
        </w:rPr>
      </w:pPr>
      <w:r w:rsidRPr="00C336E7">
        <w:rPr>
          <w:rFonts w:ascii="Arial" w:hAnsi="Arial" w:cs="Arial"/>
        </w:rPr>
        <w:t>Ta pravilnik začne veljati petnajsti dan po objavi v Uradnem listu Republike Slovenije.</w:t>
      </w:r>
    </w:p>
    <w:p w14:paraId="5832623B" w14:textId="77777777" w:rsidR="00FC53AB" w:rsidRPr="00C336E7" w:rsidRDefault="00FC53AB" w:rsidP="00C336E7">
      <w:pPr>
        <w:spacing w:after="0" w:line="276" w:lineRule="auto"/>
        <w:rPr>
          <w:rFonts w:ascii="Arial" w:hAnsi="Arial" w:cs="Arial"/>
        </w:rPr>
      </w:pPr>
    </w:p>
    <w:p w14:paraId="669F447A" w14:textId="77777777" w:rsidR="00C909ED" w:rsidRPr="00C336E7" w:rsidRDefault="00C909ED" w:rsidP="00C336E7">
      <w:pP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14:paraId="1FEF46DB" w14:textId="19F876B5" w:rsidR="00FC53AB" w:rsidRPr="00C336E7" w:rsidRDefault="00FC53AB" w:rsidP="00C336E7">
      <w:pP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C336E7">
        <w:rPr>
          <w:rFonts w:ascii="Arial" w:hAnsi="Arial" w:cs="Arial"/>
          <w:color w:val="000000"/>
        </w:rPr>
        <w:t>Št. </w:t>
      </w:r>
      <w:r w:rsidR="00DC63FA" w:rsidRPr="00C336E7">
        <w:rPr>
          <w:rFonts w:ascii="Arial" w:hAnsi="Arial" w:cs="Arial"/>
          <w:color w:val="000000"/>
        </w:rPr>
        <w:t>007-224/2022</w:t>
      </w:r>
    </w:p>
    <w:p w14:paraId="397DF5BC" w14:textId="5E8DC128" w:rsidR="00FC53AB" w:rsidRPr="00C336E7" w:rsidRDefault="00FC53AB" w:rsidP="00C336E7">
      <w:pP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C336E7">
        <w:rPr>
          <w:rFonts w:ascii="Arial" w:hAnsi="Arial" w:cs="Arial"/>
          <w:color w:val="000000"/>
        </w:rPr>
        <w:t xml:space="preserve">Ljubljana, dne </w:t>
      </w:r>
      <w:r w:rsidR="004D5241" w:rsidRPr="00C336E7">
        <w:rPr>
          <w:rFonts w:ascii="Arial" w:hAnsi="Arial" w:cs="Arial"/>
          <w:color w:val="000000"/>
        </w:rPr>
        <w:t>…</w:t>
      </w:r>
    </w:p>
    <w:p w14:paraId="3048ED49" w14:textId="41CC76AE" w:rsidR="00FC53AB" w:rsidRPr="00C336E7" w:rsidRDefault="00FC53AB" w:rsidP="00C336E7">
      <w:pPr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C336E7">
        <w:rPr>
          <w:rFonts w:ascii="Arial" w:hAnsi="Arial" w:cs="Arial"/>
          <w:color w:val="000000"/>
        </w:rPr>
        <w:t xml:space="preserve">EVA </w:t>
      </w:r>
      <w:r w:rsidR="00FE731E" w:rsidRPr="00C336E7">
        <w:rPr>
          <w:rFonts w:ascii="Arial" w:hAnsi="Arial" w:cs="Arial"/>
          <w:color w:val="000000"/>
        </w:rPr>
        <w:t>2020-2030-0010</w:t>
      </w:r>
    </w:p>
    <w:p w14:paraId="78C3E800" w14:textId="21E5985D" w:rsidR="00FC53AB" w:rsidRPr="00C336E7" w:rsidRDefault="00FC53AB" w:rsidP="00C336E7">
      <w:pPr>
        <w:spacing w:after="0" w:line="276" w:lineRule="auto"/>
        <w:ind w:left="4820"/>
        <w:jc w:val="both"/>
        <w:rPr>
          <w:rFonts w:ascii="Arial" w:hAnsi="Arial" w:cs="Arial"/>
          <w:b/>
          <w:bCs/>
        </w:rPr>
      </w:pPr>
      <w:r w:rsidRPr="00C336E7">
        <w:rPr>
          <w:rFonts w:ascii="Arial" w:hAnsi="Arial" w:cs="Arial"/>
          <w:b/>
          <w:bCs/>
        </w:rPr>
        <w:t xml:space="preserve">              </w:t>
      </w:r>
      <w:r w:rsidR="00C909ED" w:rsidRPr="00C336E7">
        <w:rPr>
          <w:rFonts w:ascii="Arial" w:hAnsi="Arial" w:cs="Arial"/>
          <w:b/>
          <w:bCs/>
        </w:rPr>
        <w:t xml:space="preserve">   </w:t>
      </w:r>
    </w:p>
    <w:p w14:paraId="6D1992A2" w14:textId="77777777" w:rsidR="00F7761B" w:rsidRPr="00C336E7" w:rsidRDefault="00F7761B" w:rsidP="00C336E7">
      <w:pPr>
        <w:spacing w:after="0" w:line="276" w:lineRule="auto"/>
        <w:ind w:left="4111"/>
        <w:jc w:val="center"/>
        <w:rPr>
          <w:rFonts w:ascii="Arial" w:hAnsi="Arial" w:cs="Arial"/>
          <w:b/>
          <w:bCs/>
        </w:rPr>
      </w:pPr>
      <w:r w:rsidRPr="00C336E7">
        <w:rPr>
          <w:rFonts w:ascii="Arial" w:hAnsi="Arial" w:cs="Arial"/>
          <w:b/>
          <w:bCs/>
        </w:rPr>
        <w:lastRenderedPageBreak/>
        <w:t>Dr. Dominika Švarc Pipan</w:t>
      </w:r>
    </w:p>
    <w:p w14:paraId="0EA84A14" w14:textId="77A5D402" w:rsidR="00FC53AB" w:rsidRPr="00C336E7" w:rsidRDefault="00FC53AB" w:rsidP="00C336E7">
      <w:pPr>
        <w:spacing w:after="0" w:line="276" w:lineRule="auto"/>
        <w:ind w:left="4111"/>
        <w:jc w:val="center"/>
        <w:rPr>
          <w:rFonts w:ascii="Arial" w:hAnsi="Arial" w:cs="Arial"/>
        </w:rPr>
      </w:pPr>
      <w:r w:rsidRPr="00C336E7">
        <w:rPr>
          <w:rFonts w:ascii="Arial" w:hAnsi="Arial" w:cs="Arial"/>
        </w:rPr>
        <w:t>ministr</w:t>
      </w:r>
      <w:r w:rsidR="00F7761B" w:rsidRPr="00C336E7">
        <w:rPr>
          <w:rFonts w:ascii="Arial" w:hAnsi="Arial" w:cs="Arial"/>
        </w:rPr>
        <w:t>ica</w:t>
      </w:r>
      <w:r w:rsidRPr="00C336E7">
        <w:rPr>
          <w:rFonts w:ascii="Arial" w:hAnsi="Arial" w:cs="Arial"/>
        </w:rPr>
        <w:t xml:space="preserve"> </w:t>
      </w:r>
    </w:p>
    <w:p w14:paraId="692EA154" w14:textId="77777777" w:rsidR="00FC53AB" w:rsidRPr="00C336E7" w:rsidRDefault="00FC53AB" w:rsidP="00C336E7">
      <w:pPr>
        <w:spacing w:after="0" w:line="276" w:lineRule="auto"/>
        <w:ind w:left="4111"/>
        <w:jc w:val="center"/>
        <w:rPr>
          <w:rFonts w:ascii="Arial" w:hAnsi="Arial" w:cs="Arial"/>
        </w:rPr>
      </w:pPr>
      <w:r w:rsidRPr="00C336E7">
        <w:rPr>
          <w:rFonts w:ascii="Arial" w:hAnsi="Arial" w:cs="Arial"/>
        </w:rPr>
        <w:t>za pravosodje</w:t>
      </w:r>
    </w:p>
    <w:p w14:paraId="3CEFF8F8" w14:textId="77777777" w:rsidR="00AD750C" w:rsidRPr="00C336E7" w:rsidRDefault="00AD750C" w:rsidP="00C336E7">
      <w:pPr>
        <w:spacing w:after="0" w:line="276" w:lineRule="auto"/>
        <w:rPr>
          <w:rFonts w:ascii="Arial" w:hAnsi="Arial" w:cs="Arial"/>
        </w:rPr>
      </w:pPr>
    </w:p>
    <w:sectPr w:rsidR="00AD750C" w:rsidRPr="00C336E7" w:rsidSect="0036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485"/>
    <w:multiLevelType w:val="hybridMultilevel"/>
    <w:tmpl w:val="32264B6E"/>
    <w:lvl w:ilvl="0" w:tplc="3D86CC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D7CB1"/>
    <w:multiLevelType w:val="hybridMultilevel"/>
    <w:tmpl w:val="301878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5D"/>
    <w:rsid w:val="000432CD"/>
    <w:rsid w:val="00095769"/>
    <w:rsid w:val="000B7ABE"/>
    <w:rsid w:val="000E117B"/>
    <w:rsid w:val="000E6890"/>
    <w:rsid w:val="00170FFE"/>
    <w:rsid w:val="00171FB6"/>
    <w:rsid w:val="001A51B9"/>
    <w:rsid w:val="001B375A"/>
    <w:rsid w:val="00223ED3"/>
    <w:rsid w:val="002252E9"/>
    <w:rsid w:val="00253EAE"/>
    <w:rsid w:val="002E28A4"/>
    <w:rsid w:val="00315DE8"/>
    <w:rsid w:val="00336526"/>
    <w:rsid w:val="00341376"/>
    <w:rsid w:val="00350227"/>
    <w:rsid w:val="0036149A"/>
    <w:rsid w:val="00387935"/>
    <w:rsid w:val="003C6E27"/>
    <w:rsid w:val="003E066B"/>
    <w:rsid w:val="003E484D"/>
    <w:rsid w:val="00426486"/>
    <w:rsid w:val="00451362"/>
    <w:rsid w:val="004C2E18"/>
    <w:rsid w:val="004C609E"/>
    <w:rsid w:val="004D5241"/>
    <w:rsid w:val="00516E72"/>
    <w:rsid w:val="00517AF6"/>
    <w:rsid w:val="005204F0"/>
    <w:rsid w:val="005547AA"/>
    <w:rsid w:val="00567DE6"/>
    <w:rsid w:val="005B301E"/>
    <w:rsid w:val="00710647"/>
    <w:rsid w:val="0073142A"/>
    <w:rsid w:val="00744EC2"/>
    <w:rsid w:val="007555C0"/>
    <w:rsid w:val="00755E95"/>
    <w:rsid w:val="00772EAC"/>
    <w:rsid w:val="00780C4B"/>
    <w:rsid w:val="007B3786"/>
    <w:rsid w:val="007D0F99"/>
    <w:rsid w:val="007D1E05"/>
    <w:rsid w:val="008234C4"/>
    <w:rsid w:val="00835A06"/>
    <w:rsid w:val="00856176"/>
    <w:rsid w:val="00882DDE"/>
    <w:rsid w:val="00892E7B"/>
    <w:rsid w:val="008A4C76"/>
    <w:rsid w:val="008C59D3"/>
    <w:rsid w:val="008E4EDB"/>
    <w:rsid w:val="008F5100"/>
    <w:rsid w:val="00924235"/>
    <w:rsid w:val="009E50A0"/>
    <w:rsid w:val="009F0B34"/>
    <w:rsid w:val="00A00EBE"/>
    <w:rsid w:val="00A7069F"/>
    <w:rsid w:val="00AB7671"/>
    <w:rsid w:val="00AD1670"/>
    <w:rsid w:val="00AD29F7"/>
    <w:rsid w:val="00AD750C"/>
    <w:rsid w:val="00B71272"/>
    <w:rsid w:val="00B7632F"/>
    <w:rsid w:val="00B8596F"/>
    <w:rsid w:val="00BB0B75"/>
    <w:rsid w:val="00BC755C"/>
    <w:rsid w:val="00BC7A98"/>
    <w:rsid w:val="00C214D0"/>
    <w:rsid w:val="00C233A9"/>
    <w:rsid w:val="00C336E7"/>
    <w:rsid w:val="00C7422D"/>
    <w:rsid w:val="00C76296"/>
    <w:rsid w:val="00C909ED"/>
    <w:rsid w:val="00C96DCB"/>
    <w:rsid w:val="00CB0B27"/>
    <w:rsid w:val="00D42146"/>
    <w:rsid w:val="00D75157"/>
    <w:rsid w:val="00DB231D"/>
    <w:rsid w:val="00DC63FA"/>
    <w:rsid w:val="00DE41E1"/>
    <w:rsid w:val="00E46C5E"/>
    <w:rsid w:val="00E56FC5"/>
    <w:rsid w:val="00E6623F"/>
    <w:rsid w:val="00E72686"/>
    <w:rsid w:val="00E76B5D"/>
    <w:rsid w:val="00E926A6"/>
    <w:rsid w:val="00EB6C25"/>
    <w:rsid w:val="00EC6466"/>
    <w:rsid w:val="00EE7725"/>
    <w:rsid w:val="00F32019"/>
    <w:rsid w:val="00F426EC"/>
    <w:rsid w:val="00F50871"/>
    <w:rsid w:val="00F55280"/>
    <w:rsid w:val="00F61EFC"/>
    <w:rsid w:val="00F72A17"/>
    <w:rsid w:val="00F7761B"/>
    <w:rsid w:val="00F909CD"/>
    <w:rsid w:val="00FC53AB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E89F"/>
  <w15:docId w15:val="{B2399866-78FA-4276-87F7-5483C33C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6B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6B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1272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7555C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555C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555C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555C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555C0"/>
    <w:rPr>
      <w:b/>
      <w:bCs/>
      <w:sz w:val="20"/>
      <w:szCs w:val="20"/>
    </w:rPr>
  </w:style>
  <w:style w:type="paragraph" w:customStyle="1" w:styleId="Odstavek">
    <w:name w:val="Odstavek"/>
    <w:basedOn w:val="Navaden"/>
    <w:link w:val="OdstavekZnak"/>
    <w:qFormat/>
    <w:rsid w:val="00F909C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OdstavekZnak">
    <w:name w:val="Odstavek Znak"/>
    <w:link w:val="Odstavek"/>
    <w:rsid w:val="00F909CD"/>
    <w:rPr>
      <w:rFonts w:ascii="Arial" w:eastAsia="Times New Roman" w:hAnsi="Arial" w:cs="Times New Roman"/>
      <w:lang w:val="x-none" w:eastAsia="x-none"/>
    </w:rPr>
  </w:style>
  <w:style w:type="paragraph" w:styleId="Revizija">
    <w:name w:val="Revision"/>
    <w:hidden/>
    <w:uiPriority w:val="99"/>
    <w:semiHidden/>
    <w:rsid w:val="000E117B"/>
    <w:pPr>
      <w:spacing w:after="0" w:line="240" w:lineRule="auto"/>
    </w:pPr>
  </w:style>
  <w:style w:type="character" w:styleId="Hiperpovezava">
    <w:name w:val="Hyperlink"/>
    <w:basedOn w:val="Privzetapisavaodstavka"/>
    <w:uiPriority w:val="99"/>
    <w:semiHidden/>
    <w:unhideWhenUsed/>
    <w:rsid w:val="00B85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594B32-DD6D-4089-B9A8-CF1C74BB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2812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Regancin</dc:creator>
  <cp:lastModifiedBy>Sara Regancin</cp:lastModifiedBy>
  <cp:revision>2</cp:revision>
  <cp:lastPrinted>2022-06-10T10:33:00Z</cp:lastPrinted>
  <dcterms:created xsi:type="dcterms:W3CDTF">2022-06-21T09:45:00Z</dcterms:created>
  <dcterms:modified xsi:type="dcterms:W3CDTF">2022-06-21T09:45:00Z</dcterms:modified>
</cp:coreProperties>
</file>