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7E" w:rsidRPr="002760DC" w:rsidRDefault="009C657E" w:rsidP="009C657E">
      <w:pPr>
        <w:pStyle w:val="datumtevilka"/>
      </w:pPr>
      <w:bookmarkStart w:id="0" w:name="_Hlk61014710"/>
      <w:bookmarkEnd w:id="0"/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665792">
        <w:rPr>
          <w:rFonts w:cs="Arial"/>
          <w:color w:val="000000"/>
        </w:rPr>
        <w:t>2020-2550-0074</w:t>
      </w:r>
    </w:p>
    <w:p w:rsidR="009C657E" w:rsidRPr="002760DC" w:rsidRDefault="009C657E" w:rsidP="009C657E">
      <w:pPr>
        <w:pStyle w:val="datumtevilka"/>
      </w:pPr>
      <w:r w:rsidRPr="002760DC">
        <w:t xml:space="preserve">Številka: </w:t>
      </w:r>
      <w:r w:rsidRPr="002760DC">
        <w:tab/>
      </w:r>
      <w:r w:rsidR="00665792">
        <w:rPr>
          <w:rFonts w:cs="Arial"/>
          <w:color w:val="000000"/>
        </w:rPr>
        <w:t>00719-16/2021/36</w:t>
      </w:r>
    </w:p>
    <w:p w:rsidR="009C657E" w:rsidRPr="002760DC" w:rsidRDefault="009C657E" w:rsidP="009C657E">
      <w:pPr>
        <w:pStyle w:val="datumtevilka"/>
      </w:pPr>
      <w:r>
        <w:t>Datum:</w:t>
      </w:r>
      <w:r w:rsidRPr="002760DC">
        <w:tab/>
      </w:r>
      <w:r w:rsidR="00665792">
        <w:rPr>
          <w:rFonts w:cs="Arial"/>
          <w:color w:val="000000"/>
        </w:rPr>
        <w:t>9. 11. 2021</w:t>
      </w:r>
      <w:r w:rsidRPr="002760DC">
        <w:t xml:space="preserve"> </w:t>
      </w:r>
    </w:p>
    <w:p w:rsidR="009C657E" w:rsidRDefault="009C657E" w:rsidP="009C657E"/>
    <w:p w:rsidR="00056B6B" w:rsidRPr="002760DC" w:rsidRDefault="00056B6B" w:rsidP="009C657E"/>
    <w:p w:rsidR="009C657E" w:rsidRDefault="009C657E" w:rsidP="009C657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C657E" w:rsidRPr="00B35382" w:rsidRDefault="00B35382" w:rsidP="009C657E">
      <w:pPr>
        <w:autoSpaceDE w:val="0"/>
        <w:autoSpaceDN w:val="0"/>
        <w:adjustRightInd w:val="0"/>
        <w:jc w:val="both"/>
        <w:rPr>
          <w:rFonts w:cs="Arial"/>
          <w:b/>
          <w:szCs w:val="20"/>
          <w:lang w:eastAsia="sr-Cyrl-RS"/>
        </w:rPr>
      </w:pPr>
      <w:r w:rsidRPr="00B35382">
        <w:rPr>
          <w:rFonts w:cs="Arial"/>
          <w:b/>
          <w:color w:val="000000"/>
          <w:szCs w:val="20"/>
        </w:rPr>
        <w:t>P</w:t>
      </w:r>
      <w:r w:rsidR="00056B6B" w:rsidRPr="00B35382">
        <w:rPr>
          <w:rFonts w:cs="Arial"/>
          <w:b/>
          <w:color w:val="000000"/>
          <w:szCs w:val="20"/>
        </w:rPr>
        <w:t>redlogi</w:t>
      </w:r>
      <w:r w:rsidR="00665792" w:rsidRPr="00B35382">
        <w:rPr>
          <w:rFonts w:cs="Arial"/>
          <w:b/>
          <w:color w:val="000000"/>
          <w:szCs w:val="20"/>
        </w:rPr>
        <w:t xml:space="preserve"> amandmajev k dopolnjenemu Predlogu zakona o urejanju prostora</w:t>
      </w:r>
      <w:r w:rsidR="00556745" w:rsidRPr="00B35382">
        <w:rPr>
          <w:rFonts w:cs="Arial"/>
          <w:b/>
          <w:color w:val="000000"/>
          <w:szCs w:val="20"/>
        </w:rPr>
        <w:t xml:space="preserve">, </w:t>
      </w:r>
      <w:r w:rsidRPr="00B35382">
        <w:rPr>
          <w:rFonts w:cs="Arial"/>
          <w:b/>
          <w:szCs w:val="20"/>
          <w:lang w:eastAsia="sr-Cyrl-RS"/>
        </w:rPr>
        <w:t>EPA 1960-VIII</w:t>
      </w:r>
    </w:p>
    <w:p w:rsidR="00B35382" w:rsidRDefault="00B35382" w:rsidP="009C657E">
      <w:pPr>
        <w:autoSpaceDE w:val="0"/>
        <w:autoSpaceDN w:val="0"/>
        <w:adjustRightInd w:val="0"/>
        <w:jc w:val="both"/>
        <w:rPr>
          <w:rFonts w:cs="Arial"/>
          <w:szCs w:val="20"/>
          <w:lang w:eastAsia="sr-Cyrl-RS"/>
        </w:rPr>
      </w:pPr>
    </w:p>
    <w:p w:rsidR="000B221E" w:rsidRDefault="000B221E" w:rsidP="009C657E">
      <w:pPr>
        <w:autoSpaceDE w:val="0"/>
        <w:autoSpaceDN w:val="0"/>
        <w:adjustRightInd w:val="0"/>
        <w:jc w:val="both"/>
        <w:rPr>
          <w:rFonts w:cs="Arial"/>
          <w:szCs w:val="20"/>
          <w:lang w:eastAsia="sr-Cyrl-RS"/>
        </w:rPr>
      </w:pPr>
      <w:bookmarkStart w:id="1" w:name="_GoBack"/>
      <w:bookmarkEnd w:id="1"/>
    </w:p>
    <w:p w:rsidR="000B221E" w:rsidRDefault="000B221E" w:rsidP="000B221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r-Cyrl-RS"/>
        </w:rPr>
      </w:pPr>
      <w:r>
        <w:rPr>
          <w:rFonts w:cs="Arial"/>
          <w:b/>
          <w:bCs/>
          <w:szCs w:val="20"/>
          <w:lang w:eastAsia="sr-Cyrl-RS"/>
        </w:rPr>
        <w:t>K 98. členu</w:t>
      </w:r>
      <w:r>
        <w:rPr>
          <w:rFonts w:cs="Arial"/>
          <w:szCs w:val="20"/>
          <w:lang w:eastAsia="sr-Cyrl-RS"/>
        </w:rPr>
        <w:t xml:space="preserve"> </w:t>
      </w:r>
    </w:p>
    <w:p w:rsidR="000B221E" w:rsidRDefault="000B221E" w:rsidP="000B221E">
      <w:pPr>
        <w:pStyle w:val="Brezrazmikov"/>
        <w:jc w:val="both"/>
        <w:rPr>
          <w:szCs w:val="20"/>
        </w:rPr>
      </w:pPr>
    </w:p>
    <w:p w:rsidR="000B221E" w:rsidRDefault="000B221E" w:rsidP="000B221E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V 98. členu se za dosedanjim petim odstavkom doda novi šesti odstavek, ki se glasi:</w:t>
      </w:r>
    </w:p>
    <w:p w:rsidR="000B221E" w:rsidRDefault="000B221E" w:rsidP="000B221E">
      <w:pPr>
        <w:spacing w:line="240" w:lineRule="auto"/>
        <w:jc w:val="both"/>
        <w:rPr>
          <w:rFonts w:cs="Arial"/>
          <w:szCs w:val="20"/>
        </w:rPr>
      </w:pPr>
    </w:p>
    <w:p w:rsidR="000B221E" w:rsidRDefault="000B221E" w:rsidP="000B221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»(6) V primeru sprememb in dopolnitev DPN se za objavo v prostorskem informacijskem sistemu pripravi tudi čistopis tekstualnega dela in </w:t>
      </w:r>
      <w:proofErr w:type="spellStart"/>
      <w:r>
        <w:rPr>
          <w:rFonts w:cs="Arial"/>
          <w:szCs w:val="20"/>
        </w:rPr>
        <w:t>čistoris</w:t>
      </w:r>
      <w:proofErr w:type="spellEnd"/>
      <w:r>
        <w:rPr>
          <w:rFonts w:cs="Arial"/>
          <w:szCs w:val="20"/>
        </w:rPr>
        <w:t xml:space="preserve"> grafičnega dela DPN.«.</w:t>
      </w:r>
    </w:p>
    <w:p w:rsidR="000B221E" w:rsidRDefault="000B221E" w:rsidP="000B221E">
      <w:pPr>
        <w:spacing w:line="240" w:lineRule="auto"/>
        <w:jc w:val="both"/>
        <w:rPr>
          <w:rFonts w:cs="Arial"/>
          <w:szCs w:val="20"/>
        </w:rPr>
      </w:pPr>
    </w:p>
    <w:p w:rsidR="000B221E" w:rsidRDefault="000B221E" w:rsidP="000B221E">
      <w:pPr>
        <w:spacing w:line="240" w:lineRule="auto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Obrazložitev:</w:t>
      </w:r>
    </w:p>
    <w:p w:rsidR="000B221E" w:rsidRDefault="000B221E" w:rsidP="000B221E">
      <w:pPr>
        <w:spacing w:line="240" w:lineRule="auto"/>
        <w:jc w:val="both"/>
        <w:rPr>
          <w:rFonts w:cs="Arial"/>
          <w:szCs w:val="20"/>
        </w:rPr>
      </w:pPr>
      <w:r>
        <w:rPr>
          <w:rFonts w:eastAsia="Calibri" w:cs="Arial"/>
          <w:szCs w:val="20"/>
        </w:rPr>
        <w:t>Sprememba 98. člena z novim šestim odstavkom nalaga priprava tudi prečiščenega tekstualnega in grafičnega dela DPN, kadar se sprejmejo njegove spremembe in dopolnitve, saj je s tem zadoščeno jasnosti in preglednosti prostorskih aktov (predpisov). Poleg tega enako določbo vsebuje tudi 124. člen za OPN.</w:t>
      </w:r>
    </w:p>
    <w:p w:rsidR="000B221E" w:rsidRDefault="000B221E" w:rsidP="000B221E">
      <w:pPr>
        <w:spacing w:line="240" w:lineRule="auto"/>
        <w:jc w:val="both"/>
        <w:rPr>
          <w:rFonts w:cs="Arial"/>
          <w:szCs w:val="20"/>
        </w:rPr>
      </w:pPr>
    </w:p>
    <w:p w:rsidR="000B221E" w:rsidRDefault="000B221E" w:rsidP="000B221E">
      <w:pPr>
        <w:spacing w:line="240" w:lineRule="auto"/>
        <w:jc w:val="both"/>
        <w:rPr>
          <w:rFonts w:cs="Arial"/>
          <w:b/>
          <w:bCs/>
          <w:szCs w:val="20"/>
          <w:lang w:eastAsia="sr-Cyrl-RS"/>
        </w:rPr>
      </w:pPr>
    </w:p>
    <w:p w:rsidR="000B221E" w:rsidRDefault="000B221E" w:rsidP="000B221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r-Cyrl-RS"/>
        </w:rPr>
      </w:pPr>
      <w:r>
        <w:rPr>
          <w:rFonts w:cs="Arial"/>
          <w:b/>
          <w:bCs/>
          <w:szCs w:val="20"/>
          <w:lang w:eastAsia="sr-Cyrl-RS"/>
        </w:rPr>
        <w:t>K 141. členu</w:t>
      </w:r>
      <w:r>
        <w:rPr>
          <w:rFonts w:cs="Arial"/>
          <w:szCs w:val="20"/>
          <w:lang w:eastAsia="sr-Cyrl-RS"/>
        </w:rPr>
        <w:t xml:space="preserve"> </w:t>
      </w:r>
    </w:p>
    <w:p w:rsidR="000B221E" w:rsidRDefault="000B221E" w:rsidP="000B221E">
      <w:pPr>
        <w:pStyle w:val="Brezrazmikov"/>
        <w:jc w:val="both"/>
        <w:rPr>
          <w:szCs w:val="20"/>
        </w:rPr>
      </w:pPr>
    </w:p>
    <w:p w:rsidR="000B221E" w:rsidRDefault="000B221E" w:rsidP="000B221E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V 141. členu se drugi odstavek spremeni tako, da se glasi:</w:t>
      </w:r>
    </w:p>
    <w:p w:rsidR="000B221E" w:rsidRDefault="000B221E" w:rsidP="000B221E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»(2) Tehnična posodobitev se izvede v postopku priprave prostorskega izvedbenega akta. Tehnična posodobitev se lahko izvede tudi s samostojnim postopkom sprememb in dopolnitev prostorskega izvedbenega akta v skladu s 142. členom tega zakona, pri čemer se ne sme načrtovati novih prostorskih ureditev oziroma določati nove izvedbene regulacije prostora.«.</w:t>
      </w:r>
    </w:p>
    <w:p w:rsidR="000B221E" w:rsidRDefault="000B221E" w:rsidP="000B221E">
      <w:pPr>
        <w:spacing w:line="240" w:lineRule="auto"/>
        <w:jc w:val="both"/>
        <w:rPr>
          <w:rFonts w:cs="Arial"/>
          <w:szCs w:val="20"/>
        </w:rPr>
      </w:pPr>
    </w:p>
    <w:p w:rsidR="000B221E" w:rsidRDefault="000B221E" w:rsidP="000B221E">
      <w:pPr>
        <w:spacing w:line="240" w:lineRule="auto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Obrazložitev:</w:t>
      </w:r>
    </w:p>
    <w:p w:rsidR="000B221E" w:rsidRDefault="000B221E" w:rsidP="000B221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highlight w:val="yellow"/>
        </w:rPr>
      </w:pPr>
      <w:r>
        <w:rPr>
          <w:rFonts w:eastAsia="Calibri" w:cs="Arial"/>
          <w:szCs w:val="20"/>
        </w:rPr>
        <w:t>Sprememba 141. člena v drugem odstavku bolj natančno opredeli pomen tehnične posodobitve. Samostojna tehnična posodobitev je posebna oblika spremembe in dopolnitve prostorskega izvedbenega akta s katero se nadomešča njen veljaven grafični del. Namen tehnične posodobitve je ta, da se posodobljen prostorski izvedbeni akt uporablja kot avtentičen pravni vir.</w:t>
      </w:r>
    </w:p>
    <w:p w:rsidR="000B221E" w:rsidRDefault="000B221E" w:rsidP="000B221E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highlight w:val="yellow"/>
          <w:lang w:eastAsia="sr-Cyrl-RS"/>
        </w:rPr>
      </w:pPr>
    </w:p>
    <w:p w:rsidR="000B221E" w:rsidRDefault="000B221E" w:rsidP="000B221E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highlight w:val="yellow"/>
          <w:lang w:eastAsia="sr-Cyrl-RS"/>
        </w:rPr>
      </w:pPr>
    </w:p>
    <w:p w:rsidR="000B221E" w:rsidRDefault="000B221E" w:rsidP="000B221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r-Cyrl-RS"/>
        </w:rPr>
      </w:pPr>
      <w:r>
        <w:rPr>
          <w:rFonts w:cs="Arial"/>
          <w:b/>
          <w:bCs/>
          <w:szCs w:val="20"/>
          <w:lang w:eastAsia="sr-Cyrl-RS"/>
        </w:rPr>
        <w:t>K 333. členu</w:t>
      </w:r>
      <w:r>
        <w:rPr>
          <w:rFonts w:cs="Arial"/>
          <w:szCs w:val="20"/>
          <w:lang w:eastAsia="sr-Cyrl-RS"/>
        </w:rPr>
        <w:t xml:space="preserve"> </w:t>
      </w:r>
    </w:p>
    <w:p w:rsidR="000B221E" w:rsidRDefault="000B221E" w:rsidP="000B221E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highlight w:val="yellow"/>
          <w:lang w:eastAsia="sr-Cyrl-RS"/>
        </w:rPr>
      </w:pPr>
    </w:p>
    <w:p w:rsidR="000B221E" w:rsidRDefault="000B221E" w:rsidP="000B221E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V 333. členu se prvi odstavek spremeni tako, da se glasi.</w:t>
      </w:r>
    </w:p>
    <w:p w:rsidR="000B221E" w:rsidRDefault="000B221E" w:rsidP="000B221E">
      <w:pPr>
        <w:spacing w:line="240" w:lineRule="auto"/>
        <w:jc w:val="both"/>
        <w:rPr>
          <w:rFonts w:cs="Arial"/>
          <w:szCs w:val="20"/>
        </w:rPr>
      </w:pPr>
    </w:p>
    <w:p w:rsidR="000B221E" w:rsidRDefault="000B221E" w:rsidP="000B221E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»(1) Ne glede na prvi odstavek 242. člena tega zakona je investitor, ki je plačal komunalni prispevek do vzpostavitve storitev za elektronsko poslovanje na področju graditve objektov (</w:t>
      </w:r>
      <w:proofErr w:type="spellStart"/>
      <w:r>
        <w:rPr>
          <w:rFonts w:cs="Arial"/>
          <w:szCs w:val="20"/>
        </w:rPr>
        <w:t>eGraditev</w:t>
      </w:r>
      <w:proofErr w:type="spellEnd"/>
      <w:r>
        <w:rPr>
          <w:rFonts w:cs="Arial"/>
          <w:szCs w:val="20"/>
        </w:rPr>
        <w:t>) iz petega odstavka 263. člena tega zakona, upravičen do vračila komunalnega prispevka za obstoječo komunalno opremo v petih letih od plačila, če ga je plačal za objekt, za katerega:</w:t>
      </w:r>
    </w:p>
    <w:p w:rsidR="000B221E" w:rsidRDefault="000B221E" w:rsidP="000B221E">
      <w:pPr>
        <w:numPr>
          <w:ilvl w:val="0"/>
          <w:numId w:val="2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gradbeno dovoljenje ni bilo izdano ali je prenehalo veljati; </w:t>
      </w:r>
    </w:p>
    <w:p w:rsidR="000B221E" w:rsidRDefault="000B221E" w:rsidP="000B221E">
      <w:pPr>
        <w:numPr>
          <w:ilvl w:val="0"/>
          <w:numId w:val="2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se je gradbeno dovoljenje spremenilo tako, da je komunalni prispevek po spremembi nižji od komunalnega prispevka, plačanega pred spremembo;</w:t>
      </w:r>
    </w:p>
    <w:p w:rsidR="000B221E" w:rsidRDefault="000B221E" w:rsidP="000B221E">
      <w:pPr>
        <w:numPr>
          <w:ilvl w:val="0"/>
          <w:numId w:val="2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ni bila izdana odločba o legalizaciji ali dovoljenje za objekt daljšega obstoja.«.</w:t>
      </w:r>
    </w:p>
    <w:p w:rsidR="000B221E" w:rsidRDefault="000B221E" w:rsidP="000B221E">
      <w:pPr>
        <w:spacing w:line="240" w:lineRule="auto"/>
        <w:jc w:val="both"/>
        <w:rPr>
          <w:rFonts w:cs="Arial"/>
          <w:szCs w:val="20"/>
        </w:rPr>
      </w:pPr>
    </w:p>
    <w:p w:rsidR="000B221E" w:rsidRDefault="000B221E" w:rsidP="000B221E">
      <w:pPr>
        <w:spacing w:line="240" w:lineRule="auto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Obrazložitev:</w:t>
      </w:r>
    </w:p>
    <w:p w:rsidR="000B221E" w:rsidRDefault="000B221E" w:rsidP="000B221E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Amandma je potreben zaradi odprave očitne napake – pomanjkljivosti, saj ni bilo jasno, od kdaj oz. od katerega dejanja se šteje rok 5 let. Do pravice vračila je upravičen investitor, ki plača komunalni prispevek kadarkoli do vzpostavitve za elektronsko poslovanje na področju graditve objektov (</w:t>
      </w:r>
      <w:proofErr w:type="spellStart"/>
      <w:r>
        <w:rPr>
          <w:rFonts w:cs="Arial"/>
          <w:szCs w:val="20"/>
        </w:rPr>
        <w:t>eGraditev</w:t>
      </w:r>
      <w:proofErr w:type="spellEnd"/>
      <w:r>
        <w:rPr>
          <w:rFonts w:cs="Arial"/>
          <w:szCs w:val="20"/>
        </w:rPr>
        <w:t xml:space="preserve">). Pravico do vračila lahko uveljavlja v roku 5 let od plačila. </w:t>
      </w:r>
    </w:p>
    <w:p w:rsidR="000B221E" w:rsidRDefault="000B221E" w:rsidP="000B221E">
      <w:pPr>
        <w:spacing w:line="240" w:lineRule="auto"/>
        <w:jc w:val="both"/>
        <w:rPr>
          <w:rFonts w:cs="Arial"/>
          <w:bCs/>
          <w:szCs w:val="20"/>
          <w:lang w:eastAsia="sr-Cyrl-RS"/>
        </w:rPr>
      </w:pPr>
    </w:p>
    <w:p w:rsidR="00B35382" w:rsidRDefault="00B35382" w:rsidP="009C657E">
      <w:pPr>
        <w:autoSpaceDE w:val="0"/>
        <w:autoSpaceDN w:val="0"/>
        <w:adjustRightInd w:val="0"/>
        <w:jc w:val="both"/>
        <w:rPr>
          <w:rFonts w:cs="Arial"/>
          <w:szCs w:val="20"/>
          <w:lang w:eastAsia="sr-Cyrl-RS"/>
        </w:rPr>
      </w:pPr>
    </w:p>
    <w:sectPr w:rsidR="00B35382" w:rsidSect="00A16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57" w:rsidRDefault="00035557" w:rsidP="00767987">
      <w:pPr>
        <w:spacing w:line="240" w:lineRule="auto"/>
      </w:pPr>
      <w:r>
        <w:separator/>
      </w:r>
    </w:p>
  </w:endnote>
  <w:endnote w:type="continuationSeparator" w:id="0">
    <w:p w:rsidR="00035557" w:rsidRDefault="0003555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D8" w:rsidRDefault="00B624D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D8" w:rsidRDefault="00B624D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D8" w:rsidRDefault="00B624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57" w:rsidRDefault="00035557" w:rsidP="00767987">
      <w:pPr>
        <w:spacing w:line="240" w:lineRule="auto"/>
      </w:pPr>
      <w:r>
        <w:separator/>
      </w:r>
    </w:p>
  </w:footnote>
  <w:footnote w:type="continuationSeparator" w:id="0">
    <w:p w:rsidR="00035557" w:rsidRDefault="0003555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D8" w:rsidRDefault="00B624D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D8" w:rsidRDefault="00B624D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6F" w:rsidRPr="00A9231D" w:rsidRDefault="00A16E6F" w:rsidP="00A16E6F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ascii="Arial" w:hAnsi="Arial"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13E6758A" wp14:editId="0B37FD23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E6F" w:rsidRPr="00A9231D" w:rsidRDefault="00A16E6F" w:rsidP="00A16E6F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 xml:space="preserve">Gregorčičeva </w:t>
    </w:r>
    <w:r>
      <w:rPr>
        <w:rFonts w:ascii="Arial" w:hAnsi="Arial" w:cs="Arial"/>
        <w:sz w:val="16"/>
      </w:rPr>
      <w:t xml:space="preserve">ulica </w:t>
    </w:r>
    <w:r w:rsidRPr="00A9231D">
      <w:rPr>
        <w:rFonts w:ascii="Arial" w:hAnsi="Arial" w:cs="Arial"/>
        <w:sz w:val="16"/>
      </w:rPr>
      <w:t>20–25, 100</w:t>
    </w:r>
    <w:r>
      <w:rPr>
        <w:rFonts w:ascii="Arial" w:hAnsi="Arial" w:cs="Arial"/>
        <w:sz w:val="16"/>
      </w:rPr>
      <w:t>0</w:t>
    </w:r>
    <w:r w:rsidRPr="00A9231D">
      <w:rPr>
        <w:rFonts w:ascii="Arial" w:hAnsi="Arial" w:cs="Arial"/>
        <w:sz w:val="16"/>
      </w:rPr>
      <w:t xml:space="preserve"> Ljubljana</w:t>
    </w:r>
    <w:r w:rsidRPr="00A9231D">
      <w:rPr>
        <w:rFonts w:ascii="Arial" w:hAnsi="Arial" w:cs="Arial"/>
        <w:sz w:val="16"/>
      </w:rPr>
      <w:tab/>
      <w:t>T: +386 1 478 1000</w:t>
    </w:r>
  </w:p>
  <w:p w:rsidR="00A16E6F" w:rsidRPr="00A9231D" w:rsidRDefault="00A16E6F" w:rsidP="00A16E6F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F: +386 1 478 1607</w:t>
    </w:r>
  </w:p>
  <w:p w:rsidR="00A16E6F" w:rsidRPr="00A9231D" w:rsidRDefault="00A16E6F" w:rsidP="00A16E6F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E: gp.gs@gov.si</w:t>
    </w:r>
  </w:p>
  <w:p w:rsidR="00A16E6F" w:rsidRPr="00A9231D" w:rsidRDefault="00A16E6F" w:rsidP="00A16E6F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C1C76"/>
    <w:multiLevelType w:val="hybridMultilevel"/>
    <w:tmpl w:val="3B7C8142"/>
    <w:lvl w:ilvl="0" w:tplc="95EAD8C4">
      <w:start w:val="1"/>
      <w:numFmt w:val="bullet"/>
      <w:lvlText w:val="‒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35557"/>
    <w:rsid w:val="00056B6B"/>
    <w:rsid w:val="00084FCB"/>
    <w:rsid w:val="000B221E"/>
    <w:rsid w:val="000B3FE6"/>
    <w:rsid w:val="001B57C7"/>
    <w:rsid w:val="00366636"/>
    <w:rsid w:val="00367DE6"/>
    <w:rsid w:val="003B3E19"/>
    <w:rsid w:val="004076C6"/>
    <w:rsid w:val="00457A58"/>
    <w:rsid w:val="004B7F76"/>
    <w:rsid w:val="004E1BCE"/>
    <w:rsid w:val="00556745"/>
    <w:rsid w:val="00592079"/>
    <w:rsid w:val="00665792"/>
    <w:rsid w:val="00682FFE"/>
    <w:rsid w:val="00684751"/>
    <w:rsid w:val="006C69EC"/>
    <w:rsid w:val="007039D0"/>
    <w:rsid w:val="00767987"/>
    <w:rsid w:val="00782FD4"/>
    <w:rsid w:val="007E1230"/>
    <w:rsid w:val="00811140"/>
    <w:rsid w:val="00904A48"/>
    <w:rsid w:val="00973568"/>
    <w:rsid w:val="00980294"/>
    <w:rsid w:val="009C5392"/>
    <w:rsid w:val="009C657E"/>
    <w:rsid w:val="00A16E6F"/>
    <w:rsid w:val="00A50E4B"/>
    <w:rsid w:val="00A56EFB"/>
    <w:rsid w:val="00A9231D"/>
    <w:rsid w:val="00AD3BB3"/>
    <w:rsid w:val="00B35382"/>
    <w:rsid w:val="00B624D8"/>
    <w:rsid w:val="00C0216A"/>
    <w:rsid w:val="00CD6077"/>
    <w:rsid w:val="00CE234E"/>
    <w:rsid w:val="00D02973"/>
    <w:rsid w:val="00DA09BE"/>
    <w:rsid w:val="00E83A83"/>
    <w:rsid w:val="00F502C5"/>
    <w:rsid w:val="00F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123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customStyle="1" w:styleId="podpisi">
    <w:name w:val="podpisi"/>
    <w:basedOn w:val="Navaden"/>
    <w:qFormat/>
    <w:rsid w:val="009C657E"/>
    <w:pPr>
      <w:tabs>
        <w:tab w:val="left" w:pos="3402"/>
      </w:tabs>
    </w:pPr>
    <w:rPr>
      <w:lang w:val="it-IT"/>
    </w:rPr>
  </w:style>
  <w:style w:type="character" w:customStyle="1" w:styleId="BrezrazmikovZnak">
    <w:name w:val="Brez razmikov Znak"/>
    <w:link w:val="Brezrazmikov"/>
    <w:uiPriority w:val="1"/>
    <w:locked/>
    <w:rsid w:val="000B221E"/>
    <w:rPr>
      <w:rFonts w:ascii="Arial" w:hAnsi="Arial" w:cs="Arial"/>
      <w:szCs w:val="24"/>
    </w:rPr>
  </w:style>
  <w:style w:type="paragraph" w:styleId="Brezrazmikov">
    <w:name w:val="No Spacing"/>
    <w:link w:val="BrezrazmikovZnak"/>
    <w:uiPriority w:val="1"/>
    <w:qFormat/>
    <w:rsid w:val="000B221E"/>
    <w:pPr>
      <w:spacing w:after="0" w:line="240" w:lineRule="auto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Pucihar</dc:creator>
  <cp:keywords/>
  <dc:description/>
  <cp:lastModifiedBy>Katja Pucihar</cp:lastModifiedBy>
  <cp:revision>3</cp:revision>
  <dcterms:created xsi:type="dcterms:W3CDTF">2021-11-09T09:39:00Z</dcterms:created>
  <dcterms:modified xsi:type="dcterms:W3CDTF">2021-11-09T09:43:00Z</dcterms:modified>
</cp:coreProperties>
</file>