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167AC" w14:textId="77777777" w:rsidR="00724028" w:rsidRPr="0020656B" w:rsidRDefault="00724028" w:rsidP="00724028">
      <w:pPr>
        <w:pStyle w:val="Odstavek"/>
        <w:ind w:firstLine="0"/>
        <w:rPr>
          <w:sz w:val="20"/>
          <w:szCs w:val="20"/>
          <w:lang w:val="sl-SI"/>
        </w:rPr>
      </w:pPr>
      <w:r w:rsidRPr="0020656B">
        <w:rPr>
          <w:sz w:val="20"/>
          <w:szCs w:val="20"/>
          <w:lang w:val="sl-SI"/>
        </w:rPr>
        <w:t>Na podlagi prvega odstavka 71. člena in za izvajanje tretjega odstavka 107. člena Zakona o javnem naročanju (Uradni list RS, št. 91/15 in 14/18) Vlada Republike Slovenije izdaja</w:t>
      </w:r>
    </w:p>
    <w:p w14:paraId="1C232387" w14:textId="77777777" w:rsidR="00724028" w:rsidRPr="0020656B" w:rsidRDefault="00724028" w:rsidP="00724028">
      <w:pPr>
        <w:pStyle w:val="Odstavek"/>
        <w:ind w:firstLine="0"/>
        <w:rPr>
          <w:sz w:val="20"/>
          <w:szCs w:val="20"/>
          <w:lang w:val="sl-SI"/>
        </w:rPr>
      </w:pPr>
    </w:p>
    <w:p w14:paraId="0B16B70E" w14:textId="77777777" w:rsidR="00724028" w:rsidRPr="0020656B" w:rsidRDefault="00724028" w:rsidP="00724028">
      <w:pPr>
        <w:pStyle w:val="Naslovpredpisa"/>
        <w:rPr>
          <w:sz w:val="20"/>
          <w:szCs w:val="20"/>
        </w:rPr>
      </w:pPr>
      <w:r w:rsidRPr="0020656B">
        <w:rPr>
          <w:sz w:val="20"/>
          <w:szCs w:val="20"/>
        </w:rPr>
        <w:t>UREDBO</w:t>
      </w:r>
    </w:p>
    <w:p w14:paraId="017952BB" w14:textId="77777777" w:rsidR="00724028" w:rsidRPr="0020656B" w:rsidRDefault="00724028" w:rsidP="00724028">
      <w:pPr>
        <w:pStyle w:val="Naslovpredpisa"/>
        <w:rPr>
          <w:sz w:val="20"/>
          <w:szCs w:val="20"/>
        </w:rPr>
      </w:pPr>
    </w:p>
    <w:p w14:paraId="26677DB7" w14:textId="77777777" w:rsidR="00724028" w:rsidRPr="0020656B" w:rsidRDefault="00724028" w:rsidP="00724028">
      <w:pPr>
        <w:pStyle w:val="Naslovpredpisa"/>
        <w:rPr>
          <w:sz w:val="20"/>
          <w:szCs w:val="20"/>
        </w:rPr>
      </w:pPr>
      <w:r w:rsidRPr="0020656B">
        <w:rPr>
          <w:sz w:val="20"/>
          <w:szCs w:val="20"/>
        </w:rPr>
        <w:t>o spremembah in dopolnitvah Uredbe o zelenem javnem naročanju</w:t>
      </w:r>
    </w:p>
    <w:p w14:paraId="6B4EAEA5" w14:textId="77777777" w:rsidR="00724028" w:rsidRPr="0020656B" w:rsidRDefault="00724028" w:rsidP="00724028">
      <w:pPr>
        <w:pStyle w:val="Naslovpredpisa"/>
        <w:rPr>
          <w:sz w:val="20"/>
          <w:szCs w:val="20"/>
        </w:rPr>
      </w:pPr>
    </w:p>
    <w:p w14:paraId="448EDB20" w14:textId="77777777" w:rsidR="00724028" w:rsidRPr="0020656B" w:rsidRDefault="00724028" w:rsidP="00724028">
      <w:pPr>
        <w:pStyle w:val="Odstavek"/>
        <w:numPr>
          <w:ilvl w:val="0"/>
          <w:numId w:val="21"/>
        </w:numPr>
        <w:tabs>
          <w:tab w:val="left" w:pos="284"/>
        </w:tabs>
        <w:ind w:left="0" w:firstLine="0"/>
        <w:jc w:val="center"/>
        <w:rPr>
          <w:sz w:val="20"/>
          <w:szCs w:val="20"/>
          <w:lang w:val="sl-SI"/>
        </w:rPr>
      </w:pPr>
      <w:r w:rsidRPr="0020656B">
        <w:rPr>
          <w:sz w:val="20"/>
          <w:szCs w:val="20"/>
          <w:lang w:val="sl-SI"/>
        </w:rPr>
        <w:t>člen</w:t>
      </w:r>
    </w:p>
    <w:p w14:paraId="37794181" w14:textId="77777777" w:rsidR="00724028" w:rsidRPr="0020656B" w:rsidRDefault="00724028" w:rsidP="00724028">
      <w:pPr>
        <w:pStyle w:val="Odstavek"/>
        <w:spacing w:before="0"/>
        <w:ind w:firstLine="0"/>
        <w:rPr>
          <w:sz w:val="20"/>
          <w:szCs w:val="20"/>
          <w:lang w:val="sl-SI"/>
        </w:rPr>
      </w:pPr>
    </w:p>
    <w:p w14:paraId="41D2B466" w14:textId="77777777" w:rsidR="00724028" w:rsidRDefault="00724028" w:rsidP="00724028">
      <w:pPr>
        <w:pStyle w:val="Odstavek"/>
        <w:spacing w:before="0"/>
        <w:ind w:firstLine="0"/>
        <w:rPr>
          <w:sz w:val="20"/>
          <w:szCs w:val="20"/>
          <w:lang w:val="sl-SI"/>
        </w:rPr>
      </w:pPr>
      <w:r w:rsidRPr="0020656B">
        <w:rPr>
          <w:sz w:val="20"/>
          <w:szCs w:val="20"/>
          <w:lang w:val="sl-SI"/>
        </w:rPr>
        <w:t xml:space="preserve">V Uredbi o zelenem javnem naročanju (Uradni list RS, št. 51/17 in 64/19) </w:t>
      </w:r>
      <w:r>
        <w:rPr>
          <w:sz w:val="20"/>
          <w:szCs w:val="20"/>
          <w:lang w:val="sl-SI"/>
        </w:rPr>
        <w:t>se v 1. členu v drugem odstavku prva alineja spremeni tako, da se glasi:</w:t>
      </w:r>
    </w:p>
    <w:p w14:paraId="4B5F9248" w14:textId="1438638E" w:rsidR="00724028" w:rsidRDefault="00724028" w:rsidP="00724028">
      <w:pPr>
        <w:pStyle w:val="Odstavek"/>
        <w:spacing w:before="0"/>
        <w:ind w:firstLine="0"/>
        <w:rPr>
          <w:sz w:val="20"/>
          <w:szCs w:val="20"/>
          <w:lang w:val="sl-SI"/>
        </w:rPr>
      </w:pPr>
      <w:r>
        <w:rPr>
          <w:sz w:val="20"/>
          <w:szCs w:val="20"/>
          <w:lang w:val="sl-SI"/>
        </w:rPr>
        <w:t xml:space="preserve">»- </w:t>
      </w:r>
      <w:r w:rsidR="00AD4E17">
        <w:rPr>
          <w:sz w:val="20"/>
          <w:szCs w:val="20"/>
          <w:lang w:val="sl-SI"/>
        </w:rPr>
        <w:t xml:space="preserve">del </w:t>
      </w:r>
      <w:r w:rsidRPr="004C4C49">
        <w:rPr>
          <w:sz w:val="20"/>
          <w:szCs w:val="20"/>
          <w:lang w:val="sl-SI"/>
        </w:rPr>
        <w:t>Direktiv</w:t>
      </w:r>
      <w:r w:rsidR="00AD4E17">
        <w:rPr>
          <w:sz w:val="20"/>
          <w:szCs w:val="20"/>
          <w:lang w:val="sl-SI"/>
        </w:rPr>
        <w:t>e</w:t>
      </w:r>
      <w:r w:rsidRPr="004C4C49">
        <w:rPr>
          <w:sz w:val="20"/>
          <w:szCs w:val="20"/>
          <w:lang w:val="sl-SI"/>
        </w:rPr>
        <w:t xml:space="preserve"> (E</w:t>
      </w:r>
      <w:r>
        <w:rPr>
          <w:sz w:val="20"/>
          <w:szCs w:val="20"/>
          <w:lang w:val="sl-SI"/>
        </w:rPr>
        <w:t>U</w:t>
      </w:r>
      <w:r w:rsidRPr="004C4C49">
        <w:rPr>
          <w:sz w:val="20"/>
          <w:szCs w:val="20"/>
          <w:lang w:val="sl-SI"/>
        </w:rPr>
        <w:t xml:space="preserve">) 2019/1161 Evropskega </w:t>
      </w:r>
      <w:r>
        <w:rPr>
          <w:sz w:val="20"/>
          <w:szCs w:val="20"/>
          <w:lang w:val="sl-SI"/>
        </w:rPr>
        <w:t>p</w:t>
      </w:r>
      <w:r w:rsidRPr="004C4C49">
        <w:rPr>
          <w:sz w:val="20"/>
          <w:szCs w:val="20"/>
          <w:lang w:val="sl-SI"/>
        </w:rPr>
        <w:t xml:space="preserve">arlamenta </w:t>
      </w:r>
      <w:r>
        <w:rPr>
          <w:sz w:val="20"/>
          <w:szCs w:val="20"/>
          <w:lang w:val="sl-SI"/>
        </w:rPr>
        <w:t>i</w:t>
      </w:r>
      <w:r w:rsidRPr="004C4C49">
        <w:rPr>
          <w:sz w:val="20"/>
          <w:szCs w:val="20"/>
          <w:lang w:val="sl-SI"/>
        </w:rPr>
        <w:t>n Sveta z dne 20. junija 2019 o spremembi Direktive 2009/33/ES o spodbujanju čistih in energetsko učinkovitih vozil za cestni prevoz</w:t>
      </w:r>
      <w:r>
        <w:rPr>
          <w:sz w:val="20"/>
          <w:szCs w:val="20"/>
          <w:lang w:val="sl-SI"/>
        </w:rPr>
        <w:t xml:space="preserve"> (UL L št. 188 z dne 12. julij </w:t>
      </w:r>
      <w:r w:rsidRPr="004C4C49">
        <w:rPr>
          <w:sz w:val="20"/>
          <w:szCs w:val="20"/>
          <w:lang w:val="sl-SI"/>
        </w:rPr>
        <w:t>2019, str. 116–130</w:t>
      </w:r>
      <w:r>
        <w:rPr>
          <w:sz w:val="20"/>
          <w:szCs w:val="20"/>
          <w:lang w:val="sl-SI"/>
        </w:rPr>
        <w:t>) ter«.</w:t>
      </w:r>
    </w:p>
    <w:p w14:paraId="2C7BBD35" w14:textId="77777777" w:rsidR="00724028" w:rsidRDefault="00724028" w:rsidP="00724028">
      <w:pPr>
        <w:pStyle w:val="Odstavek"/>
        <w:spacing w:before="0"/>
        <w:ind w:firstLine="0"/>
        <w:rPr>
          <w:sz w:val="20"/>
          <w:szCs w:val="20"/>
          <w:lang w:val="sl-SI"/>
        </w:rPr>
      </w:pPr>
    </w:p>
    <w:p w14:paraId="2216670F" w14:textId="77777777" w:rsidR="00724028" w:rsidRDefault="00724028" w:rsidP="00724028">
      <w:pPr>
        <w:pStyle w:val="Odstavek"/>
        <w:numPr>
          <w:ilvl w:val="0"/>
          <w:numId w:val="21"/>
        </w:numPr>
        <w:tabs>
          <w:tab w:val="left" w:pos="284"/>
        </w:tabs>
        <w:ind w:left="0" w:firstLine="0"/>
        <w:jc w:val="center"/>
        <w:rPr>
          <w:sz w:val="20"/>
          <w:szCs w:val="20"/>
          <w:lang w:val="sl-SI"/>
        </w:rPr>
      </w:pPr>
      <w:r>
        <w:rPr>
          <w:sz w:val="20"/>
          <w:szCs w:val="20"/>
          <w:lang w:val="sl-SI"/>
        </w:rPr>
        <w:t>člen</w:t>
      </w:r>
    </w:p>
    <w:p w14:paraId="507C64E5" w14:textId="77777777" w:rsidR="00724028" w:rsidRDefault="00724028" w:rsidP="00724028">
      <w:pPr>
        <w:pStyle w:val="Odstavek"/>
        <w:spacing w:before="0"/>
        <w:ind w:firstLine="0"/>
        <w:rPr>
          <w:sz w:val="20"/>
          <w:szCs w:val="20"/>
          <w:lang w:val="sl-SI"/>
        </w:rPr>
      </w:pPr>
    </w:p>
    <w:p w14:paraId="4F3772BE" w14:textId="77777777" w:rsidR="00724028" w:rsidRDefault="00724028" w:rsidP="00724028">
      <w:pPr>
        <w:pStyle w:val="Odstavek"/>
        <w:spacing w:before="0"/>
        <w:ind w:firstLine="0"/>
        <w:rPr>
          <w:sz w:val="20"/>
          <w:szCs w:val="20"/>
          <w:lang w:val="sl-SI"/>
        </w:rPr>
      </w:pPr>
      <w:r>
        <w:rPr>
          <w:sz w:val="20"/>
          <w:szCs w:val="20"/>
          <w:lang w:val="sl-SI"/>
        </w:rPr>
        <w:t>V</w:t>
      </w:r>
      <w:r w:rsidRPr="0020656B">
        <w:rPr>
          <w:sz w:val="20"/>
          <w:szCs w:val="20"/>
          <w:lang w:val="sl-SI"/>
        </w:rPr>
        <w:t xml:space="preserve"> 4. členu </w:t>
      </w:r>
      <w:r>
        <w:rPr>
          <w:sz w:val="20"/>
          <w:szCs w:val="20"/>
          <w:lang w:val="sl-SI"/>
        </w:rPr>
        <w:t xml:space="preserve">se </w:t>
      </w:r>
      <w:r w:rsidRPr="0020656B">
        <w:rPr>
          <w:sz w:val="20"/>
          <w:szCs w:val="20"/>
          <w:lang w:val="sl-SI"/>
        </w:rPr>
        <w:t xml:space="preserve">v prvem odstavku </w:t>
      </w:r>
      <w:r>
        <w:rPr>
          <w:sz w:val="20"/>
          <w:szCs w:val="20"/>
          <w:lang w:val="sl-SI"/>
        </w:rPr>
        <w:t>15. točka spremeni tako, da se glasi:</w:t>
      </w:r>
    </w:p>
    <w:p w14:paraId="1D39BCCA" w14:textId="77777777" w:rsidR="00724028" w:rsidRDefault="00724028" w:rsidP="00724028">
      <w:pPr>
        <w:pStyle w:val="Odstavek"/>
        <w:spacing w:before="0"/>
        <w:ind w:firstLine="0"/>
        <w:rPr>
          <w:sz w:val="20"/>
          <w:szCs w:val="20"/>
          <w:lang w:val="sl-SI"/>
        </w:rPr>
      </w:pPr>
      <w:r>
        <w:rPr>
          <w:sz w:val="20"/>
          <w:szCs w:val="20"/>
          <w:lang w:val="sl-SI"/>
        </w:rPr>
        <w:t>»15. vozila za cestni prevoz in storitve prevoza,«.</w:t>
      </w:r>
    </w:p>
    <w:p w14:paraId="4B0C5C16" w14:textId="77777777" w:rsidR="00724028" w:rsidRDefault="00724028" w:rsidP="00724028">
      <w:pPr>
        <w:pStyle w:val="Odstavek"/>
        <w:spacing w:before="0"/>
        <w:ind w:firstLine="0"/>
        <w:rPr>
          <w:sz w:val="20"/>
          <w:szCs w:val="20"/>
          <w:lang w:val="sl-SI"/>
        </w:rPr>
      </w:pPr>
    </w:p>
    <w:p w14:paraId="34359581" w14:textId="77777777" w:rsidR="00724028" w:rsidRDefault="00724028" w:rsidP="00724028">
      <w:pPr>
        <w:pStyle w:val="Odstavek"/>
        <w:numPr>
          <w:ilvl w:val="0"/>
          <w:numId w:val="21"/>
        </w:numPr>
        <w:tabs>
          <w:tab w:val="left" w:pos="284"/>
        </w:tabs>
        <w:ind w:left="0" w:firstLine="0"/>
        <w:jc w:val="center"/>
        <w:rPr>
          <w:sz w:val="20"/>
          <w:szCs w:val="20"/>
          <w:lang w:val="sl-SI"/>
        </w:rPr>
      </w:pPr>
      <w:r>
        <w:rPr>
          <w:sz w:val="20"/>
          <w:szCs w:val="20"/>
          <w:lang w:val="sl-SI"/>
        </w:rPr>
        <w:t>člen</w:t>
      </w:r>
    </w:p>
    <w:p w14:paraId="3365C859" w14:textId="77777777" w:rsidR="00724028" w:rsidRDefault="00724028" w:rsidP="00724028">
      <w:pPr>
        <w:pStyle w:val="Odstavek"/>
        <w:spacing w:before="0"/>
        <w:ind w:firstLine="0"/>
        <w:rPr>
          <w:sz w:val="20"/>
          <w:szCs w:val="20"/>
          <w:lang w:val="sl-SI"/>
        </w:rPr>
      </w:pPr>
    </w:p>
    <w:p w14:paraId="06B543B8" w14:textId="4845A8B3" w:rsidR="00724028" w:rsidRPr="004C4C49" w:rsidRDefault="00724028" w:rsidP="00724028">
      <w:pPr>
        <w:pStyle w:val="Odstavek"/>
        <w:spacing w:before="0"/>
        <w:ind w:firstLine="0"/>
        <w:rPr>
          <w:sz w:val="20"/>
          <w:szCs w:val="20"/>
          <w:lang w:val="sl-SI"/>
        </w:rPr>
      </w:pPr>
      <w:r w:rsidRPr="004C4C49">
        <w:rPr>
          <w:sz w:val="20"/>
          <w:szCs w:val="20"/>
          <w:lang w:val="sl-SI"/>
        </w:rPr>
        <w:t xml:space="preserve">V 6. členu se v prvem odstavku prva alineja spremeni tako, da se glasi: </w:t>
      </w:r>
    </w:p>
    <w:p w14:paraId="72F392C0" w14:textId="77777777" w:rsidR="00724028" w:rsidRDefault="00724028" w:rsidP="00724028">
      <w:pPr>
        <w:pStyle w:val="Odstavek"/>
        <w:spacing w:before="0"/>
        <w:ind w:firstLine="0"/>
        <w:rPr>
          <w:sz w:val="20"/>
          <w:szCs w:val="20"/>
          <w:lang w:val="sl-SI"/>
        </w:rPr>
      </w:pPr>
      <w:r w:rsidRPr="004C4C49">
        <w:rPr>
          <w:sz w:val="20"/>
          <w:szCs w:val="20"/>
          <w:lang w:val="sl-SI"/>
        </w:rPr>
        <w:t>» - energijska učinkovitost in uporaba obnovljivih oziroma drugih alternativnih virov energije;«</w:t>
      </w:r>
      <w:r>
        <w:rPr>
          <w:sz w:val="20"/>
          <w:szCs w:val="20"/>
          <w:lang w:val="sl-SI"/>
        </w:rPr>
        <w:t>.</w:t>
      </w:r>
    </w:p>
    <w:p w14:paraId="0551D6B3" w14:textId="77777777" w:rsidR="00724028" w:rsidRDefault="00724028" w:rsidP="00724028">
      <w:pPr>
        <w:pStyle w:val="Odstavek"/>
        <w:spacing w:before="0"/>
        <w:ind w:firstLine="0"/>
        <w:rPr>
          <w:sz w:val="20"/>
          <w:szCs w:val="20"/>
          <w:lang w:val="sl-SI"/>
        </w:rPr>
      </w:pPr>
    </w:p>
    <w:p w14:paraId="2FA649C0" w14:textId="77777777" w:rsidR="00724028" w:rsidRDefault="00724028" w:rsidP="00724028">
      <w:pPr>
        <w:pStyle w:val="Odstavek"/>
        <w:spacing w:before="0"/>
        <w:ind w:firstLine="0"/>
        <w:rPr>
          <w:sz w:val="20"/>
          <w:szCs w:val="20"/>
          <w:lang w:val="sl-SI"/>
        </w:rPr>
      </w:pPr>
      <w:r>
        <w:rPr>
          <w:sz w:val="20"/>
          <w:szCs w:val="20"/>
          <w:lang w:val="sl-SI"/>
        </w:rPr>
        <w:t>V peti alineji se besedilo »</w:t>
      </w:r>
      <w:r w:rsidRPr="00224A19">
        <w:rPr>
          <w:sz w:val="20"/>
          <w:szCs w:val="20"/>
          <w:lang w:val="sl-SI"/>
        </w:rPr>
        <w:t>ali gradnje, spodbujanje popravil, priprave in predelave odsluženih izdelkov in odpadkov za ponovno uporabo ter recikliranje</w:t>
      </w:r>
      <w:r>
        <w:rPr>
          <w:sz w:val="20"/>
          <w:szCs w:val="20"/>
          <w:lang w:val="sl-SI"/>
        </w:rPr>
        <w:t>.« nadomesti z besedilom »in gradnje;</w:t>
      </w:r>
      <w:r w:rsidRPr="00EC6D60">
        <w:rPr>
          <w:sz w:val="20"/>
          <w:szCs w:val="20"/>
          <w:lang w:val="sl-SI"/>
        </w:rPr>
        <w:t>«.</w:t>
      </w:r>
    </w:p>
    <w:p w14:paraId="1968117C" w14:textId="77777777" w:rsidR="00724028" w:rsidRDefault="00724028" w:rsidP="00724028">
      <w:pPr>
        <w:pStyle w:val="Odstavek"/>
        <w:spacing w:before="0"/>
        <w:ind w:firstLine="0"/>
        <w:rPr>
          <w:sz w:val="20"/>
          <w:szCs w:val="20"/>
          <w:lang w:val="sl-SI"/>
        </w:rPr>
      </w:pPr>
    </w:p>
    <w:p w14:paraId="48738781" w14:textId="77777777" w:rsidR="00724028" w:rsidRDefault="00724028" w:rsidP="00724028">
      <w:pPr>
        <w:pStyle w:val="Odstavek"/>
        <w:spacing w:before="0"/>
        <w:ind w:firstLine="0"/>
        <w:rPr>
          <w:sz w:val="20"/>
          <w:szCs w:val="20"/>
          <w:lang w:val="sl-SI"/>
        </w:rPr>
      </w:pPr>
      <w:r>
        <w:rPr>
          <w:sz w:val="20"/>
          <w:szCs w:val="20"/>
          <w:lang w:val="sl-SI"/>
        </w:rPr>
        <w:t>Doda se nova šesta alineja, ki se glasi:</w:t>
      </w:r>
    </w:p>
    <w:p w14:paraId="13224851" w14:textId="77777777" w:rsidR="00724028" w:rsidRPr="00D05F00" w:rsidRDefault="00724028" w:rsidP="00724028">
      <w:pPr>
        <w:pStyle w:val="Odstavek"/>
        <w:spacing w:before="0"/>
        <w:ind w:firstLine="0"/>
        <w:rPr>
          <w:sz w:val="20"/>
          <w:szCs w:val="20"/>
          <w:lang w:val="sl-SI"/>
        </w:rPr>
      </w:pPr>
      <w:r w:rsidRPr="00D05F00">
        <w:rPr>
          <w:sz w:val="20"/>
          <w:szCs w:val="20"/>
          <w:lang w:val="sl-SI"/>
        </w:rPr>
        <w:t>»- spodbujanje uporabe proizvodov, ki se jih lahko večkrat uporabi namesto takih za enkratno uporabo, spodbujanje popravil, priprave in predelave odsluženih izdelkov in odpadkov za ponovno uporabo ter recikliranje.«.</w:t>
      </w:r>
    </w:p>
    <w:p w14:paraId="253D06D9" w14:textId="77777777" w:rsidR="00724028" w:rsidRPr="00D05F00" w:rsidRDefault="00724028" w:rsidP="00724028">
      <w:pPr>
        <w:pStyle w:val="Odstavek"/>
        <w:spacing w:before="0"/>
        <w:ind w:firstLine="0"/>
        <w:rPr>
          <w:sz w:val="20"/>
          <w:szCs w:val="20"/>
          <w:lang w:val="sl-SI"/>
        </w:rPr>
      </w:pPr>
    </w:p>
    <w:p w14:paraId="313C67E2" w14:textId="77777777" w:rsidR="00724028" w:rsidRPr="0020656B" w:rsidRDefault="00724028" w:rsidP="00724028">
      <w:pPr>
        <w:pStyle w:val="Odstavek"/>
        <w:spacing w:before="0"/>
        <w:ind w:firstLine="0"/>
        <w:rPr>
          <w:sz w:val="20"/>
          <w:szCs w:val="20"/>
          <w:lang w:val="sl-SI"/>
        </w:rPr>
      </w:pPr>
      <w:r w:rsidRPr="0020656B">
        <w:rPr>
          <w:sz w:val="20"/>
          <w:szCs w:val="20"/>
          <w:lang w:val="sl-SI"/>
        </w:rPr>
        <w:t xml:space="preserve">V drugem odstavku </w:t>
      </w:r>
      <w:r>
        <w:rPr>
          <w:sz w:val="20"/>
          <w:szCs w:val="20"/>
          <w:lang w:val="sl-SI"/>
        </w:rPr>
        <w:t xml:space="preserve">se </w:t>
      </w:r>
      <w:r w:rsidRPr="0020656B">
        <w:rPr>
          <w:sz w:val="20"/>
          <w:szCs w:val="20"/>
          <w:lang w:val="sl-SI"/>
        </w:rPr>
        <w:t xml:space="preserve">17. točka spremeni tako, da se glasi: </w:t>
      </w:r>
    </w:p>
    <w:p w14:paraId="756A13A7" w14:textId="77777777" w:rsidR="00724028" w:rsidRPr="0020656B" w:rsidRDefault="00724028" w:rsidP="00724028">
      <w:pPr>
        <w:pStyle w:val="Odstavek"/>
        <w:spacing w:before="0"/>
        <w:ind w:firstLine="0"/>
        <w:rPr>
          <w:sz w:val="20"/>
          <w:szCs w:val="20"/>
          <w:lang w:val="sl-SI"/>
        </w:rPr>
      </w:pPr>
      <w:r w:rsidRPr="0020656B">
        <w:rPr>
          <w:sz w:val="20"/>
          <w:szCs w:val="20"/>
          <w:lang w:val="sl-SI"/>
        </w:rPr>
        <w:t xml:space="preserve">» 17. delež čistih in </w:t>
      </w:r>
      <w:proofErr w:type="spellStart"/>
      <w:r w:rsidRPr="0020656B">
        <w:rPr>
          <w:sz w:val="20"/>
          <w:szCs w:val="20"/>
          <w:lang w:val="sl-SI"/>
        </w:rPr>
        <w:t>brezemisijskih</w:t>
      </w:r>
      <w:proofErr w:type="spellEnd"/>
      <w:r w:rsidRPr="0020656B">
        <w:rPr>
          <w:sz w:val="20"/>
          <w:szCs w:val="20"/>
          <w:lang w:val="sl-SI"/>
        </w:rPr>
        <w:t xml:space="preserve"> vozil za cestni prevoz in storitev prevoza, glede na kategorije vozil, kot jih določa 3. točka Prilog</w:t>
      </w:r>
      <w:r>
        <w:rPr>
          <w:sz w:val="20"/>
          <w:szCs w:val="20"/>
          <w:lang w:val="sl-SI"/>
        </w:rPr>
        <w:t>e</w:t>
      </w:r>
      <w:r w:rsidRPr="0020656B">
        <w:rPr>
          <w:sz w:val="20"/>
          <w:szCs w:val="20"/>
          <w:lang w:val="sl-SI"/>
        </w:rPr>
        <w:t xml:space="preserve"> 2</w:t>
      </w:r>
      <w:r>
        <w:rPr>
          <w:sz w:val="20"/>
          <w:szCs w:val="20"/>
          <w:lang w:val="sl-SI"/>
        </w:rPr>
        <w:t>, ki je sestavni del</w:t>
      </w:r>
      <w:r w:rsidRPr="0020656B">
        <w:rPr>
          <w:sz w:val="20"/>
          <w:szCs w:val="20"/>
          <w:lang w:val="sl-SI"/>
        </w:rPr>
        <w:t xml:space="preserve"> te uredbe;«.</w:t>
      </w:r>
    </w:p>
    <w:p w14:paraId="0180E39C" w14:textId="77777777" w:rsidR="00724028" w:rsidRPr="0020656B" w:rsidRDefault="00724028" w:rsidP="00724028">
      <w:pPr>
        <w:pStyle w:val="Odstavek"/>
        <w:spacing w:before="0"/>
        <w:ind w:firstLine="0"/>
        <w:rPr>
          <w:sz w:val="20"/>
          <w:szCs w:val="20"/>
          <w:lang w:val="sl-SI"/>
        </w:rPr>
      </w:pPr>
      <w:r w:rsidRPr="0020656B">
        <w:rPr>
          <w:sz w:val="20"/>
          <w:szCs w:val="20"/>
          <w:lang w:val="sl-SI"/>
        </w:rPr>
        <w:t xml:space="preserve"> </w:t>
      </w:r>
    </w:p>
    <w:p w14:paraId="48A8878D" w14:textId="77777777" w:rsidR="00724028" w:rsidRPr="0020656B" w:rsidRDefault="00724028" w:rsidP="00724028">
      <w:pPr>
        <w:pStyle w:val="Odstavek"/>
        <w:spacing w:before="0"/>
        <w:ind w:firstLine="0"/>
        <w:rPr>
          <w:sz w:val="20"/>
          <w:szCs w:val="20"/>
          <w:lang w:val="sl-SI"/>
        </w:rPr>
      </w:pPr>
      <w:r w:rsidRPr="0020656B">
        <w:rPr>
          <w:sz w:val="20"/>
          <w:szCs w:val="20"/>
          <w:lang w:val="sl-SI"/>
        </w:rPr>
        <w:t xml:space="preserve">18. točka se </w:t>
      </w:r>
      <w:r>
        <w:rPr>
          <w:sz w:val="20"/>
          <w:szCs w:val="20"/>
          <w:lang w:val="sl-SI"/>
        </w:rPr>
        <w:t>črta</w:t>
      </w:r>
      <w:r w:rsidRPr="0020656B">
        <w:rPr>
          <w:sz w:val="20"/>
          <w:szCs w:val="20"/>
          <w:lang w:val="sl-SI"/>
        </w:rPr>
        <w:t>.</w:t>
      </w:r>
    </w:p>
    <w:p w14:paraId="046508B0" w14:textId="77777777" w:rsidR="00724028" w:rsidRPr="0020656B" w:rsidRDefault="00724028" w:rsidP="00724028">
      <w:pPr>
        <w:pStyle w:val="Odstavek"/>
        <w:spacing w:before="0"/>
        <w:ind w:firstLine="0"/>
        <w:rPr>
          <w:sz w:val="20"/>
          <w:szCs w:val="20"/>
          <w:lang w:val="sl-SI"/>
        </w:rPr>
      </w:pPr>
    </w:p>
    <w:p w14:paraId="330B0C6C" w14:textId="77777777" w:rsidR="00724028" w:rsidRPr="0020656B" w:rsidRDefault="00724028" w:rsidP="00724028">
      <w:pPr>
        <w:pStyle w:val="Odstavek"/>
        <w:spacing w:before="0"/>
        <w:ind w:firstLine="0"/>
        <w:rPr>
          <w:sz w:val="20"/>
          <w:szCs w:val="20"/>
          <w:lang w:val="sl-SI"/>
        </w:rPr>
      </w:pPr>
      <w:r w:rsidRPr="0020656B">
        <w:rPr>
          <w:sz w:val="20"/>
          <w:szCs w:val="20"/>
          <w:lang w:val="sl-SI"/>
        </w:rPr>
        <w:t>Dosedanja 19. do 29. točka postanejo 18. do 28. točka.</w:t>
      </w:r>
    </w:p>
    <w:p w14:paraId="49E865D3" w14:textId="77777777" w:rsidR="00724028" w:rsidRPr="0020656B" w:rsidRDefault="00724028" w:rsidP="00724028">
      <w:pPr>
        <w:pStyle w:val="Odstavek"/>
        <w:spacing w:before="0"/>
        <w:ind w:firstLine="0"/>
        <w:rPr>
          <w:sz w:val="20"/>
          <w:szCs w:val="20"/>
          <w:lang w:val="sl-SI"/>
        </w:rPr>
      </w:pPr>
    </w:p>
    <w:p w14:paraId="73971A47" w14:textId="77777777" w:rsidR="00724028" w:rsidRPr="0020656B" w:rsidRDefault="00724028" w:rsidP="00724028">
      <w:pPr>
        <w:pStyle w:val="Odstavek"/>
        <w:spacing w:before="0"/>
        <w:ind w:firstLine="0"/>
        <w:rPr>
          <w:sz w:val="20"/>
          <w:szCs w:val="20"/>
          <w:lang w:val="sl-SI"/>
        </w:rPr>
      </w:pPr>
      <w:r>
        <w:rPr>
          <w:sz w:val="20"/>
          <w:szCs w:val="20"/>
          <w:lang w:val="sl-SI"/>
        </w:rPr>
        <w:t>Besedilo</w:t>
      </w:r>
      <w:r w:rsidRPr="0020656B">
        <w:rPr>
          <w:sz w:val="20"/>
          <w:szCs w:val="20"/>
          <w:lang w:val="sl-SI"/>
        </w:rPr>
        <w:t xml:space="preserve"> dosedanj</w:t>
      </w:r>
      <w:r>
        <w:rPr>
          <w:sz w:val="20"/>
          <w:szCs w:val="20"/>
          <w:lang w:val="sl-SI"/>
        </w:rPr>
        <w:t>e</w:t>
      </w:r>
      <w:r w:rsidRPr="0020656B">
        <w:rPr>
          <w:sz w:val="20"/>
          <w:szCs w:val="20"/>
          <w:lang w:val="sl-SI"/>
        </w:rPr>
        <w:t xml:space="preserve"> 25. točk</w:t>
      </w:r>
      <w:r>
        <w:rPr>
          <w:sz w:val="20"/>
          <w:szCs w:val="20"/>
          <w:lang w:val="sl-SI"/>
        </w:rPr>
        <w:t>e</w:t>
      </w:r>
      <w:r w:rsidRPr="0020656B">
        <w:rPr>
          <w:sz w:val="20"/>
          <w:szCs w:val="20"/>
          <w:lang w:val="sl-SI"/>
        </w:rPr>
        <w:t xml:space="preserve">, ki postane 24. točka, se spremeni tako, da se glasi: </w:t>
      </w:r>
    </w:p>
    <w:p w14:paraId="06D812B4" w14:textId="77777777" w:rsidR="00724028" w:rsidRPr="00BC2E6E" w:rsidRDefault="00724028" w:rsidP="00724028">
      <w:pPr>
        <w:pStyle w:val="Odstavek"/>
        <w:spacing w:before="0"/>
        <w:ind w:firstLine="0"/>
        <w:rPr>
          <w:sz w:val="20"/>
          <w:szCs w:val="20"/>
          <w:lang w:val="sl-SI"/>
        </w:rPr>
      </w:pPr>
      <w:r w:rsidRPr="0020656B">
        <w:rPr>
          <w:sz w:val="20"/>
          <w:szCs w:val="20"/>
          <w:lang w:val="sl-SI"/>
        </w:rPr>
        <w:t xml:space="preserve">»24. </w:t>
      </w:r>
      <w:r w:rsidRPr="00BC2E6E">
        <w:rPr>
          <w:sz w:val="20"/>
          <w:szCs w:val="20"/>
          <w:lang w:val="sl-SI"/>
        </w:rPr>
        <w:t>delež univerzalnih čistil, ki ustrezajo zahtevam za pridobitev znaka za okolje EU za čistila za trdne površine glede merila strupenosti za vodno okolje in zahtevam za pridobitev znaka za okolje EU za čistila za trdne površine glede merila o izključenih in omejenih snoveh, znaša glede na prostornino vseh artiklov univerzalnih čistil najmanj 30 %</w:t>
      </w:r>
      <w:r w:rsidRPr="0020656B">
        <w:rPr>
          <w:sz w:val="20"/>
          <w:szCs w:val="20"/>
          <w:lang w:val="sl-SI"/>
        </w:rPr>
        <w:t>;«.</w:t>
      </w:r>
    </w:p>
    <w:p w14:paraId="2A522F13" w14:textId="77777777" w:rsidR="00724028" w:rsidRPr="0020656B" w:rsidRDefault="00724028" w:rsidP="00724028">
      <w:pPr>
        <w:pStyle w:val="Odstavek"/>
        <w:spacing w:before="0"/>
        <w:ind w:firstLine="0"/>
        <w:rPr>
          <w:sz w:val="20"/>
          <w:szCs w:val="20"/>
          <w:lang w:val="sl-SI"/>
        </w:rPr>
      </w:pPr>
    </w:p>
    <w:p w14:paraId="2DE4C1C6" w14:textId="77777777" w:rsidR="00724028" w:rsidRPr="0020656B" w:rsidRDefault="00724028" w:rsidP="00724028">
      <w:pPr>
        <w:pStyle w:val="Odstavek"/>
        <w:spacing w:before="0"/>
        <w:ind w:firstLine="0"/>
        <w:rPr>
          <w:sz w:val="20"/>
          <w:szCs w:val="20"/>
          <w:lang w:val="sl-SI"/>
        </w:rPr>
      </w:pPr>
      <w:r w:rsidRPr="0020656B">
        <w:rPr>
          <w:sz w:val="20"/>
          <w:szCs w:val="20"/>
          <w:lang w:val="sl-SI"/>
        </w:rPr>
        <w:t xml:space="preserve">Tretji odstavek se spremeni tako, da se glasi: </w:t>
      </w:r>
    </w:p>
    <w:p w14:paraId="3BEA828D" w14:textId="77777777" w:rsidR="00724028" w:rsidRPr="0020656B" w:rsidRDefault="00724028" w:rsidP="00724028">
      <w:pPr>
        <w:pStyle w:val="Odstavek"/>
        <w:spacing w:before="0"/>
        <w:ind w:firstLine="0"/>
        <w:rPr>
          <w:sz w:val="20"/>
          <w:szCs w:val="20"/>
          <w:lang w:val="sl-SI"/>
        </w:rPr>
      </w:pPr>
      <w:r w:rsidRPr="0020656B">
        <w:rPr>
          <w:sz w:val="20"/>
          <w:szCs w:val="20"/>
          <w:lang w:val="sl-SI"/>
        </w:rPr>
        <w:t>»</w:t>
      </w:r>
      <w:r>
        <w:rPr>
          <w:sz w:val="20"/>
          <w:szCs w:val="20"/>
          <w:lang w:val="sl-SI"/>
        </w:rPr>
        <w:t xml:space="preserve">(3) </w:t>
      </w:r>
      <w:r w:rsidRPr="0020656B">
        <w:rPr>
          <w:sz w:val="20"/>
          <w:szCs w:val="20"/>
          <w:lang w:val="sl-SI"/>
        </w:rPr>
        <w:t xml:space="preserve">Za čista in </w:t>
      </w:r>
      <w:proofErr w:type="spellStart"/>
      <w:r w:rsidRPr="0020656B">
        <w:rPr>
          <w:sz w:val="20"/>
          <w:szCs w:val="20"/>
          <w:lang w:val="sl-SI"/>
        </w:rPr>
        <w:t>brezemisijska</w:t>
      </w:r>
      <w:proofErr w:type="spellEnd"/>
      <w:r w:rsidRPr="0020656B">
        <w:rPr>
          <w:sz w:val="20"/>
          <w:szCs w:val="20"/>
          <w:lang w:val="sl-SI"/>
        </w:rPr>
        <w:t xml:space="preserve"> vozila se štejejo vozila, definirana v 1. in 2. točki Priloge 2 te uredbe</w:t>
      </w:r>
      <w:r>
        <w:rPr>
          <w:sz w:val="20"/>
          <w:szCs w:val="20"/>
          <w:lang w:val="sl-SI"/>
        </w:rPr>
        <w:t>.</w:t>
      </w:r>
      <w:r w:rsidRPr="004C4C49">
        <w:rPr>
          <w:sz w:val="20"/>
          <w:szCs w:val="20"/>
          <w:lang w:val="sl-SI"/>
        </w:rPr>
        <w:t xml:space="preserve"> Za alternativne vire energije se štejejo viri energije kot so navedeni v 1. točki Priloge 2 te uredbe.«</w:t>
      </w:r>
      <w:r>
        <w:rPr>
          <w:sz w:val="20"/>
          <w:szCs w:val="20"/>
          <w:lang w:val="sl-SI"/>
        </w:rPr>
        <w:t>.</w:t>
      </w:r>
    </w:p>
    <w:p w14:paraId="2E9F28DA" w14:textId="77777777" w:rsidR="00724028" w:rsidRPr="0020656B" w:rsidRDefault="00724028" w:rsidP="00724028">
      <w:pPr>
        <w:pStyle w:val="Odstavek"/>
        <w:spacing w:before="0"/>
        <w:ind w:firstLine="0"/>
        <w:rPr>
          <w:sz w:val="20"/>
          <w:szCs w:val="20"/>
          <w:lang w:val="sl-SI"/>
        </w:rPr>
      </w:pPr>
    </w:p>
    <w:p w14:paraId="2AEEED91" w14:textId="77777777" w:rsidR="00724028" w:rsidRDefault="00724028" w:rsidP="00724028">
      <w:pPr>
        <w:pStyle w:val="Odstavek"/>
        <w:spacing w:before="0"/>
        <w:ind w:firstLine="0"/>
        <w:rPr>
          <w:sz w:val="20"/>
          <w:szCs w:val="20"/>
          <w:lang w:val="sl-SI"/>
        </w:rPr>
      </w:pPr>
      <w:bookmarkStart w:id="0" w:name="_Hlk67567264"/>
      <w:r w:rsidRPr="0020656B">
        <w:rPr>
          <w:sz w:val="20"/>
          <w:szCs w:val="20"/>
          <w:lang w:val="sl-SI"/>
        </w:rPr>
        <w:t xml:space="preserve">V šestem odstavku se </w:t>
      </w:r>
      <w:r>
        <w:rPr>
          <w:sz w:val="20"/>
          <w:szCs w:val="20"/>
          <w:lang w:val="sl-SI"/>
        </w:rPr>
        <w:t>za besedilom »15.« doda vejica, besedilo »in 16.« pa se nadomesti z besedilom »16. in 17.«.</w:t>
      </w:r>
    </w:p>
    <w:p w14:paraId="2B1C9A43" w14:textId="77777777" w:rsidR="00724028" w:rsidRDefault="00724028" w:rsidP="00724028">
      <w:pPr>
        <w:pStyle w:val="Odstavek"/>
        <w:spacing w:before="0"/>
        <w:ind w:firstLine="0"/>
        <w:rPr>
          <w:sz w:val="20"/>
          <w:szCs w:val="20"/>
          <w:lang w:val="sl-SI"/>
        </w:rPr>
      </w:pPr>
    </w:p>
    <w:p w14:paraId="0356B3DE" w14:textId="77777777" w:rsidR="00724028" w:rsidRDefault="00724028" w:rsidP="00724028">
      <w:pPr>
        <w:pStyle w:val="Odstavek"/>
        <w:spacing w:before="0"/>
        <w:ind w:firstLine="0"/>
        <w:rPr>
          <w:sz w:val="20"/>
          <w:szCs w:val="20"/>
          <w:lang w:val="sl-SI"/>
        </w:rPr>
      </w:pPr>
      <w:r>
        <w:rPr>
          <w:sz w:val="20"/>
          <w:szCs w:val="20"/>
          <w:lang w:val="sl-SI"/>
        </w:rPr>
        <w:t>Za šestim odstavkom se doda nov sedmi odstavek, ki se glasi:</w:t>
      </w:r>
    </w:p>
    <w:p w14:paraId="303EEF9E" w14:textId="77777777" w:rsidR="00724028" w:rsidRPr="0020656B" w:rsidRDefault="00724028" w:rsidP="00724028">
      <w:pPr>
        <w:pStyle w:val="Odstavek"/>
        <w:spacing w:before="0"/>
        <w:ind w:firstLine="0"/>
        <w:rPr>
          <w:sz w:val="20"/>
          <w:szCs w:val="20"/>
          <w:lang w:val="sl-SI"/>
        </w:rPr>
      </w:pPr>
      <w:r w:rsidRPr="0020656B">
        <w:rPr>
          <w:sz w:val="20"/>
          <w:szCs w:val="20"/>
          <w:lang w:val="sl-SI"/>
        </w:rPr>
        <w:t>»</w:t>
      </w:r>
      <w:r>
        <w:rPr>
          <w:sz w:val="20"/>
          <w:szCs w:val="20"/>
          <w:lang w:val="sl-SI"/>
        </w:rPr>
        <w:t xml:space="preserve">(7) </w:t>
      </w:r>
      <w:r w:rsidRPr="0020656B">
        <w:rPr>
          <w:sz w:val="20"/>
          <w:szCs w:val="20"/>
          <w:lang w:val="sl-SI"/>
        </w:rPr>
        <w:t>V primeru cilja iz 17. točke drugega odstavka tega člena lahko naročnik izjemoma odda javno naročilo brez upoštevanja cilj</w:t>
      </w:r>
      <w:r>
        <w:rPr>
          <w:sz w:val="20"/>
          <w:szCs w:val="20"/>
          <w:lang w:val="sl-SI"/>
        </w:rPr>
        <w:t>ev</w:t>
      </w:r>
      <w:r w:rsidRPr="0020656B">
        <w:rPr>
          <w:sz w:val="20"/>
          <w:szCs w:val="20"/>
          <w:lang w:val="sl-SI"/>
        </w:rPr>
        <w:t xml:space="preserve"> iz 3. točke Priloge 2 te uredbe. V tem primeru mora ob naslednjem istovrstnem naročilu oziroma najkasneje do izteka referenčnega obdobja, kot to izhaja iz </w:t>
      </w:r>
      <w:r>
        <w:rPr>
          <w:sz w:val="20"/>
          <w:szCs w:val="20"/>
          <w:lang w:val="sl-SI"/>
        </w:rPr>
        <w:t>3. točke</w:t>
      </w:r>
      <w:r w:rsidRPr="0020656B">
        <w:rPr>
          <w:sz w:val="20"/>
          <w:szCs w:val="20"/>
          <w:lang w:val="sl-SI"/>
        </w:rPr>
        <w:t xml:space="preserve"> Priloge 2 te uredbe, doseči zahtevano število čistih </w:t>
      </w:r>
      <w:r>
        <w:rPr>
          <w:sz w:val="20"/>
          <w:szCs w:val="20"/>
          <w:lang w:val="sl-SI"/>
        </w:rPr>
        <w:t>in</w:t>
      </w:r>
      <w:r w:rsidRPr="0020656B">
        <w:rPr>
          <w:sz w:val="20"/>
          <w:szCs w:val="20"/>
          <w:lang w:val="sl-SI"/>
        </w:rPr>
        <w:t xml:space="preserve"> </w:t>
      </w:r>
      <w:proofErr w:type="spellStart"/>
      <w:r w:rsidRPr="0020656B">
        <w:rPr>
          <w:sz w:val="20"/>
          <w:szCs w:val="20"/>
          <w:lang w:val="sl-SI"/>
        </w:rPr>
        <w:t>brezemisijskih</w:t>
      </w:r>
      <w:proofErr w:type="spellEnd"/>
      <w:r w:rsidRPr="0020656B">
        <w:rPr>
          <w:sz w:val="20"/>
          <w:szCs w:val="20"/>
          <w:lang w:val="sl-SI"/>
        </w:rPr>
        <w:t xml:space="preserve"> vozil glede na skupno število vozil iste kategorije, zajetih v vseh pogodbah v posameznem referenčnem obdobju. Pri naročilu storitev prevoza</w:t>
      </w:r>
      <w:r>
        <w:rPr>
          <w:sz w:val="20"/>
          <w:szCs w:val="20"/>
          <w:lang w:val="sl-SI"/>
        </w:rPr>
        <w:t>,</w:t>
      </w:r>
      <w:r w:rsidRPr="0020656B">
        <w:rPr>
          <w:sz w:val="20"/>
          <w:szCs w:val="20"/>
          <w:lang w:val="sl-SI"/>
        </w:rPr>
        <w:t xml:space="preserve"> kot izhajajo iz 60a. točke Priloge 1 te uredbe, lahko naročnik izjemoma ne upošteva cilja iz 3. točke Priloge 2 te uredbe, kadar naroča storitve prevoza na daljše relacije, ki ga z čistimi in </w:t>
      </w:r>
      <w:proofErr w:type="spellStart"/>
      <w:r w:rsidRPr="0020656B">
        <w:rPr>
          <w:sz w:val="20"/>
          <w:szCs w:val="20"/>
          <w:lang w:val="sl-SI"/>
        </w:rPr>
        <w:t>brezemisijskimi</w:t>
      </w:r>
      <w:proofErr w:type="spellEnd"/>
      <w:r w:rsidRPr="0020656B">
        <w:rPr>
          <w:sz w:val="20"/>
          <w:szCs w:val="20"/>
          <w:lang w:val="sl-SI"/>
        </w:rPr>
        <w:t xml:space="preserve"> vozili ni možno izvesti zaradi nižjega dosega vozila in hkrati na predmetni relaciji in v njeni bližnji okolici ne obstaja ustrezna polnilna infrastruktura. Ta izjema ne velja za naročila storitev prevoza znotraj urbanih območij in v primerih kadar naročilo storitve prevoza ne presega 100 prevoženih kilometrov na dan.«.</w:t>
      </w:r>
    </w:p>
    <w:p w14:paraId="797B3B10" w14:textId="77777777" w:rsidR="00724028" w:rsidRDefault="00724028" w:rsidP="00724028">
      <w:pPr>
        <w:pStyle w:val="Odstavek"/>
        <w:spacing w:before="0"/>
        <w:ind w:firstLine="0"/>
        <w:rPr>
          <w:sz w:val="20"/>
          <w:szCs w:val="20"/>
          <w:lang w:val="sl-SI"/>
        </w:rPr>
      </w:pPr>
    </w:p>
    <w:p w14:paraId="0795DDA3" w14:textId="77777777" w:rsidR="00724028" w:rsidRPr="0020656B" w:rsidRDefault="00724028" w:rsidP="00724028">
      <w:pPr>
        <w:pStyle w:val="Odstavek"/>
        <w:spacing w:before="0"/>
        <w:ind w:firstLine="0"/>
        <w:rPr>
          <w:sz w:val="20"/>
          <w:szCs w:val="20"/>
          <w:lang w:val="sl-SI"/>
        </w:rPr>
      </w:pPr>
      <w:r>
        <w:rPr>
          <w:sz w:val="20"/>
          <w:szCs w:val="20"/>
          <w:lang w:val="sl-SI"/>
        </w:rPr>
        <w:t xml:space="preserve">Dosedanji sedmi odstavek, ki postane osmi odstavek, se spremeni tako, da se glasi: </w:t>
      </w:r>
    </w:p>
    <w:bookmarkEnd w:id="0"/>
    <w:p w14:paraId="1B645D68" w14:textId="77777777" w:rsidR="00724028" w:rsidRPr="005C577D" w:rsidRDefault="00724028" w:rsidP="00724028">
      <w:pPr>
        <w:pStyle w:val="Odstavek"/>
        <w:spacing w:before="0"/>
        <w:ind w:firstLine="0"/>
        <w:rPr>
          <w:sz w:val="20"/>
          <w:szCs w:val="20"/>
          <w:lang w:val="sl-SI"/>
        </w:rPr>
      </w:pPr>
      <w:r w:rsidRPr="005C577D">
        <w:rPr>
          <w:sz w:val="20"/>
          <w:szCs w:val="20"/>
          <w:lang w:val="sl-SI"/>
        </w:rPr>
        <w:t xml:space="preserve">»(8) Kadar naročnik uporabi izjemi iz prejšnjih dveh odstavkov, mora to in razlog za njuno uporabo navesti in utemeljiti v dokumentu v zvezi z oddajo javnega naročila iz 9. točke prvega odstavka 2. člena ZJN-3. V primeru cilja iz 17. točke drugega odstavka tega člena mora naročnik v dokumentu navesti tudi načrt prihodnjih naročil v referenčnem obdobju, iz katerega mora biti razvidno predvideno število vseh vozil, predvideno število čistih in </w:t>
      </w:r>
      <w:proofErr w:type="spellStart"/>
      <w:r w:rsidRPr="005C577D">
        <w:rPr>
          <w:sz w:val="20"/>
          <w:szCs w:val="20"/>
          <w:lang w:val="sl-SI"/>
        </w:rPr>
        <w:t>brezemisijskih</w:t>
      </w:r>
      <w:proofErr w:type="spellEnd"/>
      <w:r w:rsidRPr="005C577D">
        <w:rPr>
          <w:sz w:val="20"/>
          <w:szCs w:val="20"/>
          <w:lang w:val="sl-SI"/>
        </w:rPr>
        <w:t xml:space="preserve"> vozil po kategorijah in dinamika bodočih javnih naročil znotraj referenčnega obdobja, pri čemer mora biti iz načrta razvidno tudi doseganje cilja iz 3. točke Priloge 2 te uredbe.«.</w:t>
      </w:r>
    </w:p>
    <w:p w14:paraId="7460122E" w14:textId="77777777" w:rsidR="00724028" w:rsidRPr="0020656B" w:rsidRDefault="00724028" w:rsidP="00724028">
      <w:pPr>
        <w:pStyle w:val="Odstavek"/>
        <w:numPr>
          <w:ilvl w:val="0"/>
          <w:numId w:val="21"/>
        </w:numPr>
        <w:tabs>
          <w:tab w:val="left" w:pos="284"/>
        </w:tabs>
        <w:ind w:left="0" w:firstLine="0"/>
        <w:jc w:val="center"/>
        <w:rPr>
          <w:sz w:val="20"/>
          <w:szCs w:val="20"/>
          <w:lang w:val="sl-SI"/>
        </w:rPr>
      </w:pPr>
      <w:r w:rsidRPr="0020656B">
        <w:rPr>
          <w:sz w:val="20"/>
          <w:szCs w:val="20"/>
          <w:lang w:val="sl-SI"/>
        </w:rPr>
        <w:t>člen</w:t>
      </w:r>
    </w:p>
    <w:p w14:paraId="24A65FC8" w14:textId="77777777" w:rsidR="00724028" w:rsidRPr="0020656B" w:rsidRDefault="00724028" w:rsidP="00724028">
      <w:pPr>
        <w:pStyle w:val="Odstavek"/>
        <w:spacing w:before="0"/>
        <w:ind w:firstLine="0"/>
        <w:rPr>
          <w:sz w:val="20"/>
          <w:szCs w:val="20"/>
          <w:lang w:val="sl-SI"/>
        </w:rPr>
      </w:pPr>
    </w:p>
    <w:p w14:paraId="1DB532E1" w14:textId="77777777" w:rsidR="00724028" w:rsidRPr="0020656B" w:rsidRDefault="00724028" w:rsidP="00724028">
      <w:pPr>
        <w:pStyle w:val="Odstavek"/>
        <w:spacing w:before="0"/>
        <w:ind w:firstLine="0"/>
        <w:rPr>
          <w:sz w:val="20"/>
          <w:szCs w:val="20"/>
          <w:lang w:val="sl-SI"/>
        </w:rPr>
      </w:pPr>
      <w:r w:rsidRPr="0020656B">
        <w:rPr>
          <w:sz w:val="20"/>
          <w:szCs w:val="20"/>
          <w:lang w:val="sl-SI"/>
        </w:rPr>
        <w:t xml:space="preserve">V 7. členu se osmi odstavek spremeni tako, da se glasi: </w:t>
      </w:r>
    </w:p>
    <w:p w14:paraId="4B6DB68F" w14:textId="62C3D8B2" w:rsidR="00724028" w:rsidRDefault="00724028" w:rsidP="00724028">
      <w:pPr>
        <w:pStyle w:val="Odstavek"/>
        <w:spacing w:before="0"/>
        <w:ind w:firstLine="0"/>
        <w:rPr>
          <w:sz w:val="20"/>
          <w:szCs w:val="20"/>
          <w:lang w:val="sl-SI"/>
        </w:rPr>
      </w:pPr>
      <w:r w:rsidRPr="0020656B">
        <w:rPr>
          <w:sz w:val="20"/>
          <w:szCs w:val="20"/>
          <w:lang w:val="sl-SI"/>
        </w:rPr>
        <w:t>»</w:t>
      </w:r>
      <w:r>
        <w:rPr>
          <w:sz w:val="20"/>
          <w:szCs w:val="20"/>
          <w:lang w:val="sl-SI"/>
        </w:rPr>
        <w:t xml:space="preserve">(8) </w:t>
      </w:r>
      <w:r w:rsidRPr="0020656B">
        <w:rPr>
          <w:sz w:val="20"/>
          <w:szCs w:val="20"/>
          <w:lang w:val="sl-SI"/>
        </w:rPr>
        <w:t>Pri javnem naročanju vozil</w:t>
      </w:r>
      <w:r>
        <w:rPr>
          <w:sz w:val="20"/>
          <w:szCs w:val="20"/>
          <w:lang w:val="sl-SI"/>
        </w:rPr>
        <w:t xml:space="preserve"> za cestni promet</w:t>
      </w:r>
      <w:r w:rsidRPr="0020656B">
        <w:rPr>
          <w:sz w:val="20"/>
          <w:szCs w:val="20"/>
          <w:lang w:val="sl-SI"/>
        </w:rPr>
        <w:t xml:space="preserve"> in storitev prevoza naročnik v tehničnih specifikacijah opredeli minimalne tehnične zahteve skladno s 1. in 2. točko Priloge 2 te uredbe za tista vozila, ki bodo prispevala k doseganju minimalnega cilja čistih in </w:t>
      </w:r>
      <w:proofErr w:type="spellStart"/>
      <w:r w:rsidRPr="0020656B">
        <w:rPr>
          <w:sz w:val="20"/>
          <w:szCs w:val="20"/>
          <w:lang w:val="sl-SI"/>
        </w:rPr>
        <w:t>brezemisijskih</w:t>
      </w:r>
      <w:proofErr w:type="spellEnd"/>
      <w:r w:rsidRPr="0020656B">
        <w:rPr>
          <w:sz w:val="20"/>
          <w:szCs w:val="20"/>
          <w:lang w:val="sl-SI"/>
        </w:rPr>
        <w:t xml:space="preserve"> vozil v javnem naročilu.«.</w:t>
      </w:r>
    </w:p>
    <w:p w14:paraId="0E5D00C1" w14:textId="77777777" w:rsidR="00724028" w:rsidRPr="0020656B" w:rsidRDefault="00724028" w:rsidP="00724028">
      <w:pPr>
        <w:pStyle w:val="Odstavek"/>
        <w:spacing w:before="0"/>
        <w:ind w:firstLine="0"/>
        <w:rPr>
          <w:sz w:val="20"/>
          <w:szCs w:val="20"/>
          <w:lang w:val="sl-SI"/>
        </w:rPr>
      </w:pPr>
    </w:p>
    <w:p w14:paraId="4B01571A" w14:textId="77777777" w:rsidR="00724028" w:rsidRPr="0020656B" w:rsidRDefault="00724028" w:rsidP="00724028">
      <w:pPr>
        <w:pStyle w:val="Odstavek"/>
        <w:numPr>
          <w:ilvl w:val="0"/>
          <w:numId w:val="21"/>
        </w:numPr>
        <w:tabs>
          <w:tab w:val="left" w:pos="284"/>
        </w:tabs>
        <w:ind w:left="0" w:firstLine="0"/>
        <w:jc w:val="center"/>
        <w:rPr>
          <w:sz w:val="20"/>
          <w:szCs w:val="20"/>
          <w:lang w:val="sl-SI"/>
        </w:rPr>
      </w:pPr>
      <w:r w:rsidRPr="0020656B">
        <w:rPr>
          <w:sz w:val="20"/>
          <w:szCs w:val="20"/>
          <w:lang w:val="sl-SI"/>
        </w:rPr>
        <w:t>člen</w:t>
      </w:r>
    </w:p>
    <w:p w14:paraId="0D776168" w14:textId="77777777" w:rsidR="00724028" w:rsidRPr="0020656B" w:rsidRDefault="00724028" w:rsidP="00724028">
      <w:pPr>
        <w:pStyle w:val="Odstavek"/>
        <w:spacing w:before="0"/>
        <w:ind w:firstLine="0"/>
        <w:rPr>
          <w:sz w:val="20"/>
          <w:szCs w:val="20"/>
          <w:lang w:val="sl-SI"/>
        </w:rPr>
      </w:pPr>
    </w:p>
    <w:p w14:paraId="37E087E8" w14:textId="77777777" w:rsidR="00724028" w:rsidRPr="0020656B" w:rsidRDefault="00724028" w:rsidP="00724028">
      <w:pPr>
        <w:pStyle w:val="Odstavek"/>
        <w:spacing w:before="0"/>
        <w:ind w:firstLine="0"/>
        <w:rPr>
          <w:sz w:val="20"/>
          <w:szCs w:val="20"/>
          <w:lang w:val="sl-SI"/>
        </w:rPr>
      </w:pPr>
      <w:r w:rsidRPr="0020656B">
        <w:rPr>
          <w:sz w:val="20"/>
          <w:szCs w:val="20"/>
          <w:lang w:val="sl-SI"/>
        </w:rPr>
        <w:t xml:space="preserve">V Prilogi 1 se 54. točka spremeni tako, da se glasi: </w:t>
      </w:r>
    </w:p>
    <w:p w14:paraId="6787CA49" w14:textId="176387AA" w:rsidR="00724028" w:rsidRPr="0020656B" w:rsidRDefault="00724028" w:rsidP="00724028">
      <w:pPr>
        <w:pStyle w:val="Odstavek"/>
        <w:spacing w:before="0"/>
        <w:ind w:firstLine="0"/>
        <w:rPr>
          <w:sz w:val="20"/>
          <w:szCs w:val="20"/>
          <w:lang w:val="sl-SI"/>
        </w:rPr>
      </w:pPr>
      <w:r w:rsidRPr="0020656B">
        <w:rPr>
          <w:sz w:val="20"/>
          <w:szCs w:val="20"/>
          <w:lang w:val="sl-SI"/>
        </w:rPr>
        <w:t xml:space="preserve">»54. </w:t>
      </w:r>
      <w:r w:rsidRPr="00BC2E6E">
        <w:rPr>
          <w:sz w:val="20"/>
          <w:szCs w:val="20"/>
          <w:lang w:val="sl-SI"/>
        </w:rPr>
        <w:t>»Stavba« pomeni objekt, ki je v skladu s Prilogo 1 Uredbe o klasifikaciji vrst objektov in objektih</w:t>
      </w:r>
      <w:r>
        <w:rPr>
          <w:sz w:val="20"/>
          <w:szCs w:val="20"/>
          <w:lang w:val="sl-SI"/>
        </w:rPr>
        <w:t xml:space="preserve"> </w:t>
      </w:r>
      <w:r w:rsidRPr="00BC2E6E">
        <w:rPr>
          <w:sz w:val="20"/>
          <w:szCs w:val="20"/>
          <w:lang w:val="sl-SI"/>
        </w:rPr>
        <w:t>državnega pomena (Uradni list RS, št. 109/11 in 61/17 – GZ) klasificiran kot poslovna in</w:t>
      </w:r>
      <w:r>
        <w:rPr>
          <w:sz w:val="20"/>
          <w:szCs w:val="20"/>
          <w:lang w:val="sl-SI"/>
        </w:rPr>
        <w:t xml:space="preserve"> </w:t>
      </w:r>
      <w:r w:rsidRPr="00BC2E6E">
        <w:rPr>
          <w:sz w:val="20"/>
          <w:szCs w:val="20"/>
          <w:lang w:val="sl-SI"/>
        </w:rPr>
        <w:t>upravna stavba (CC-SI 122), stavba splošnega družbenega pomena (CC-SI 126) ali</w:t>
      </w:r>
      <w:r w:rsidR="00F813FD">
        <w:rPr>
          <w:sz w:val="20"/>
          <w:szCs w:val="20"/>
          <w:lang w:val="sl-SI"/>
        </w:rPr>
        <w:t xml:space="preserve"> </w:t>
      </w:r>
      <w:r w:rsidRPr="00BC2E6E">
        <w:rPr>
          <w:sz w:val="20"/>
          <w:szCs w:val="20"/>
          <w:lang w:val="sl-SI"/>
        </w:rPr>
        <w:t>stanovanjska stavba za posebne družbene skupine (CC-SI 113).</w:t>
      </w:r>
      <w:r w:rsidRPr="0020656B">
        <w:rPr>
          <w:sz w:val="20"/>
          <w:szCs w:val="20"/>
          <w:lang w:val="sl-SI"/>
        </w:rPr>
        <w:t xml:space="preserve">«. </w:t>
      </w:r>
    </w:p>
    <w:p w14:paraId="5F684F59" w14:textId="77777777" w:rsidR="00724028" w:rsidRPr="0020656B" w:rsidRDefault="00724028" w:rsidP="00724028">
      <w:pPr>
        <w:pStyle w:val="Odstavek"/>
        <w:spacing w:before="0"/>
        <w:ind w:firstLine="0"/>
        <w:rPr>
          <w:sz w:val="20"/>
          <w:szCs w:val="20"/>
          <w:lang w:val="sl-SI"/>
        </w:rPr>
      </w:pPr>
    </w:p>
    <w:p w14:paraId="3FB8FAB3" w14:textId="77777777" w:rsidR="00724028" w:rsidRPr="0020656B" w:rsidRDefault="00724028" w:rsidP="00724028">
      <w:pPr>
        <w:pStyle w:val="Odstavek"/>
        <w:spacing w:before="0"/>
        <w:ind w:firstLine="0"/>
        <w:rPr>
          <w:sz w:val="20"/>
          <w:szCs w:val="20"/>
          <w:lang w:val="sl-SI"/>
        </w:rPr>
      </w:pPr>
      <w:r w:rsidRPr="0020656B">
        <w:rPr>
          <w:sz w:val="20"/>
          <w:szCs w:val="20"/>
          <w:lang w:val="sl-SI"/>
        </w:rPr>
        <w:t xml:space="preserve">Besedilo 60. točke se spremeni tako, da se glasi: </w:t>
      </w:r>
    </w:p>
    <w:p w14:paraId="3676780C" w14:textId="19E8E674" w:rsidR="00724028" w:rsidRPr="0020656B" w:rsidRDefault="00724028" w:rsidP="00724028">
      <w:pPr>
        <w:pStyle w:val="Odstavek"/>
        <w:spacing w:before="0"/>
        <w:ind w:firstLine="0"/>
        <w:rPr>
          <w:sz w:val="20"/>
          <w:szCs w:val="20"/>
          <w:lang w:val="sl-SI"/>
        </w:rPr>
      </w:pPr>
      <w:r w:rsidRPr="0020656B">
        <w:rPr>
          <w:sz w:val="20"/>
          <w:szCs w:val="20"/>
          <w:lang w:val="sl-SI"/>
        </w:rPr>
        <w:t>»60. »Vozilo za cestni prevoz« pomeni vozilo</w:t>
      </w:r>
      <w:r w:rsidR="001168C8">
        <w:rPr>
          <w:sz w:val="20"/>
          <w:szCs w:val="20"/>
          <w:lang w:val="sl-SI"/>
        </w:rPr>
        <w:t xml:space="preserve">, ki v skladu s Prilogo 1 </w:t>
      </w:r>
      <w:r w:rsidR="001168C8" w:rsidRPr="004B7319">
        <w:rPr>
          <w:sz w:val="20"/>
          <w:szCs w:val="20"/>
          <w:lang w:val="sl-SI"/>
        </w:rPr>
        <w:t xml:space="preserve">Pravilnika o ugotavljanju skladnosti vozil (Uradni list RS, št. 105/09, 9/10, 106/10 – ZMV in 75/17 – ZMV-1) sodi v katero izmed </w:t>
      </w:r>
      <w:r w:rsidRPr="0020656B">
        <w:rPr>
          <w:sz w:val="20"/>
          <w:szCs w:val="20"/>
          <w:lang w:val="sl-SI"/>
        </w:rPr>
        <w:t xml:space="preserve"> kategorij: M1, M2, M3 (razreda I in A), N1, N2, N3, razen vozila, načrtovana in izdelana ali prilagojena samo za potrebe oboroženih sil, vozila, načrtovana in izdelana predvsem za uporabo na gradbiščih ali v kamnolomih, pristaniščih ali letaliških kompleksih, vozila, načrtovana in izdelana ali prilagojena za potrebe civilne zaščite, gasilskih enot ter enot za ohranjanje javnega reda in miru, neprebojna vozila, reševalna vozila, pogrebna vozila, vozila dostopna z invalidskim vozičkom ter mobilni žerjavi.</w:t>
      </w:r>
    </w:p>
    <w:p w14:paraId="79E84816" w14:textId="77777777" w:rsidR="00724028" w:rsidRPr="0020656B" w:rsidRDefault="00724028" w:rsidP="00724028">
      <w:pPr>
        <w:pStyle w:val="Odstavek"/>
        <w:spacing w:before="0"/>
        <w:ind w:firstLine="0"/>
        <w:rPr>
          <w:sz w:val="20"/>
          <w:szCs w:val="20"/>
          <w:lang w:val="sl-SI"/>
        </w:rPr>
      </w:pPr>
    </w:p>
    <w:p w14:paraId="5F226B20" w14:textId="77777777" w:rsidR="00724028" w:rsidRPr="0020656B" w:rsidRDefault="00724028" w:rsidP="00724028">
      <w:pPr>
        <w:pStyle w:val="Odstavek"/>
        <w:spacing w:before="0"/>
        <w:ind w:firstLine="0"/>
        <w:rPr>
          <w:sz w:val="20"/>
          <w:szCs w:val="20"/>
          <w:lang w:val="sl-SI"/>
        </w:rPr>
      </w:pPr>
      <w:r w:rsidRPr="0020656B">
        <w:rPr>
          <w:sz w:val="20"/>
          <w:szCs w:val="20"/>
          <w:lang w:val="sl-SI"/>
        </w:rPr>
        <w:t>Vozilo razreda I pomeni vozilo kategorije M3 za prevoz več kot 22 potnikov poleg voznika, s prostorom za stoječe potnike in z možnostjo hitre menjave potnikov; vozilo razreda A pomeni vozilo kategorije M3 za prevoz več kot 22 potnikov poleg voznika, namenjeno prevozu stoječih potnikov, vozilo te kategorije ima sedišča in prostor za stoječe potnike.«</w:t>
      </w:r>
      <w:r>
        <w:rPr>
          <w:sz w:val="20"/>
          <w:szCs w:val="20"/>
          <w:lang w:val="sl-SI"/>
        </w:rPr>
        <w:t>.</w:t>
      </w:r>
      <w:r w:rsidRPr="0020656B">
        <w:rPr>
          <w:sz w:val="20"/>
          <w:szCs w:val="20"/>
          <w:lang w:val="sl-SI"/>
        </w:rPr>
        <w:t xml:space="preserve"> </w:t>
      </w:r>
    </w:p>
    <w:p w14:paraId="4674A3A2" w14:textId="77777777" w:rsidR="00724028" w:rsidRPr="0020656B" w:rsidRDefault="00724028" w:rsidP="00724028">
      <w:pPr>
        <w:pStyle w:val="Odstavek"/>
        <w:spacing w:before="0"/>
        <w:ind w:firstLine="0"/>
        <w:rPr>
          <w:sz w:val="20"/>
          <w:szCs w:val="20"/>
          <w:lang w:val="sl-SI"/>
        </w:rPr>
      </w:pPr>
    </w:p>
    <w:p w14:paraId="03B6651B" w14:textId="77777777" w:rsidR="00724028" w:rsidRPr="0020656B" w:rsidRDefault="00724028" w:rsidP="00724028">
      <w:pPr>
        <w:pStyle w:val="Odstavek"/>
        <w:spacing w:before="0"/>
        <w:ind w:firstLine="0"/>
        <w:rPr>
          <w:sz w:val="20"/>
          <w:szCs w:val="20"/>
          <w:lang w:val="sl-SI"/>
        </w:rPr>
      </w:pPr>
      <w:r w:rsidRPr="0020656B">
        <w:rPr>
          <w:sz w:val="20"/>
          <w:szCs w:val="20"/>
          <w:lang w:val="sl-SI"/>
        </w:rPr>
        <w:t xml:space="preserve">Za 60. točko se doda nova 60a. točka, ki se glasi: </w:t>
      </w:r>
    </w:p>
    <w:p w14:paraId="07517BD4" w14:textId="77777777" w:rsidR="00724028" w:rsidRPr="0020656B" w:rsidRDefault="00724028" w:rsidP="00724028">
      <w:pPr>
        <w:pStyle w:val="Odstavek"/>
        <w:spacing w:before="0"/>
        <w:ind w:firstLine="0"/>
        <w:rPr>
          <w:sz w:val="20"/>
          <w:szCs w:val="20"/>
          <w:lang w:val="sl-SI"/>
        </w:rPr>
      </w:pPr>
      <w:r w:rsidRPr="0020656B">
        <w:rPr>
          <w:sz w:val="20"/>
          <w:szCs w:val="20"/>
          <w:lang w:val="sl-SI"/>
        </w:rPr>
        <w:t xml:space="preserve">»60a. »Storitev prevoza« obsega storitve, obsežene z naslednjimi CPV kodami: </w:t>
      </w:r>
    </w:p>
    <w:p w14:paraId="5C081E46" w14:textId="77777777" w:rsidR="00724028" w:rsidRPr="0020656B" w:rsidRDefault="00724028" w:rsidP="00724028">
      <w:pPr>
        <w:pStyle w:val="Odstavek"/>
        <w:spacing w:before="0"/>
        <w:ind w:firstLine="0"/>
        <w:rPr>
          <w:sz w:val="20"/>
          <w:szCs w:val="20"/>
          <w:lang w:val="sl-SI"/>
        </w:rPr>
      </w:pPr>
      <w:r w:rsidRPr="0020656B">
        <w:rPr>
          <w:sz w:val="20"/>
          <w:szCs w:val="20"/>
          <w:lang w:val="sl-SI"/>
        </w:rPr>
        <w:t>60112000-6 Storitve javnega cestnega prevoza</w:t>
      </w:r>
    </w:p>
    <w:p w14:paraId="3E7E4E5A" w14:textId="77777777" w:rsidR="00724028" w:rsidRPr="0020656B" w:rsidRDefault="00724028" w:rsidP="00724028">
      <w:pPr>
        <w:pStyle w:val="Odstavek"/>
        <w:spacing w:before="0"/>
        <w:ind w:firstLine="0"/>
        <w:rPr>
          <w:sz w:val="20"/>
          <w:szCs w:val="20"/>
          <w:lang w:val="sl-SI"/>
        </w:rPr>
      </w:pPr>
      <w:r w:rsidRPr="0020656B">
        <w:rPr>
          <w:sz w:val="20"/>
          <w:szCs w:val="20"/>
          <w:lang w:val="sl-SI"/>
        </w:rPr>
        <w:t>60130000-8 Storitve cestnega potniškega prevoza za posebne namene</w:t>
      </w:r>
    </w:p>
    <w:p w14:paraId="0E90B441" w14:textId="77777777" w:rsidR="00724028" w:rsidRPr="0020656B" w:rsidRDefault="00724028" w:rsidP="00724028">
      <w:pPr>
        <w:pStyle w:val="Odstavek"/>
        <w:spacing w:before="0"/>
        <w:ind w:firstLine="0"/>
        <w:rPr>
          <w:sz w:val="20"/>
          <w:szCs w:val="20"/>
          <w:lang w:val="sl-SI"/>
        </w:rPr>
      </w:pPr>
      <w:r w:rsidRPr="0020656B">
        <w:rPr>
          <w:sz w:val="20"/>
          <w:szCs w:val="20"/>
          <w:lang w:val="sl-SI"/>
        </w:rPr>
        <w:t>60140000-1 Izredni potniški prevoz</w:t>
      </w:r>
    </w:p>
    <w:p w14:paraId="605FE81F" w14:textId="77777777" w:rsidR="00724028" w:rsidRPr="0020656B" w:rsidRDefault="00724028" w:rsidP="00724028">
      <w:pPr>
        <w:pStyle w:val="Odstavek"/>
        <w:spacing w:before="0"/>
        <w:ind w:firstLine="0"/>
        <w:rPr>
          <w:sz w:val="20"/>
          <w:szCs w:val="20"/>
          <w:lang w:val="sl-SI"/>
        </w:rPr>
      </w:pPr>
      <w:r w:rsidRPr="0020656B">
        <w:rPr>
          <w:sz w:val="20"/>
          <w:szCs w:val="20"/>
          <w:lang w:val="sl-SI"/>
        </w:rPr>
        <w:t>90511000-2 Storitve zbiranja odpadkov</w:t>
      </w:r>
    </w:p>
    <w:p w14:paraId="5A58C42D" w14:textId="77777777" w:rsidR="00724028" w:rsidRPr="0020656B" w:rsidRDefault="00724028" w:rsidP="00724028">
      <w:pPr>
        <w:pStyle w:val="Odstavek"/>
        <w:spacing w:before="0"/>
        <w:ind w:firstLine="0"/>
        <w:rPr>
          <w:sz w:val="20"/>
          <w:szCs w:val="20"/>
          <w:lang w:val="sl-SI"/>
        </w:rPr>
      </w:pPr>
      <w:r w:rsidRPr="0020656B">
        <w:rPr>
          <w:sz w:val="20"/>
          <w:szCs w:val="20"/>
          <w:lang w:val="sl-SI"/>
        </w:rPr>
        <w:t>60160000-7 Prevoz pošte po cesti</w:t>
      </w:r>
    </w:p>
    <w:p w14:paraId="1A6AE72A" w14:textId="77777777" w:rsidR="00724028" w:rsidRPr="0020656B" w:rsidRDefault="00724028" w:rsidP="00724028">
      <w:pPr>
        <w:pStyle w:val="Odstavek"/>
        <w:spacing w:before="0"/>
        <w:ind w:firstLine="0"/>
        <w:rPr>
          <w:sz w:val="20"/>
          <w:szCs w:val="20"/>
          <w:lang w:val="sl-SI"/>
        </w:rPr>
      </w:pPr>
      <w:r w:rsidRPr="0020656B">
        <w:rPr>
          <w:sz w:val="20"/>
          <w:szCs w:val="20"/>
          <w:lang w:val="sl-SI"/>
        </w:rPr>
        <w:lastRenderedPageBreak/>
        <w:t>60161000-4 Storitve prevoza paketov</w:t>
      </w:r>
    </w:p>
    <w:p w14:paraId="1232F08E" w14:textId="77777777" w:rsidR="00724028" w:rsidRPr="0020656B" w:rsidRDefault="00724028" w:rsidP="00724028">
      <w:pPr>
        <w:pStyle w:val="Odstavek"/>
        <w:spacing w:before="0"/>
        <w:ind w:firstLine="0"/>
        <w:rPr>
          <w:sz w:val="20"/>
          <w:szCs w:val="20"/>
          <w:lang w:val="sl-SI"/>
        </w:rPr>
      </w:pPr>
      <w:r w:rsidRPr="0020656B">
        <w:rPr>
          <w:sz w:val="20"/>
          <w:szCs w:val="20"/>
          <w:lang w:val="sl-SI"/>
        </w:rPr>
        <w:t>64121100-1 Storitve poštne dostave</w:t>
      </w:r>
    </w:p>
    <w:p w14:paraId="47433733" w14:textId="77777777" w:rsidR="00724028" w:rsidRPr="0020656B" w:rsidRDefault="00724028" w:rsidP="00724028">
      <w:pPr>
        <w:pStyle w:val="Odstavek"/>
        <w:spacing w:before="0"/>
        <w:ind w:firstLine="0"/>
        <w:rPr>
          <w:sz w:val="20"/>
          <w:szCs w:val="20"/>
          <w:lang w:val="sl-SI"/>
        </w:rPr>
      </w:pPr>
      <w:r w:rsidRPr="0020656B">
        <w:rPr>
          <w:sz w:val="20"/>
          <w:szCs w:val="20"/>
          <w:lang w:val="sl-SI"/>
        </w:rPr>
        <w:t>64121200-2 Storitve dostave paketov.«</w:t>
      </w:r>
      <w:r>
        <w:rPr>
          <w:sz w:val="20"/>
          <w:szCs w:val="20"/>
          <w:lang w:val="sl-SI"/>
        </w:rPr>
        <w:t>.</w:t>
      </w:r>
    </w:p>
    <w:p w14:paraId="78A98188" w14:textId="77777777" w:rsidR="00724028" w:rsidRPr="0020656B" w:rsidRDefault="00724028" w:rsidP="00724028">
      <w:pPr>
        <w:pStyle w:val="Odstavek"/>
        <w:spacing w:before="0"/>
        <w:ind w:firstLine="0"/>
        <w:rPr>
          <w:sz w:val="20"/>
          <w:szCs w:val="20"/>
          <w:lang w:val="sl-SI"/>
        </w:rPr>
      </w:pPr>
    </w:p>
    <w:p w14:paraId="19DB2EBA" w14:textId="77777777" w:rsidR="00724028" w:rsidRPr="0020656B" w:rsidRDefault="00724028" w:rsidP="00724028">
      <w:pPr>
        <w:pStyle w:val="Odstavek"/>
        <w:numPr>
          <w:ilvl w:val="0"/>
          <w:numId w:val="21"/>
        </w:numPr>
        <w:tabs>
          <w:tab w:val="left" w:pos="284"/>
        </w:tabs>
        <w:ind w:left="0" w:firstLine="0"/>
        <w:jc w:val="center"/>
        <w:rPr>
          <w:sz w:val="20"/>
          <w:szCs w:val="20"/>
          <w:lang w:val="sl-SI"/>
        </w:rPr>
      </w:pPr>
      <w:r w:rsidRPr="0020656B">
        <w:rPr>
          <w:sz w:val="20"/>
          <w:szCs w:val="20"/>
          <w:lang w:val="sl-SI"/>
        </w:rPr>
        <w:t>člen</w:t>
      </w:r>
    </w:p>
    <w:p w14:paraId="089C53D7" w14:textId="77777777" w:rsidR="00724028" w:rsidRPr="0020656B" w:rsidRDefault="00724028" w:rsidP="00724028">
      <w:pPr>
        <w:pStyle w:val="Odstavek"/>
        <w:spacing w:before="0"/>
        <w:ind w:firstLine="0"/>
        <w:rPr>
          <w:sz w:val="20"/>
          <w:szCs w:val="20"/>
          <w:lang w:val="sl-SI"/>
        </w:rPr>
      </w:pPr>
    </w:p>
    <w:p w14:paraId="70491068" w14:textId="77777777" w:rsidR="00724028" w:rsidRPr="0020656B" w:rsidRDefault="00724028" w:rsidP="00724028">
      <w:pPr>
        <w:pStyle w:val="Odstavek"/>
        <w:spacing w:before="0"/>
        <w:ind w:firstLine="0"/>
        <w:rPr>
          <w:sz w:val="20"/>
          <w:szCs w:val="20"/>
          <w:lang w:val="sl-SI"/>
        </w:rPr>
      </w:pPr>
      <w:r>
        <w:rPr>
          <w:sz w:val="20"/>
          <w:szCs w:val="20"/>
          <w:lang w:val="sl-SI"/>
        </w:rPr>
        <w:t xml:space="preserve">Dosedanja </w:t>
      </w:r>
      <w:r w:rsidRPr="0020656B">
        <w:rPr>
          <w:sz w:val="20"/>
          <w:szCs w:val="20"/>
          <w:lang w:val="sl-SI"/>
        </w:rPr>
        <w:t>Priloga 2 se nadomesti z novo Prilogo 2, ki je priloga in sestavni del te uredbe.</w:t>
      </w:r>
    </w:p>
    <w:p w14:paraId="3E07538D" w14:textId="77777777" w:rsidR="00724028" w:rsidRPr="0020656B" w:rsidRDefault="00724028" w:rsidP="00724028">
      <w:pPr>
        <w:pStyle w:val="Odstavek"/>
        <w:ind w:firstLine="0"/>
        <w:jc w:val="center"/>
        <w:rPr>
          <w:b/>
          <w:bCs/>
          <w:sz w:val="20"/>
          <w:szCs w:val="20"/>
          <w:lang w:val="sl-SI"/>
        </w:rPr>
      </w:pPr>
    </w:p>
    <w:p w14:paraId="3A1D261C" w14:textId="77777777" w:rsidR="00724028" w:rsidRPr="0020656B" w:rsidRDefault="00724028" w:rsidP="00724028">
      <w:pPr>
        <w:pStyle w:val="Odstavek"/>
        <w:ind w:firstLine="0"/>
        <w:jc w:val="center"/>
        <w:rPr>
          <w:b/>
          <w:bCs/>
          <w:sz w:val="20"/>
          <w:szCs w:val="20"/>
          <w:lang w:val="sl-SI"/>
        </w:rPr>
      </w:pPr>
      <w:r w:rsidRPr="0020656B">
        <w:rPr>
          <w:b/>
          <w:bCs/>
          <w:sz w:val="20"/>
          <w:szCs w:val="20"/>
          <w:lang w:val="sl-SI"/>
        </w:rPr>
        <w:t>PREHODN</w:t>
      </w:r>
      <w:r>
        <w:rPr>
          <w:b/>
          <w:bCs/>
          <w:sz w:val="20"/>
          <w:szCs w:val="20"/>
          <w:lang w:val="sl-SI"/>
        </w:rPr>
        <w:t>A</w:t>
      </w:r>
      <w:r w:rsidRPr="0020656B">
        <w:rPr>
          <w:b/>
          <w:bCs/>
          <w:sz w:val="20"/>
          <w:szCs w:val="20"/>
          <w:lang w:val="sl-SI"/>
        </w:rPr>
        <w:t xml:space="preserve"> IN KONČNA DOLOČBA«</w:t>
      </w:r>
    </w:p>
    <w:p w14:paraId="0B4BCA81" w14:textId="77777777" w:rsidR="00724028" w:rsidRPr="0020656B" w:rsidRDefault="00724028" w:rsidP="00724028">
      <w:pPr>
        <w:pStyle w:val="Odstavek"/>
        <w:numPr>
          <w:ilvl w:val="0"/>
          <w:numId w:val="21"/>
        </w:numPr>
        <w:tabs>
          <w:tab w:val="left" w:pos="284"/>
        </w:tabs>
        <w:ind w:left="0" w:firstLine="0"/>
        <w:jc w:val="center"/>
        <w:rPr>
          <w:sz w:val="20"/>
          <w:szCs w:val="20"/>
          <w:lang w:val="sl-SI"/>
        </w:rPr>
      </w:pPr>
      <w:r w:rsidRPr="0020656B">
        <w:rPr>
          <w:sz w:val="20"/>
          <w:szCs w:val="20"/>
          <w:lang w:val="sl-SI"/>
        </w:rPr>
        <w:t>člen</w:t>
      </w:r>
    </w:p>
    <w:p w14:paraId="75A47187" w14:textId="77777777" w:rsidR="00724028" w:rsidRPr="0020656B" w:rsidRDefault="00724028" w:rsidP="00724028">
      <w:pPr>
        <w:pStyle w:val="Odstavek"/>
        <w:ind w:firstLine="0"/>
        <w:jc w:val="center"/>
        <w:rPr>
          <w:sz w:val="20"/>
          <w:szCs w:val="20"/>
          <w:lang w:val="sl-SI"/>
        </w:rPr>
      </w:pPr>
      <w:r w:rsidRPr="0020656B">
        <w:rPr>
          <w:sz w:val="20"/>
          <w:szCs w:val="20"/>
          <w:lang w:val="sl-SI"/>
        </w:rPr>
        <w:t>(zaključek postopkov, začetih pred uveljavitvijo te uredbe)</w:t>
      </w:r>
    </w:p>
    <w:p w14:paraId="40A450DD" w14:textId="77777777" w:rsidR="00724028" w:rsidRPr="0020656B" w:rsidRDefault="00724028" w:rsidP="00724028">
      <w:pPr>
        <w:pStyle w:val="Odstavek"/>
        <w:ind w:firstLine="851"/>
        <w:rPr>
          <w:sz w:val="20"/>
          <w:szCs w:val="20"/>
          <w:lang w:val="sl-SI"/>
        </w:rPr>
      </w:pPr>
      <w:r w:rsidRPr="0020656B">
        <w:rPr>
          <w:sz w:val="20"/>
          <w:szCs w:val="20"/>
          <w:lang w:val="sl-SI"/>
        </w:rPr>
        <w:t>(1) Postopki javnega naročanja, za katere je bilo obvestilo o javnem naročilu ali obvestilo o projektnem natečaju poslano v objavo pred uveljavitvijo te uredbe, se izvedejo po dosedanjih predpisih.</w:t>
      </w:r>
    </w:p>
    <w:p w14:paraId="7ABEFBD5" w14:textId="77777777" w:rsidR="00724028" w:rsidRPr="0020656B" w:rsidRDefault="00724028" w:rsidP="00724028">
      <w:pPr>
        <w:pStyle w:val="Odstavek"/>
        <w:ind w:firstLine="851"/>
        <w:rPr>
          <w:sz w:val="20"/>
          <w:szCs w:val="20"/>
          <w:lang w:val="sl-SI"/>
        </w:rPr>
      </w:pPr>
      <w:r w:rsidRPr="0020656B">
        <w:rPr>
          <w:sz w:val="20"/>
          <w:szCs w:val="20"/>
          <w:lang w:val="sl-SI"/>
        </w:rPr>
        <w:t>(2) Postopki javnega naročanja, za katere na portalu javnih naročil ni treba objaviti obvestila o naročilu in so naročniki gospodarskim subjektom poslali povabilo k sodelovanju, povabilo k potrditvi interesa ali povabilo k predložitvi ponudb pred uveljavitvijo te uredbe, se izvedejo po dosedanjih predpisih.</w:t>
      </w:r>
    </w:p>
    <w:p w14:paraId="0BD01A83" w14:textId="77777777" w:rsidR="00724028" w:rsidRDefault="00724028" w:rsidP="00724028">
      <w:pPr>
        <w:pStyle w:val="Odstavek"/>
        <w:ind w:firstLine="851"/>
        <w:rPr>
          <w:sz w:val="20"/>
          <w:szCs w:val="20"/>
          <w:lang w:val="sl-SI"/>
        </w:rPr>
      </w:pPr>
      <w:r w:rsidRPr="0020656B">
        <w:rPr>
          <w:sz w:val="20"/>
          <w:szCs w:val="20"/>
          <w:lang w:val="sl-SI"/>
        </w:rPr>
        <w:t>(3) Ne glede na prvi in drugi odstavek tega člena lahko naročnik ob upoštevanju spremenjenega 4. in 6. člena uredbe spremeni dokumentacijo v zvezi z oddajo javnega naročila oziroma navedbe v objavljenem obvestilu o javnem naročilu ter javno naročilo odda v skladu s spremenjenima 4. in 6. členom uredbe, če še ni potekel rok za predložitev ponudb.</w:t>
      </w:r>
    </w:p>
    <w:p w14:paraId="4995B814" w14:textId="77777777" w:rsidR="00724028" w:rsidRPr="0020656B" w:rsidRDefault="00724028" w:rsidP="00724028">
      <w:pPr>
        <w:pStyle w:val="Odstavek"/>
        <w:ind w:firstLine="851"/>
        <w:rPr>
          <w:sz w:val="20"/>
          <w:szCs w:val="20"/>
          <w:lang w:val="sl-SI"/>
        </w:rPr>
      </w:pPr>
    </w:p>
    <w:p w14:paraId="0FC3C2B7" w14:textId="77777777" w:rsidR="00724028" w:rsidRPr="0020656B" w:rsidRDefault="00724028" w:rsidP="00724028">
      <w:pPr>
        <w:pStyle w:val="Odstavek"/>
        <w:numPr>
          <w:ilvl w:val="0"/>
          <w:numId w:val="21"/>
        </w:numPr>
        <w:tabs>
          <w:tab w:val="left" w:pos="284"/>
        </w:tabs>
        <w:ind w:left="0" w:firstLine="0"/>
        <w:jc w:val="center"/>
        <w:rPr>
          <w:sz w:val="20"/>
          <w:szCs w:val="20"/>
          <w:lang w:val="sl-SI"/>
        </w:rPr>
      </w:pPr>
      <w:r w:rsidRPr="0020656B">
        <w:rPr>
          <w:sz w:val="20"/>
          <w:szCs w:val="20"/>
          <w:lang w:val="sl-SI"/>
        </w:rPr>
        <w:t>člen</w:t>
      </w:r>
    </w:p>
    <w:p w14:paraId="6411AC16" w14:textId="77777777" w:rsidR="00724028" w:rsidRPr="0020656B" w:rsidRDefault="00724028" w:rsidP="00724028">
      <w:pPr>
        <w:pStyle w:val="Odstavek"/>
        <w:tabs>
          <w:tab w:val="left" w:pos="284"/>
        </w:tabs>
        <w:ind w:firstLine="0"/>
        <w:jc w:val="center"/>
        <w:rPr>
          <w:sz w:val="20"/>
          <w:szCs w:val="20"/>
          <w:lang w:val="sl-SI"/>
        </w:rPr>
      </w:pPr>
      <w:r w:rsidRPr="0020656B">
        <w:rPr>
          <w:sz w:val="20"/>
          <w:szCs w:val="20"/>
          <w:lang w:val="sl-SI"/>
        </w:rPr>
        <w:t>(uveljavitev uredbe)</w:t>
      </w:r>
    </w:p>
    <w:p w14:paraId="1503BE62" w14:textId="77777777" w:rsidR="00724028" w:rsidRPr="0020656B" w:rsidRDefault="00724028" w:rsidP="00724028">
      <w:pPr>
        <w:pStyle w:val="Odstavek"/>
        <w:ind w:firstLine="0"/>
        <w:rPr>
          <w:sz w:val="20"/>
          <w:szCs w:val="20"/>
          <w:lang w:val="sl-SI"/>
        </w:rPr>
      </w:pPr>
      <w:r w:rsidRPr="0020656B">
        <w:rPr>
          <w:sz w:val="20"/>
          <w:szCs w:val="20"/>
          <w:lang w:val="sl-SI"/>
        </w:rPr>
        <w:t>Ta uredba začne veljati petnajsti dan po objavi v Uradnem listu Republike Slovenije.</w:t>
      </w:r>
    </w:p>
    <w:p w14:paraId="4BAB68C7" w14:textId="77777777" w:rsidR="00724028" w:rsidRDefault="00724028" w:rsidP="00724028">
      <w:pPr>
        <w:pStyle w:val="Odstavek"/>
        <w:ind w:firstLine="0"/>
        <w:rPr>
          <w:sz w:val="20"/>
          <w:szCs w:val="20"/>
          <w:lang w:val="sl-SI"/>
        </w:rPr>
      </w:pPr>
    </w:p>
    <w:p w14:paraId="09DF7675" w14:textId="77777777" w:rsidR="00724028" w:rsidRDefault="00724028" w:rsidP="00724028">
      <w:pPr>
        <w:pStyle w:val="Odstavek"/>
        <w:ind w:firstLine="0"/>
        <w:rPr>
          <w:sz w:val="20"/>
          <w:szCs w:val="20"/>
          <w:lang w:val="sl-SI"/>
        </w:rPr>
      </w:pPr>
    </w:p>
    <w:p w14:paraId="5CD02A03" w14:textId="77777777" w:rsidR="00724028" w:rsidRPr="0020656B" w:rsidRDefault="00724028" w:rsidP="00724028">
      <w:pPr>
        <w:pStyle w:val="Odstavek"/>
        <w:ind w:firstLine="0"/>
        <w:rPr>
          <w:sz w:val="20"/>
          <w:szCs w:val="20"/>
          <w:lang w:val="sl-SI"/>
        </w:rPr>
      </w:pPr>
      <w:r w:rsidRPr="0020656B">
        <w:rPr>
          <w:sz w:val="20"/>
          <w:szCs w:val="20"/>
          <w:lang w:val="sl-SI"/>
        </w:rPr>
        <w:t xml:space="preserve">Št. </w:t>
      </w:r>
    </w:p>
    <w:p w14:paraId="38E8A82E" w14:textId="08B69405" w:rsidR="00724028" w:rsidRPr="0020656B" w:rsidRDefault="00724028" w:rsidP="00724028">
      <w:pPr>
        <w:pStyle w:val="Odstavek"/>
        <w:ind w:firstLine="0"/>
        <w:rPr>
          <w:sz w:val="20"/>
          <w:szCs w:val="20"/>
          <w:lang w:val="sl-SI"/>
        </w:rPr>
      </w:pPr>
      <w:r w:rsidRPr="0020656B">
        <w:rPr>
          <w:sz w:val="20"/>
          <w:szCs w:val="20"/>
          <w:lang w:val="sl-SI"/>
        </w:rPr>
        <w:t xml:space="preserve">Ljubljana, dne </w:t>
      </w:r>
      <w:r>
        <w:rPr>
          <w:sz w:val="20"/>
          <w:szCs w:val="20"/>
          <w:lang w:val="sl-SI"/>
        </w:rPr>
        <w:t>1</w:t>
      </w:r>
      <w:r w:rsidR="00FD4866">
        <w:rPr>
          <w:sz w:val="20"/>
          <w:szCs w:val="20"/>
          <w:lang w:val="sl-SI"/>
        </w:rPr>
        <w:t>3</w:t>
      </w:r>
      <w:r w:rsidRPr="0020656B">
        <w:rPr>
          <w:sz w:val="20"/>
          <w:szCs w:val="20"/>
          <w:lang w:val="sl-SI"/>
        </w:rPr>
        <w:t xml:space="preserve">. </w:t>
      </w:r>
      <w:r>
        <w:rPr>
          <w:sz w:val="20"/>
          <w:szCs w:val="20"/>
          <w:lang w:val="sl-SI"/>
        </w:rPr>
        <w:t>april</w:t>
      </w:r>
      <w:r w:rsidRPr="0020656B">
        <w:rPr>
          <w:sz w:val="20"/>
          <w:szCs w:val="20"/>
          <w:lang w:val="sl-SI"/>
        </w:rPr>
        <w:t xml:space="preserve"> 2021</w:t>
      </w:r>
    </w:p>
    <w:p w14:paraId="5088C68D" w14:textId="77777777" w:rsidR="00724028" w:rsidRPr="0020656B" w:rsidRDefault="00724028" w:rsidP="00724028">
      <w:pPr>
        <w:pStyle w:val="Odstavek"/>
        <w:ind w:firstLine="0"/>
        <w:rPr>
          <w:sz w:val="20"/>
          <w:szCs w:val="20"/>
          <w:lang w:val="sl-SI"/>
        </w:rPr>
      </w:pPr>
      <w:r w:rsidRPr="0020656B">
        <w:rPr>
          <w:sz w:val="20"/>
          <w:szCs w:val="20"/>
          <w:lang w:val="sl-SI"/>
        </w:rPr>
        <w:t>EVA 2020-3130-0035</w:t>
      </w:r>
    </w:p>
    <w:p w14:paraId="2A35E0E5" w14:textId="77777777" w:rsidR="00724028" w:rsidRPr="0020656B" w:rsidRDefault="00724028" w:rsidP="00724028">
      <w:pPr>
        <w:pStyle w:val="Odstavek"/>
        <w:ind w:firstLine="0"/>
        <w:rPr>
          <w:sz w:val="20"/>
          <w:szCs w:val="20"/>
          <w:lang w:val="sl-SI"/>
        </w:rPr>
      </w:pPr>
    </w:p>
    <w:p w14:paraId="70018A94" w14:textId="77777777" w:rsidR="00724028" w:rsidRPr="0020656B" w:rsidRDefault="00724028" w:rsidP="00724028">
      <w:pPr>
        <w:pStyle w:val="Podpisnik"/>
        <w:rPr>
          <w:sz w:val="20"/>
          <w:szCs w:val="20"/>
          <w:lang w:val="sl-SI"/>
        </w:rPr>
      </w:pPr>
      <w:r w:rsidRPr="0020656B">
        <w:rPr>
          <w:sz w:val="20"/>
          <w:szCs w:val="20"/>
          <w:lang w:val="sl-SI"/>
        </w:rPr>
        <w:t>Vlada Republike Slovenije</w:t>
      </w:r>
    </w:p>
    <w:p w14:paraId="062E445C" w14:textId="77777777" w:rsidR="00724028" w:rsidRPr="0020656B" w:rsidRDefault="00724028" w:rsidP="00724028">
      <w:pPr>
        <w:pStyle w:val="Podpisnik"/>
        <w:rPr>
          <w:sz w:val="20"/>
          <w:szCs w:val="20"/>
          <w:lang w:val="sl-SI"/>
        </w:rPr>
      </w:pPr>
      <w:r w:rsidRPr="0020656B">
        <w:rPr>
          <w:b/>
          <w:sz w:val="20"/>
          <w:szCs w:val="20"/>
          <w:lang w:val="sl-SI"/>
        </w:rPr>
        <w:t>Janez Janša</w:t>
      </w:r>
    </w:p>
    <w:p w14:paraId="380122D0" w14:textId="77777777" w:rsidR="00724028" w:rsidRPr="0020656B" w:rsidRDefault="00724028" w:rsidP="00724028">
      <w:pPr>
        <w:pStyle w:val="Podpisnik"/>
        <w:rPr>
          <w:sz w:val="20"/>
          <w:szCs w:val="20"/>
          <w:lang w:val="sl-SI"/>
        </w:rPr>
      </w:pPr>
      <w:r w:rsidRPr="0020656B">
        <w:rPr>
          <w:sz w:val="20"/>
          <w:szCs w:val="20"/>
          <w:lang w:val="sl-SI"/>
        </w:rPr>
        <w:t>predsednik</w:t>
      </w:r>
    </w:p>
    <w:p w14:paraId="1EA1518B" w14:textId="77777777" w:rsidR="00724028" w:rsidRPr="0020656B" w:rsidRDefault="00724028" w:rsidP="00724028">
      <w:pPr>
        <w:pStyle w:val="Odstavek"/>
        <w:spacing w:before="0" w:line="276" w:lineRule="auto"/>
        <w:ind w:firstLine="0"/>
        <w:rPr>
          <w:rFonts w:cs="Arial"/>
          <w:b/>
          <w:sz w:val="20"/>
          <w:szCs w:val="20"/>
          <w:lang w:val="sl-SI"/>
        </w:rPr>
      </w:pPr>
      <w:r>
        <w:rPr>
          <w:rFonts w:cs="Arial"/>
          <w:b/>
          <w:sz w:val="20"/>
          <w:szCs w:val="20"/>
          <w:lang w:val="sl-SI"/>
        </w:rPr>
        <w:br w:type="page"/>
      </w:r>
      <w:r w:rsidRPr="0020656B">
        <w:rPr>
          <w:rFonts w:cs="Arial"/>
          <w:b/>
          <w:sz w:val="20"/>
          <w:szCs w:val="20"/>
          <w:lang w:val="sl-SI"/>
        </w:rPr>
        <w:lastRenderedPageBreak/>
        <w:t xml:space="preserve">Priloga 2: </w:t>
      </w:r>
      <w:r w:rsidRPr="0020656B">
        <w:rPr>
          <w:rFonts w:cs="Arial"/>
          <w:b/>
          <w:sz w:val="20"/>
          <w:szCs w:val="20"/>
          <w:lang w:val="sl-SI"/>
        </w:rPr>
        <w:tab/>
        <w:t xml:space="preserve">Opredelitev ciljev in pogojev na področju javnega naročanja čistih in </w:t>
      </w:r>
      <w:proofErr w:type="spellStart"/>
      <w:r w:rsidRPr="0020656B">
        <w:rPr>
          <w:rFonts w:cs="Arial"/>
          <w:b/>
          <w:sz w:val="20"/>
          <w:szCs w:val="20"/>
          <w:lang w:val="sl-SI"/>
        </w:rPr>
        <w:t>brezemisijskih</w:t>
      </w:r>
      <w:proofErr w:type="spellEnd"/>
      <w:r w:rsidRPr="0020656B">
        <w:rPr>
          <w:rFonts w:cs="Arial"/>
          <w:b/>
          <w:sz w:val="20"/>
          <w:szCs w:val="20"/>
          <w:lang w:val="sl-SI"/>
        </w:rPr>
        <w:t xml:space="preserve"> vozil za cestni prevoz</w:t>
      </w:r>
    </w:p>
    <w:p w14:paraId="2DC1FC04" w14:textId="77777777" w:rsidR="00724028" w:rsidRPr="0020656B" w:rsidRDefault="00724028" w:rsidP="00724028">
      <w:pPr>
        <w:pStyle w:val="Odstavek"/>
        <w:spacing w:before="0" w:line="276" w:lineRule="auto"/>
        <w:ind w:firstLine="0"/>
        <w:jc w:val="left"/>
        <w:rPr>
          <w:rFonts w:cs="Arial"/>
          <w:b/>
          <w:sz w:val="20"/>
          <w:szCs w:val="20"/>
          <w:lang w:val="sl-SI"/>
        </w:rPr>
      </w:pPr>
    </w:p>
    <w:p w14:paraId="05EDF9FA" w14:textId="77777777" w:rsidR="00724028" w:rsidRPr="0020656B" w:rsidRDefault="00724028" w:rsidP="00724028">
      <w:pPr>
        <w:jc w:val="both"/>
        <w:rPr>
          <w:rFonts w:cs="Arial"/>
          <w:b/>
          <w:szCs w:val="20"/>
          <w:lang w:val="sl-SI"/>
        </w:rPr>
      </w:pPr>
      <w:r w:rsidRPr="0020656B">
        <w:rPr>
          <w:rFonts w:cs="Arial"/>
          <w:b/>
          <w:szCs w:val="20"/>
          <w:lang w:val="sl-SI"/>
        </w:rPr>
        <w:t>1. Opredelitev pojmov in področja uporabe</w:t>
      </w:r>
    </w:p>
    <w:p w14:paraId="159B9B1A" w14:textId="77777777" w:rsidR="00724028" w:rsidRPr="0020656B" w:rsidRDefault="00724028" w:rsidP="00724028">
      <w:pPr>
        <w:jc w:val="both"/>
        <w:rPr>
          <w:rFonts w:cs="Arial"/>
          <w:szCs w:val="20"/>
          <w:lang w:val="sl-SI"/>
        </w:rPr>
      </w:pPr>
      <w:r w:rsidRPr="0020656B">
        <w:rPr>
          <w:rFonts w:cs="Arial"/>
          <w:szCs w:val="20"/>
          <w:lang w:val="sl-SI"/>
        </w:rPr>
        <w:t>Cilji in pogoji se uporabljajo za javno naročanje vozil za cestni prevoz, ki bodo kupljena, zakupljena, najeta ali kupljena s pridržanim lastništvom ter za naročanje storitev</w:t>
      </w:r>
      <w:r>
        <w:rPr>
          <w:rFonts w:cs="Arial"/>
          <w:szCs w:val="20"/>
          <w:lang w:val="sl-SI"/>
        </w:rPr>
        <w:t>,</w:t>
      </w:r>
      <w:r w:rsidRPr="0020656B">
        <w:rPr>
          <w:rFonts w:cs="Arial"/>
          <w:szCs w:val="20"/>
          <w:lang w:val="sl-SI"/>
        </w:rPr>
        <w:t xml:space="preserve"> kot so navedene v 60a. točki Priloge 1 te uredbe, katerih postopek javnega naročila se bo začel 2. avgusta 2021 ali kasneje. Pri naročilu storitev cilji veljajo za vozila, ki se bodo uporabljala za zagotavljanje storitev, zajetih v posameznih pogodbah.</w:t>
      </w:r>
    </w:p>
    <w:p w14:paraId="0D99FF87" w14:textId="77777777" w:rsidR="00724028" w:rsidRPr="0020656B" w:rsidRDefault="00724028" w:rsidP="00724028">
      <w:pPr>
        <w:jc w:val="both"/>
        <w:rPr>
          <w:rFonts w:cs="Arial"/>
          <w:szCs w:val="20"/>
          <w:lang w:val="sl-SI"/>
        </w:rPr>
      </w:pPr>
    </w:p>
    <w:p w14:paraId="67EC91AB" w14:textId="77777777" w:rsidR="00724028" w:rsidRPr="0020656B" w:rsidRDefault="00724028" w:rsidP="00724028">
      <w:pPr>
        <w:spacing w:after="120" w:line="240" w:lineRule="auto"/>
        <w:jc w:val="both"/>
        <w:rPr>
          <w:rFonts w:cs="Arial"/>
          <w:lang w:val="sl-SI"/>
        </w:rPr>
      </w:pPr>
      <w:r w:rsidRPr="0020656B">
        <w:rPr>
          <w:rFonts w:cs="Arial"/>
          <w:lang w:val="sl-SI"/>
        </w:rPr>
        <w:t>Tabela 1: Opredelitev pojmov</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3"/>
        <w:gridCol w:w="6547"/>
      </w:tblGrid>
      <w:tr w:rsidR="00724028" w:rsidRPr="004B7319" w14:paraId="48F27301" w14:textId="77777777" w:rsidTr="001679AB">
        <w:tc>
          <w:tcPr>
            <w:tcW w:w="534" w:type="dxa"/>
            <w:shd w:val="clear" w:color="auto" w:fill="auto"/>
          </w:tcPr>
          <w:p w14:paraId="799D2CBA" w14:textId="77777777" w:rsidR="00724028" w:rsidRPr="00C44804" w:rsidRDefault="00724028" w:rsidP="001679AB">
            <w:pPr>
              <w:rPr>
                <w:rFonts w:cs="Arial"/>
                <w:szCs w:val="20"/>
                <w:lang w:val="sl-SI"/>
              </w:rPr>
            </w:pPr>
            <w:r>
              <w:rPr>
                <w:rFonts w:cs="Arial"/>
                <w:szCs w:val="20"/>
                <w:lang w:val="sl-SI"/>
              </w:rPr>
              <w:t>1.1</w:t>
            </w:r>
          </w:p>
        </w:tc>
        <w:tc>
          <w:tcPr>
            <w:tcW w:w="2553" w:type="dxa"/>
            <w:shd w:val="clear" w:color="auto" w:fill="auto"/>
          </w:tcPr>
          <w:p w14:paraId="1DC9D315" w14:textId="77777777" w:rsidR="00724028" w:rsidRPr="00C44804" w:rsidRDefault="00724028" w:rsidP="001679AB">
            <w:pPr>
              <w:rPr>
                <w:rFonts w:cs="Arial"/>
                <w:szCs w:val="20"/>
                <w:lang w:val="sl-SI"/>
              </w:rPr>
            </w:pPr>
            <w:r>
              <w:rPr>
                <w:rFonts w:cs="Arial"/>
                <w:szCs w:val="20"/>
                <w:lang w:val="sl-SI"/>
              </w:rPr>
              <w:t>»Alternativni viri energije«</w:t>
            </w:r>
          </w:p>
        </w:tc>
        <w:tc>
          <w:tcPr>
            <w:tcW w:w="6547" w:type="dxa"/>
            <w:shd w:val="clear" w:color="auto" w:fill="auto"/>
          </w:tcPr>
          <w:p w14:paraId="62B39BAD" w14:textId="77777777" w:rsidR="00724028" w:rsidRPr="00C44804" w:rsidRDefault="00724028" w:rsidP="001679AB">
            <w:pPr>
              <w:spacing w:after="120"/>
              <w:jc w:val="both"/>
              <w:rPr>
                <w:rFonts w:cs="Arial"/>
                <w:szCs w:val="20"/>
                <w:lang w:val="sl-SI"/>
              </w:rPr>
            </w:pPr>
            <w:r>
              <w:rPr>
                <w:rFonts w:cs="Arial"/>
                <w:szCs w:val="20"/>
                <w:lang w:val="sl-SI"/>
              </w:rPr>
              <w:t xml:space="preserve">pomenijo </w:t>
            </w:r>
            <w:r w:rsidRPr="00C44804">
              <w:rPr>
                <w:rFonts w:cs="Arial"/>
                <w:szCs w:val="20"/>
                <w:lang w:val="sl-SI"/>
              </w:rPr>
              <w:t>vire energije</w:t>
            </w:r>
            <w:r>
              <w:rPr>
                <w:rFonts w:cs="Arial"/>
                <w:szCs w:val="20"/>
                <w:lang w:val="sl-SI"/>
              </w:rPr>
              <w:t xml:space="preserve"> ali goriva</w:t>
            </w:r>
            <w:r w:rsidRPr="00C44804">
              <w:rPr>
                <w:rFonts w:cs="Arial"/>
                <w:szCs w:val="20"/>
                <w:lang w:val="sl-SI"/>
              </w:rPr>
              <w:t xml:space="preserve">, ki se vsaj deloma uporabljajo kot nadomestek za fosilne naftne vire pri oskrbi prometa z energijo ter ki lahko prispevajo k </w:t>
            </w:r>
            <w:proofErr w:type="spellStart"/>
            <w:r w:rsidRPr="00C44804">
              <w:rPr>
                <w:rFonts w:cs="Arial"/>
                <w:szCs w:val="20"/>
                <w:lang w:val="sl-SI"/>
              </w:rPr>
              <w:t>dekarbonizaciji</w:t>
            </w:r>
            <w:proofErr w:type="spellEnd"/>
            <w:r w:rsidRPr="00C44804">
              <w:rPr>
                <w:rFonts w:cs="Arial"/>
                <w:szCs w:val="20"/>
                <w:lang w:val="sl-SI"/>
              </w:rPr>
              <w:t xml:space="preserve"> prometa in izboljšujejo </w:t>
            </w:r>
            <w:proofErr w:type="spellStart"/>
            <w:r w:rsidRPr="00C44804">
              <w:rPr>
                <w:rFonts w:cs="Arial"/>
                <w:szCs w:val="20"/>
                <w:lang w:val="sl-SI"/>
              </w:rPr>
              <w:t>okoljske</w:t>
            </w:r>
            <w:proofErr w:type="spellEnd"/>
            <w:r w:rsidRPr="00C44804">
              <w:rPr>
                <w:rFonts w:cs="Arial"/>
                <w:szCs w:val="20"/>
                <w:lang w:val="sl-SI"/>
              </w:rPr>
              <w:t xml:space="preserve"> parametre delovanja prometnega sektorja. Med drugim zajemajo:</w:t>
            </w:r>
          </w:p>
          <w:p w14:paraId="1F682DE4" w14:textId="77777777" w:rsidR="00724028" w:rsidRPr="00C44804" w:rsidRDefault="00724028" w:rsidP="001679AB">
            <w:pPr>
              <w:pStyle w:val="Odstavekseznama"/>
              <w:widowControl w:val="0"/>
              <w:numPr>
                <w:ilvl w:val="0"/>
                <w:numId w:val="25"/>
              </w:numPr>
              <w:autoSpaceDE w:val="0"/>
              <w:autoSpaceDN w:val="0"/>
              <w:ind w:left="714" w:right="125" w:hanging="357"/>
              <w:contextualSpacing w:val="0"/>
              <w:rPr>
                <w:rFonts w:ascii="Arial" w:hAnsi="Arial" w:cs="Arial"/>
                <w:sz w:val="20"/>
              </w:rPr>
            </w:pPr>
            <w:r w:rsidRPr="00C44804">
              <w:rPr>
                <w:rFonts w:ascii="Arial" w:hAnsi="Arial" w:cs="Arial"/>
                <w:sz w:val="20"/>
              </w:rPr>
              <w:t>električno energijo,</w:t>
            </w:r>
          </w:p>
          <w:p w14:paraId="7AB548D5" w14:textId="77777777" w:rsidR="00724028" w:rsidRPr="00C44804" w:rsidRDefault="00724028" w:rsidP="001679AB">
            <w:pPr>
              <w:pStyle w:val="Odstavekseznama"/>
              <w:widowControl w:val="0"/>
              <w:numPr>
                <w:ilvl w:val="0"/>
                <w:numId w:val="25"/>
              </w:numPr>
              <w:autoSpaceDE w:val="0"/>
              <w:autoSpaceDN w:val="0"/>
              <w:ind w:left="714" w:right="125" w:hanging="357"/>
              <w:contextualSpacing w:val="0"/>
              <w:rPr>
                <w:rFonts w:ascii="Arial" w:hAnsi="Arial" w:cs="Arial"/>
                <w:sz w:val="20"/>
              </w:rPr>
            </w:pPr>
            <w:r w:rsidRPr="00C44804">
              <w:rPr>
                <w:rFonts w:ascii="Arial" w:hAnsi="Arial" w:cs="Arial"/>
                <w:sz w:val="20"/>
              </w:rPr>
              <w:t>vodik,</w:t>
            </w:r>
          </w:p>
          <w:p w14:paraId="17B81EC0" w14:textId="77777777" w:rsidR="00724028" w:rsidRPr="00C44804" w:rsidRDefault="00724028" w:rsidP="001679AB">
            <w:pPr>
              <w:pStyle w:val="Odstavekseznama"/>
              <w:widowControl w:val="0"/>
              <w:numPr>
                <w:ilvl w:val="0"/>
                <w:numId w:val="25"/>
              </w:numPr>
              <w:autoSpaceDE w:val="0"/>
              <w:autoSpaceDN w:val="0"/>
              <w:ind w:left="714" w:right="125" w:hanging="357"/>
              <w:contextualSpacing w:val="0"/>
              <w:rPr>
                <w:rFonts w:ascii="Arial" w:hAnsi="Arial" w:cs="Arial"/>
                <w:sz w:val="20"/>
              </w:rPr>
            </w:pPr>
            <w:proofErr w:type="spellStart"/>
            <w:r w:rsidRPr="00C44804">
              <w:rPr>
                <w:rFonts w:ascii="Arial" w:hAnsi="Arial" w:cs="Arial"/>
                <w:sz w:val="20"/>
              </w:rPr>
              <w:t>biogoriva</w:t>
            </w:r>
            <w:proofErr w:type="spellEnd"/>
            <w:r w:rsidRPr="00C44804">
              <w:rPr>
                <w:rFonts w:ascii="Arial" w:hAnsi="Arial" w:cs="Arial"/>
                <w:sz w:val="20"/>
              </w:rPr>
              <w:t>, razen goriv, ki se proizvajajo iz krme z visokim tveganjem za posredno spremembo rabe zemljišč za katere je opazna znatna širitev proizvodnje na zemljišča z velikimi zalogami ogljika,</w:t>
            </w:r>
          </w:p>
          <w:p w14:paraId="0D805989" w14:textId="77777777" w:rsidR="00724028" w:rsidRPr="00C44804" w:rsidRDefault="00724028" w:rsidP="001679AB">
            <w:pPr>
              <w:pStyle w:val="Odstavekseznama"/>
              <w:widowControl w:val="0"/>
              <w:numPr>
                <w:ilvl w:val="0"/>
                <w:numId w:val="25"/>
              </w:numPr>
              <w:autoSpaceDE w:val="0"/>
              <w:autoSpaceDN w:val="0"/>
              <w:ind w:left="714" w:right="125" w:hanging="357"/>
              <w:contextualSpacing w:val="0"/>
              <w:rPr>
                <w:rFonts w:ascii="Arial" w:hAnsi="Arial" w:cs="Arial"/>
                <w:sz w:val="20"/>
              </w:rPr>
            </w:pPr>
            <w:r w:rsidRPr="00C44804">
              <w:rPr>
                <w:rFonts w:ascii="Arial" w:hAnsi="Arial" w:cs="Arial"/>
                <w:sz w:val="20"/>
              </w:rPr>
              <w:t>sintetična in parafinska goriva,</w:t>
            </w:r>
          </w:p>
          <w:p w14:paraId="0FF78F93" w14:textId="77777777" w:rsidR="00724028" w:rsidRPr="00C44804" w:rsidRDefault="00724028" w:rsidP="001679AB">
            <w:pPr>
              <w:pStyle w:val="Odstavekseznama"/>
              <w:widowControl w:val="0"/>
              <w:numPr>
                <w:ilvl w:val="0"/>
                <w:numId w:val="25"/>
              </w:numPr>
              <w:autoSpaceDE w:val="0"/>
              <w:autoSpaceDN w:val="0"/>
              <w:ind w:left="714" w:right="125" w:hanging="357"/>
              <w:contextualSpacing w:val="0"/>
              <w:rPr>
                <w:rFonts w:ascii="Arial" w:hAnsi="Arial" w:cs="Arial"/>
                <w:sz w:val="20"/>
              </w:rPr>
            </w:pPr>
            <w:r w:rsidRPr="00C44804">
              <w:rPr>
                <w:rFonts w:ascii="Arial" w:hAnsi="Arial" w:cs="Arial"/>
                <w:sz w:val="20"/>
              </w:rPr>
              <w:t xml:space="preserve">zemeljski plin, vključno z </w:t>
            </w:r>
            <w:proofErr w:type="spellStart"/>
            <w:r w:rsidRPr="00C44804">
              <w:rPr>
                <w:rFonts w:ascii="Arial" w:hAnsi="Arial" w:cs="Arial"/>
                <w:sz w:val="20"/>
              </w:rPr>
              <w:t>biometanom</w:t>
            </w:r>
            <w:proofErr w:type="spellEnd"/>
            <w:r w:rsidRPr="00C44804">
              <w:rPr>
                <w:rFonts w:ascii="Arial" w:hAnsi="Arial" w:cs="Arial"/>
                <w:sz w:val="20"/>
              </w:rPr>
              <w:t>, v plinasti (stisnjeni zemeljski plin – SZP) in tekoči obliki (utekočinjeni zemeljski plin – UZP)</w:t>
            </w:r>
          </w:p>
          <w:p w14:paraId="274BB3B9" w14:textId="77777777" w:rsidR="00724028" w:rsidRPr="00C44804" w:rsidRDefault="00724028" w:rsidP="001679AB">
            <w:pPr>
              <w:pStyle w:val="Odstavekseznama"/>
              <w:widowControl w:val="0"/>
              <w:numPr>
                <w:ilvl w:val="0"/>
                <w:numId w:val="25"/>
              </w:numPr>
              <w:autoSpaceDE w:val="0"/>
              <w:autoSpaceDN w:val="0"/>
              <w:spacing w:after="120"/>
              <w:ind w:left="714" w:right="125" w:hanging="357"/>
              <w:contextualSpacing w:val="0"/>
              <w:rPr>
                <w:rFonts w:ascii="Arial" w:hAnsi="Arial" w:cs="Arial"/>
                <w:sz w:val="20"/>
              </w:rPr>
            </w:pPr>
            <w:r w:rsidRPr="00C44804">
              <w:rPr>
                <w:rFonts w:ascii="Arial" w:hAnsi="Arial" w:cs="Arial"/>
                <w:sz w:val="20"/>
              </w:rPr>
              <w:t>utekočinjeni naftni plin (UNP).</w:t>
            </w:r>
          </w:p>
          <w:p w14:paraId="1E3A9853" w14:textId="77777777" w:rsidR="00724028" w:rsidRPr="00C44804" w:rsidRDefault="00724028" w:rsidP="001679AB">
            <w:pPr>
              <w:jc w:val="both"/>
              <w:rPr>
                <w:rFonts w:cs="Arial"/>
                <w:szCs w:val="20"/>
                <w:lang w:val="sl-SI"/>
              </w:rPr>
            </w:pPr>
            <w:r w:rsidRPr="00C44804">
              <w:rPr>
                <w:rFonts w:cs="Arial"/>
                <w:szCs w:val="20"/>
                <w:lang w:val="sl-SI"/>
              </w:rPr>
              <w:t xml:space="preserve">Pri vozilih, ki uporabljajo tekoča </w:t>
            </w:r>
            <w:proofErr w:type="spellStart"/>
            <w:r w:rsidRPr="00C44804">
              <w:rPr>
                <w:rFonts w:cs="Arial"/>
                <w:szCs w:val="20"/>
                <w:lang w:val="sl-SI"/>
              </w:rPr>
              <w:t>biogoriva</w:t>
            </w:r>
            <w:proofErr w:type="spellEnd"/>
            <w:r w:rsidRPr="00C44804">
              <w:rPr>
                <w:rFonts w:cs="Arial"/>
                <w:szCs w:val="20"/>
                <w:lang w:val="sl-SI"/>
              </w:rPr>
              <w:t>, sintetična in parafinska goriva, se ta goriva ne smejo mešati s konvencionalnimi fosilnimi gorivi.</w:t>
            </w:r>
          </w:p>
        </w:tc>
      </w:tr>
      <w:tr w:rsidR="00724028" w:rsidRPr="004B7319" w14:paraId="1DDFFB29" w14:textId="77777777" w:rsidTr="001679AB">
        <w:tc>
          <w:tcPr>
            <w:tcW w:w="534" w:type="dxa"/>
            <w:shd w:val="clear" w:color="auto" w:fill="auto"/>
          </w:tcPr>
          <w:p w14:paraId="1832D8D0" w14:textId="77777777" w:rsidR="00724028" w:rsidRPr="00C44804" w:rsidRDefault="00724028" w:rsidP="001679AB">
            <w:pPr>
              <w:rPr>
                <w:rFonts w:cs="Arial"/>
                <w:szCs w:val="20"/>
                <w:lang w:val="sl-SI"/>
              </w:rPr>
            </w:pPr>
          </w:p>
          <w:p w14:paraId="71B4692B" w14:textId="77777777" w:rsidR="00724028" w:rsidRPr="00C44804" w:rsidRDefault="00724028" w:rsidP="001679AB">
            <w:pPr>
              <w:rPr>
                <w:rFonts w:cs="Arial"/>
                <w:szCs w:val="20"/>
                <w:lang w:val="sl-SI"/>
              </w:rPr>
            </w:pPr>
            <w:r>
              <w:rPr>
                <w:rFonts w:cs="Arial"/>
                <w:szCs w:val="20"/>
                <w:lang w:val="sl-SI"/>
              </w:rPr>
              <w:t>1</w:t>
            </w:r>
            <w:r w:rsidRPr="00C44804">
              <w:rPr>
                <w:rFonts w:cs="Arial"/>
                <w:szCs w:val="20"/>
                <w:lang w:val="sl-SI"/>
              </w:rPr>
              <w:t>.</w:t>
            </w:r>
            <w:r>
              <w:rPr>
                <w:rFonts w:cs="Arial"/>
                <w:szCs w:val="20"/>
                <w:lang w:val="sl-SI"/>
              </w:rPr>
              <w:t>2</w:t>
            </w:r>
          </w:p>
        </w:tc>
        <w:tc>
          <w:tcPr>
            <w:tcW w:w="2553" w:type="dxa"/>
            <w:shd w:val="clear" w:color="auto" w:fill="auto"/>
          </w:tcPr>
          <w:p w14:paraId="31338D02" w14:textId="77777777" w:rsidR="00724028" w:rsidRPr="00C44804" w:rsidRDefault="00724028" w:rsidP="001679AB">
            <w:pPr>
              <w:rPr>
                <w:rFonts w:cs="Arial"/>
                <w:szCs w:val="20"/>
                <w:lang w:val="sl-SI"/>
              </w:rPr>
            </w:pPr>
          </w:p>
          <w:p w14:paraId="21B55F45" w14:textId="77777777" w:rsidR="00724028" w:rsidRPr="00C44804" w:rsidRDefault="00724028" w:rsidP="001679AB">
            <w:pPr>
              <w:rPr>
                <w:rFonts w:cs="Arial"/>
                <w:szCs w:val="20"/>
                <w:lang w:val="sl-SI"/>
              </w:rPr>
            </w:pPr>
            <w:r w:rsidRPr="00C44804">
              <w:rPr>
                <w:rFonts w:cs="Arial"/>
                <w:szCs w:val="20"/>
                <w:lang w:val="sl-SI"/>
              </w:rPr>
              <w:t xml:space="preserve">»Čisto </w:t>
            </w:r>
            <w:r>
              <w:rPr>
                <w:rFonts w:cs="Arial"/>
                <w:szCs w:val="20"/>
                <w:lang w:val="sl-SI"/>
              </w:rPr>
              <w:t xml:space="preserve">lahko </w:t>
            </w:r>
            <w:r w:rsidRPr="00C44804">
              <w:rPr>
                <w:rFonts w:cs="Arial"/>
                <w:szCs w:val="20"/>
                <w:lang w:val="sl-SI"/>
              </w:rPr>
              <w:t xml:space="preserve">vozilo« </w:t>
            </w:r>
          </w:p>
        </w:tc>
        <w:tc>
          <w:tcPr>
            <w:tcW w:w="6547" w:type="dxa"/>
            <w:shd w:val="clear" w:color="auto" w:fill="auto"/>
          </w:tcPr>
          <w:p w14:paraId="46148FDD" w14:textId="77777777" w:rsidR="00724028" w:rsidRPr="00C44804" w:rsidRDefault="00724028" w:rsidP="001679AB">
            <w:pPr>
              <w:jc w:val="both"/>
              <w:rPr>
                <w:rFonts w:cs="Arial"/>
                <w:szCs w:val="20"/>
                <w:lang w:val="sl-SI"/>
              </w:rPr>
            </w:pPr>
            <w:r>
              <w:rPr>
                <w:rFonts w:cs="Arial"/>
                <w:szCs w:val="20"/>
                <w:lang w:val="sl-SI"/>
              </w:rPr>
              <w:t xml:space="preserve">pomeni </w:t>
            </w:r>
            <w:r w:rsidRPr="00C44804">
              <w:rPr>
                <w:rFonts w:cs="Arial"/>
                <w:szCs w:val="20"/>
                <w:lang w:val="sl-SI"/>
              </w:rPr>
              <w:t>vozilo kategorije M1, M2 ali N1 z največjimi izpušnimi emisijami, izraženimi v CO</w:t>
            </w:r>
            <w:r w:rsidRPr="00C330AB">
              <w:rPr>
                <w:rFonts w:cs="Arial"/>
                <w:szCs w:val="20"/>
                <w:vertAlign w:val="subscript"/>
                <w:lang w:val="sl-SI"/>
              </w:rPr>
              <w:t>2</w:t>
            </w:r>
            <w:r w:rsidRPr="00C44804">
              <w:rPr>
                <w:rFonts w:cs="Arial"/>
                <w:szCs w:val="20"/>
                <w:lang w:val="sl-SI"/>
              </w:rPr>
              <w:t xml:space="preserve"> g/km, in emisijami onesnaževal pri dejanski vožnji pod odstotkom veljavnih mejnih vrednosti emisij iz Tabele 2 </w:t>
            </w:r>
            <w:r>
              <w:rPr>
                <w:rFonts w:cs="Arial"/>
                <w:szCs w:val="20"/>
                <w:lang w:val="sl-SI"/>
              </w:rPr>
              <w:t xml:space="preserve">te priloge. </w:t>
            </w:r>
            <w:r w:rsidRPr="00C44804">
              <w:rPr>
                <w:rFonts w:cs="Arial"/>
                <w:szCs w:val="20"/>
                <w:lang w:val="sl-SI"/>
              </w:rPr>
              <w:t xml:space="preserve"> </w:t>
            </w:r>
          </w:p>
        </w:tc>
      </w:tr>
      <w:tr w:rsidR="00724028" w:rsidRPr="004B7319" w14:paraId="1A312CCA" w14:textId="77777777" w:rsidTr="001679AB">
        <w:tc>
          <w:tcPr>
            <w:tcW w:w="534" w:type="dxa"/>
            <w:shd w:val="clear" w:color="auto" w:fill="auto"/>
          </w:tcPr>
          <w:p w14:paraId="34B3209F" w14:textId="77777777" w:rsidR="00724028" w:rsidRPr="004300E3" w:rsidRDefault="00724028" w:rsidP="001679AB">
            <w:pPr>
              <w:rPr>
                <w:rFonts w:cs="Arial"/>
                <w:szCs w:val="20"/>
                <w:lang w:val="sl-SI"/>
              </w:rPr>
            </w:pPr>
            <w:r>
              <w:rPr>
                <w:rFonts w:cs="Arial"/>
                <w:szCs w:val="20"/>
                <w:lang w:val="sl-SI"/>
              </w:rPr>
              <w:t>1.3</w:t>
            </w:r>
          </w:p>
        </w:tc>
        <w:tc>
          <w:tcPr>
            <w:tcW w:w="2553" w:type="dxa"/>
            <w:shd w:val="clear" w:color="auto" w:fill="auto"/>
          </w:tcPr>
          <w:p w14:paraId="56F74D9A" w14:textId="77777777" w:rsidR="00724028" w:rsidRPr="004300E3" w:rsidRDefault="00724028" w:rsidP="001679AB">
            <w:pPr>
              <w:rPr>
                <w:rFonts w:cs="Arial"/>
                <w:szCs w:val="20"/>
                <w:lang w:val="sl-SI"/>
              </w:rPr>
            </w:pPr>
            <w:r w:rsidRPr="004300E3">
              <w:rPr>
                <w:rFonts w:cs="Arial"/>
                <w:szCs w:val="20"/>
                <w:lang w:val="sl-SI"/>
              </w:rPr>
              <w:t>»</w:t>
            </w:r>
            <w:r>
              <w:rPr>
                <w:rFonts w:cs="Arial"/>
                <w:szCs w:val="20"/>
                <w:lang w:val="sl-SI"/>
              </w:rPr>
              <w:t>Čisto težko</w:t>
            </w:r>
            <w:r w:rsidRPr="004300E3">
              <w:rPr>
                <w:rFonts w:cs="Arial"/>
                <w:szCs w:val="20"/>
                <w:lang w:val="sl-SI"/>
              </w:rPr>
              <w:t xml:space="preserve"> vozilo«</w:t>
            </w:r>
          </w:p>
        </w:tc>
        <w:tc>
          <w:tcPr>
            <w:tcW w:w="6547" w:type="dxa"/>
            <w:shd w:val="clear" w:color="auto" w:fill="auto"/>
          </w:tcPr>
          <w:p w14:paraId="6868DE9D" w14:textId="77777777" w:rsidR="00724028" w:rsidRPr="00DF0A55" w:rsidRDefault="00724028" w:rsidP="001679AB">
            <w:pPr>
              <w:jc w:val="both"/>
              <w:rPr>
                <w:rFonts w:cs="Arial"/>
                <w:szCs w:val="20"/>
                <w:highlight w:val="yellow"/>
                <w:lang w:val="sl-SI"/>
              </w:rPr>
            </w:pPr>
            <w:r>
              <w:rPr>
                <w:rFonts w:cs="Arial"/>
                <w:szCs w:val="20"/>
                <w:lang w:val="sl-SI"/>
              </w:rPr>
              <w:t xml:space="preserve">pomeni </w:t>
            </w:r>
            <w:r w:rsidRPr="004300E3">
              <w:rPr>
                <w:rFonts w:cs="Arial"/>
                <w:szCs w:val="20"/>
                <w:lang w:val="sl-SI"/>
              </w:rPr>
              <w:t>vozil</w:t>
            </w:r>
            <w:r>
              <w:rPr>
                <w:rFonts w:cs="Arial"/>
                <w:szCs w:val="20"/>
                <w:lang w:val="sl-SI"/>
              </w:rPr>
              <w:t xml:space="preserve">o kategorije </w:t>
            </w:r>
            <w:r w:rsidRPr="004300E3">
              <w:rPr>
                <w:rFonts w:cs="Arial"/>
                <w:szCs w:val="20"/>
                <w:lang w:val="sl-SI"/>
              </w:rPr>
              <w:t>N2 ali N3,</w:t>
            </w:r>
            <w:r>
              <w:rPr>
                <w:rFonts w:cs="Arial"/>
                <w:szCs w:val="20"/>
                <w:lang w:val="sl-SI"/>
              </w:rPr>
              <w:t xml:space="preserve"> ki uporablja alternativne vire energije, kot so navedeni v točki 1.1 te tabele.</w:t>
            </w:r>
          </w:p>
        </w:tc>
      </w:tr>
      <w:tr w:rsidR="00724028" w:rsidRPr="004B7319" w14:paraId="32727AEE" w14:textId="77777777" w:rsidTr="001679AB">
        <w:tc>
          <w:tcPr>
            <w:tcW w:w="534" w:type="dxa"/>
            <w:shd w:val="clear" w:color="auto" w:fill="auto"/>
          </w:tcPr>
          <w:p w14:paraId="6B900F9B" w14:textId="77777777" w:rsidR="00724028" w:rsidRPr="00C44804" w:rsidRDefault="00724028" w:rsidP="001679AB">
            <w:pPr>
              <w:rPr>
                <w:rFonts w:cs="Arial"/>
                <w:szCs w:val="20"/>
                <w:lang w:val="sl-SI"/>
              </w:rPr>
            </w:pPr>
            <w:r>
              <w:rPr>
                <w:rFonts w:cs="Arial"/>
                <w:szCs w:val="20"/>
                <w:lang w:val="sl-SI"/>
              </w:rPr>
              <w:t>1.4</w:t>
            </w:r>
          </w:p>
        </w:tc>
        <w:tc>
          <w:tcPr>
            <w:tcW w:w="2553" w:type="dxa"/>
            <w:shd w:val="clear" w:color="auto" w:fill="auto"/>
          </w:tcPr>
          <w:p w14:paraId="10B39F6D" w14:textId="77777777" w:rsidR="00724028" w:rsidRPr="00C44804" w:rsidRDefault="00724028" w:rsidP="001679AB">
            <w:pPr>
              <w:rPr>
                <w:rFonts w:cs="Arial"/>
                <w:szCs w:val="20"/>
                <w:lang w:val="sl-SI"/>
              </w:rPr>
            </w:pPr>
            <w:r w:rsidRPr="00C44804">
              <w:rPr>
                <w:rFonts w:cs="Arial"/>
                <w:szCs w:val="20"/>
                <w:lang w:val="sl-SI"/>
              </w:rPr>
              <w:t>»</w:t>
            </w:r>
            <w:r>
              <w:rPr>
                <w:rFonts w:cs="Arial"/>
                <w:szCs w:val="20"/>
                <w:lang w:val="sl-SI"/>
              </w:rPr>
              <w:t>Čisti m</w:t>
            </w:r>
            <w:r w:rsidRPr="00C44804">
              <w:rPr>
                <w:rFonts w:cs="Arial"/>
                <w:szCs w:val="20"/>
                <w:lang w:val="sl-SI"/>
              </w:rPr>
              <w:t>estni avtobus«</w:t>
            </w:r>
          </w:p>
        </w:tc>
        <w:tc>
          <w:tcPr>
            <w:tcW w:w="6547" w:type="dxa"/>
            <w:shd w:val="clear" w:color="auto" w:fill="auto"/>
          </w:tcPr>
          <w:p w14:paraId="55F7E4A6" w14:textId="77777777" w:rsidR="00724028" w:rsidRPr="00C44804" w:rsidRDefault="00724028" w:rsidP="001679AB">
            <w:pPr>
              <w:jc w:val="both"/>
              <w:rPr>
                <w:rFonts w:cs="Arial"/>
                <w:szCs w:val="20"/>
                <w:lang w:val="sl-SI"/>
              </w:rPr>
            </w:pPr>
            <w:r w:rsidRPr="00C44804">
              <w:rPr>
                <w:rFonts w:cs="Arial"/>
                <w:szCs w:val="20"/>
                <w:lang w:val="sl-SI"/>
              </w:rPr>
              <w:t>pomeni vozilo kategorije M3 (razred I in A)</w:t>
            </w:r>
            <w:r>
              <w:rPr>
                <w:rFonts w:cs="Arial"/>
                <w:szCs w:val="20"/>
                <w:lang w:val="sl-SI"/>
              </w:rPr>
              <w:t>, ki uporablja alternativne vire energije, kot so navedeni v točki 1.1 te tabele.</w:t>
            </w:r>
          </w:p>
          <w:p w14:paraId="220B9C28" w14:textId="77777777" w:rsidR="00724028" w:rsidRPr="00C44804" w:rsidRDefault="00724028" w:rsidP="001679AB">
            <w:pPr>
              <w:jc w:val="both"/>
              <w:rPr>
                <w:rFonts w:cs="Arial"/>
                <w:szCs w:val="20"/>
                <w:lang w:val="sl-SI"/>
              </w:rPr>
            </w:pPr>
            <w:r w:rsidRPr="00C44804">
              <w:rPr>
                <w:rFonts w:cs="Arial"/>
                <w:szCs w:val="20"/>
                <w:lang w:val="sl-SI"/>
              </w:rPr>
              <w:t>Vozilo razreda I pomeni vozilo kategorije M3 za prevoz več kot 22 potnikov poleg voznika, s prostorom za stoječe potnike in z možnostjo hitre menjave potnikov.  Vozilo razreda A pomeni vozilo kategorije M3 za prevoz več kot 22 potnikov poleg voznika, namenjeno prevozu stoječih potnikov, vozilo te kategorije ima sedišča in prostor za stoječe potnike.</w:t>
            </w:r>
          </w:p>
        </w:tc>
      </w:tr>
      <w:tr w:rsidR="00724028" w:rsidRPr="004B7319" w14:paraId="434D78A2" w14:textId="77777777" w:rsidTr="001679AB">
        <w:tc>
          <w:tcPr>
            <w:tcW w:w="534" w:type="dxa"/>
            <w:shd w:val="clear" w:color="auto" w:fill="auto"/>
          </w:tcPr>
          <w:p w14:paraId="6CE2D27A" w14:textId="77777777" w:rsidR="00724028" w:rsidRPr="00C44804" w:rsidRDefault="00724028" w:rsidP="001679AB">
            <w:pPr>
              <w:rPr>
                <w:rFonts w:cs="Arial"/>
                <w:szCs w:val="20"/>
                <w:lang w:val="sl-SI"/>
              </w:rPr>
            </w:pPr>
            <w:r>
              <w:rPr>
                <w:rFonts w:cs="Arial"/>
                <w:szCs w:val="20"/>
                <w:lang w:val="sl-SI"/>
              </w:rPr>
              <w:t>1</w:t>
            </w:r>
            <w:r w:rsidRPr="00C44804">
              <w:rPr>
                <w:rFonts w:cs="Arial"/>
                <w:szCs w:val="20"/>
                <w:lang w:val="sl-SI"/>
              </w:rPr>
              <w:t>.</w:t>
            </w:r>
            <w:r>
              <w:rPr>
                <w:rFonts w:cs="Arial"/>
                <w:szCs w:val="20"/>
                <w:lang w:val="sl-SI"/>
              </w:rPr>
              <w:t>5</w:t>
            </w:r>
          </w:p>
        </w:tc>
        <w:tc>
          <w:tcPr>
            <w:tcW w:w="2553" w:type="dxa"/>
            <w:shd w:val="clear" w:color="auto" w:fill="auto"/>
          </w:tcPr>
          <w:p w14:paraId="54B1803D" w14:textId="77777777" w:rsidR="00724028" w:rsidRPr="00C44804" w:rsidRDefault="00724028" w:rsidP="001679AB">
            <w:pPr>
              <w:rPr>
                <w:rFonts w:cs="Arial"/>
                <w:szCs w:val="20"/>
                <w:lang w:val="sl-SI"/>
              </w:rPr>
            </w:pPr>
            <w:r>
              <w:rPr>
                <w:rFonts w:cs="Arial"/>
                <w:szCs w:val="20"/>
                <w:lang w:val="sl-SI"/>
              </w:rPr>
              <w:t>»</w:t>
            </w:r>
            <w:proofErr w:type="spellStart"/>
            <w:r>
              <w:rPr>
                <w:rFonts w:cs="Arial"/>
                <w:szCs w:val="20"/>
                <w:lang w:val="sl-SI"/>
              </w:rPr>
              <w:t>Brezemisijski</w:t>
            </w:r>
            <w:proofErr w:type="spellEnd"/>
            <w:r>
              <w:rPr>
                <w:rFonts w:cs="Arial"/>
                <w:szCs w:val="20"/>
                <w:lang w:val="sl-SI"/>
              </w:rPr>
              <w:t xml:space="preserve"> mestni avtobus</w:t>
            </w:r>
            <w:r w:rsidRPr="00C44804">
              <w:rPr>
                <w:rFonts w:cs="Arial"/>
                <w:szCs w:val="20"/>
                <w:lang w:val="sl-SI"/>
              </w:rPr>
              <w:t>«</w:t>
            </w:r>
          </w:p>
        </w:tc>
        <w:tc>
          <w:tcPr>
            <w:tcW w:w="6547" w:type="dxa"/>
            <w:shd w:val="clear" w:color="auto" w:fill="auto"/>
          </w:tcPr>
          <w:p w14:paraId="38918FFC" w14:textId="77777777" w:rsidR="00724028" w:rsidRPr="00C44804" w:rsidRDefault="00724028" w:rsidP="001679AB">
            <w:pPr>
              <w:jc w:val="both"/>
              <w:rPr>
                <w:rFonts w:cs="Arial"/>
                <w:szCs w:val="20"/>
                <w:lang w:val="sl-SI"/>
              </w:rPr>
            </w:pPr>
            <w:r w:rsidRPr="00C44804">
              <w:rPr>
                <w:rFonts w:cs="Arial"/>
                <w:szCs w:val="20"/>
                <w:lang w:val="sl-SI"/>
              </w:rPr>
              <w:t xml:space="preserve">pomeni </w:t>
            </w:r>
            <w:r>
              <w:rPr>
                <w:rFonts w:cs="Arial"/>
                <w:szCs w:val="20"/>
                <w:lang w:val="sl-SI"/>
              </w:rPr>
              <w:t xml:space="preserve">čisti mestni avtobus, kot je naveden v točki 1.4 te tabele brez </w:t>
            </w:r>
            <w:r w:rsidRPr="009511EE">
              <w:rPr>
                <w:rFonts w:cs="Arial"/>
                <w:szCs w:val="20"/>
                <w:lang w:val="sl-SI"/>
              </w:rPr>
              <w:t>motorja z notranjim zgorevanjem ali z motorjem z notranjim zgorevanjem, ki oddaja manj kot 1 g CO</w:t>
            </w:r>
            <w:r w:rsidRPr="00C330AB">
              <w:rPr>
                <w:rFonts w:cs="Arial"/>
                <w:szCs w:val="20"/>
                <w:vertAlign w:val="subscript"/>
                <w:lang w:val="sl-SI"/>
              </w:rPr>
              <w:t>2</w:t>
            </w:r>
            <w:r w:rsidRPr="009511EE">
              <w:rPr>
                <w:rFonts w:cs="Arial"/>
                <w:szCs w:val="20"/>
                <w:lang w:val="sl-SI"/>
              </w:rPr>
              <w:t>/kWh, merjeno v skladu z Uredbo (ES) št. 595/2009 Evropskega parlamenta in Sveta in njenimi izvedbenimi ukrepi, ali ki oddaja manj kot 1 g CO</w:t>
            </w:r>
            <w:r w:rsidRPr="00C330AB">
              <w:rPr>
                <w:rFonts w:cs="Arial"/>
                <w:szCs w:val="20"/>
                <w:vertAlign w:val="subscript"/>
                <w:lang w:val="sl-SI"/>
              </w:rPr>
              <w:t>2</w:t>
            </w:r>
            <w:r w:rsidRPr="009511EE">
              <w:rPr>
                <w:rFonts w:cs="Arial"/>
                <w:szCs w:val="20"/>
                <w:lang w:val="sl-SI"/>
              </w:rPr>
              <w:t>/km, merjeno v skladu z Uredbo (ES) št. 715/2007 Evropskega parlamenta in Sveta in njenimi izvedbenimi ukrepi.</w:t>
            </w:r>
          </w:p>
        </w:tc>
      </w:tr>
    </w:tbl>
    <w:p w14:paraId="0E19C0A3" w14:textId="77777777" w:rsidR="00724028" w:rsidRPr="0020656B" w:rsidRDefault="00724028" w:rsidP="00724028">
      <w:pPr>
        <w:rPr>
          <w:rFonts w:cs="Arial"/>
          <w:b/>
          <w:szCs w:val="20"/>
          <w:lang w:val="sl-SI"/>
        </w:rPr>
      </w:pPr>
    </w:p>
    <w:p w14:paraId="0CFFE244" w14:textId="77777777" w:rsidR="00724028" w:rsidRPr="0020656B" w:rsidRDefault="00724028" w:rsidP="00724028">
      <w:pPr>
        <w:rPr>
          <w:rFonts w:cs="Arial"/>
          <w:b/>
          <w:szCs w:val="20"/>
          <w:lang w:val="sl-SI"/>
        </w:rPr>
      </w:pPr>
    </w:p>
    <w:p w14:paraId="4F981542" w14:textId="77777777" w:rsidR="00724028" w:rsidRPr="0020656B" w:rsidRDefault="00724028" w:rsidP="00724028">
      <w:pPr>
        <w:rPr>
          <w:rFonts w:cs="Arial"/>
          <w:b/>
          <w:lang w:val="sl-SI"/>
        </w:rPr>
      </w:pPr>
      <w:r w:rsidRPr="0020656B">
        <w:rPr>
          <w:rFonts w:cs="Arial"/>
          <w:b/>
          <w:szCs w:val="20"/>
          <w:lang w:val="sl-SI"/>
        </w:rPr>
        <w:t>2</w:t>
      </w:r>
      <w:r w:rsidRPr="0020656B">
        <w:rPr>
          <w:rFonts w:cs="Arial"/>
          <w:b/>
          <w:lang w:val="sl-SI"/>
        </w:rPr>
        <w:t>. Opredelitev mejnih vrednosti emisij za čista lahka vozila</w:t>
      </w:r>
    </w:p>
    <w:p w14:paraId="1874548E" w14:textId="77777777" w:rsidR="00724028" w:rsidRPr="0020656B" w:rsidRDefault="00724028" w:rsidP="00724028">
      <w:pPr>
        <w:spacing w:after="120" w:line="240" w:lineRule="auto"/>
        <w:rPr>
          <w:rFonts w:cs="Arial"/>
          <w:lang w:val="sl-SI"/>
        </w:rPr>
      </w:pPr>
      <w:r w:rsidRPr="0020656B">
        <w:rPr>
          <w:rFonts w:cs="Arial"/>
          <w:lang w:val="sl-SI"/>
        </w:rPr>
        <w:t xml:space="preserve">Tabela 2: Mejne vrednosti emisij za čista lahka vozila </w:t>
      </w:r>
    </w:p>
    <w:tbl>
      <w:tblPr>
        <w:tblW w:w="9389"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4"/>
        <w:gridCol w:w="1983"/>
        <w:gridCol w:w="2163"/>
        <w:gridCol w:w="1803"/>
        <w:gridCol w:w="1988"/>
        <w:gridCol w:w="178"/>
      </w:tblGrid>
      <w:tr w:rsidR="00724028" w:rsidRPr="00C44804" w14:paraId="38088CC6" w14:textId="77777777" w:rsidTr="001679AB">
        <w:trPr>
          <w:gridAfter w:val="1"/>
          <w:wAfter w:w="178" w:type="dxa"/>
          <w:trHeight w:val="353"/>
        </w:trPr>
        <w:tc>
          <w:tcPr>
            <w:tcW w:w="1274" w:type="dxa"/>
            <w:tcBorders>
              <w:left w:val="nil"/>
            </w:tcBorders>
            <w:shd w:val="clear" w:color="auto" w:fill="auto"/>
          </w:tcPr>
          <w:p w14:paraId="41DC7B51" w14:textId="77777777" w:rsidR="00724028" w:rsidRPr="00C44804" w:rsidRDefault="00724028" w:rsidP="001679AB">
            <w:pPr>
              <w:pStyle w:val="TableParagraph"/>
              <w:spacing w:before="68" w:after="120"/>
              <w:ind w:left="66" w:right="52"/>
              <w:jc w:val="center"/>
              <w:rPr>
                <w:rFonts w:ascii="Arial" w:hAnsi="Arial" w:cs="Arial"/>
                <w:sz w:val="20"/>
                <w:szCs w:val="20"/>
              </w:rPr>
            </w:pPr>
            <w:r w:rsidRPr="00C44804">
              <w:rPr>
                <w:rFonts w:ascii="Arial" w:hAnsi="Arial" w:cs="Arial"/>
                <w:w w:val="95"/>
                <w:sz w:val="20"/>
                <w:szCs w:val="20"/>
              </w:rPr>
              <w:lastRenderedPageBreak/>
              <w:t>Kategorije vozil</w:t>
            </w:r>
          </w:p>
        </w:tc>
        <w:tc>
          <w:tcPr>
            <w:tcW w:w="4146" w:type="dxa"/>
            <w:gridSpan w:val="2"/>
            <w:shd w:val="clear" w:color="auto" w:fill="auto"/>
          </w:tcPr>
          <w:p w14:paraId="4273A0F3" w14:textId="77777777" w:rsidR="00724028" w:rsidRPr="00C44804" w:rsidRDefault="00724028" w:rsidP="001679AB">
            <w:pPr>
              <w:pStyle w:val="TableParagraph"/>
              <w:spacing w:before="68" w:after="120"/>
              <w:ind w:left="1186"/>
              <w:rPr>
                <w:rFonts w:ascii="Arial" w:hAnsi="Arial" w:cs="Arial"/>
                <w:sz w:val="20"/>
                <w:szCs w:val="20"/>
              </w:rPr>
            </w:pPr>
            <w:r w:rsidRPr="00C44804">
              <w:rPr>
                <w:rFonts w:ascii="Arial" w:hAnsi="Arial" w:cs="Arial"/>
                <w:sz w:val="20"/>
                <w:szCs w:val="20"/>
              </w:rPr>
              <w:t>Do 31. decembra 2025</w:t>
            </w:r>
          </w:p>
        </w:tc>
        <w:tc>
          <w:tcPr>
            <w:tcW w:w="3791" w:type="dxa"/>
            <w:gridSpan w:val="2"/>
            <w:tcBorders>
              <w:right w:val="nil"/>
            </w:tcBorders>
            <w:shd w:val="clear" w:color="auto" w:fill="auto"/>
          </w:tcPr>
          <w:p w14:paraId="68F271E7" w14:textId="77777777" w:rsidR="00724028" w:rsidRPr="00C44804" w:rsidRDefault="00724028" w:rsidP="001679AB">
            <w:pPr>
              <w:pStyle w:val="TableParagraph"/>
              <w:spacing w:before="68" w:after="120"/>
              <w:ind w:left="1291"/>
              <w:rPr>
                <w:rFonts w:ascii="Arial" w:hAnsi="Arial" w:cs="Arial"/>
                <w:sz w:val="20"/>
                <w:szCs w:val="20"/>
              </w:rPr>
            </w:pPr>
            <w:r w:rsidRPr="00C44804">
              <w:rPr>
                <w:rFonts w:ascii="Arial" w:hAnsi="Arial" w:cs="Arial"/>
                <w:sz w:val="20"/>
                <w:szCs w:val="20"/>
              </w:rPr>
              <w:t>Od 1. januarja 2026</w:t>
            </w:r>
          </w:p>
        </w:tc>
      </w:tr>
      <w:tr w:rsidR="00724028" w:rsidRPr="00C44804" w14:paraId="1301AF76" w14:textId="77777777" w:rsidTr="001679AB">
        <w:trPr>
          <w:trHeight w:val="250"/>
        </w:trPr>
        <w:tc>
          <w:tcPr>
            <w:tcW w:w="1274" w:type="dxa"/>
            <w:vMerge w:val="restart"/>
            <w:tcBorders>
              <w:left w:val="nil"/>
            </w:tcBorders>
            <w:shd w:val="clear" w:color="auto" w:fill="auto"/>
          </w:tcPr>
          <w:p w14:paraId="3B0D6A50" w14:textId="77777777" w:rsidR="00724028" w:rsidRPr="00C44804" w:rsidRDefault="00724028" w:rsidP="001679AB">
            <w:pPr>
              <w:pStyle w:val="TableParagraph"/>
              <w:spacing w:before="0"/>
              <w:ind w:left="0"/>
              <w:rPr>
                <w:rFonts w:ascii="Arial" w:hAnsi="Arial" w:cs="Arial"/>
                <w:sz w:val="20"/>
                <w:szCs w:val="20"/>
              </w:rPr>
            </w:pPr>
          </w:p>
        </w:tc>
        <w:tc>
          <w:tcPr>
            <w:tcW w:w="1983" w:type="dxa"/>
            <w:tcBorders>
              <w:bottom w:val="nil"/>
            </w:tcBorders>
            <w:shd w:val="clear" w:color="auto" w:fill="auto"/>
          </w:tcPr>
          <w:p w14:paraId="0CB44580" w14:textId="77777777" w:rsidR="00724028" w:rsidRPr="00C44804" w:rsidRDefault="00724028" w:rsidP="001679AB">
            <w:pPr>
              <w:pStyle w:val="TableParagraph"/>
              <w:spacing w:before="0"/>
              <w:ind w:left="0"/>
              <w:rPr>
                <w:rFonts w:ascii="Arial" w:hAnsi="Arial" w:cs="Arial"/>
                <w:sz w:val="20"/>
                <w:szCs w:val="20"/>
              </w:rPr>
            </w:pPr>
          </w:p>
        </w:tc>
        <w:tc>
          <w:tcPr>
            <w:tcW w:w="2163" w:type="dxa"/>
            <w:tcBorders>
              <w:bottom w:val="nil"/>
            </w:tcBorders>
            <w:shd w:val="clear" w:color="auto" w:fill="auto"/>
          </w:tcPr>
          <w:p w14:paraId="7ADAE915" w14:textId="77777777" w:rsidR="00724028" w:rsidRPr="00C44804" w:rsidRDefault="00724028" w:rsidP="001679AB">
            <w:pPr>
              <w:pStyle w:val="TableParagraph"/>
              <w:spacing w:before="68" w:line="162" w:lineRule="exact"/>
              <w:ind w:left="85" w:right="74"/>
              <w:rPr>
                <w:rFonts w:ascii="Arial" w:hAnsi="Arial" w:cs="Arial"/>
                <w:sz w:val="20"/>
                <w:szCs w:val="20"/>
              </w:rPr>
            </w:pPr>
            <w:r>
              <w:rPr>
                <w:rFonts w:ascii="Arial" w:hAnsi="Arial" w:cs="Arial"/>
                <w:w w:val="90"/>
                <w:sz w:val="20"/>
                <w:szCs w:val="20"/>
              </w:rPr>
              <w:t xml:space="preserve">Emisije onesnaževal </w:t>
            </w:r>
            <w:r w:rsidRPr="00C44804">
              <w:rPr>
                <w:rFonts w:ascii="Arial" w:hAnsi="Arial" w:cs="Arial"/>
                <w:w w:val="90"/>
                <w:sz w:val="20"/>
                <w:szCs w:val="20"/>
              </w:rPr>
              <w:t>zraka</w:t>
            </w:r>
          </w:p>
        </w:tc>
        <w:tc>
          <w:tcPr>
            <w:tcW w:w="1803" w:type="dxa"/>
            <w:tcBorders>
              <w:bottom w:val="nil"/>
            </w:tcBorders>
            <w:shd w:val="clear" w:color="auto" w:fill="auto"/>
          </w:tcPr>
          <w:p w14:paraId="3B2CC390" w14:textId="77777777" w:rsidR="00724028" w:rsidRPr="00C44804" w:rsidRDefault="00724028" w:rsidP="001679AB">
            <w:pPr>
              <w:pStyle w:val="TableParagraph"/>
              <w:spacing w:before="0"/>
              <w:ind w:left="0"/>
              <w:rPr>
                <w:rFonts w:ascii="Arial" w:hAnsi="Arial" w:cs="Arial"/>
                <w:sz w:val="20"/>
                <w:szCs w:val="20"/>
              </w:rPr>
            </w:pPr>
          </w:p>
        </w:tc>
        <w:tc>
          <w:tcPr>
            <w:tcW w:w="2166" w:type="dxa"/>
            <w:gridSpan w:val="2"/>
            <w:tcBorders>
              <w:bottom w:val="nil"/>
              <w:right w:val="nil"/>
            </w:tcBorders>
            <w:shd w:val="clear" w:color="auto" w:fill="auto"/>
          </w:tcPr>
          <w:p w14:paraId="3F574BBF" w14:textId="77777777" w:rsidR="00724028" w:rsidRPr="00C44804" w:rsidRDefault="00724028" w:rsidP="001679AB">
            <w:pPr>
              <w:pStyle w:val="TableParagraph"/>
              <w:spacing w:before="68" w:line="162" w:lineRule="exact"/>
              <w:ind w:right="81"/>
              <w:rPr>
                <w:rFonts w:ascii="Arial" w:hAnsi="Arial" w:cs="Arial"/>
                <w:sz w:val="20"/>
                <w:szCs w:val="20"/>
              </w:rPr>
            </w:pPr>
            <w:r w:rsidRPr="00C44804">
              <w:rPr>
                <w:rFonts w:ascii="Arial" w:hAnsi="Arial" w:cs="Arial"/>
                <w:w w:val="90"/>
                <w:sz w:val="20"/>
                <w:szCs w:val="20"/>
              </w:rPr>
              <w:t>Emisije onesnaževal zraka</w:t>
            </w:r>
          </w:p>
        </w:tc>
      </w:tr>
      <w:tr w:rsidR="00724028" w:rsidRPr="004B7319" w14:paraId="1A5353D7" w14:textId="77777777" w:rsidTr="001679AB">
        <w:trPr>
          <w:gridAfter w:val="1"/>
          <w:wAfter w:w="178" w:type="dxa"/>
          <w:trHeight w:val="360"/>
        </w:trPr>
        <w:tc>
          <w:tcPr>
            <w:tcW w:w="1274" w:type="dxa"/>
            <w:vMerge/>
            <w:tcBorders>
              <w:top w:val="nil"/>
              <w:left w:val="nil"/>
            </w:tcBorders>
            <w:shd w:val="clear" w:color="auto" w:fill="auto"/>
          </w:tcPr>
          <w:p w14:paraId="42B509E0" w14:textId="77777777" w:rsidR="00724028" w:rsidRPr="00C44804" w:rsidRDefault="00724028" w:rsidP="001679AB">
            <w:pPr>
              <w:widowControl w:val="0"/>
              <w:autoSpaceDE w:val="0"/>
              <w:autoSpaceDN w:val="0"/>
              <w:rPr>
                <w:rFonts w:eastAsia="Calibri" w:cs="Arial"/>
                <w:szCs w:val="20"/>
                <w:lang w:val="sl-SI"/>
              </w:rPr>
            </w:pPr>
          </w:p>
        </w:tc>
        <w:tc>
          <w:tcPr>
            <w:tcW w:w="1983" w:type="dxa"/>
            <w:tcBorders>
              <w:top w:val="nil"/>
              <w:bottom w:val="nil"/>
            </w:tcBorders>
            <w:shd w:val="clear" w:color="auto" w:fill="auto"/>
          </w:tcPr>
          <w:p w14:paraId="36489F35" w14:textId="77777777" w:rsidR="00724028" w:rsidRPr="00C44804" w:rsidRDefault="00724028" w:rsidP="001679AB">
            <w:pPr>
              <w:pStyle w:val="TableParagraph"/>
              <w:spacing w:before="84"/>
              <w:ind w:left="85" w:right="74"/>
              <w:jc w:val="center"/>
              <w:rPr>
                <w:rFonts w:ascii="Arial" w:hAnsi="Arial" w:cs="Arial"/>
                <w:sz w:val="20"/>
                <w:szCs w:val="20"/>
              </w:rPr>
            </w:pPr>
            <w:r w:rsidRPr="00C44804">
              <w:rPr>
                <w:rFonts w:ascii="Arial" w:hAnsi="Arial" w:cs="Arial"/>
                <w:sz w:val="20"/>
                <w:szCs w:val="20"/>
              </w:rPr>
              <w:t>CO</w:t>
            </w:r>
            <w:r w:rsidRPr="00C44804">
              <w:rPr>
                <w:rFonts w:ascii="Arial" w:hAnsi="Arial" w:cs="Arial"/>
                <w:position w:val="-3"/>
                <w:sz w:val="20"/>
                <w:szCs w:val="20"/>
              </w:rPr>
              <w:t xml:space="preserve">2 </w:t>
            </w:r>
            <w:r w:rsidRPr="00C44804">
              <w:rPr>
                <w:rFonts w:ascii="Arial" w:hAnsi="Arial" w:cs="Arial"/>
                <w:sz w:val="20"/>
                <w:szCs w:val="20"/>
              </w:rPr>
              <w:t>g/km</w:t>
            </w:r>
          </w:p>
        </w:tc>
        <w:tc>
          <w:tcPr>
            <w:tcW w:w="2163" w:type="dxa"/>
            <w:tcBorders>
              <w:top w:val="nil"/>
              <w:bottom w:val="nil"/>
            </w:tcBorders>
            <w:shd w:val="clear" w:color="auto" w:fill="auto"/>
          </w:tcPr>
          <w:p w14:paraId="1B107D03" w14:textId="77777777" w:rsidR="00724028" w:rsidRPr="00C44804" w:rsidRDefault="00724028" w:rsidP="001679AB">
            <w:pPr>
              <w:pStyle w:val="TableParagraph"/>
              <w:spacing w:before="0" w:line="181" w:lineRule="exact"/>
              <w:ind w:left="0"/>
              <w:rPr>
                <w:rFonts w:ascii="Arial" w:hAnsi="Arial" w:cs="Arial"/>
                <w:sz w:val="20"/>
                <w:szCs w:val="20"/>
              </w:rPr>
            </w:pPr>
            <w:r>
              <w:rPr>
                <w:rFonts w:ascii="Arial" w:hAnsi="Arial" w:cs="Arial"/>
                <w:w w:val="95"/>
                <w:sz w:val="20"/>
                <w:szCs w:val="20"/>
              </w:rPr>
              <w:t xml:space="preserve"> </w:t>
            </w:r>
            <w:r w:rsidRPr="00C44804">
              <w:rPr>
                <w:rFonts w:ascii="Arial" w:hAnsi="Arial" w:cs="Arial"/>
                <w:w w:val="95"/>
                <w:sz w:val="20"/>
                <w:szCs w:val="20"/>
              </w:rPr>
              <w:t>pri</w:t>
            </w:r>
            <w:r w:rsidRPr="00C44804">
              <w:rPr>
                <w:rFonts w:ascii="Arial" w:hAnsi="Arial" w:cs="Arial"/>
                <w:spacing w:val="-21"/>
                <w:w w:val="95"/>
                <w:sz w:val="20"/>
                <w:szCs w:val="20"/>
              </w:rPr>
              <w:t xml:space="preserve">  </w:t>
            </w:r>
            <w:r w:rsidRPr="00C44804">
              <w:rPr>
                <w:rFonts w:ascii="Arial" w:hAnsi="Arial" w:cs="Arial"/>
                <w:w w:val="95"/>
                <w:sz w:val="20"/>
                <w:szCs w:val="20"/>
              </w:rPr>
              <w:t>dejanski</w:t>
            </w:r>
            <w:r w:rsidRPr="00C44804">
              <w:rPr>
                <w:rFonts w:ascii="Arial" w:hAnsi="Arial" w:cs="Arial"/>
                <w:spacing w:val="-20"/>
                <w:w w:val="95"/>
                <w:sz w:val="20"/>
                <w:szCs w:val="20"/>
              </w:rPr>
              <w:t xml:space="preserve"> </w:t>
            </w:r>
            <w:r w:rsidRPr="00C44804">
              <w:rPr>
                <w:rFonts w:ascii="Arial" w:hAnsi="Arial" w:cs="Arial"/>
                <w:w w:val="95"/>
                <w:sz w:val="20"/>
                <w:szCs w:val="20"/>
              </w:rPr>
              <w:t>vožnji</w:t>
            </w:r>
            <w:r w:rsidRPr="00C44804">
              <w:rPr>
                <w:rFonts w:ascii="Arial" w:hAnsi="Arial" w:cs="Arial"/>
                <w:spacing w:val="-24"/>
                <w:w w:val="95"/>
                <w:sz w:val="20"/>
                <w:szCs w:val="20"/>
              </w:rPr>
              <w:t xml:space="preserve"> </w:t>
            </w:r>
            <w:r w:rsidRPr="00C44804">
              <w:rPr>
                <w:rFonts w:ascii="Arial" w:hAnsi="Arial" w:cs="Arial"/>
                <w:w w:val="95"/>
                <w:sz w:val="20"/>
                <w:szCs w:val="20"/>
              </w:rPr>
              <w:t>(</w:t>
            </w:r>
            <w:r w:rsidRPr="00C44804">
              <w:rPr>
                <w:rFonts w:ascii="Arial" w:hAnsi="Arial" w:cs="Arial"/>
                <w:w w:val="95"/>
                <w:position w:val="5"/>
                <w:sz w:val="20"/>
                <w:szCs w:val="20"/>
              </w:rPr>
              <w:t>1</w:t>
            </w:r>
            <w:r w:rsidRPr="00C44804">
              <w:rPr>
                <w:rFonts w:ascii="Arial" w:hAnsi="Arial" w:cs="Arial"/>
                <w:w w:val="95"/>
                <w:sz w:val="20"/>
                <w:szCs w:val="20"/>
              </w:rPr>
              <w:t>)</w:t>
            </w:r>
            <w:r w:rsidRPr="00C44804">
              <w:rPr>
                <w:rFonts w:ascii="Arial" w:hAnsi="Arial" w:cs="Arial"/>
                <w:spacing w:val="-20"/>
                <w:w w:val="95"/>
                <w:sz w:val="20"/>
                <w:szCs w:val="20"/>
              </w:rPr>
              <w:t xml:space="preserve"> </w:t>
            </w:r>
            <w:r w:rsidRPr="00C44804">
              <w:rPr>
                <w:rFonts w:ascii="Arial" w:hAnsi="Arial" w:cs="Arial"/>
                <w:w w:val="95"/>
                <w:sz w:val="20"/>
                <w:szCs w:val="20"/>
              </w:rPr>
              <w:t>kot</w:t>
            </w:r>
            <w:r>
              <w:rPr>
                <w:rFonts w:ascii="Arial" w:hAnsi="Arial" w:cs="Arial"/>
                <w:sz w:val="20"/>
                <w:szCs w:val="20"/>
              </w:rPr>
              <w:t xml:space="preserve"> </w:t>
            </w:r>
            <w:r w:rsidRPr="00C44804">
              <w:rPr>
                <w:rFonts w:ascii="Arial" w:hAnsi="Arial" w:cs="Arial"/>
                <w:w w:val="90"/>
                <w:sz w:val="20"/>
                <w:szCs w:val="20"/>
              </w:rPr>
              <w:t>odstotek mejnih</w:t>
            </w:r>
            <w:r w:rsidRPr="00C44804">
              <w:rPr>
                <w:rFonts w:ascii="Arial" w:hAnsi="Arial" w:cs="Arial"/>
                <w:spacing w:val="-12"/>
                <w:w w:val="90"/>
                <w:sz w:val="20"/>
                <w:szCs w:val="20"/>
              </w:rPr>
              <w:t xml:space="preserve"> </w:t>
            </w:r>
            <w:r w:rsidRPr="00C44804">
              <w:rPr>
                <w:rFonts w:ascii="Arial" w:hAnsi="Arial" w:cs="Arial"/>
                <w:w w:val="90"/>
                <w:sz w:val="20"/>
                <w:szCs w:val="20"/>
              </w:rPr>
              <w:t>vrednosti</w:t>
            </w:r>
          </w:p>
        </w:tc>
        <w:tc>
          <w:tcPr>
            <w:tcW w:w="1803" w:type="dxa"/>
            <w:tcBorders>
              <w:top w:val="nil"/>
              <w:bottom w:val="nil"/>
            </w:tcBorders>
            <w:shd w:val="clear" w:color="auto" w:fill="auto"/>
          </w:tcPr>
          <w:p w14:paraId="62989DE0" w14:textId="77777777" w:rsidR="00724028" w:rsidRPr="00C44804" w:rsidRDefault="00724028" w:rsidP="001679AB">
            <w:pPr>
              <w:pStyle w:val="TableParagraph"/>
              <w:spacing w:before="84"/>
              <w:ind w:left="85" w:right="74"/>
              <w:rPr>
                <w:rFonts w:ascii="Arial" w:hAnsi="Arial" w:cs="Arial"/>
                <w:sz w:val="20"/>
                <w:szCs w:val="20"/>
              </w:rPr>
            </w:pPr>
            <w:r w:rsidRPr="00C44804">
              <w:rPr>
                <w:rFonts w:ascii="Arial" w:hAnsi="Arial" w:cs="Arial"/>
                <w:sz w:val="20"/>
                <w:szCs w:val="20"/>
              </w:rPr>
              <w:t>CO</w:t>
            </w:r>
            <w:r w:rsidRPr="00C44804">
              <w:rPr>
                <w:rFonts w:ascii="Arial" w:hAnsi="Arial" w:cs="Arial"/>
                <w:position w:val="-3"/>
                <w:sz w:val="20"/>
                <w:szCs w:val="20"/>
              </w:rPr>
              <w:t xml:space="preserve">2 </w:t>
            </w:r>
            <w:r w:rsidRPr="00C44804">
              <w:rPr>
                <w:rFonts w:ascii="Arial" w:hAnsi="Arial" w:cs="Arial"/>
                <w:sz w:val="20"/>
                <w:szCs w:val="20"/>
              </w:rPr>
              <w:t>g/km</w:t>
            </w:r>
          </w:p>
        </w:tc>
        <w:tc>
          <w:tcPr>
            <w:tcW w:w="1988" w:type="dxa"/>
            <w:tcBorders>
              <w:top w:val="nil"/>
              <w:bottom w:val="nil"/>
              <w:right w:val="nil"/>
            </w:tcBorders>
            <w:shd w:val="clear" w:color="auto" w:fill="auto"/>
          </w:tcPr>
          <w:p w14:paraId="13ED86A6" w14:textId="77777777" w:rsidR="00724028" w:rsidRPr="00C44804" w:rsidRDefault="00724028" w:rsidP="001679AB">
            <w:pPr>
              <w:pStyle w:val="TableParagraph"/>
              <w:spacing w:before="0" w:line="181" w:lineRule="exact"/>
              <w:rPr>
                <w:rFonts w:ascii="Arial" w:hAnsi="Arial" w:cs="Arial"/>
                <w:sz w:val="20"/>
                <w:szCs w:val="20"/>
              </w:rPr>
            </w:pPr>
            <w:r>
              <w:rPr>
                <w:rFonts w:ascii="Arial" w:hAnsi="Arial" w:cs="Arial"/>
                <w:w w:val="95"/>
                <w:sz w:val="20"/>
                <w:szCs w:val="20"/>
              </w:rPr>
              <w:t xml:space="preserve"> </w:t>
            </w:r>
            <w:r w:rsidRPr="00C44804">
              <w:rPr>
                <w:rFonts w:ascii="Arial" w:hAnsi="Arial" w:cs="Arial"/>
                <w:w w:val="95"/>
                <w:sz w:val="20"/>
                <w:szCs w:val="20"/>
              </w:rPr>
              <w:t>pri</w:t>
            </w:r>
            <w:r w:rsidRPr="00C44804">
              <w:rPr>
                <w:rFonts w:ascii="Arial" w:hAnsi="Arial" w:cs="Arial"/>
                <w:spacing w:val="-21"/>
                <w:w w:val="95"/>
                <w:sz w:val="20"/>
                <w:szCs w:val="20"/>
              </w:rPr>
              <w:t xml:space="preserve">  </w:t>
            </w:r>
            <w:r w:rsidRPr="00C44804">
              <w:rPr>
                <w:rFonts w:ascii="Arial" w:hAnsi="Arial" w:cs="Arial"/>
                <w:w w:val="95"/>
                <w:sz w:val="20"/>
                <w:szCs w:val="20"/>
              </w:rPr>
              <w:t>dejanski</w:t>
            </w:r>
            <w:r w:rsidRPr="00C44804">
              <w:rPr>
                <w:rFonts w:ascii="Arial" w:hAnsi="Arial" w:cs="Arial"/>
                <w:spacing w:val="-20"/>
                <w:w w:val="95"/>
                <w:sz w:val="20"/>
                <w:szCs w:val="20"/>
              </w:rPr>
              <w:t xml:space="preserve"> </w:t>
            </w:r>
            <w:r w:rsidRPr="00C44804">
              <w:rPr>
                <w:rFonts w:ascii="Arial" w:hAnsi="Arial" w:cs="Arial"/>
                <w:w w:val="95"/>
                <w:sz w:val="20"/>
                <w:szCs w:val="20"/>
              </w:rPr>
              <w:t>vožnji</w:t>
            </w:r>
            <w:r w:rsidRPr="00C44804">
              <w:rPr>
                <w:rFonts w:ascii="Arial" w:hAnsi="Arial" w:cs="Arial"/>
                <w:spacing w:val="-23"/>
                <w:w w:val="95"/>
                <w:sz w:val="20"/>
                <w:szCs w:val="20"/>
              </w:rPr>
              <w:t xml:space="preserve"> </w:t>
            </w:r>
            <w:r w:rsidRPr="00C44804">
              <w:rPr>
                <w:rFonts w:ascii="Arial" w:hAnsi="Arial" w:cs="Arial"/>
                <w:w w:val="95"/>
                <w:sz w:val="20"/>
                <w:szCs w:val="20"/>
              </w:rPr>
              <w:t>(</w:t>
            </w:r>
            <w:r w:rsidRPr="00C44804">
              <w:rPr>
                <w:rFonts w:ascii="Arial" w:hAnsi="Arial" w:cs="Arial"/>
                <w:w w:val="95"/>
                <w:position w:val="5"/>
                <w:sz w:val="20"/>
                <w:szCs w:val="20"/>
              </w:rPr>
              <w:t>1</w:t>
            </w:r>
            <w:r w:rsidRPr="00C44804">
              <w:rPr>
                <w:rFonts w:ascii="Arial" w:hAnsi="Arial" w:cs="Arial"/>
                <w:w w:val="95"/>
                <w:sz w:val="20"/>
                <w:szCs w:val="20"/>
              </w:rPr>
              <w:t>)</w:t>
            </w:r>
            <w:r>
              <w:rPr>
                <w:rFonts w:ascii="Arial" w:hAnsi="Arial" w:cs="Arial"/>
                <w:spacing w:val="-20"/>
                <w:w w:val="95"/>
                <w:sz w:val="20"/>
                <w:szCs w:val="20"/>
              </w:rPr>
              <w:t xml:space="preserve"> </w:t>
            </w:r>
            <w:r w:rsidRPr="00C44804">
              <w:rPr>
                <w:rFonts w:ascii="Arial" w:hAnsi="Arial" w:cs="Arial"/>
                <w:w w:val="95"/>
                <w:sz w:val="20"/>
                <w:szCs w:val="20"/>
              </w:rPr>
              <w:t>kot</w:t>
            </w:r>
            <w:r>
              <w:rPr>
                <w:rFonts w:ascii="Arial" w:hAnsi="Arial" w:cs="Arial"/>
                <w:sz w:val="20"/>
                <w:szCs w:val="20"/>
              </w:rPr>
              <w:t xml:space="preserve"> </w:t>
            </w:r>
            <w:r w:rsidRPr="00C44804">
              <w:rPr>
                <w:rFonts w:ascii="Arial" w:hAnsi="Arial" w:cs="Arial"/>
                <w:w w:val="90"/>
                <w:sz w:val="20"/>
                <w:szCs w:val="20"/>
              </w:rPr>
              <w:t>odstotek mejnih</w:t>
            </w:r>
            <w:r w:rsidRPr="00C44804">
              <w:rPr>
                <w:rFonts w:ascii="Arial" w:hAnsi="Arial" w:cs="Arial"/>
                <w:spacing w:val="-12"/>
                <w:w w:val="90"/>
                <w:sz w:val="20"/>
                <w:szCs w:val="20"/>
              </w:rPr>
              <w:t xml:space="preserve"> </w:t>
            </w:r>
            <w:r w:rsidRPr="00C44804">
              <w:rPr>
                <w:rFonts w:ascii="Arial" w:hAnsi="Arial" w:cs="Arial"/>
                <w:w w:val="90"/>
                <w:sz w:val="20"/>
                <w:szCs w:val="20"/>
              </w:rPr>
              <w:t>vrednosti</w:t>
            </w:r>
          </w:p>
        </w:tc>
      </w:tr>
      <w:tr w:rsidR="00724028" w:rsidRPr="00C44804" w14:paraId="4ED7DA00" w14:textId="77777777" w:rsidTr="001679AB">
        <w:trPr>
          <w:gridAfter w:val="1"/>
          <w:wAfter w:w="178" w:type="dxa"/>
          <w:trHeight w:val="276"/>
        </w:trPr>
        <w:tc>
          <w:tcPr>
            <w:tcW w:w="1274" w:type="dxa"/>
            <w:vMerge/>
            <w:tcBorders>
              <w:top w:val="nil"/>
              <w:left w:val="nil"/>
            </w:tcBorders>
            <w:shd w:val="clear" w:color="auto" w:fill="auto"/>
          </w:tcPr>
          <w:p w14:paraId="09C4282A" w14:textId="77777777" w:rsidR="00724028" w:rsidRPr="00C44804" w:rsidRDefault="00724028" w:rsidP="001679AB">
            <w:pPr>
              <w:widowControl w:val="0"/>
              <w:autoSpaceDE w:val="0"/>
              <w:autoSpaceDN w:val="0"/>
              <w:rPr>
                <w:rFonts w:eastAsia="Calibri" w:cs="Arial"/>
                <w:szCs w:val="20"/>
                <w:lang w:val="sl-SI"/>
              </w:rPr>
            </w:pPr>
          </w:p>
        </w:tc>
        <w:tc>
          <w:tcPr>
            <w:tcW w:w="1983" w:type="dxa"/>
            <w:tcBorders>
              <w:top w:val="nil"/>
            </w:tcBorders>
            <w:shd w:val="clear" w:color="auto" w:fill="auto"/>
          </w:tcPr>
          <w:p w14:paraId="45458A8E" w14:textId="77777777" w:rsidR="00724028" w:rsidRPr="00C44804" w:rsidRDefault="00724028" w:rsidP="001679AB">
            <w:pPr>
              <w:pStyle w:val="TableParagraph"/>
              <w:spacing w:before="0"/>
              <w:ind w:left="0"/>
              <w:rPr>
                <w:rFonts w:ascii="Arial" w:hAnsi="Arial" w:cs="Arial"/>
                <w:sz w:val="20"/>
                <w:szCs w:val="20"/>
              </w:rPr>
            </w:pPr>
          </w:p>
        </w:tc>
        <w:tc>
          <w:tcPr>
            <w:tcW w:w="2163" w:type="dxa"/>
            <w:tcBorders>
              <w:top w:val="nil"/>
            </w:tcBorders>
            <w:shd w:val="clear" w:color="auto" w:fill="auto"/>
          </w:tcPr>
          <w:p w14:paraId="17E14560" w14:textId="77777777" w:rsidR="00724028" w:rsidRPr="00C44804" w:rsidRDefault="00724028" w:rsidP="001679AB">
            <w:pPr>
              <w:pStyle w:val="TableParagraph"/>
              <w:spacing w:before="0" w:line="183" w:lineRule="exact"/>
              <w:ind w:left="85" w:right="74"/>
              <w:rPr>
                <w:rFonts w:ascii="Arial" w:hAnsi="Arial" w:cs="Arial"/>
                <w:sz w:val="20"/>
                <w:szCs w:val="20"/>
              </w:rPr>
            </w:pPr>
            <w:r w:rsidRPr="00C44804">
              <w:rPr>
                <w:rFonts w:ascii="Arial" w:hAnsi="Arial" w:cs="Arial"/>
                <w:w w:val="95"/>
                <w:sz w:val="20"/>
                <w:szCs w:val="20"/>
              </w:rPr>
              <w:t>emisij (</w:t>
            </w:r>
            <w:r w:rsidRPr="00C44804">
              <w:rPr>
                <w:rFonts w:ascii="Arial" w:hAnsi="Arial" w:cs="Arial"/>
                <w:w w:val="95"/>
                <w:position w:val="5"/>
                <w:sz w:val="20"/>
                <w:szCs w:val="20"/>
              </w:rPr>
              <w:t>2</w:t>
            </w:r>
            <w:r w:rsidRPr="00C44804">
              <w:rPr>
                <w:rFonts w:ascii="Arial" w:hAnsi="Arial" w:cs="Arial"/>
                <w:w w:val="95"/>
                <w:sz w:val="20"/>
                <w:szCs w:val="20"/>
              </w:rPr>
              <w:t>)</w:t>
            </w:r>
          </w:p>
        </w:tc>
        <w:tc>
          <w:tcPr>
            <w:tcW w:w="1803" w:type="dxa"/>
            <w:tcBorders>
              <w:top w:val="nil"/>
            </w:tcBorders>
            <w:shd w:val="clear" w:color="auto" w:fill="auto"/>
          </w:tcPr>
          <w:p w14:paraId="382F3AE8" w14:textId="77777777" w:rsidR="00724028" w:rsidRPr="00C44804" w:rsidRDefault="00724028" w:rsidP="001679AB">
            <w:pPr>
              <w:pStyle w:val="TableParagraph"/>
              <w:spacing w:before="0"/>
              <w:ind w:left="0"/>
              <w:rPr>
                <w:rFonts w:ascii="Arial" w:hAnsi="Arial" w:cs="Arial"/>
                <w:sz w:val="20"/>
                <w:szCs w:val="20"/>
              </w:rPr>
            </w:pPr>
          </w:p>
        </w:tc>
        <w:tc>
          <w:tcPr>
            <w:tcW w:w="1988" w:type="dxa"/>
            <w:tcBorders>
              <w:top w:val="nil"/>
              <w:right w:val="nil"/>
            </w:tcBorders>
            <w:shd w:val="clear" w:color="auto" w:fill="auto"/>
          </w:tcPr>
          <w:p w14:paraId="06F3B79E" w14:textId="77777777" w:rsidR="00724028" w:rsidRPr="00C44804" w:rsidRDefault="00724028" w:rsidP="001679AB">
            <w:pPr>
              <w:pStyle w:val="TableParagraph"/>
              <w:spacing w:before="0" w:line="183" w:lineRule="exact"/>
              <w:ind w:left="0" w:right="81"/>
              <w:rPr>
                <w:rFonts w:ascii="Arial" w:hAnsi="Arial" w:cs="Arial"/>
                <w:sz w:val="20"/>
                <w:szCs w:val="20"/>
              </w:rPr>
            </w:pPr>
            <w:r w:rsidRPr="00C44804">
              <w:rPr>
                <w:rFonts w:ascii="Arial" w:hAnsi="Arial" w:cs="Arial"/>
                <w:w w:val="95"/>
                <w:sz w:val="20"/>
                <w:szCs w:val="20"/>
              </w:rPr>
              <w:t>emisij (</w:t>
            </w:r>
            <w:r w:rsidRPr="00C44804">
              <w:rPr>
                <w:rFonts w:ascii="Arial" w:hAnsi="Arial" w:cs="Arial"/>
                <w:w w:val="95"/>
                <w:position w:val="5"/>
                <w:sz w:val="20"/>
                <w:szCs w:val="20"/>
              </w:rPr>
              <w:t>2</w:t>
            </w:r>
            <w:r w:rsidRPr="00C44804">
              <w:rPr>
                <w:rFonts w:ascii="Arial" w:hAnsi="Arial" w:cs="Arial"/>
                <w:w w:val="95"/>
                <w:sz w:val="20"/>
                <w:szCs w:val="20"/>
              </w:rPr>
              <w:t>)</w:t>
            </w:r>
          </w:p>
        </w:tc>
      </w:tr>
      <w:tr w:rsidR="00724028" w:rsidRPr="00C44804" w14:paraId="77EC7CFF" w14:textId="77777777" w:rsidTr="001679AB">
        <w:trPr>
          <w:gridAfter w:val="1"/>
          <w:wAfter w:w="178" w:type="dxa"/>
          <w:trHeight w:val="536"/>
        </w:trPr>
        <w:tc>
          <w:tcPr>
            <w:tcW w:w="1274" w:type="dxa"/>
            <w:tcBorders>
              <w:left w:val="nil"/>
            </w:tcBorders>
            <w:shd w:val="clear" w:color="auto" w:fill="auto"/>
          </w:tcPr>
          <w:p w14:paraId="49D31548" w14:textId="77777777" w:rsidR="00724028" w:rsidRPr="00C44804" w:rsidRDefault="00724028" w:rsidP="001679AB">
            <w:pPr>
              <w:pStyle w:val="TableParagraph"/>
              <w:spacing w:before="110"/>
              <w:ind w:left="64" w:right="52"/>
              <w:jc w:val="center"/>
              <w:rPr>
                <w:rFonts w:ascii="Arial" w:hAnsi="Arial" w:cs="Arial"/>
                <w:sz w:val="20"/>
                <w:szCs w:val="20"/>
              </w:rPr>
            </w:pPr>
            <w:r w:rsidRPr="00C44804">
              <w:rPr>
                <w:rFonts w:ascii="Arial" w:hAnsi="Arial" w:cs="Arial"/>
                <w:w w:val="105"/>
                <w:sz w:val="20"/>
                <w:szCs w:val="20"/>
              </w:rPr>
              <w:t>M</w:t>
            </w:r>
            <w:r w:rsidRPr="00C44804">
              <w:rPr>
                <w:rFonts w:ascii="Arial" w:hAnsi="Arial" w:cs="Arial"/>
                <w:w w:val="105"/>
                <w:position w:val="-4"/>
                <w:sz w:val="20"/>
                <w:szCs w:val="20"/>
              </w:rPr>
              <w:t>1</w:t>
            </w:r>
          </w:p>
        </w:tc>
        <w:tc>
          <w:tcPr>
            <w:tcW w:w="1983" w:type="dxa"/>
            <w:shd w:val="clear" w:color="auto" w:fill="auto"/>
          </w:tcPr>
          <w:p w14:paraId="41E4387C" w14:textId="77777777" w:rsidR="00724028" w:rsidRPr="00C44804" w:rsidRDefault="00724028" w:rsidP="001679AB">
            <w:pPr>
              <w:pStyle w:val="TableParagraph"/>
              <w:spacing w:before="110"/>
              <w:ind w:left="85" w:right="74"/>
              <w:jc w:val="center"/>
              <w:rPr>
                <w:rFonts w:ascii="Arial" w:hAnsi="Arial" w:cs="Arial"/>
                <w:sz w:val="20"/>
                <w:szCs w:val="20"/>
              </w:rPr>
            </w:pPr>
            <w:r w:rsidRPr="00C44804">
              <w:rPr>
                <w:rFonts w:ascii="Arial" w:hAnsi="Arial" w:cs="Arial"/>
                <w:sz w:val="20"/>
                <w:szCs w:val="20"/>
              </w:rPr>
              <w:t>50</w:t>
            </w:r>
          </w:p>
        </w:tc>
        <w:tc>
          <w:tcPr>
            <w:tcW w:w="2163" w:type="dxa"/>
            <w:shd w:val="clear" w:color="auto" w:fill="auto"/>
          </w:tcPr>
          <w:p w14:paraId="6B57B1E7" w14:textId="77777777" w:rsidR="00724028" w:rsidRPr="00C44804" w:rsidRDefault="00724028" w:rsidP="001679AB">
            <w:pPr>
              <w:pStyle w:val="TableParagraph"/>
              <w:spacing w:before="110"/>
              <w:ind w:left="85" w:right="74"/>
              <w:jc w:val="center"/>
              <w:rPr>
                <w:rFonts w:ascii="Arial" w:hAnsi="Arial" w:cs="Arial"/>
                <w:sz w:val="20"/>
                <w:szCs w:val="20"/>
              </w:rPr>
            </w:pPr>
            <w:r w:rsidRPr="00C44804">
              <w:rPr>
                <w:rFonts w:ascii="Arial" w:hAnsi="Arial" w:cs="Arial"/>
                <w:w w:val="95"/>
                <w:sz w:val="20"/>
                <w:szCs w:val="20"/>
              </w:rPr>
              <w:t>80 %</w:t>
            </w:r>
          </w:p>
        </w:tc>
        <w:tc>
          <w:tcPr>
            <w:tcW w:w="1803" w:type="dxa"/>
            <w:shd w:val="clear" w:color="auto" w:fill="auto"/>
          </w:tcPr>
          <w:p w14:paraId="1E50E85A" w14:textId="77777777" w:rsidR="00724028" w:rsidRPr="00C44804" w:rsidRDefault="00724028" w:rsidP="001679AB">
            <w:pPr>
              <w:pStyle w:val="TableParagraph"/>
              <w:spacing w:before="110"/>
              <w:ind w:left="11"/>
              <w:jc w:val="center"/>
              <w:rPr>
                <w:rFonts w:ascii="Arial" w:hAnsi="Arial" w:cs="Arial"/>
                <w:sz w:val="20"/>
                <w:szCs w:val="20"/>
              </w:rPr>
            </w:pPr>
            <w:r w:rsidRPr="00C44804">
              <w:rPr>
                <w:rFonts w:ascii="Arial" w:hAnsi="Arial" w:cs="Arial"/>
                <w:w w:val="87"/>
                <w:sz w:val="20"/>
                <w:szCs w:val="20"/>
              </w:rPr>
              <w:t>0</w:t>
            </w:r>
          </w:p>
        </w:tc>
        <w:tc>
          <w:tcPr>
            <w:tcW w:w="1988" w:type="dxa"/>
            <w:tcBorders>
              <w:right w:val="nil"/>
            </w:tcBorders>
            <w:shd w:val="clear" w:color="auto" w:fill="auto"/>
          </w:tcPr>
          <w:p w14:paraId="20EE7ADF" w14:textId="77777777" w:rsidR="00724028" w:rsidRPr="00C44804" w:rsidRDefault="00724028" w:rsidP="001679AB">
            <w:pPr>
              <w:pStyle w:val="TableParagraph"/>
              <w:spacing w:before="110"/>
              <w:ind w:left="90" w:right="81"/>
              <w:jc w:val="center"/>
              <w:rPr>
                <w:rFonts w:ascii="Arial" w:hAnsi="Arial" w:cs="Arial"/>
                <w:sz w:val="20"/>
                <w:szCs w:val="20"/>
              </w:rPr>
            </w:pPr>
            <w:r w:rsidRPr="00C44804">
              <w:rPr>
                <w:rFonts w:ascii="Arial" w:hAnsi="Arial" w:cs="Arial"/>
                <w:sz w:val="20"/>
                <w:szCs w:val="20"/>
              </w:rPr>
              <w:t>ni relevantno</w:t>
            </w:r>
          </w:p>
        </w:tc>
      </w:tr>
      <w:tr w:rsidR="00724028" w:rsidRPr="00C44804" w14:paraId="5B6AC5C4" w14:textId="77777777" w:rsidTr="001679AB">
        <w:trPr>
          <w:gridAfter w:val="1"/>
          <w:wAfter w:w="178" w:type="dxa"/>
          <w:trHeight w:val="611"/>
        </w:trPr>
        <w:tc>
          <w:tcPr>
            <w:tcW w:w="1274" w:type="dxa"/>
            <w:tcBorders>
              <w:left w:val="nil"/>
            </w:tcBorders>
            <w:shd w:val="clear" w:color="auto" w:fill="auto"/>
          </w:tcPr>
          <w:p w14:paraId="4684477C" w14:textId="77777777" w:rsidR="00724028" w:rsidRPr="00C44804" w:rsidRDefault="00724028" w:rsidP="001679AB">
            <w:pPr>
              <w:pStyle w:val="TableParagraph"/>
              <w:spacing w:before="184"/>
              <w:ind w:left="64" w:right="52"/>
              <w:jc w:val="center"/>
              <w:rPr>
                <w:rFonts w:ascii="Arial" w:hAnsi="Arial" w:cs="Arial"/>
                <w:sz w:val="20"/>
                <w:szCs w:val="20"/>
              </w:rPr>
            </w:pPr>
            <w:r w:rsidRPr="00C44804">
              <w:rPr>
                <w:rFonts w:ascii="Arial" w:hAnsi="Arial" w:cs="Arial"/>
                <w:sz w:val="20"/>
                <w:szCs w:val="20"/>
              </w:rPr>
              <w:t>M</w:t>
            </w:r>
            <w:r w:rsidRPr="00C44804">
              <w:rPr>
                <w:rFonts w:ascii="Arial" w:hAnsi="Arial" w:cs="Arial"/>
                <w:position w:val="-4"/>
                <w:sz w:val="20"/>
                <w:szCs w:val="20"/>
              </w:rPr>
              <w:t>2</w:t>
            </w:r>
          </w:p>
        </w:tc>
        <w:tc>
          <w:tcPr>
            <w:tcW w:w="1983" w:type="dxa"/>
            <w:shd w:val="clear" w:color="auto" w:fill="auto"/>
          </w:tcPr>
          <w:p w14:paraId="5BB73BD5" w14:textId="77777777" w:rsidR="00724028" w:rsidRPr="00C44804" w:rsidRDefault="00724028" w:rsidP="001679AB">
            <w:pPr>
              <w:pStyle w:val="TableParagraph"/>
              <w:spacing w:before="184"/>
              <w:ind w:left="85" w:right="74"/>
              <w:jc w:val="center"/>
              <w:rPr>
                <w:rFonts w:ascii="Arial" w:hAnsi="Arial" w:cs="Arial"/>
                <w:sz w:val="20"/>
                <w:szCs w:val="20"/>
              </w:rPr>
            </w:pPr>
            <w:r w:rsidRPr="00C44804">
              <w:rPr>
                <w:rFonts w:ascii="Arial" w:hAnsi="Arial" w:cs="Arial"/>
                <w:sz w:val="20"/>
                <w:szCs w:val="20"/>
              </w:rPr>
              <w:t>50</w:t>
            </w:r>
          </w:p>
        </w:tc>
        <w:tc>
          <w:tcPr>
            <w:tcW w:w="2163" w:type="dxa"/>
            <w:shd w:val="clear" w:color="auto" w:fill="auto"/>
          </w:tcPr>
          <w:p w14:paraId="1F7F47C7" w14:textId="77777777" w:rsidR="00724028" w:rsidRPr="00C44804" w:rsidRDefault="00724028" w:rsidP="001679AB">
            <w:pPr>
              <w:pStyle w:val="TableParagraph"/>
              <w:spacing w:before="184"/>
              <w:ind w:left="85" w:right="74"/>
              <w:jc w:val="center"/>
              <w:rPr>
                <w:rFonts w:ascii="Arial" w:hAnsi="Arial" w:cs="Arial"/>
                <w:sz w:val="20"/>
                <w:szCs w:val="20"/>
              </w:rPr>
            </w:pPr>
            <w:r w:rsidRPr="00C44804">
              <w:rPr>
                <w:rFonts w:ascii="Arial" w:hAnsi="Arial" w:cs="Arial"/>
                <w:w w:val="95"/>
                <w:sz w:val="20"/>
                <w:szCs w:val="20"/>
              </w:rPr>
              <w:t>80 %</w:t>
            </w:r>
          </w:p>
        </w:tc>
        <w:tc>
          <w:tcPr>
            <w:tcW w:w="1803" w:type="dxa"/>
            <w:shd w:val="clear" w:color="auto" w:fill="auto"/>
          </w:tcPr>
          <w:p w14:paraId="70F15842" w14:textId="77777777" w:rsidR="00724028" w:rsidRPr="00C44804" w:rsidRDefault="00724028" w:rsidP="001679AB">
            <w:pPr>
              <w:pStyle w:val="TableParagraph"/>
              <w:spacing w:before="184"/>
              <w:ind w:left="11"/>
              <w:jc w:val="center"/>
              <w:rPr>
                <w:rFonts w:ascii="Arial" w:hAnsi="Arial" w:cs="Arial"/>
                <w:sz w:val="20"/>
                <w:szCs w:val="20"/>
              </w:rPr>
            </w:pPr>
            <w:r w:rsidRPr="00C44804">
              <w:rPr>
                <w:rFonts w:ascii="Arial" w:hAnsi="Arial" w:cs="Arial"/>
                <w:w w:val="87"/>
                <w:sz w:val="20"/>
                <w:szCs w:val="20"/>
              </w:rPr>
              <w:t>0</w:t>
            </w:r>
          </w:p>
        </w:tc>
        <w:tc>
          <w:tcPr>
            <w:tcW w:w="1988" w:type="dxa"/>
            <w:tcBorders>
              <w:right w:val="nil"/>
            </w:tcBorders>
            <w:shd w:val="clear" w:color="auto" w:fill="auto"/>
          </w:tcPr>
          <w:p w14:paraId="75D3DA4D" w14:textId="77777777" w:rsidR="00724028" w:rsidRPr="00C44804" w:rsidRDefault="00724028" w:rsidP="001679AB">
            <w:pPr>
              <w:pStyle w:val="TableParagraph"/>
              <w:spacing w:before="184"/>
              <w:ind w:left="90" w:right="81"/>
              <w:jc w:val="center"/>
              <w:rPr>
                <w:rFonts w:ascii="Arial" w:hAnsi="Arial" w:cs="Arial"/>
                <w:sz w:val="20"/>
                <w:szCs w:val="20"/>
              </w:rPr>
            </w:pPr>
            <w:r w:rsidRPr="00C44804">
              <w:rPr>
                <w:rFonts w:ascii="Arial" w:hAnsi="Arial" w:cs="Arial"/>
                <w:sz w:val="20"/>
                <w:szCs w:val="20"/>
              </w:rPr>
              <w:t>ni relevantno</w:t>
            </w:r>
          </w:p>
        </w:tc>
      </w:tr>
      <w:tr w:rsidR="00724028" w:rsidRPr="00C44804" w14:paraId="444B4F51" w14:textId="77777777" w:rsidTr="001679AB">
        <w:trPr>
          <w:gridAfter w:val="1"/>
          <w:wAfter w:w="178" w:type="dxa"/>
          <w:trHeight w:val="611"/>
        </w:trPr>
        <w:tc>
          <w:tcPr>
            <w:tcW w:w="1274" w:type="dxa"/>
            <w:tcBorders>
              <w:left w:val="nil"/>
            </w:tcBorders>
            <w:shd w:val="clear" w:color="auto" w:fill="auto"/>
          </w:tcPr>
          <w:p w14:paraId="2A31CB8B" w14:textId="77777777" w:rsidR="00724028" w:rsidRPr="00C44804" w:rsidRDefault="00724028" w:rsidP="001679AB">
            <w:pPr>
              <w:pStyle w:val="TableParagraph"/>
              <w:spacing w:before="183"/>
              <w:ind w:left="65" w:right="52"/>
              <w:jc w:val="center"/>
              <w:rPr>
                <w:rFonts w:ascii="Arial" w:hAnsi="Arial" w:cs="Arial"/>
                <w:sz w:val="20"/>
                <w:szCs w:val="20"/>
              </w:rPr>
            </w:pPr>
            <w:r w:rsidRPr="00C44804">
              <w:rPr>
                <w:rFonts w:ascii="Arial" w:hAnsi="Arial" w:cs="Arial"/>
                <w:w w:val="110"/>
                <w:sz w:val="20"/>
                <w:szCs w:val="20"/>
              </w:rPr>
              <w:t>N</w:t>
            </w:r>
            <w:r w:rsidRPr="00C44804">
              <w:rPr>
                <w:rFonts w:ascii="Arial" w:hAnsi="Arial" w:cs="Arial"/>
                <w:w w:val="110"/>
                <w:position w:val="-4"/>
                <w:sz w:val="20"/>
                <w:szCs w:val="20"/>
              </w:rPr>
              <w:t>1</w:t>
            </w:r>
          </w:p>
        </w:tc>
        <w:tc>
          <w:tcPr>
            <w:tcW w:w="1983" w:type="dxa"/>
            <w:shd w:val="clear" w:color="auto" w:fill="auto"/>
          </w:tcPr>
          <w:p w14:paraId="535A5715" w14:textId="77777777" w:rsidR="00724028" w:rsidRPr="00C44804" w:rsidRDefault="00724028" w:rsidP="001679AB">
            <w:pPr>
              <w:pStyle w:val="TableParagraph"/>
              <w:spacing w:before="183"/>
              <w:ind w:left="85" w:right="74"/>
              <w:jc w:val="center"/>
              <w:rPr>
                <w:rFonts w:ascii="Arial" w:hAnsi="Arial" w:cs="Arial"/>
                <w:sz w:val="20"/>
                <w:szCs w:val="20"/>
              </w:rPr>
            </w:pPr>
            <w:r w:rsidRPr="00C44804">
              <w:rPr>
                <w:rFonts w:ascii="Arial" w:hAnsi="Arial" w:cs="Arial"/>
                <w:sz w:val="20"/>
                <w:szCs w:val="20"/>
              </w:rPr>
              <w:t>50</w:t>
            </w:r>
          </w:p>
        </w:tc>
        <w:tc>
          <w:tcPr>
            <w:tcW w:w="2163" w:type="dxa"/>
            <w:shd w:val="clear" w:color="auto" w:fill="auto"/>
          </w:tcPr>
          <w:p w14:paraId="4BCB9453" w14:textId="77777777" w:rsidR="00724028" w:rsidRPr="00C44804" w:rsidRDefault="00724028" w:rsidP="001679AB">
            <w:pPr>
              <w:pStyle w:val="TableParagraph"/>
              <w:spacing w:before="183"/>
              <w:ind w:left="85" w:right="74"/>
              <w:jc w:val="center"/>
              <w:rPr>
                <w:rFonts w:ascii="Arial" w:hAnsi="Arial" w:cs="Arial"/>
                <w:sz w:val="20"/>
                <w:szCs w:val="20"/>
              </w:rPr>
            </w:pPr>
            <w:r w:rsidRPr="00C44804">
              <w:rPr>
                <w:rFonts w:ascii="Arial" w:hAnsi="Arial" w:cs="Arial"/>
                <w:w w:val="95"/>
                <w:sz w:val="20"/>
                <w:szCs w:val="20"/>
              </w:rPr>
              <w:t>80 %</w:t>
            </w:r>
          </w:p>
        </w:tc>
        <w:tc>
          <w:tcPr>
            <w:tcW w:w="1803" w:type="dxa"/>
            <w:shd w:val="clear" w:color="auto" w:fill="auto"/>
          </w:tcPr>
          <w:p w14:paraId="5C0609DE" w14:textId="77777777" w:rsidR="00724028" w:rsidRPr="00C44804" w:rsidRDefault="00724028" w:rsidP="001679AB">
            <w:pPr>
              <w:pStyle w:val="TableParagraph"/>
              <w:spacing w:before="183"/>
              <w:ind w:left="11"/>
              <w:jc w:val="center"/>
              <w:rPr>
                <w:rFonts w:ascii="Arial" w:hAnsi="Arial" w:cs="Arial"/>
                <w:sz w:val="20"/>
                <w:szCs w:val="20"/>
              </w:rPr>
            </w:pPr>
            <w:r w:rsidRPr="00C44804">
              <w:rPr>
                <w:rFonts w:ascii="Arial" w:hAnsi="Arial" w:cs="Arial"/>
                <w:w w:val="87"/>
                <w:sz w:val="20"/>
                <w:szCs w:val="20"/>
              </w:rPr>
              <w:t>0</w:t>
            </w:r>
          </w:p>
        </w:tc>
        <w:tc>
          <w:tcPr>
            <w:tcW w:w="1988" w:type="dxa"/>
            <w:tcBorders>
              <w:right w:val="nil"/>
            </w:tcBorders>
            <w:shd w:val="clear" w:color="auto" w:fill="auto"/>
          </w:tcPr>
          <w:p w14:paraId="6EB5820E" w14:textId="77777777" w:rsidR="00724028" w:rsidRPr="00C44804" w:rsidRDefault="00724028" w:rsidP="001679AB">
            <w:pPr>
              <w:pStyle w:val="TableParagraph"/>
              <w:spacing w:before="183"/>
              <w:ind w:left="90" w:right="81"/>
              <w:jc w:val="center"/>
              <w:rPr>
                <w:rFonts w:ascii="Arial" w:hAnsi="Arial" w:cs="Arial"/>
                <w:sz w:val="20"/>
                <w:szCs w:val="20"/>
              </w:rPr>
            </w:pPr>
            <w:r w:rsidRPr="00C44804">
              <w:rPr>
                <w:rFonts w:ascii="Arial" w:hAnsi="Arial" w:cs="Arial"/>
                <w:sz w:val="20"/>
                <w:szCs w:val="20"/>
              </w:rPr>
              <w:t>ni relevantno</w:t>
            </w:r>
          </w:p>
        </w:tc>
      </w:tr>
    </w:tbl>
    <w:p w14:paraId="182EB690" w14:textId="77777777" w:rsidR="00724028" w:rsidRPr="0020656B" w:rsidRDefault="00724028" w:rsidP="00724028">
      <w:pPr>
        <w:rPr>
          <w:rFonts w:cs="Arial"/>
          <w:i/>
          <w:szCs w:val="20"/>
          <w:lang w:val="sl-SI"/>
        </w:rPr>
      </w:pPr>
    </w:p>
    <w:p w14:paraId="531E6783" w14:textId="77777777" w:rsidR="00724028" w:rsidRPr="0020656B" w:rsidRDefault="00724028" w:rsidP="00724028">
      <w:pPr>
        <w:pStyle w:val="Odstavekseznama"/>
        <w:widowControl w:val="0"/>
        <w:numPr>
          <w:ilvl w:val="0"/>
          <w:numId w:val="24"/>
        </w:numPr>
        <w:tabs>
          <w:tab w:val="left" w:pos="375"/>
        </w:tabs>
        <w:autoSpaceDE w:val="0"/>
        <w:autoSpaceDN w:val="0"/>
        <w:spacing w:before="75" w:line="232" w:lineRule="auto"/>
        <w:ind w:right="125"/>
        <w:contextualSpacing w:val="0"/>
        <w:rPr>
          <w:rFonts w:ascii="Arial" w:hAnsi="Arial" w:cs="Arial"/>
          <w:sz w:val="20"/>
        </w:rPr>
      </w:pPr>
      <w:r w:rsidRPr="0020656B">
        <w:rPr>
          <w:rFonts w:ascii="Arial" w:hAnsi="Arial" w:cs="Arial"/>
          <w:w w:val="90"/>
          <w:sz w:val="20"/>
        </w:rPr>
        <w:t>Deklarirane največje vrednosti emisij pri dejanski vožnji (RDE) števila delcev (PN) v #/km in dušikovih oksidov (</w:t>
      </w:r>
      <w:proofErr w:type="spellStart"/>
      <w:r w:rsidRPr="0020656B">
        <w:rPr>
          <w:rFonts w:ascii="Arial" w:hAnsi="Arial" w:cs="Arial"/>
          <w:w w:val="90"/>
          <w:sz w:val="20"/>
        </w:rPr>
        <w:t>NOx</w:t>
      </w:r>
      <w:proofErr w:type="spellEnd"/>
      <w:r w:rsidRPr="0020656B">
        <w:rPr>
          <w:rFonts w:ascii="Arial" w:hAnsi="Arial" w:cs="Arial"/>
          <w:w w:val="90"/>
          <w:sz w:val="20"/>
        </w:rPr>
        <w:t xml:space="preserve">) v mg/km, kot </w:t>
      </w:r>
      <w:r w:rsidRPr="0020656B">
        <w:rPr>
          <w:rFonts w:ascii="Arial" w:hAnsi="Arial" w:cs="Arial"/>
          <w:w w:val="95"/>
          <w:sz w:val="20"/>
        </w:rPr>
        <w:t>so</w:t>
      </w:r>
      <w:r w:rsidRPr="0020656B">
        <w:rPr>
          <w:rFonts w:ascii="Arial" w:hAnsi="Arial" w:cs="Arial"/>
          <w:spacing w:val="-2"/>
          <w:w w:val="95"/>
          <w:sz w:val="20"/>
        </w:rPr>
        <w:t xml:space="preserve"> </w:t>
      </w:r>
      <w:r w:rsidRPr="0020656B">
        <w:rPr>
          <w:rFonts w:ascii="Arial" w:hAnsi="Arial" w:cs="Arial"/>
          <w:w w:val="95"/>
          <w:sz w:val="20"/>
        </w:rPr>
        <w:t>navedene</w:t>
      </w:r>
      <w:r w:rsidRPr="0020656B">
        <w:rPr>
          <w:rFonts w:ascii="Arial" w:hAnsi="Arial" w:cs="Arial"/>
          <w:spacing w:val="-2"/>
          <w:w w:val="95"/>
          <w:sz w:val="20"/>
        </w:rPr>
        <w:t xml:space="preserve"> </w:t>
      </w:r>
      <w:r w:rsidRPr="0020656B">
        <w:rPr>
          <w:rFonts w:ascii="Arial" w:hAnsi="Arial" w:cs="Arial"/>
          <w:w w:val="95"/>
          <w:sz w:val="20"/>
        </w:rPr>
        <w:t>v</w:t>
      </w:r>
      <w:r w:rsidRPr="0020656B">
        <w:rPr>
          <w:rFonts w:ascii="Arial" w:hAnsi="Arial" w:cs="Arial"/>
          <w:spacing w:val="-2"/>
          <w:w w:val="95"/>
          <w:sz w:val="20"/>
        </w:rPr>
        <w:t xml:space="preserve"> </w:t>
      </w:r>
      <w:r w:rsidRPr="0020656B">
        <w:rPr>
          <w:rFonts w:ascii="Arial" w:hAnsi="Arial" w:cs="Arial"/>
          <w:w w:val="95"/>
          <w:sz w:val="20"/>
        </w:rPr>
        <w:t>točki</w:t>
      </w:r>
      <w:r w:rsidRPr="0020656B">
        <w:rPr>
          <w:rFonts w:ascii="Arial" w:hAnsi="Arial" w:cs="Arial"/>
          <w:spacing w:val="-1"/>
          <w:w w:val="95"/>
          <w:sz w:val="20"/>
        </w:rPr>
        <w:t xml:space="preserve"> </w:t>
      </w:r>
      <w:r w:rsidRPr="0020656B">
        <w:rPr>
          <w:rFonts w:ascii="Arial" w:hAnsi="Arial" w:cs="Arial"/>
          <w:w w:val="95"/>
          <w:sz w:val="20"/>
        </w:rPr>
        <w:t>48.2</w:t>
      </w:r>
      <w:r w:rsidRPr="0020656B">
        <w:rPr>
          <w:rFonts w:ascii="Arial" w:hAnsi="Arial" w:cs="Arial"/>
          <w:spacing w:val="-1"/>
          <w:w w:val="95"/>
          <w:sz w:val="20"/>
        </w:rPr>
        <w:t xml:space="preserve"> </w:t>
      </w:r>
      <w:r w:rsidRPr="0020656B">
        <w:rPr>
          <w:rFonts w:ascii="Arial" w:hAnsi="Arial" w:cs="Arial"/>
          <w:w w:val="95"/>
          <w:sz w:val="20"/>
        </w:rPr>
        <w:t>certifikata</w:t>
      </w:r>
      <w:r w:rsidRPr="0020656B">
        <w:rPr>
          <w:rFonts w:ascii="Arial" w:hAnsi="Arial" w:cs="Arial"/>
          <w:spacing w:val="-2"/>
          <w:w w:val="95"/>
          <w:sz w:val="20"/>
        </w:rPr>
        <w:t xml:space="preserve"> </w:t>
      </w:r>
      <w:r w:rsidRPr="0020656B">
        <w:rPr>
          <w:rFonts w:ascii="Arial" w:hAnsi="Arial" w:cs="Arial"/>
          <w:w w:val="95"/>
          <w:sz w:val="20"/>
        </w:rPr>
        <w:t>o</w:t>
      </w:r>
      <w:r w:rsidRPr="0020656B">
        <w:rPr>
          <w:rFonts w:ascii="Arial" w:hAnsi="Arial" w:cs="Arial"/>
          <w:spacing w:val="-3"/>
          <w:w w:val="95"/>
          <w:sz w:val="20"/>
        </w:rPr>
        <w:t xml:space="preserve"> </w:t>
      </w:r>
      <w:r w:rsidRPr="0020656B">
        <w:rPr>
          <w:rFonts w:ascii="Arial" w:hAnsi="Arial" w:cs="Arial"/>
          <w:w w:val="95"/>
          <w:sz w:val="20"/>
        </w:rPr>
        <w:t>skladnosti,</w:t>
      </w:r>
      <w:r w:rsidRPr="0020656B">
        <w:rPr>
          <w:rFonts w:ascii="Arial" w:hAnsi="Arial" w:cs="Arial"/>
          <w:spacing w:val="-1"/>
          <w:w w:val="95"/>
          <w:sz w:val="20"/>
        </w:rPr>
        <w:t xml:space="preserve"> </w:t>
      </w:r>
      <w:r w:rsidRPr="0020656B">
        <w:rPr>
          <w:rFonts w:ascii="Arial" w:hAnsi="Arial" w:cs="Arial"/>
          <w:w w:val="95"/>
          <w:sz w:val="20"/>
        </w:rPr>
        <w:t>kot</w:t>
      </w:r>
      <w:r w:rsidRPr="0020656B">
        <w:rPr>
          <w:rFonts w:ascii="Arial" w:hAnsi="Arial" w:cs="Arial"/>
          <w:spacing w:val="-2"/>
          <w:w w:val="95"/>
          <w:sz w:val="20"/>
        </w:rPr>
        <w:t xml:space="preserve"> </w:t>
      </w:r>
      <w:r w:rsidRPr="0020656B">
        <w:rPr>
          <w:rFonts w:ascii="Arial" w:hAnsi="Arial" w:cs="Arial"/>
          <w:w w:val="95"/>
          <w:sz w:val="20"/>
        </w:rPr>
        <w:t>je</w:t>
      </w:r>
      <w:r w:rsidRPr="0020656B">
        <w:rPr>
          <w:rFonts w:ascii="Arial" w:hAnsi="Arial" w:cs="Arial"/>
          <w:spacing w:val="-1"/>
          <w:w w:val="95"/>
          <w:sz w:val="20"/>
        </w:rPr>
        <w:t xml:space="preserve"> </w:t>
      </w:r>
      <w:r w:rsidRPr="0020656B">
        <w:rPr>
          <w:rFonts w:ascii="Arial" w:hAnsi="Arial" w:cs="Arial"/>
          <w:w w:val="95"/>
          <w:sz w:val="20"/>
        </w:rPr>
        <w:t>opisano</w:t>
      </w:r>
      <w:r w:rsidRPr="0020656B">
        <w:rPr>
          <w:rFonts w:ascii="Arial" w:hAnsi="Arial" w:cs="Arial"/>
          <w:spacing w:val="-3"/>
          <w:w w:val="95"/>
          <w:sz w:val="20"/>
        </w:rPr>
        <w:t xml:space="preserve"> </w:t>
      </w:r>
      <w:r w:rsidRPr="0020656B">
        <w:rPr>
          <w:rFonts w:ascii="Arial" w:hAnsi="Arial" w:cs="Arial"/>
          <w:w w:val="95"/>
          <w:sz w:val="20"/>
        </w:rPr>
        <w:t>v</w:t>
      </w:r>
      <w:r w:rsidRPr="0020656B">
        <w:rPr>
          <w:rFonts w:ascii="Arial" w:hAnsi="Arial" w:cs="Arial"/>
          <w:spacing w:val="-2"/>
          <w:w w:val="95"/>
          <w:sz w:val="20"/>
        </w:rPr>
        <w:t xml:space="preserve"> </w:t>
      </w:r>
      <w:r w:rsidRPr="0020656B">
        <w:rPr>
          <w:rFonts w:ascii="Arial" w:hAnsi="Arial" w:cs="Arial"/>
          <w:w w:val="95"/>
          <w:sz w:val="20"/>
        </w:rPr>
        <w:t>Prilogi</w:t>
      </w:r>
      <w:r w:rsidRPr="0020656B">
        <w:rPr>
          <w:rFonts w:ascii="Arial" w:hAnsi="Arial" w:cs="Arial"/>
          <w:spacing w:val="-2"/>
          <w:w w:val="95"/>
          <w:sz w:val="20"/>
        </w:rPr>
        <w:t xml:space="preserve"> </w:t>
      </w:r>
      <w:r w:rsidRPr="0020656B">
        <w:rPr>
          <w:rFonts w:ascii="Arial" w:hAnsi="Arial" w:cs="Arial"/>
          <w:w w:val="95"/>
          <w:sz w:val="20"/>
        </w:rPr>
        <w:t>IX</w:t>
      </w:r>
      <w:r w:rsidRPr="0020656B">
        <w:rPr>
          <w:rFonts w:ascii="Arial" w:hAnsi="Arial" w:cs="Arial"/>
          <w:spacing w:val="-2"/>
          <w:w w:val="95"/>
          <w:sz w:val="20"/>
        </w:rPr>
        <w:t xml:space="preserve"> </w:t>
      </w:r>
      <w:r w:rsidRPr="0020656B">
        <w:rPr>
          <w:rFonts w:ascii="Arial" w:hAnsi="Arial" w:cs="Arial"/>
          <w:w w:val="95"/>
          <w:sz w:val="20"/>
        </w:rPr>
        <w:t>k</w:t>
      </w:r>
      <w:r w:rsidRPr="0020656B">
        <w:rPr>
          <w:rFonts w:ascii="Arial" w:hAnsi="Arial" w:cs="Arial"/>
          <w:spacing w:val="-1"/>
          <w:w w:val="95"/>
          <w:sz w:val="20"/>
        </w:rPr>
        <w:t xml:space="preserve"> </w:t>
      </w:r>
      <w:r w:rsidRPr="0020656B">
        <w:rPr>
          <w:rFonts w:ascii="Arial" w:hAnsi="Arial" w:cs="Arial"/>
          <w:w w:val="95"/>
          <w:sz w:val="20"/>
        </w:rPr>
        <w:t>Direktivi</w:t>
      </w:r>
      <w:r w:rsidRPr="0020656B">
        <w:rPr>
          <w:rFonts w:ascii="Arial" w:hAnsi="Arial" w:cs="Arial"/>
          <w:spacing w:val="-3"/>
          <w:w w:val="95"/>
          <w:sz w:val="20"/>
        </w:rPr>
        <w:t xml:space="preserve"> </w:t>
      </w:r>
      <w:r w:rsidRPr="0020656B">
        <w:rPr>
          <w:rFonts w:ascii="Arial" w:hAnsi="Arial" w:cs="Arial"/>
          <w:w w:val="95"/>
          <w:sz w:val="20"/>
        </w:rPr>
        <w:t>2007/46/ES</w:t>
      </w:r>
      <w:r w:rsidRPr="0020656B">
        <w:rPr>
          <w:rFonts w:ascii="Arial" w:hAnsi="Arial" w:cs="Arial"/>
          <w:spacing w:val="-1"/>
          <w:w w:val="95"/>
          <w:sz w:val="20"/>
        </w:rPr>
        <w:t xml:space="preserve"> </w:t>
      </w:r>
      <w:r w:rsidRPr="0020656B">
        <w:rPr>
          <w:rFonts w:ascii="Arial" w:hAnsi="Arial" w:cs="Arial"/>
          <w:w w:val="95"/>
          <w:sz w:val="20"/>
        </w:rPr>
        <w:t>Evropskega</w:t>
      </w:r>
      <w:r w:rsidRPr="0020656B">
        <w:rPr>
          <w:rFonts w:ascii="Arial" w:hAnsi="Arial" w:cs="Arial"/>
          <w:spacing w:val="-2"/>
          <w:w w:val="95"/>
          <w:sz w:val="20"/>
        </w:rPr>
        <w:t xml:space="preserve"> </w:t>
      </w:r>
      <w:r w:rsidRPr="0020656B">
        <w:rPr>
          <w:rFonts w:ascii="Arial" w:hAnsi="Arial" w:cs="Arial"/>
          <w:w w:val="95"/>
          <w:sz w:val="20"/>
        </w:rPr>
        <w:t>parlamenta</w:t>
      </w:r>
      <w:r w:rsidRPr="0020656B">
        <w:rPr>
          <w:rFonts w:ascii="Arial" w:hAnsi="Arial" w:cs="Arial"/>
          <w:spacing w:val="-3"/>
          <w:w w:val="95"/>
          <w:sz w:val="20"/>
        </w:rPr>
        <w:t xml:space="preserve"> </w:t>
      </w:r>
      <w:r w:rsidRPr="0020656B">
        <w:rPr>
          <w:rFonts w:ascii="Arial" w:hAnsi="Arial" w:cs="Arial"/>
          <w:w w:val="95"/>
          <w:sz w:val="20"/>
        </w:rPr>
        <w:t>in Sveta</w:t>
      </w:r>
      <w:r w:rsidRPr="0020656B">
        <w:rPr>
          <w:rFonts w:ascii="Arial" w:hAnsi="Arial" w:cs="Arial"/>
          <w:spacing w:val="7"/>
          <w:w w:val="95"/>
          <w:sz w:val="20"/>
        </w:rPr>
        <w:t xml:space="preserve"> </w:t>
      </w:r>
      <w:r w:rsidRPr="0020656B">
        <w:rPr>
          <w:rFonts w:ascii="Arial" w:hAnsi="Arial" w:cs="Arial"/>
          <w:w w:val="95"/>
          <w:sz w:val="20"/>
        </w:rPr>
        <w:t>(*)</w:t>
      </w:r>
      <w:r w:rsidRPr="0020656B">
        <w:rPr>
          <w:rFonts w:ascii="Arial" w:hAnsi="Arial" w:cs="Arial"/>
          <w:spacing w:val="7"/>
          <w:w w:val="95"/>
          <w:sz w:val="20"/>
        </w:rPr>
        <w:t xml:space="preserve"> </w:t>
      </w:r>
      <w:r w:rsidRPr="0020656B">
        <w:rPr>
          <w:rFonts w:ascii="Arial" w:hAnsi="Arial" w:cs="Arial"/>
          <w:w w:val="95"/>
          <w:sz w:val="20"/>
        </w:rPr>
        <w:t>tako</w:t>
      </w:r>
      <w:r w:rsidRPr="0020656B">
        <w:rPr>
          <w:rFonts w:ascii="Arial" w:hAnsi="Arial" w:cs="Arial"/>
          <w:spacing w:val="7"/>
          <w:w w:val="95"/>
          <w:sz w:val="20"/>
        </w:rPr>
        <w:t xml:space="preserve"> </w:t>
      </w:r>
      <w:r w:rsidRPr="0020656B">
        <w:rPr>
          <w:rFonts w:ascii="Arial" w:hAnsi="Arial" w:cs="Arial"/>
          <w:w w:val="95"/>
          <w:sz w:val="20"/>
        </w:rPr>
        <w:t>za</w:t>
      </w:r>
      <w:r w:rsidRPr="0020656B">
        <w:rPr>
          <w:rFonts w:ascii="Arial" w:hAnsi="Arial" w:cs="Arial"/>
          <w:spacing w:val="7"/>
          <w:w w:val="95"/>
          <w:sz w:val="20"/>
        </w:rPr>
        <w:t xml:space="preserve"> </w:t>
      </w:r>
      <w:r w:rsidRPr="0020656B">
        <w:rPr>
          <w:rFonts w:ascii="Arial" w:hAnsi="Arial" w:cs="Arial"/>
          <w:w w:val="95"/>
          <w:sz w:val="20"/>
        </w:rPr>
        <w:t>celotno</w:t>
      </w:r>
      <w:r w:rsidRPr="0020656B">
        <w:rPr>
          <w:rFonts w:ascii="Arial" w:hAnsi="Arial" w:cs="Arial"/>
          <w:spacing w:val="7"/>
          <w:w w:val="95"/>
          <w:sz w:val="20"/>
        </w:rPr>
        <w:t xml:space="preserve"> </w:t>
      </w:r>
      <w:r w:rsidRPr="0020656B">
        <w:rPr>
          <w:rFonts w:ascii="Arial" w:hAnsi="Arial" w:cs="Arial"/>
          <w:w w:val="95"/>
          <w:sz w:val="20"/>
        </w:rPr>
        <w:t>kot</w:t>
      </w:r>
      <w:r w:rsidRPr="0020656B">
        <w:rPr>
          <w:rFonts w:ascii="Arial" w:hAnsi="Arial" w:cs="Arial"/>
          <w:spacing w:val="7"/>
          <w:w w:val="95"/>
          <w:sz w:val="20"/>
        </w:rPr>
        <w:t xml:space="preserve"> </w:t>
      </w:r>
      <w:r w:rsidRPr="0020656B">
        <w:rPr>
          <w:rFonts w:ascii="Arial" w:hAnsi="Arial" w:cs="Arial"/>
          <w:w w:val="95"/>
          <w:sz w:val="20"/>
        </w:rPr>
        <w:t>mestno</w:t>
      </w:r>
      <w:r w:rsidRPr="0020656B">
        <w:rPr>
          <w:rFonts w:ascii="Arial" w:hAnsi="Arial" w:cs="Arial"/>
          <w:spacing w:val="6"/>
          <w:w w:val="95"/>
          <w:sz w:val="20"/>
        </w:rPr>
        <w:t xml:space="preserve"> </w:t>
      </w:r>
      <w:r w:rsidRPr="0020656B">
        <w:rPr>
          <w:rFonts w:ascii="Arial" w:hAnsi="Arial" w:cs="Arial"/>
          <w:w w:val="95"/>
          <w:sz w:val="20"/>
        </w:rPr>
        <w:t>vožnjo</w:t>
      </w:r>
      <w:r w:rsidRPr="0020656B">
        <w:rPr>
          <w:rFonts w:ascii="Arial" w:hAnsi="Arial" w:cs="Arial"/>
          <w:spacing w:val="7"/>
          <w:w w:val="95"/>
          <w:sz w:val="20"/>
        </w:rPr>
        <w:t xml:space="preserve"> </w:t>
      </w:r>
      <w:r w:rsidRPr="0020656B">
        <w:rPr>
          <w:rFonts w:ascii="Arial" w:hAnsi="Arial" w:cs="Arial"/>
          <w:w w:val="95"/>
          <w:sz w:val="20"/>
        </w:rPr>
        <w:t>za</w:t>
      </w:r>
      <w:r w:rsidRPr="0020656B">
        <w:rPr>
          <w:rFonts w:ascii="Arial" w:hAnsi="Arial" w:cs="Arial"/>
          <w:spacing w:val="7"/>
          <w:w w:val="95"/>
          <w:sz w:val="20"/>
        </w:rPr>
        <w:t xml:space="preserve"> </w:t>
      </w:r>
      <w:r w:rsidRPr="0020656B">
        <w:rPr>
          <w:rFonts w:ascii="Arial" w:hAnsi="Arial" w:cs="Arial"/>
          <w:w w:val="95"/>
          <w:sz w:val="20"/>
        </w:rPr>
        <w:t>preskus</w:t>
      </w:r>
      <w:r w:rsidRPr="0020656B">
        <w:rPr>
          <w:rFonts w:ascii="Arial" w:hAnsi="Arial" w:cs="Arial"/>
          <w:spacing w:val="6"/>
          <w:w w:val="95"/>
          <w:sz w:val="20"/>
        </w:rPr>
        <w:t xml:space="preserve"> </w:t>
      </w:r>
      <w:r w:rsidRPr="0020656B">
        <w:rPr>
          <w:rFonts w:ascii="Arial" w:hAnsi="Arial" w:cs="Arial"/>
          <w:w w:val="95"/>
          <w:sz w:val="20"/>
        </w:rPr>
        <w:t>emisij</w:t>
      </w:r>
      <w:r w:rsidRPr="0020656B">
        <w:rPr>
          <w:rFonts w:ascii="Arial" w:hAnsi="Arial" w:cs="Arial"/>
          <w:spacing w:val="6"/>
          <w:w w:val="95"/>
          <w:sz w:val="20"/>
        </w:rPr>
        <w:t xml:space="preserve"> </w:t>
      </w:r>
      <w:r w:rsidRPr="0020656B">
        <w:rPr>
          <w:rFonts w:ascii="Arial" w:hAnsi="Arial" w:cs="Arial"/>
          <w:w w:val="95"/>
          <w:sz w:val="20"/>
        </w:rPr>
        <w:t>pri</w:t>
      </w:r>
      <w:r w:rsidRPr="0020656B">
        <w:rPr>
          <w:rFonts w:ascii="Arial" w:hAnsi="Arial" w:cs="Arial"/>
          <w:spacing w:val="7"/>
          <w:w w:val="95"/>
          <w:sz w:val="20"/>
        </w:rPr>
        <w:t xml:space="preserve"> </w:t>
      </w:r>
      <w:r w:rsidRPr="0020656B">
        <w:rPr>
          <w:rFonts w:ascii="Arial" w:hAnsi="Arial" w:cs="Arial"/>
          <w:w w:val="95"/>
          <w:sz w:val="20"/>
        </w:rPr>
        <w:t>dejanski</w:t>
      </w:r>
      <w:r w:rsidRPr="0020656B">
        <w:rPr>
          <w:rFonts w:ascii="Arial" w:hAnsi="Arial" w:cs="Arial"/>
          <w:spacing w:val="7"/>
          <w:w w:val="95"/>
          <w:sz w:val="20"/>
        </w:rPr>
        <w:t xml:space="preserve"> </w:t>
      </w:r>
      <w:r w:rsidRPr="0020656B">
        <w:rPr>
          <w:rFonts w:ascii="Arial" w:hAnsi="Arial" w:cs="Arial"/>
          <w:w w:val="95"/>
          <w:sz w:val="20"/>
        </w:rPr>
        <w:t>vožnji.</w:t>
      </w:r>
    </w:p>
    <w:p w14:paraId="5075E514" w14:textId="1484739A" w:rsidR="00724028" w:rsidRPr="0020656B" w:rsidRDefault="00724028" w:rsidP="00724028">
      <w:pPr>
        <w:pStyle w:val="Odstavekseznama"/>
        <w:widowControl w:val="0"/>
        <w:numPr>
          <w:ilvl w:val="0"/>
          <w:numId w:val="24"/>
        </w:numPr>
        <w:tabs>
          <w:tab w:val="left" w:pos="375"/>
        </w:tabs>
        <w:autoSpaceDE w:val="0"/>
        <w:autoSpaceDN w:val="0"/>
        <w:spacing w:line="189" w:lineRule="exact"/>
        <w:contextualSpacing w:val="0"/>
        <w:rPr>
          <w:rFonts w:ascii="Arial" w:hAnsi="Arial" w:cs="Arial"/>
          <w:sz w:val="20"/>
        </w:rPr>
      </w:pPr>
      <w:r w:rsidRPr="0020656B">
        <w:rPr>
          <w:noProof/>
        </w:rPr>
        <mc:AlternateContent>
          <mc:Choice Requires="wps">
            <w:drawing>
              <wp:anchor distT="0" distB="0" distL="0" distR="0" simplePos="0" relativeHeight="251659264" behindDoc="1" locked="0" layoutInCell="1" allowOverlap="1" wp14:anchorId="14283120" wp14:editId="3CC60A43">
                <wp:simplePos x="0" y="0"/>
                <wp:positionH relativeFrom="page">
                  <wp:posOffset>855345</wp:posOffset>
                </wp:positionH>
                <wp:positionV relativeFrom="paragraph">
                  <wp:posOffset>180340</wp:posOffset>
                </wp:positionV>
                <wp:extent cx="5849620" cy="6985"/>
                <wp:effectExtent l="0" t="0" r="0" b="0"/>
                <wp:wrapTopAndBottom/>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9620" cy="698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0F5CC" id="Pravokotnik 15" o:spid="_x0000_s1026" style="position:absolute;margin-left:67.35pt;margin-top:14.2pt;width:460.6pt;height:.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" fillcolor="black" stroked="f">
                <w10:wrap type="topAndBottom" anchorx="page"/>
              </v:rect>
            </w:pict>
          </mc:Fallback>
        </mc:AlternateContent>
      </w:r>
      <w:r w:rsidRPr="0020656B">
        <w:rPr>
          <w:rFonts w:ascii="Arial" w:hAnsi="Arial" w:cs="Arial"/>
          <w:w w:val="95"/>
          <w:sz w:val="20"/>
        </w:rPr>
        <w:t>Veljavne</w:t>
      </w:r>
      <w:r w:rsidRPr="0020656B">
        <w:rPr>
          <w:rFonts w:ascii="Arial" w:hAnsi="Arial" w:cs="Arial"/>
          <w:spacing w:val="1"/>
          <w:w w:val="95"/>
          <w:sz w:val="20"/>
        </w:rPr>
        <w:t xml:space="preserve"> </w:t>
      </w:r>
      <w:r w:rsidRPr="0020656B">
        <w:rPr>
          <w:rFonts w:ascii="Arial" w:hAnsi="Arial" w:cs="Arial"/>
          <w:w w:val="95"/>
          <w:sz w:val="20"/>
        </w:rPr>
        <w:t>mejne</w:t>
      </w:r>
      <w:r w:rsidRPr="0020656B">
        <w:rPr>
          <w:rFonts w:ascii="Arial" w:hAnsi="Arial" w:cs="Arial"/>
          <w:spacing w:val="6"/>
          <w:w w:val="95"/>
          <w:sz w:val="20"/>
        </w:rPr>
        <w:t xml:space="preserve"> </w:t>
      </w:r>
      <w:r w:rsidRPr="0020656B">
        <w:rPr>
          <w:rFonts w:ascii="Arial" w:hAnsi="Arial" w:cs="Arial"/>
          <w:w w:val="95"/>
          <w:sz w:val="20"/>
        </w:rPr>
        <w:t>vrednosti</w:t>
      </w:r>
      <w:r w:rsidRPr="0020656B">
        <w:rPr>
          <w:rFonts w:ascii="Arial" w:hAnsi="Arial" w:cs="Arial"/>
          <w:spacing w:val="4"/>
          <w:w w:val="95"/>
          <w:sz w:val="20"/>
        </w:rPr>
        <w:t xml:space="preserve"> </w:t>
      </w:r>
      <w:r w:rsidRPr="0020656B">
        <w:rPr>
          <w:rFonts w:ascii="Arial" w:hAnsi="Arial" w:cs="Arial"/>
          <w:w w:val="95"/>
          <w:sz w:val="20"/>
        </w:rPr>
        <w:t>emisij</w:t>
      </w:r>
      <w:r w:rsidRPr="0020656B">
        <w:rPr>
          <w:rFonts w:ascii="Arial" w:hAnsi="Arial" w:cs="Arial"/>
          <w:spacing w:val="2"/>
          <w:w w:val="95"/>
          <w:sz w:val="20"/>
        </w:rPr>
        <w:t xml:space="preserve"> </w:t>
      </w:r>
      <w:r w:rsidRPr="0020656B">
        <w:rPr>
          <w:rFonts w:ascii="Arial" w:hAnsi="Arial" w:cs="Arial"/>
          <w:w w:val="95"/>
          <w:sz w:val="20"/>
        </w:rPr>
        <w:t>v</w:t>
      </w:r>
      <w:r w:rsidRPr="0020656B">
        <w:rPr>
          <w:rFonts w:ascii="Arial" w:hAnsi="Arial" w:cs="Arial"/>
          <w:spacing w:val="5"/>
          <w:w w:val="95"/>
          <w:sz w:val="20"/>
        </w:rPr>
        <w:t xml:space="preserve"> </w:t>
      </w:r>
      <w:r w:rsidRPr="0020656B">
        <w:rPr>
          <w:rFonts w:ascii="Arial" w:hAnsi="Arial" w:cs="Arial"/>
          <w:w w:val="95"/>
          <w:sz w:val="20"/>
        </w:rPr>
        <w:t>Prilogi</w:t>
      </w:r>
      <w:r w:rsidRPr="0020656B">
        <w:rPr>
          <w:rFonts w:ascii="Arial" w:hAnsi="Arial" w:cs="Arial"/>
          <w:spacing w:val="4"/>
          <w:w w:val="95"/>
          <w:sz w:val="20"/>
        </w:rPr>
        <w:t xml:space="preserve"> </w:t>
      </w:r>
      <w:r w:rsidRPr="0020656B">
        <w:rPr>
          <w:rFonts w:ascii="Arial" w:hAnsi="Arial" w:cs="Arial"/>
          <w:w w:val="95"/>
          <w:sz w:val="20"/>
        </w:rPr>
        <w:t>I</w:t>
      </w:r>
      <w:r w:rsidRPr="0020656B">
        <w:rPr>
          <w:rFonts w:ascii="Arial" w:hAnsi="Arial" w:cs="Arial"/>
          <w:spacing w:val="4"/>
          <w:w w:val="95"/>
          <w:sz w:val="20"/>
        </w:rPr>
        <w:t xml:space="preserve"> </w:t>
      </w:r>
      <w:r w:rsidRPr="0020656B">
        <w:rPr>
          <w:rFonts w:ascii="Arial" w:hAnsi="Arial" w:cs="Arial"/>
          <w:w w:val="95"/>
          <w:sz w:val="20"/>
        </w:rPr>
        <w:t>k</w:t>
      </w:r>
      <w:r w:rsidRPr="0020656B">
        <w:rPr>
          <w:rFonts w:ascii="Arial" w:hAnsi="Arial" w:cs="Arial"/>
          <w:spacing w:val="5"/>
          <w:w w:val="95"/>
          <w:sz w:val="20"/>
        </w:rPr>
        <w:t xml:space="preserve"> </w:t>
      </w:r>
      <w:r w:rsidRPr="0020656B">
        <w:rPr>
          <w:rFonts w:ascii="Arial" w:hAnsi="Arial" w:cs="Arial"/>
          <w:w w:val="95"/>
          <w:sz w:val="20"/>
        </w:rPr>
        <w:t>Uredbi</w:t>
      </w:r>
      <w:r w:rsidRPr="0020656B">
        <w:rPr>
          <w:rFonts w:ascii="Arial" w:hAnsi="Arial" w:cs="Arial"/>
          <w:spacing w:val="3"/>
          <w:w w:val="95"/>
          <w:sz w:val="20"/>
        </w:rPr>
        <w:t xml:space="preserve"> </w:t>
      </w:r>
      <w:r w:rsidRPr="0020656B">
        <w:rPr>
          <w:rFonts w:ascii="Arial" w:hAnsi="Arial" w:cs="Arial"/>
          <w:w w:val="95"/>
          <w:sz w:val="20"/>
        </w:rPr>
        <w:t>(ES)</w:t>
      </w:r>
      <w:r w:rsidRPr="0020656B">
        <w:rPr>
          <w:rFonts w:ascii="Arial" w:hAnsi="Arial" w:cs="Arial"/>
          <w:spacing w:val="4"/>
          <w:w w:val="95"/>
          <w:sz w:val="20"/>
        </w:rPr>
        <w:t xml:space="preserve"> </w:t>
      </w:r>
      <w:r w:rsidRPr="0020656B">
        <w:rPr>
          <w:rFonts w:ascii="Arial" w:hAnsi="Arial" w:cs="Arial"/>
          <w:w w:val="95"/>
          <w:sz w:val="20"/>
        </w:rPr>
        <w:t>št.</w:t>
      </w:r>
      <w:r w:rsidRPr="0020656B">
        <w:rPr>
          <w:rFonts w:ascii="Arial" w:hAnsi="Arial" w:cs="Arial"/>
          <w:spacing w:val="5"/>
          <w:w w:val="95"/>
          <w:sz w:val="20"/>
        </w:rPr>
        <w:t xml:space="preserve"> </w:t>
      </w:r>
      <w:r w:rsidRPr="0020656B">
        <w:rPr>
          <w:rFonts w:ascii="Arial" w:hAnsi="Arial" w:cs="Arial"/>
          <w:w w:val="95"/>
          <w:sz w:val="20"/>
        </w:rPr>
        <w:t>715/2007</w:t>
      </w:r>
      <w:r w:rsidRPr="0020656B">
        <w:rPr>
          <w:rFonts w:ascii="Arial" w:hAnsi="Arial" w:cs="Arial"/>
          <w:spacing w:val="4"/>
          <w:w w:val="95"/>
          <w:sz w:val="20"/>
        </w:rPr>
        <w:t xml:space="preserve"> </w:t>
      </w:r>
      <w:r w:rsidRPr="0020656B">
        <w:rPr>
          <w:rFonts w:ascii="Arial" w:hAnsi="Arial" w:cs="Arial"/>
          <w:w w:val="95"/>
          <w:sz w:val="20"/>
        </w:rPr>
        <w:t>ali</w:t>
      </w:r>
      <w:r w:rsidRPr="0020656B">
        <w:rPr>
          <w:rFonts w:ascii="Arial" w:hAnsi="Arial" w:cs="Arial"/>
          <w:spacing w:val="4"/>
          <w:w w:val="95"/>
          <w:sz w:val="20"/>
        </w:rPr>
        <w:t xml:space="preserve"> </w:t>
      </w:r>
      <w:r w:rsidRPr="0020656B">
        <w:rPr>
          <w:rFonts w:ascii="Arial" w:hAnsi="Arial" w:cs="Arial"/>
          <w:w w:val="95"/>
          <w:sz w:val="20"/>
        </w:rPr>
        <w:t>aktov,</w:t>
      </w:r>
      <w:r w:rsidRPr="0020656B">
        <w:rPr>
          <w:rFonts w:ascii="Arial" w:hAnsi="Arial" w:cs="Arial"/>
          <w:spacing w:val="4"/>
          <w:w w:val="95"/>
          <w:sz w:val="20"/>
        </w:rPr>
        <w:t xml:space="preserve"> </w:t>
      </w:r>
      <w:r w:rsidRPr="0020656B">
        <w:rPr>
          <w:rFonts w:ascii="Arial" w:hAnsi="Arial" w:cs="Arial"/>
          <w:w w:val="95"/>
          <w:sz w:val="20"/>
        </w:rPr>
        <w:t>ki</w:t>
      </w:r>
      <w:r w:rsidRPr="0020656B">
        <w:rPr>
          <w:rFonts w:ascii="Arial" w:hAnsi="Arial" w:cs="Arial"/>
          <w:spacing w:val="3"/>
          <w:w w:val="95"/>
          <w:sz w:val="20"/>
        </w:rPr>
        <w:t xml:space="preserve"> </w:t>
      </w:r>
      <w:r w:rsidRPr="0020656B">
        <w:rPr>
          <w:rFonts w:ascii="Arial" w:hAnsi="Arial" w:cs="Arial"/>
          <w:w w:val="95"/>
          <w:sz w:val="20"/>
        </w:rPr>
        <w:t>jo</w:t>
      </w:r>
      <w:r w:rsidRPr="0020656B">
        <w:rPr>
          <w:rFonts w:ascii="Arial" w:hAnsi="Arial" w:cs="Arial"/>
          <w:spacing w:val="4"/>
          <w:w w:val="95"/>
          <w:sz w:val="20"/>
        </w:rPr>
        <w:t xml:space="preserve"> </w:t>
      </w:r>
      <w:r w:rsidRPr="0020656B">
        <w:rPr>
          <w:rFonts w:ascii="Arial" w:hAnsi="Arial" w:cs="Arial"/>
          <w:w w:val="95"/>
          <w:sz w:val="20"/>
        </w:rPr>
        <w:t>nasledijo.</w:t>
      </w:r>
    </w:p>
    <w:p w14:paraId="55E21DF6" w14:textId="77777777" w:rsidR="00724028" w:rsidRPr="0020656B" w:rsidRDefault="00724028" w:rsidP="00724028">
      <w:pPr>
        <w:rPr>
          <w:rFonts w:cs="Arial"/>
          <w:b/>
          <w:szCs w:val="20"/>
          <w:lang w:val="sl-SI"/>
        </w:rPr>
      </w:pPr>
    </w:p>
    <w:p w14:paraId="5EA43D35" w14:textId="77777777" w:rsidR="00724028" w:rsidRPr="0020656B" w:rsidRDefault="00724028" w:rsidP="00724028">
      <w:pPr>
        <w:rPr>
          <w:rFonts w:cs="Arial"/>
          <w:b/>
          <w:szCs w:val="20"/>
          <w:lang w:val="sl-SI"/>
        </w:rPr>
      </w:pPr>
    </w:p>
    <w:p w14:paraId="5DCD0819" w14:textId="77777777" w:rsidR="00724028" w:rsidRPr="0020656B" w:rsidRDefault="00724028" w:rsidP="00724028">
      <w:pPr>
        <w:jc w:val="both"/>
        <w:rPr>
          <w:rFonts w:cs="Arial"/>
          <w:b/>
          <w:szCs w:val="20"/>
          <w:lang w:val="sl-SI"/>
        </w:rPr>
      </w:pPr>
      <w:r w:rsidRPr="0020656B">
        <w:rPr>
          <w:rFonts w:cs="Arial"/>
          <w:b/>
          <w:szCs w:val="20"/>
          <w:lang w:val="sl-SI"/>
        </w:rPr>
        <w:t xml:space="preserve">3. Opredelitev minimalnih ciljev čistih in </w:t>
      </w:r>
      <w:proofErr w:type="spellStart"/>
      <w:r w:rsidRPr="0020656B">
        <w:rPr>
          <w:rFonts w:cs="Arial"/>
          <w:b/>
          <w:szCs w:val="20"/>
          <w:lang w:val="sl-SI"/>
        </w:rPr>
        <w:t>brezemisijskih</w:t>
      </w:r>
      <w:proofErr w:type="spellEnd"/>
      <w:r w:rsidRPr="0020656B">
        <w:rPr>
          <w:rFonts w:cs="Arial"/>
          <w:b/>
          <w:szCs w:val="20"/>
          <w:lang w:val="sl-SI"/>
        </w:rPr>
        <w:t xml:space="preserve"> vozil za cestni prevoz v postopkih javnega naročanja vozil in storitev prevoza</w:t>
      </w:r>
    </w:p>
    <w:p w14:paraId="1DBC8BDD" w14:textId="77777777" w:rsidR="00724028" w:rsidRPr="0020656B" w:rsidRDefault="00724028" w:rsidP="00724028">
      <w:pPr>
        <w:jc w:val="both"/>
        <w:rPr>
          <w:rFonts w:cs="Arial"/>
          <w:szCs w:val="20"/>
          <w:lang w:val="sl-SI"/>
        </w:rPr>
      </w:pPr>
    </w:p>
    <w:p w14:paraId="654E5C86" w14:textId="77777777" w:rsidR="00724028" w:rsidRPr="0020656B" w:rsidRDefault="00724028" w:rsidP="00724028">
      <w:pPr>
        <w:jc w:val="both"/>
        <w:rPr>
          <w:rFonts w:cs="Arial"/>
          <w:color w:val="FF0000"/>
          <w:szCs w:val="20"/>
          <w:lang w:val="sl-SI"/>
        </w:rPr>
      </w:pPr>
      <w:r w:rsidRPr="0020656B">
        <w:rPr>
          <w:rFonts w:cs="Arial"/>
          <w:szCs w:val="20"/>
          <w:lang w:val="sl-SI"/>
        </w:rPr>
        <w:t xml:space="preserve">Tabela 3: Minimalni cilji za čista lahka vozila v celotnem številu vozil, zajetih v pogodbah pri javnem naročilu vozil in storitev prevoza </w:t>
      </w:r>
    </w:p>
    <w:tbl>
      <w:tblPr>
        <w:tblW w:w="7655" w:type="dxa"/>
        <w:tblInd w:w="-10" w:type="dxa"/>
        <w:tblCellMar>
          <w:left w:w="70" w:type="dxa"/>
          <w:right w:w="70" w:type="dxa"/>
        </w:tblCellMar>
        <w:tblLook w:val="04A0" w:firstRow="1" w:lastRow="0" w:firstColumn="1" w:lastColumn="0" w:noHBand="0" w:noVBand="1"/>
      </w:tblPr>
      <w:tblGrid>
        <w:gridCol w:w="2127"/>
        <w:gridCol w:w="1701"/>
        <w:gridCol w:w="1984"/>
        <w:gridCol w:w="1843"/>
      </w:tblGrid>
      <w:tr w:rsidR="00724028" w:rsidRPr="004B7319" w14:paraId="639DDDD0" w14:textId="77777777" w:rsidTr="001679AB">
        <w:trPr>
          <w:trHeight w:val="400"/>
          <w:tblHeader/>
        </w:trPr>
        <w:tc>
          <w:tcPr>
            <w:tcW w:w="765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A406636" w14:textId="77777777" w:rsidR="00724028" w:rsidRPr="0020656B" w:rsidRDefault="00724028" w:rsidP="001679AB">
            <w:pPr>
              <w:spacing w:line="240" w:lineRule="auto"/>
              <w:jc w:val="center"/>
              <w:rPr>
                <w:rFonts w:cs="Arial"/>
                <w:b/>
                <w:bCs/>
                <w:color w:val="000000"/>
                <w:szCs w:val="20"/>
                <w:lang w:val="sl-SI" w:eastAsia="sl-SI"/>
              </w:rPr>
            </w:pPr>
            <w:r w:rsidRPr="0020656B">
              <w:rPr>
                <w:rFonts w:cs="Arial"/>
                <w:b/>
                <w:bCs/>
                <w:color w:val="000000"/>
                <w:szCs w:val="20"/>
                <w:lang w:val="sl-SI" w:eastAsia="sl-SI"/>
              </w:rPr>
              <w:t>Kategorija vozil: čista lahka vozila (M1, M2 in N1)</w:t>
            </w:r>
          </w:p>
        </w:tc>
      </w:tr>
      <w:tr w:rsidR="00724028" w:rsidRPr="00B70C01" w14:paraId="786CF5D7" w14:textId="77777777" w:rsidTr="001679AB">
        <w:trPr>
          <w:trHeight w:val="978"/>
          <w:tblHeader/>
        </w:trPr>
        <w:tc>
          <w:tcPr>
            <w:tcW w:w="3828"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A53573E" w14:textId="070ADC1F"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Od 2. avgusta 2021 do 31. decembra 2025</w:t>
            </w:r>
            <w:r w:rsidR="00B70C01">
              <w:rPr>
                <w:rFonts w:cs="Arial"/>
                <w:color w:val="000000"/>
                <w:szCs w:val="20"/>
                <w:lang w:val="sl-SI" w:eastAsia="sl-SI"/>
              </w:rPr>
              <w:t xml:space="preserve"> (prvo referenčno obdobje)</w:t>
            </w:r>
          </w:p>
        </w:tc>
        <w:tc>
          <w:tcPr>
            <w:tcW w:w="3827" w:type="dxa"/>
            <w:gridSpan w:val="2"/>
            <w:tcBorders>
              <w:top w:val="single" w:sz="8" w:space="0" w:color="auto"/>
              <w:left w:val="nil"/>
              <w:bottom w:val="single" w:sz="4" w:space="0" w:color="auto"/>
              <w:right w:val="single" w:sz="8" w:space="0" w:color="000000"/>
            </w:tcBorders>
            <w:shd w:val="clear" w:color="auto" w:fill="auto"/>
            <w:vAlign w:val="center"/>
            <w:hideMark/>
          </w:tcPr>
          <w:p w14:paraId="2A46C7D5" w14:textId="637A0C26"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Od 1. januarja 2026 do 31. decembra 2030</w:t>
            </w:r>
            <w:r w:rsidR="00B70C01">
              <w:rPr>
                <w:rFonts w:cs="Arial"/>
                <w:color w:val="000000"/>
                <w:szCs w:val="20"/>
                <w:lang w:val="sl-SI" w:eastAsia="sl-SI"/>
              </w:rPr>
              <w:t xml:space="preserve"> (drugo referenčno obdobje)</w:t>
            </w:r>
          </w:p>
        </w:tc>
      </w:tr>
      <w:tr w:rsidR="00724028" w:rsidRPr="0020656B" w14:paraId="2A4F79EE" w14:textId="77777777" w:rsidTr="001679AB">
        <w:trPr>
          <w:trHeight w:val="973"/>
          <w:tblHeader/>
        </w:trPr>
        <w:tc>
          <w:tcPr>
            <w:tcW w:w="2127" w:type="dxa"/>
            <w:tcBorders>
              <w:top w:val="nil"/>
              <w:left w:val="single" w:sz="8" w:space="0" w:color="auto"/>
              <w:bottom w:val="single" w:sz="4" w:space="0" w:color="auto"/>
              <w:right w:val="single" w:sz="4" w:space="0" w:color="auto"/>
            </w:tcBorders>
            <w:shd w:val="clear" w:color="auto" w:fill="auto"/>
            <w:vAlign w:val="center"/>
            <w:hideMark/>
          </w:tcPr>
          <w:p w14:paraId="0720338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Število vseh vozil zajetih v pogodbah</w:t>
            </w:r>
          </w:p>
        </w:tc>
        <w:tc>
          <w:tcPr>
            <w:tcW w:w="1701" w:type="dxa"/>
            <w:tcBorders>
              <w:top w:val="nil"/>
              <w:left w:val="nil"/>
              <w:bottom w:val="single" w:sz="4" w:space="0" w:color="auto"/>
              <w:right w:val="single" w:sz="8" w:space="0" w:color="auto"/>
            </w:tcBorders>
            <w:shd w:val="clear" w:color="auto" w:fill="auto"/>
            <w:vAlign w:val="center"/>
            <w:hideMark/>
          </w:tcPr>
          <w:p w14:paraId="7966077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Obvezno število čistih vozil</w:t>
            </w:r>
          </w:p>
        </w:tc>
        <w:tc>
          <w:tcPr>
            <w:tcW w:w="1984" w:type="dxa"/>
            <w:tcBorders>
              <w:top w:val="nil"/>
              <w:left w:val="nil"/>
              <w:bottom w:val="single" w:sz="4" w:space="0" w:color="auto"/>
              <w:right w:val="single" w:sz="4" w:space="0" w:color="auto"/>
            </w:tcBorders>
            <w:shd w:val="clear" w:color="auto" w:fill="auto"/>
            <w:vAlign w:val="center"/>
            <w:hideMark/>
          </w:tcPr>
          <w:p w14:paraId="5A39C50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Število vseh vozil zajetih v pogodbah</w:t>
            </w:r>
          </w:p>
        </w:tc>
        <w:tc>
          <w:tcPr>
            <w:tcW w:w="1843" w:type="dxa"/>
            <w:tcBorders>
              <w:top w:val="nil"/>
              <w:left w:val="nil"/>
              <w:bottom w:val="single" w:sz="4" w:space="0" w:color="auto"/>
              <w:right w:val="single" w:sz="8" w:space="0" w:color="auto"/>
            </w:tcBorders>
            <w:shd w:val="clear" w:color="auto" w:fill="auto"/>
            <w:vAlign w:val="center"/>
            <w:hideMark/>
          </w:tcPr>
          <w:p w14:paraId="7549C675"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Obvezno število čistih vozil</w:t>
            </w:r>
          </w:p>
        </w:tc>
      </w:tr>
      <w:tr w:rsidR="00724028" w:rsidRPr="0020656B" w14:paraId="3E8EB249"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vAlign w:val="center"/>
            <w:hideMark/>
          </w:tcPr>
          <w:p w14:paraId="46056A04"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1-4</w:t>
            </w:r>
          </w:p>
        </w:tc>
        <w:tc>
          <w:tcPr>
            <w:tcW w:w="1701" w:type="dxa"/>
            <w:tcBorders>
              <w:top w:val="nil"/>
              <w:left w:val="nil"/>
              <w:bottom w:val="single" w:sz="4" w:space="0" w:color="auto"/>
              <w:right w:val="single" w:sz="8" w:space="0" w:color="auto"/>
            </w:tcBorders>
            <w:shd w:val="clear" w:color="auto" w:fill="auto"/>
            <w:vAlign w:val="center"/>
            <w:hideMark/>
          </w:tcPr>
          <w:p w14:paraId="58C0EB07"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w:t>
            </w:r>
          </w:p>
        </w:tc>
        <w:tc>
          <w:tcPr>
            <w:tcW w:w="1984" w:type="dxa"/>
            <w:tcBorders>
              <w:top w:val="nil"/>
              <w:left w:val="nil"/>
              <w:bottom w:val="single" w:sz="4" w:space="0" w:color="auto"/>
              <w:right w:val="single" w:sz="4" w:space="0" w:color="auto"/>
            </w:tcBorders>
            <w:shd w:val="clear" w:color="auto" w:fill="auto"/>
            <w:vAlign w:val="center"/>
            <w:hideMark/>
          </w:tcPr>
          <w:p w14:paraId="7C0541A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1-4</w:t>
            </w:r>
          </w:p>
        </w:tc>
        <w:tc>
          <w:tcPr>
            <w:tcW w:w="1843" w:type="dxa"/>
            <w:tcBorders>
              <w:top w:val="nil"/>
              <w:left w:val="nil"/>
              <w:bottom w:val="single" w:sz="4" w:space="0" w:color="auto"/>
              <w:right w:val="single" w:sz="8" w:space="0" w:color="auto"/>
            </w:tcBorders>
            <w:shd w:val="clear" w:color="auto" w:fill="auto"/>
            <w:vAlign w:val="center"/>
            <w:hideMark/>
          </w:tcPr>
          <w:p w14:paraId="70B3D8B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w:t>
            </w:r>
          </w:p>
        </w:tc>
      </w:tr>
      <w:tr w:rsidR="00724028" w:rsidRPr="0020656B" w14:paraId="67592DA8"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vAlign w:val="center"/>
            <w:hideMark/>
          </w:tcPr>
          <w:p w14:paraId="035A7C74"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5-9</w:t>
            </w:r>
          </w:p>
        </w:tc>
        <w:tc>
          <w:tcPr>
            <w:tcW w:w="1701" w:type="dxa"/>
            <w:tcBorders>
              <w:top w:val="nil"/>
              <w:left w:val="nil"/>
              <w:bottom w:val="single" w:sz="4" w:space="0" w:color="auto"/>
              <w:right w:val="single" w:sz="8" w:space="0" w:color="auto"/>
            </w:tcBorders>
            <w:shd w:val="clear" w:color="auto" w:fill="auto"/>
            <w:vAlign w:val="center"/>
            <w:hideMark/>
          </w:tcPr>
          <w:p w14:paraId="4165312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w:t>
            </w:r>
          </w:p>
        </w:tc>
        <w:tc>
          <w:tcPr>
            <w:tcW w:w="1984" w:type="dxa"/>
            <w:tcBorders>
              <w:top w:val="nil"/>
              <w:left w:val="nil"/>
              <w:bottom w:val="single" w:sz="4" w:space="0" w:color="auto"/>
              <w:right w:val="single" w:sz="4" w:space="0" w:color="auto"/>
            </w:tcBorders>
            <w:shd w:val="clear" w:color="auto" w:fill="auto"/>
            <w:vAlign w:val="center"/>
            <w:hideMark/>
          </w:tcPr>
          <w:p w14:paraId="621A814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5-9</w:t>
            </w:r>
          </w:p>
        </w:tc>
        <w:tc>
          <w:tcPr>
            <w:tcW w:w="1843" w:type="dxa"/>
            <w:tcBorders>
              <w:top w:val="nil"/>
              <w:left w:val="nil"/>
              <w:bottom w:val="single" w:sz="4" w:space="0" w:color="auto"/>
              <w:right w:val="single" w:sz="8" w:space="0" w:color="auto"/>
            </w:tcBorders>
            <w:shd w:val="clear" w:color="auto" w:fill="auto"/>
            <w:vAlign w:val="center"/>
            <w:hideMark/>
          </w:tcPr>
          <w:p w14:paraId="2DDF374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w:t>
            </w:r>
          </w:p>
        </w:tc>
      </w:tr>
      <w:tr w:rsidR="00724028" w:rsidRPr="0020656B" w14:paraId="680E08F1"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vAlign w:val="center"/>
            <w:hideMark/>
          </w:tcPr>
          <w:p w14:paraId="6339781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10-13</w:t>
            </w:r>
          </w:p>
        </w:tc>
        <w:tc>
          <w:tcPr>
            <w:tcW w:w="1701" w:type="dxa"/>
            <w:tcBorders>
              <w:top w:val="nil"/>
              <w:left w:val="nil"/>
              <w:bottom w:val="single" w:sz="4" w:space="0" w:color="auto"/>
              <w:right w:val="single" w:sz="8" w:space="0" w:color="auto"/>
            </w:tcBorders>
            <w:shd w:val="clear" w:color="auto" w:fill="auto"/>
            <w:vAlign w:val="center"/>
            <w:hideMark/>
          </w:tcPr>
          <w:p w14:paraId="2EC035E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w:t>
            </w:r>
          </w:p>
        </w:tc>
        <w:tc>
          <w:tcPr>
            <w:tcW w:w="1984" w:type="dxa"/>
            <w:tcBorders>
              <w:top w:val="nil"/>
              <w:left w:val="nil"/>
              <w:bottom w:val="single" w:sz="4" w:space="0" w:color="auto"/>
              <w:right w:val="single" w:sz="4" w:space="0" w:color="auto"/>
            </w:tcBorders>
            <w:shd w:val="clear" w:color="auto" w:fill="auto"/>
            <w:vAlign w:val="center"/>
            <w:hideMark/>
          </w:tcPr>
          <w:p w14:paraId="1EE110A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10-13</w:t>
            </w:r>
          </w:p>
        </w:tc>
        <w:tc>
          <w:tcPr>
            <w:tcW w:w="1843" w:type="dxa"/>
            <w:tcBorders>
              <w:top w:val="nil"/>
              <w:left w:val="nil"/>
              <w:bottom w:val="single" w:sz="4" w:space="0" w:color="auto"/>
              <w:right w:val="single" w:sz="8" w:space="0" w:color="auto"/>
            </w:tcBorders>
            <w:shd w:val="clear" w:color="auto" w:fill="auto"/>
            <w:vAlign w:val="center"/>
            <w:hideMark/>
          </w:tcPr>
          <w:p w14:paraId="3B488473"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w:t>
            </w:r>
          </w:p>
        </w:tc>
      </w:tr>
      <w:tr w:rsidR="00724028" w:rsidRPr="0020656B" w14:paraId="1D368A1F"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vAlign w:val="center"/>
            <w:hideMark/>
          </w:tcPr>
          <w:p w14:paraId="7D79E53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14-18</w:t>
            </w:r>
          </w:p>
        </w:tc>
        <w:tc>
          <w:tcPr>
            <w:tcW w:w="1701" w:type="dxa"/>
            <w:tcBorders>
              <w:top w:val="nil"/>
              <w:left w:val="nil"/>
              <w:bottom w:val="single" w:sz="4" w:space="0" w:color="auto"/>
              <w:right w:val="single" w:sz="8" w:space="0" w:color="auto"/>
            </w:tcBorders>
            <w:shd w:val="clear" w:color="auto" w:fill="auto"/>
            <w:vAlign w:val="center"/>
            <w:hideMark/>
          </w:tcPr>
          <w:p w14:paraId="485C06E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w:t>
            </w:r>
          </w:p>
        </w:tc>
        <w:tc>
          <w:tcPr>
            <w:tcW w:w="1984" w:type="dxa"/>
            <w:tcBorders>
              <w:top w:val="nil"/>
              <w:left w:val="nil"/>
              <w:bottom w:val="single" w:sz="4" w:space="0" w:color="auto"/>
              <w:right w:val="single" w:sz="4" w:space="0" w:color="auto"/>
            </w:tcBorders>
            <w:shd w:val="clear" w:color="auto" w:fill="auto"/>
            <w:vAlign w:val="center"/>
            <w:hideMark/>
          </w:tcPr>
          <w:p w14:paraId="0D8209D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14-18</w:t>
            </w:r>
          </w:p>
        </w:tc>
        <w:tc>
          <w:tcPr>
            <w:tcW w:w="1843" w:type="dxa"/>
            <w:tcBorders>
              <w:top w:val="nil"/>
              <w:left w:val="nil"/>
              <w:bottom w:val="single" w:sz="4" w:space="0" w:color="auto"/>
              <w:right w:val="single" w:sz="8" w:space="0" w:color="auto"/>
            </w:tcBorders>
            <w:shd w:val="clear" w:color="auto" w:fill="auto"/>
            <w:vAlign w:val="center"/>
            <w:hideMark/>
          </w:tcPr>
          <w:p w14:paraId="50C1285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w:t>
            </w:r>
          </w:p>
        </w:tc>
      </w:tr>
      <w:tr w:rsidR="00724028" w:rsidRPr="0020656B" w14:paraId="24881597"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vAlign w:val="center"/>
            <w:hideMark/>
          </w:tcPr>
          <w:p w14:paraId="505D974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19-22</w:t>
            </w:r>
          </w:p>
        </w:tc>
        <w:tc>
          <w:tcPr>
            <w:tcW w:w="1701" w:type="dxa"/>
            <w:tcBorders>
              <w:top w:val="nil"/>
              <w:left w:val="nil"/>
              <w:bottom w:val="single" w:sz="4" w:space="0" w:color="auto"/>
              <w:right w:val="single" w:sz="8" w:space="0" w:color="auto"/>
            </w:tcBorders>
            <w:shd w:val="clear" w:color="auto" w:fill="auto"/>
            <w:vAlign w:val="center"/>
            <w:hideMark/>
          </w:tcPr>
          <w:p w14:paraId="3181A50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w:t>
            </w:r>
          </w:p>
        </w:tc>
        <w:tc>
          <w:tcPr>
            <w:tcW w:w="1984" w:type="dxa"/>
            <w:tcBorders>
              <w:top w:val="nil"/>
              <w:left w:val="nil"/>
              <w:bottom w:val="single" w:sz="4" w:space="0" w:color="auto"/>
              <w:right w:val="single" w:sz="4" w:space="0" w:color="auto"/>
            </w:tcBorders>
            <w:shd w:val="clear" w:color="auto" w:fill="auto"/>
            <w:vAlign w:val="center"/>
            <w:hideMark/>
          </w:tcPr>
          <w:p w14:paraId="55A60C9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19-22</w:t>
            </w:r>
          </w:p>
        </w:tc>
        <w:tc>
          <w:tcPr>
            <w:tcW w:w="1843" w:type="dxa"/>
            <w:tcBorders>
              <w:top w:val="nil"/>
              <w:left w:val="nil"/>
              <w:bottom w:val="single" w:sz="4" w:space="0" w:color="auto"/>
              <w:right w:val="single" w:sz="8" w:space="0" w:color="auto"/>
            </w:tcBorders>
            <w:shd w:val="clear" w:color="auto" w:fill="auto"/>
            <w:vAlign w:val="center"/>
            <w:hideMark/>
          </w:tcPr>
          <w:p w14:paraId="5E3EA68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w:t>
            </w:r>
          </w:p>
        </w:tc>
      </w:tr>
      <w:tr w:rsidR="00724028" w:rsidRPr="0020656B" w14:paraId="33A1CC18"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vAlign w:val="center"/>
            <w:hideMark/>
          </w:tcPr>
          <w:p w14:paraId="13B0F55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23-27</w:t>
            </w:r>
          </w:p>
        </w:tc>
        <w:tc>
          <w:tcPr>
            <w:tcW w:w="1701" w:type="dxa"/>
            <w:tcBorders>
              <w:top w:val="nil"/>
              <w:left w:val="nil"/>
              <w:bottom w:val="single" w:sz="4" w:space="0" w:color="auto"/>
              <w:right w:val="single" w:sz="8" w:space="0" w:color="auto"/>
            </w:tcBorders>
            <w:shd w:val="clear" w:color="auto" w:fill="auto"/>
            <w:vAlign w:val="center"/>
            <w:hideMark/>
          </w:tcPr>
          <w:p w14:paraId="06C08F8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w:t>
            </w:r>
          </w:p>
        </w:tc>
        <w:tc>
          <w:tcPr>
            <w:tcW w:w="1984" w:type="dxa"/>
            <w:tcBorders>
              <w:top w:val="nil"/>
              <w:left w:val="nil"/>
              <w:bottom w:val="single" w:sz="4" w:space="0" w:color="auto"/>
              <w:right w:val="single" w:sz="4" w:space="0" w:color="auto"/>
            </w:tcBorders>
            <w:shd w:val="clear" w:color="auto" w:fill="auto"/>
            <w:vAlign w:val="center"/>
            <w:hideMark/>
          </w:tcPr>
          <w:p w14:paraId="244FED9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23-27</w:t>
            </w:r>
          </w:p>
        </w:tc>
        <w:tc>
          <w:tcPr>
            <w:tcW w:w="1843" w:type="dxa"/>
            <w:tcBorders>
              <w:top w:val="nil"/>
              <w:left w:val="nil"/>
              <w:bottom w:val="single" w:sz="4" w:space="0" w:color="auto"/>
              <w:right w:val="single" w:sz="8" w:space="0" w:color="auto"/>
            </w:tcBorders>
            <w:shd w:val="clear" w:color="auto" w:fill="auto"/>
            <w:vAlign w:val="center"/>
            <w:hideMark/>
          </w:tcPr>
          <w:p w14:paraId="295B6E43"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w:t>
            </w:r>
          </w:p>
        </w:tc>
      </w:tr>
      <w:tr w:rsidR="00724028" w:rsidRPr="0020656B" w14:paraId="5497972E"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vAlign w:val="center"/>
            <w:hideMark/>
          </w:tcPr>
          <w:p w14:paraId="611F80B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28-31</w:t>
            </w:r>
          </w:p>
        </w:tc>
        <w:tc>
          <w:tcPr>
            <w:tcW w:w="1701" w:type="dxa"/>
            <w:tcBorders>
              <w:top w:val="nil"/>
              <w:left w:val="nil"/>
              <w:bottom w:val="single" w:sz="4" w:space="0" w:color="auto"/>
              <w:right w:val="single" w:sz="8" w:space="0" w:color="auto"/>
            </w:tcBorders>
            <w:shd w:val="clear" w:color="auto" w:fill="auto"/>
            <w:vAlign w:val="center"/>
            <w:hideMark/>
          </w:tcPr>
          <w:p w14:paraId="10990D8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w:t>
            </w:r>
          </w:p>
        </w:tc>
        <w:tc>
          <w:tcPr>
            <w:tcW w:w="1984" w:type="dxa"/>
            <w:tcBorders>
              <w:top w:val="nil"/>
              <w:left w:val="nil"/>
              <w:bottom w:val="single" w:sz="4" w:space="0" w:color="auto"/>
              <w:right w:val="single" w:sz="4" w:space="0" w:color="auto"/>
            </w:tcBorders>
            <w:shd w:val="clear" w:color="auto" w:fill="auto"/>
            <w:vAlign w:val="center"/>
            <w:hideMark/>
          </w:tcPr>
          <w:p w14:paraId="5AA9886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28-31</w:t>
            </w:r>
          </w:p>
        </w:tc>
        <w:tc>
          <w:tcPr>
            <w:tcW w:w="1843" w:type="dxa"/>
            <w:tcBorders>
              <w:top w:val="nil"/>
              <w:left w:val="nil"/>
              <w:bottom w:val="single" w:sz="4" w:space="0" w:color="auto"/>
              <w:right w:val="single" w:sz="8" w:space="0" w:color="auto"/>
            </w:tcBorders>
            <w:shd w:val="clear" w:color="auto" w:fill="auto"/>
            <w:vAlign w:val="center"/>
            <w:hideMark/>
          </w:tcPr>
          <w:p w14:paraId="34E1C6E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w:t>
            </w:r>
          </w:p>
        </w:tc>
      </w:tr>
      <w:tr w:rsidR="00724028" w:rsidRPr="0020656B" w14:paraId="4FBA14B3"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vAlign w:val="center"/>
            <w:hideMark/>
          </w:tcPr>
          <w:p w14:paraId="568F99B3"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32-36</w:t>
            </w:r>
          </w:p>
        </w:tc>
        <w:tc>
          <w:tcPr>
            <w:tcW w:w="1701" w:type="dxa"/>
            <w:tcBorders>
              <w:top w:val="nil"/>
              <w:left w:val="nil"/>
              <w:bottom w:val="single" w:sz="4" w:space="0" w:color="auto"/>
              <w:right w:val="single" w:sz="8" w:space="0" w:color="auto"/>
            </w:tcBorders>
            <w:shd w:val="clear" w:color="auto" w:fill="auto"/>
            <w:vAlign w:val="center"/>
            <w:hideMark/>
          </w:tcPr>
          <w:p w14:paraId="5E0847A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w:t>
            </w:r>
          </w:p>
        </w:tc>
        <w:tc>
          <w:tcPr>
            <w:tcW w:w="1984" w:type="dxa"/>
            <w:tcBorders>
              <w:top w:val="nil"/>
              <w:left w:val="nil"/>
              <w:bottom w:val="single" w:sz="4" w:space="0" w:color="auto"/>
              <w:right w:val="single" w:sz="4" w:space="0" w:color="auto"/>
            </w:tcBorders>
            <w:shd w:val="clear" w:color="auto" w:fill="auto"/>
            <w:vAlign w:val="center"/>
            <w:hideMark/>
          </w:tcPr>
          <w:p w14:paraId="7EB1095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32-36</w:t>
            </w:r>
          </w:p>
        </w:tc>
        <w:tc>
          <w:tcPr>
            <w:tcW w:w="1843" w:type="dxa"/>
            <w:tcBorders>
              <w:top w:val="nil"/>
              <w:left w:val="nil"/>
              <w:bottom w:val="single" w:sz="4" w:space="0" w:color="auto"/>
              <w:right w:val="single" w:sz="8" w:space="0" w:color="auto"/>
            </w:tcBorders>
            <w:shd w:val="clear" w:color="auto" w:fill="auto"/>
            <w:vAlign w:val="center"/>
            <w:hideMark/>
          </w:tcPr>
          <w:p w14:paraId="68C103C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w:t>
            </w:r>
          </w:p>
        </w:tc>
      </w:tr>
      <w:tr w:rsidR="00724028" w:rsidRPr="0020656B" w14:paraId="35BB254A"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vAlign w:val="center"/>
            <w:hideMark/>
          </w:tcPr>
          <w:p w14:paraId="30B8EE1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37-40</w:t>
            </w:r>
          </w:p>
        </w:tc>
        <w:tc>
          <w:tcPr>
            <w:tcW w:w="1701" w:type="dxa"/>
            <w:tcBorders>
              <w:top w:val="nil"/>
              <w:left w:val="nil"/>
              <w:bottom w:val="single" w:sz="4" w:space="0" w:color="auto"/>
              <w:right w:val="single" w:sz="8" w:space="0" w:color="auto"/>
            </w:tcBorders>
            <w:shd w:val="clear" w:color="auto" w:fill="auto"/>
            <w:vAlign w:val="center"/>
            <w:hideMark/>
          </w:tcPr>
          <w:p w14:paraId="4192EB1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w:t>
            </w:r>
          </w:p>
        </w:tc>
        <w:tc>
          <w:tcPr>
            <w:tcW w:w="1984" w:type="dxa"/>
            <w:tcBorders>
              <w:top w:val="nil"/>
              <w:left w:val="nil"/>
              <w:bottom w:val="single" w:sz="4" w:space="0" w:color="auto"/>
              <w:right w:val="single" w:sz="4" w:space="0" w:color="auto"/>
            </w:tcBorders>
            <w:shd w:val="clear" w:color="auto" w:fill="auto"/>
            <w:vAlign w:val="center"/>
            <w:hideMark/>
          </w:tcPr>
          <w:p w14:paraId="3C52433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37-40</w:t>
            </w:r>
          </w:p>
        </w:tc>
        <w:tc>
          <w:tcPr>
            <w:tcW w:w="1843" w:type="dxa"/>
            <w:tcBorders>
              <w:top w:val="nil"/>
              <w:left w:val="nil"/>
              <w:bottom w:val="single" w:sz="4" w:space="0" w:color="auto"/>
              <w:right w:val="single" w:sz="8" w:space="0" w:color="auto"/>
            </w:tcBorders>
            <w:shd w:val="clear" w:color="auto" w:fill="auto"/>
            <w:vAlign w:val="center"/>
            <w:hideMark/>
          </w:tcPr>
          <w:p w14:paraId="3AE9C86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w:t>
            </w:r>
          </w:p>
        </w:tc>
      </w:tr>
      <w:tr w:rsidR="00724028" w:rsidRPr="0020656B" w14:paraId="06B8135C"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vAlign w:val="center"/>
            <w:hideMark/>
          </w:tcPr>
          <w:p w14:paraId="67924EF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41-45</w:t>
            </w:r>
          </w:p>
        </w:tc>
        <w:tc>
          <w:tcPr>
            <w:tcW w:w="1701" w:type="dxa"/>
            <w:tcBorders>
              <w:top w:val="nil"/>
              <w:left w:val="nil"/>
              <w:bottom w:val="single" w:sz="4" w:space="0" w:color="auto"/>
              <w:right w:val="single" w:sz="8" w:space="0" w:color="auto"/>
            </w:tcBorders>
            <w:shd w:val="clear" w:color="auto" w:fill="auto"/>
            <w:vAlign w:val="center"/>
            <w:hideMark/>
          </w:tcPr>
          <w:p w14:paraId="72ED2835"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10</w:t>
            </w:r>
          </w:p>
        </w:tc>
        <w:tc>
          <w:tcPr>
            <w:tcW w:w="1984" w:type="dxa"/>
            <w:tcBorders>
              <w:top w:val="nil"/>
              <w:left w:val="nil"/>
              <w:bottom w:val="single" w:sz="4" w:space="0" w:color="auto"/>
              <w:right w:val="single" w:sz="4" w:space="0" w:color="auto"/>
            </w:tcBorders>
            <w:shd w:val="clear" w:color="auto" w:fill="auto"/>
            <w:vAlign w:val="center"/>
            <w:hideMark/>
          </w:tcPr>
          <w:p w14:paraId="0F2C7377"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41-45</w:t>
            </w:r>
          </w:p>
        </w:tc>
        <w:tc>
          <w:tcPr>
            <w:tcW w:w="1843" w:type="dxa"/>
            <w:tcBorders>
              <w:top w:val="nil"/>
              <w:left w:val="nil"/>
              <w:bottom w:val="single" w:sz="4" w:space="0" w:color="auto"/>
              <w:right w:val="single" w:sz="8" w:space="0" w:color="auto"/>
            </w:tcBorders>
            <w:shd w:val="clear" w:color="auto" w:fill="auto"/>
            <w:vAlign w:val="center"/>
            <w:hideMark/>
          </w:tcPr>
          <w:p w14:paraId="3756599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10</w:t>
            </w:r>
          </w:p>
        </w:tc>
      </w:tr>
      <w:tr w:rsidR="00724028" w:rsidRPr="0020656B" w14:paraId="4FBFF54F"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vAlign w:val="center"/>
            <w:hideMark/>
          </w:tcPr>
          <w:p w14:paraId="5ECB5C8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46-50</w:t>
            </w:r>
          </w:p>
        </w:tc>
        <w:tc>
          <w:tcPr>
            <w:tcW w:w="1701" w:type="dxa"/>
            <w:tcBorders>
              <w:top w:val="nil"/>
              <w:left w:val="nil"/>
              <w:bottom w:val="single" w:sz="4" w:space="0" w:color="auto"/>
              <w:right w:val="single" w:sz="8" w:space="0" w:color="auto"/>
            </w:tcBorders>
            <w:shd w:val="clear" w:color="auto" w:fill="auto"/>
            <w:vAlign w:val="center"/>
            <w:hideMark/>
          </w:tcPr>
          <w:p w14:paraId="3AAA8CE7"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11</w:t>
            </w:r>
          </w:p>
        </w:tc>
        <w:tc>
          <w:tcPr>
            <w:tcW w:w="1984" w:type="dxa"/>
            <w:tcBorders>
              <w:top w:val="nil"/>
              <w:left w:val="nil"/>
              <w:bottom w:val="single" w:sz="4" w:space="0" w:color="auto"/>
              <w:right w:val="single" w:sz="4" w:space="0" w:color="auto"/>
            </w:tcBorders>
            <w:shd w:val="clear" w:color="auto" w:fill="auto"/>
            <w:vAlign w:val="center"/>
            <w:hideMark/>
          </w:tcPr>
          <w:p w14:paraId="3BEC412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46-50</w:t>
            </w:r>
          </w:p>
        </w:tc>
        <w:tc>
          <w:tcPr>
            <w:tcW w:w="1843" w:type="dxa"/>
            <w:tcBorders>
              <w:top w:val="nil"/>
              <w:left w:val="nil"/>
              <w:bottom w:val="single" w:sz="4" w:space="0" w:color="auto"/>
              <w:right w:val="single" w:sz="8" w:space="0" w:color="auto"/>
            </w:tcBorders>
            <w:shd w:val="clear" w:color="auto" w:fill="auto"/>
            <w:vAlign w:val="center"/>
            <w:hideMark/>
          </w:tcPr>
          <w:p w14:paraId="718D2B3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11</w:t>
            </w:r>
          </w:p>
        </w:tc>
      </w:tr>
      <w:tr w:rsidR="00724028" w:rsidRPr="0020656B" w14:paraId="749D3CC2"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vAlign w:val="center"/>
            <w:hideMark/>
          </w:tcPr>
          <w:p w14:paraId="1232BC2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lastRenderedPageBreak/>
              <w:t>51-54</w:t>
            </w:r>
          </w:p>
        </w:tc>
        <w:tc>
          <w:tcPr>
            <w:tcW w:w="1701" w:type="dxa"/>
            <w:tcBorders>
              <w:top w:val="nil"/>
              <w:left w:val="nil"/>
              <w:bottom w:val="single" w:sz="4" w:space="0" w:color="auto"/>
              <w:right w:val="single" w:sz="8" w:space="0" w:color="auto"/>
            </w:tcBorders>
            <w:shd w:val="clear" w:color="auto" w:fill="auto"/>
            <w:vAlign w:val="center"/>
            <w:hideMark/>
          </w:tcPr>
          <w:p w14:paraId="3F69FA7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12</w:t>
            </w:r>
          </w:p>
        </w:tc>
        <w:tc>
          <w:tcPr>
            <w:tcW w:w="1984" w:type="dxa"/>
            <w:tcBorders>
              <w:top w:val="nil"/>
              <w:left w:val="nil"/>
              <w:bottom w:val="single" w:sz="4" w:space="0" w:color="auto"/>
              <w:right w:val="single" w:sz="4" w:space="0" w:color="auto"/>
            </w:tcBorders>
            <w:shd w:val="clear" w:color="auto" w:fill="auto"/>
            <w:vAlign w:val="center"/>
            <w:hideMark/>
          </w:tcPr>
          <w:p w14:paraId="5FB990B3"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51-54</w:t>
            </w:r>
          </w:p>
        </w:tc>
        <w:tc>
          <w:tcPr>
            <w:tcW w:w="1843" w:type="dxa"/>
            <w:tcBorders>
              <w:top w:val="nil"/>
              <w:left w:val="nil"/>
              <w:bottom w:val="single" w:sz="4" w:space="0" w:color="auto"/>
              <w:right w:val="single" w:sz="8" w:space="0" w:color="auto"/>
            </w:tcBorders>
            <w:shd w:val="clear" w:color="auto" w:fill="auto"/>
            <w:vAlign w:val="center"/>
            <w:hideMark/>
          </w:tcPr>
          <w:p w14:paraId="6CF1001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12</w:t>
            </w:r>
          </w:p>
        </w:tc>
      </w:tr>
      <w:tr w:rsidR="00724028" w:rsidRPr="0020656B" w14:paraId="1A8F8837"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4F30C68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55-59</w:t>
            </w:r>
          </w:p>
        </w:tc>
        <w:tc>
          <w:tcPr>
            <w:tcW w:w="1701" w:type="dxa"/>
            <w:tcBorders>
              <w:top w:val="nil"/>
              <w:left w:val="nil"/>
              <w:bottom w:val="single" w:sz="4" w:space="0" w:color="auto"/>
              <w:right w:val="single" w:sz="8" w:space="0" w:color="auto"/>
            </w:tcBorders>
            <w:shd w:val="clear" w:color="auto" w:fill="auto"/>
            <w:noWrap/>
            <w:vAlign w:val="bottom"/>
            <w:hideMark/>
          </w:tcPr>
          <w:p w14:paraId="1D3DF49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13</w:t>
            </w:r>
          </w:p>
        </w:tc>
        <w:tc>
          <w:tcPr>
            <w:tcW w:w="1984" w:type="dxa"/>
            <w:tcBorders>
              <w:top w:val="nil"/>
              <w:left w:val="nil"/>
              <w:bottom w:val="single" w:sz="4" w:space="0" w:color="auto"/>
              <w:right w:val="single" w:sz="4" w:space="0" w:color="auto"/>
            </w:tcBorders>
            <w:shd w:val="clear" w:color="auto" w:fill="auto"/>
            <w:noWrap/>
            <w:vAlign w:val="bottom"/>
            <w:hideMark/>
          </w:tcPr>
          <w:p w14:paraId="6CDD889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55-59</w:t>
            </w:r>
          </w:p>
        </w:tc>
        <w:tc>
          <w:tcPr>
            <w:tcW w:w="1843" w:type="dxa"/>
            <w:tcBorders>
              <w:top w:val="nil"/>
              <w:left w:val="nil"/>
              <w:bottom w:val="single" w:sz="4" w:space="0" w:color="auto"/>
              <w:right w:val="single" w:sz="8" w:space="0" w:color="auto"/>
            </w:tcBorders>
            <w:shd w:val="clear" w:color="auto" w:fill="auto"/>
            <w:noWrap/>
            <w:vAlign w:val="bottom"/>
            <w:hideMark/>
          </w:tcPr>
          <w:p w14:paraId="09CD0D9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13</w:t>
            </w:r>
          </w:p>
        </w:tc>
      </w:tr>
      <w:tr w:rsidR="00724028" w:rsidRPr="0020656B" w14:paraId="75785742"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0F69737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60-63</w:t>
            </w:r>
          </w:p>
        </w:tc>
        <w:tc>
          <w:tcPr>
            <w:tcW w:w="1701" w:type="dxa"/>
            <w:tcBorders>
              <w:top w:val="nil"/>
              <w:left w:val="nil"/>
              <w:bottom w:val="single" w:sz="4" w:space="0" w:color="auto"/>
              <w:right w:val="single" w:sz="8" w:space="0" w:color="auto"/>
            </w:tcBorders>
            <w:shd w:val="clear" w:color="auto" w:fill="auto"/>
            <w:noWrap/>
            <w:vAlign w:val="bottom"/>
            <w:hideMark/>
          </w:tcPr>
          <w:p w14:paraId="5B7F224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14</w:t>
            </w:r>
          </w:p>
        </w:tc>
        <w:tc>
          <w:tcPr>
            <w:tcW w:w="1984" w:type="dxa"/>
            <w:tcBorders>
              <w:top w:val="nil"/>
              <w:left w:val="nil"/>
              <w:bottom w:val="single" w:sz="4" w:space="0" w:color="auto"/>
              <w:right w:val="single" w:sz="4" w:space="0" w:color="auto"/>
            </w:tcBorders>
            <w:shd w:val="clear" w:color="auto" w:fill="auto"/>
            <w:noWrap/>
            <w:vAlign w:val="bottom"/>
            <w:hideMark/>
          </w:tcPr>
          <w:p w14:paraId="3753B2C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60-63</w:t>
            </w:r>
          </w:p>
        </w:tc>
        <w:tc>
          <w:tcPr>
            <w:tcW w:w="1843" w:type="dxa"/>
            <w:tcBorders>
              <w:top w:val="nil"/>
              <w:left w:val="nil"/>
              <w:bottom w:val="single" w:sz="4" w:space="0" w:color="auto"/>
              <w:right w:val="single" w:sz="8" w:space="0" w:color="auto"/>
            </w:tcBorders>
            <w:shd w:val="clear" w:color="auto" w:fill="auto"/>
            <w:noWrap/>
            <w:vAlign w:val="bottom"/>
            <w:hideMark/>
          </w:tcPr>
          <w:p w14:paraId="20FF193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14</w:t>
            </w:r>
          </w:p>
        </w:tc>
      </w:tr>
      <w:tr w:rsidR="00724028" w:rsidRPr="0020656B" w14:paraId="5CADF3F9"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24B862D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64-68</w:t>
            </w:r>
          </w:p>
        </w:tc>
        <w:tc>
          <w:tcPr>
            <w:tcW w:w="1701" w:type="dxa"/>
            <w:tcBorders>
              <w:top w:val="nil"/>
              <w:left w:val="nil"/>
              <w:bottom w:val="single" w:sz="4" w:space="0" w:color="auto"/>
              <w:right w:val="single" w:sz="8" w:space="0" w:color="auto"/>
            </w:tcBorders>
            <w:shd w:val="clear" w:color="auto" w:fill="auto"/>
            <w:noWrap/>
            <w:vAlign w:val="bottom"/>
            <w:hideMark/>
          </w:tcPr>
          <w:p w14:paraId="50B54A5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15</w:t>
            </w:r>
          </w:p>
        </w:tc>
        <w:tc>
          <w:tcPr>
            <w:tcW w:w="1984" w:type="dxa"/>
            <w:tcBorders>
              <w:top w:val="nil"/>
              <w:left w:val="nil"/>
              <w:bottom w:val="single" w:sz="4" w:space="0" w:color="auto"/>
              <w:right w:val="single" w:sz="4" w:space="0" w:color="auto"/>
            </w:tcBorders>
            <w:shd w:val="clear" w:color="auto" w:fill="auto"/>
            <w:noWrap/>
            <w:vAlign w:val="bottom"/>
            <w:hideMark/>
          </w:tcPr>
          <w:p w14:paraId="55F1E33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64-68</w:t>
            </w:r>
          </w:p>
        </w:tc>
        <w:tc>
          <w:tcPr>
            <w:tcW w:w="1843" w:type="dxa"/>
            <w:tcBorders>
              <w:top w:val="nil"/>
              <w:left w:val="nil"/>
              <w:bottom w:val="single" w:sz="4" w:space="0" w:color="auto"/>
              <w:right w:val="single" w:sz="8" w:space="0" w:color="auto"/>
            </w:tcBorders>
            <w:shd w:val="clear" w:color="auto" w:fill="auto"/>
            <w:noWrap/>
            <w:vAlign w:val="bottom"/>
            <w:hideMark/>
          </w:tcPr>
          <w:p w14:paraId="3BA5A4B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15</w:t>
            </w:r>
          </w:p>
        </w:tc>
      </w:tr>
      <w:tr w:rsidR="00724028" w:rsidRPr="0020656B" w14:paraId="65059819"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18758754"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69-73</w:t>
            </w:r>
          </w:p>
        </w:tc>
        <w:tc>
          <w:tcPr>
            <w:tcW w:w="1701" w:type="dxa"/>
            <w:tcBorders>
              <w:top w:val="nil"/>
              <w:left w:val="nil"/>
              <w:bottom w:val="single" w:sz="4" w:space="0" w:color="auto"/>
              <w:right w:val="single" w:sz="8" w:space="0" w:color="auto"/>
            </w:tcBorders>
            <w:shd w:val="clear" w:color="auto" w:fill="auto"/>
            <w:noWrap/>
            <w:vAlign w:val="bottom"/>
            <w:hideMark/>
          </w:tcPr>
          <w:p w14:paraId="6FD55C4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16</w:t>
            </w:r>
          </w:p>
        </w:tc>
        <w:tc>
          <w:tcPr>
            <w:tcW w:w="1984" w:type="dxa"/>
            <w:tcBorders>
              <w:top w:val="nil"/>
              <w:left w:val="nil"/>
              <w:bottom w:val="single" w:sz="4" w:space="0" w:color="auto"/>
              <w:right w:val="single" w:sz="4" w:space="0" w:color="auto"/>
            </w:tcBorders>
            <w:shd w:val="clear" w:color="auto" w:fill="auto"/>
            <w:noWrap/>
            <w:vAlign w:val="bottom"/>
            <w:hideMark/>
          </w:tcPr>
          <w:p w14:paraId="6741396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69-73</w:t>
            </w:r>
          </w:p>
        </w:tc>
        <w:tc>
          <w:tcPr>
            <w:tcW w:w="1843" w:type="dxa"/>
            <w:tcBorders>
              <w:top w:val="nil"/>
              <w:left w:val="nil"/>
              <w:bottom w:val="single" w:sz="4" w:space="0" w:color="auto"/>
              <w:right w:val="single" w:sz="8" w:space="0" w:color="auto"/>
            </w:tcBorders>
            <w:shd w:val="clear" w:color="auto" w:fill="auto"/>
            <w:noWrap/>
            <w:vAlign w:val="bottom"/>
            <w:hideMark/>
          </w:tcPr>
          <w:p w14:paraId="4C43EDC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16</w:t>
            </w:r>
          </w:p>
        </w:tc>
      </w:tr>
      <w:tr w:rsidR="00724028" w:rsidRPr="0020656B" w14:paraId="47815AB6"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22A8E8C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74-77</w:t>
            </w:r>
          </w:p>
        </w:tc>
        <w:tc>
          <w:tcPr>
            <w:tcW w:w="1701" w:type="dxa"/>
            <w:tcBorders>
              <w:top w:val="nil"/>
              <w:left w:val="nil"/>
              <w:bottom w:val="single" w:sz="4" w:space="0" w:color="auto"/>
              <w:right w:val="single" w:sz="8" w:space="0" w:color="auto"/>
            </w:tcBorders>
            <w:shd w:val="clear" w:color="auto" w:fill="auto"/>
            <w:noWrap/>
            <w:vAlign w:val="bottom"/>
            <w:hideMark/>
          </w:tcPr>
          <w:p w14:paraId="44F5D64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17</w:t>
            </w:r>
          </w:p>
        </w:tc>
        <w:tc>
          <w:tcPr>
            <w:tcW w:w="1984" w:type="dxa"/>
            <w:tcBorders>
              <w:top w:val="nil"/>
              <w:left w:val="nil"/>
              <w:bottom w:val="single" w:sz="4" w:space="0" w:color="auto"/>
              <w:right w:val="single" w:sz="4" w:space="0" w:color="auto"/>
            </w:tcBorders>
            <w:shd w:val="clear" w:color="auto" w:fill="auto"/>
            <w:noWrap/>
            <w:vAlign w:val="bottom"/>
            <w:hideMark/>
          </w:tcPr>
          <w:p w14:paraId="262A5B67"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74-77</w:t>
            </w:r>
          </w:p>
        </w:tc>
        <w:tc>
          <w:tcPr>
            <w:tcW w:w="1843" w:type="dxa"/>
            <w:tcBorders>
              <w:top w:val="nil"/>
              <w:left w:val="nil"/>
              <w:bottom w:val="single" w:sz="4" w:space="0" w:color="auto"/>
              <w:right w:val="single" w:sz="8" w:space="0" w:color="auto"/>
            </w:tcBorders>
            <w:shd w:val="clear" w:color="auto" w:fill="auto"/>
            <w:noWrap/>
            <w:vAlign w:val="bottom"/>
            <w:hideMark/>
          </w:tcPr>
          <w:p w14:paraId="420150B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17</w:t>
            </w:r>
          </w:p>
        </w:tc>
      </w:tr>
      <w:tr w:rsidR="00724028" w:rsidRPr="0020656B" w14:paraId="18C47718"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4881CBB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78-82</w:t>
            </w:r>
          </w:p>
        </w:tc>
        <w:tc>
          <w:tcPr>
            <w:tcW w:w="1701" w:type="dxa"/>
            <w:tcBorders>
              <w:top w:val="nil"/>
              <w:left w:val="nil"/>
              <w:bottom w:val="single" w:sz="4" w:space="0" w:color="auto"/>
              <w:right w:val="single" w:sz="8" w:space="0" w:color="auto"/>
            </w:tcBorders>
            <w:shd w:val="clear" w:color="auto" w:fill="auto"/>
            <w:noWrap/>
            <w:vAlign w:val="bottom"/>
            <w:hideMark/>
          </w:tcPr>
          <w:p w14:paraId="3671E06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18</w:t>
            </w:r>
          </w:p>
        </w:tc>
        <w:tc>
          <w:tcPr>
            <w:tcW w:w="1984" w:type="dxa"/>
            <w:tcBorders>
              <w:top w:val="nil"/>
              <w:left w:val="nil"/>
              <w:bottom w:val="single" w:sz="4" w:space="0" w:color="auto"/>
              <w:right w:val="single" w:sz="4" w:space="0" w:color="auto"/>
            </w:tcBorders>
            <w:shd w:val="clear" w:color="auto" w:fill="auto"/>
            <w:noWrap/>
            <w:vAlign w:val="bottom"/>
            <w:hideMark/>
          </w:tcPr>
          <w:p w14:paraId="49BAF25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78-82</w:t>
            </w:r>
          </w:p>
        </w:tc>
        <w:tc>
          <w:tcPr>
            <w:tcW w:w="1843" w:type="dxa"/>
            <w:tcBorders>
              <w:top w:val="nil"/>
              <w:left w:val="nil"/>
              <w:bottom w:val="single" w:sz="4" w:space="0" w:color="auto"/>
              <w:right w:val="single" w:sz="8" w:space="0" w:color="auto"/>
            </w:tcBorders>
            <w:shd w:val="clear" w:color="auto" w:fill="auto"/>
            <w:noWrap/>
            <w:vAlign w:val="bottom"/>
            <w:hideMark/>
          </w:tcPr>
          <w:p w14:paraId="23EEBC8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18</w:t>
            </w:r>
          </w:p>
        </w:tc>
      </w:tr>
      <w:tr w:rsidR="00724028" w:rsidRPr="0020656B" w14:paraId="142F05D9"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44198F9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83-86</w:t>
            </w:r>
          </w:p>
        </w:tc>
        <w:tc>
          <w:tcPr>
            <w:tcW w:w="1701" w:type="dxa"/>
            <w:tcBorders>
              <w:top w:val="nil"/>
              <w:left w:val="nil"/>
              <w:bottom w:val="single" w:sz="4" w:space="0" w:color="auto"/>
              <w:right w:val="single" w:sz="8" w:space="0" w:color="auto"/>
            </w:tcBorders>
            <w:shd w:val="clear" w:color="auto" w:fill="auto"/>
            <w:noWrap/>
            <w:vAlign w:val="bottom"/>
            <w:hideMark/>
          </w:tcPr>
          <w:p w14:paraId="23A64C5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19</w:t>
            </w:r>
          </w:p>
        </w:tc>
        <w:tc>
          <w:tcPr>
            <w:tcW w:w="1984" w:type="dxa"/>
            <w:tcBorders>
              <w:top w:val="nil"/>
              <w:left w:val="nil"/>
              <w:bottom w:val="single" w:sz="4" w:space="0" w:color="auto"/>
              <w:right w:val="single" w:sz="4" w:space="0" w:color="auto"/>
            </w:tcBorders>
            <w:shd w:val="clear" w:color="auto" w:fill="auto"/>
            <w:noWrap/>
            <w:vAlign w:val="bottom"/>
            <w:hideMark/>
          </w:tcPr>
          <w:p w14:paraId="3DCBF0E3"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83-86</w:t>
            </w:r>
          </w:p>
        </w:tc>
        <w:tc>
          <w:tcPr>
            <w:tcW w:w="1843" w:type="dxa"/>
            <w:tcBorders>
              <w:top w:val="nil"/>
              <w:left w:val="nil"/>
              <w:bottom w:val="single" w:sz="4" w:space="0" w:color="auto"/>
              <w:right w:val="single" w:sz="8" w:space="0" w:color="auto"/>
            </w:tcBorders>
            <w:shd w:val="clear" w:color="auto" w:fill="auto"/>
            <w:noWrap/>
            <w:vAlign w:val="bottom"/>
            <w:hideMark/>
          </w:tcPr>
          <w:p w14:paraId="53E5064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19</w:t>
            </w:r>
          </w:p>
        </w:tc>
      </w:tr>
      <w:tr w:rsidR="00724028" w:rsidRPr="0020656B" w14:paraId="0BF3C71A"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6B001BD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87-91</w:t>
            </w:r>
          </w:p>
        </w:tc>
        <w:tc>
          <w:tcPr>
            <w:tcW w:w="1701" w:type="dxa"/>
            <w:tcBorders>
              <w:top w:val="nil"/>
              <w:left w:val="nil"/>
              <w:bottom w:val="single" w:sz="4" w:space="0" w:color="auto"/>
              <w:right w:val="single" w:sz="8" w:space="0" w:color="auto"/>
            </w:tcBorders>
            <w:shd w:val="clear" w:color="auto" w:fill="auto"/>
            <w:noWrap/>
            <w:vAlign w:val="bottom"/>
            <w:hideMark/>
          </w:tcPr>
          <w:p w14:paraId="7E37ED6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20</w:t>
            </w:r>
          </w:p>
        </w:tc>
        <w:tc>
          <w:tcPr>
            <w:tcW w:w="1984" w:type="dxa"/>
            <w:tcBorders>
              <w:top w:val="nil"/>
              <w:left w:val="nil"/>
              <w:bottom w:val="single" w:sz="4" w:space="0" w:color="auto"/>
              <w:right w:val="single" w:sz="4" w:space="0" w:color="auto"/>
            </w:tcBorders>
            <w:shd w:val="clear" w:color="auto" w:fill="auto"/>
            <w:noWrap/>
            <w:vAlign w:val="bottom"/>
            <w:hideMark/>
          </w:tcPr>
          <w:p w14:paraId="429C59F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87-91</w:t>
            </w:r>
          </w:p>
        </w:tc>
        <w:tc>
          <w:tcPr>
            <w:tcW w:w="1843" w:type="dxa"/>
            <w:tcBorders>
              <w:top w:val="nil"/>
              <w:left w:val="nil"/>
              <w:bottom w:val="single" w:sz="4" w:space="0" w:color="auto"/>
              <w:right w:val="single" w:sz="8" w:space="0" w:color="auto"/>
            </w:tcBorders>
            <w:shd w:val="clear" w:color="auto" w:fill="auto"/>
            <w:noWrap/>
            <w:vAlign w:val="bottom"/>
            <w:hideMark/>
          </w:tcPr>
          <w:p w14:paraId="0334642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20</w:t>
            </w:r>
          </w:p>
        </w:tc>
      </w:tr>
      <w:tr w:rsidR="00724028" w:rsidRPr="0020656B" w14:paraId="7C6A6025" w14:textId="77777777" w:rsidTr="001679AB">
        <w:trPr>
          <w:trHeight w:val="381"/>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2229DF2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92-95</w:t>
            </w:r>
          </w:p>
        </w:tc>
        <w:tc>
          <w:tcPr>
            <w:tcW w:w="1701" w:type="dxa"/>
            <w:tcBorders>
              <w:top w:val="nil"/>
              <w:left w:val="nil"/>
              <w:bottom w:val="single" w:sz="4" w:space="0" w:color="auto"/>
              <w:right w:val="single" w:sz="8" w:space="0" w:color="auto"/>
            </w:tcBorders>
            <w:shd w:val="clear" w:color="auto" w:fill="auto"/>
            <w:noWrap/>
            <w:vAlign w:val="bottom"/>
            <w:hideMark/>
          </w:tcPr>
          <w:p w14:paraId="3B61C5A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21</w:t>
            </w:r>
          </w:p>
        </w:tc>
        <w:tc>
          <w:tcPr>
            <w:tcW w:w="1984" w:type="dxa"/>
            <w:tcBorders>
              <w:top w:val="nil"/>
              <w:left w:val="nil"/>
              <w:bottom w:val="single" w:sz="4" w:space="0" w:color="auto"/>
              <w:right w:val="single" w:sz="4" w:space="0" w:color="auto"/>
            </w:tcBorders>
            <w:shd w:val="clear" w:color="auto" w:fill="auto"/>
            <w:noWrap/>
            <w:vAlign w:val="bottom"/>
            <w:hideMark/>
          </w:tcPr>
          <w:p w14:paraId="30E9607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92-95</w:t>
            </w:r>
          </w:p>
        </w:tc>
        <w:tc>
          <w:tcPr>
            <w:tcW w:w="1843" w:type="dxa"/>
            <w:tcBorders>
              <w:top w:val="nil"/>
              <w:left w:val="nil"/>
              <w:bottom w:val="single" w:sz="4" w:space="0" w:color="auto"/>
              <w:right w:val="single" w:sz="8" w:space="0" w:color="auto"/>
            </w:tcBorders>
            <w:shd w:val="clear" w:color="auto" w:fill="auto"/>
            <w:noWrap/>
            <w:vAlign w:val="bottom"/>
            <w:hideMark/>
          </w:tcPr>
          <w:p w14:paraId="04278D74"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21</w:t>
            </w:r>
          </w:p>
        </w:tc>
      </w:tr>
      <w:tr w:rsidR="00724028" w:rsidRPr="0020656B" w14:paraId="585FED62" w14:textId="77777777" w:rsidTr="001679AB">
        <w:trPr>
          <w:trHeight w:val="400"/>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14:paraId="17F776D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96-100</w:t>
            </w:r>
          </w:p>
        </w:tc>
        <w:tc>
          <w:tcPr>
            <w:tcW w:w="1701" w:type="dxa"/>
            <w:tcBorders>
              <w:top w:val="nil"/>
              <w:left w:val="nil"/>
              <w:bottom w:val="single" w:sz="8" w:space="0" w:color="auto"/>
              <w:right w:val="single" w:sz="8" w:space="0" w:color="auto"/>
            </w:tcBorders>
            <w:shd w:val="clear" w:color="auto" w:fill="auto"/>
            <w:noWrap/>
            <w:vAlign w:val="bottom"/>
            <w:hideMark/>
          </w:tcPr>
          <w:p w14:paraId="0B95B75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22</w:t>
            </w:r>
          </w:p>
        </w:tc>
        <w:tc>
          <w:tcPr>
            <w:tcW w:w="1984" w:type="dxa"/>
            <w:tcBorders>
              <w:top w:val="nil"/>
              <w:left w:val="nil"/>
              <w:bottom w:val="single" w:sz="8" w:space="0" w:color="auto"/>
              <w:right w:val="single" w:sz="4" w:space="0" w:color="auto"/>
            </w:tcBorders>
            <w:shd w:val="clear" w:color="auto" w:fill="auto"/>
            <w:noWrap/>
            <w:vAlign w:val="bottom"/>
            <w:hideMark/>
          </w:tcPr>
          <w:p w14:paraId="09A78423"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96-100</w:t>
            </w:r>
          </w:p>
        </w:tc>
        <w:tc>
          <w:tcPr>
            <w:tcW w:w="1843" w:type="dxa"/>
            <w:tcBorders>
              <w:top w:val="nil"/>
              <w:left w:val="nil"/>
              <w:bottom w:val="single" w:sz="8" w:space="0" w:color="auto"/>
              <w:right w:val="single" w:sz="8" w:space="0" w:color="auto"/>
            </w:tcBorders>
            <w:shd w:val="clear" w:color="auto" w:fill="auto"/>
            <w:noWrap/>
            <w:vAlign w:val="bottom"/>
            <w:hideMark/>
          </w:tcPr>
          <w:p w14:paraId="7A84EC0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22</w:t>
            </w:r>
          </w:p>
        </w:tc>
      </w:tr>
    </w:tbl>
    <w:p w14:paraId="7322B9D1" w14:textId="77777777" w:rsidR="00724028" w:rsidRPr="0020656B" w:rsidRDefault="00724028" w:rsidP="00724028">
      <w:pPr>
        <w:spacing w:before="120" w:line="240" w:lineRule="auto"/>
        <w:jc w:val="both"/>
        <w:rPr>
          <w:rFonts w:cs="Arial"/>
          <w:i/>
          <w:lang w:val="sl-SI"/>
        </w:rPr>
      </w:pPr>
    </w:p>
    <w:p w14:paraId="163F7260" w14:textId="77777777" w:rsidR="00724028" w:rsidRPr="0020656B" w:rsidRDefault="00724028" w:rsidP="00724028">
      <w:pPr>
        <w:spacing w:before="120" w:line="240" w:lineRule="auto"/>
        <w:jc w:val="both"/>
        <w:rPr>
          <w:rFonts w:cs="Arial"/>
          <w:i/>
          <w:lang w:val="sl-SI"/>
        </w:rPr>
      </w:pPr>
      <w:r w:rsidRPr="0020656B">
        <w:rPr>
          <w:rFonts w:cs="Arial"/>
          <w:i/>
          <w:lang w:val="sl-SI"/>
        </w:rPr>
        <w:t xml:space="preserve">Opombe k Tabeli 3: </w:t>
      </w:r>
    </w:p>
    <w:p w14:paraId="1B1392A3" w14:textId="3344298A" w:rsidR="00724028" w:rsidRPr="0020656B" w:rsidRDefault="00724028" w:rsidP="00724028">
      <w:pPr>
        <w:spacing w:before="120" w:line="240" w:lineRule="auto"/>
        <w:jc w:val="both"/>
        <w:rPr>
          <w:rFonts w:cs="Arial"/>
          <w:i/>
          <w:lang w:val="sl-SI"/>
        </w:rPr>
      </w:pPr>
      <w:r w:rsidRPr="0020656B">
        <w:rPr>
          <w:rFonts w:cs="Arial"/>
          <w:i/>
          <w:lang w:val="sl-SI"/>
        </w:rPr>
        <w:t>a) v primeru več kot 100 vozil se upošteva delež vsaj 22 % čisti</w:t>
      </w:r>
      <w:r w:rsidR="00F813FD">
        <w:rPr>
          <w:rFonts w:cs="Arial"/>
          <w:i/>
          <w:lang w:val="sl-SI"/>
        </w:rPr>
        <w:t>h</w:t>
      </w:r>
      <w:r w:rsidRPr="0020656B">
        <w:rPr>
          <w:rFonts w:cs="Arial"/>
          <w:i/>
          <w:lang w:val="sl-SI"/>
        </w:rPr>
        <w:t xml:space="preserve"> vozil, tako da se pomnoži število vseh vozil z 0,22 ter zaokroži navzgor na višje celo število (npr. v primeru 105 vozil je število čistih vozil 24). </w:t>
      </w:r>
    </w:p>
    <w:p w14:paraId="58ED2ECF" w14:textId="77777777" w:rsidR="00724028" w:rsidRPr="0020656B" w:rsidRDefault="00724028" w:rsidP="00724028">
      <w:pPr>
        <w:spacing w:before="120" w:line="240" w:lineRule="auto"/>
        <w:jc w:val="both"/>
        <w:rPr>
          <w:rFonts w:cs="Arial"/>
          <w:i/>
          <w:lang w:val="sl-SI"/>
        </w:rPr>
      </w:pPr>
      <w:r w:rsidRPr="0020656B">
        <w:rPr>
          <w:rFonts w:cs="Arial"/>
          <w:i/>
          <w:lang w:val="sl-SI"/>
        </w:rPr>
        <w:t>b) v primeru, da naročnik naroči le eno vozilo mora le to biti čisto.</w:t>
      </w:r>
    </w:p>
    <w:p w14:paraId="1E29B2DD" w14:textId="77777777" w:rsidR="00724028" w:rsidRPr="0020656B" w:rsidRDefault="00724028" w:rsidP="00724028">
      <w:pPr>
        <w:rPr>
          <w:lang w:val="sl-SI"/>
        </w:rPr>
      </w:pPr>
    </w:p>
    <w:p w14:paraId="40BF7ED5" w14:textId="77777777" w:rsidR="00724028" w:rsidRPr="0020656B" w:rsidRDefault="00724028" w:rsidP="00724028">
      <w:pPr>
        <w:rPr>
          <w:rFonts w:cs="Arial"/>
          <w:szCs w:val="20"/>
          <w:lang w:val="sl-SI"/>
        </w:rPr>
      </w:pPr>
    </w:p>
    <w:p w14:paraId="0D719436" w14:textId="77777777" w:rsidR="00724028" w:rsidRPr="0020656B" w:rsidRDefault="00724028" w:rsidP="00724028">
      <w:pPr>
        <w:jc w:val="both"/>
        <w:rPr>
          <w:rFonts w:cs="Arial"/>
          <w:color w:val="FF0000"/>
          <w:szCs w:val="20"/>
          <w:lang w:val="sl-SI"/>
        </w:rPr>
      </w:pPr>
      <w:r w:rsidRPr="0020656B">
        <w:rPr>
          <w:rFonts w:cs="Arial"/>
          <w:szCs w:val="20"/>
          <w:lang w:val="sl-SI"/>
        </w:rPr>
        <w:t xml:space="preserve">Tabela 4: Minimalni cilji za čista težka vozila v celotnem številu vozil, zajetih v pogodbah pri javnem naročilu vozil in storitev prevoza </w:t>
      </w:r>
    </w:p>
    <w:tbl>
      <w:tblPr>
        <w:tblW w:w="7513" w:type="dxa"/>
        <w:tblInd w:w="-10" w:type="dxa"/>
        <w:tblCellMar>
          <w:left w:w="70" w:type="dxa"/>
          <w:right w:w="70" w:type="dxa"/>
        </w:tblCellMar>
        <w:tblLook w:val="04A0" w:firstRow="1" w:lastRow="0" w:firstColumn="1" w:lastColumn="0" w:noHBand="0" w:noVBand="1"/>
      </w:tblPr>
      <w:tblGrid>
        <w:gridCol w:w="1985"/>
        <w:gridCol w:w="1843"/>
        <w:gridCol w:w="2126"/>
        <w:gridCol w:w="1559"/>
      </w:tblGrid>
      <w:tr w:rsidR="00724028" w:rsidRPr="004B7319" w14:paraId="5F8CD6B8" w14:textId="77777777" w:rsidTr="001679AB">
        <w:trPr>
          <w:trHeight w:val="280"/>
          <w:tblHeader/>
        </w:trPr>
        <w:tc>
          <w:tcPr>
            <w:tcW w:w="751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94FA57F" w14:textId="77777777" w:rsidR="00724028" w:rsidRPr="0020656B" w:rsidRDefault="00724028" w:rsidP="001679AB">
            <w:pPr>
              <w:spacing w:line="240" w:lineRule="auto"/>
              <w:jc w:val="center"/>
              <w:rPr>
                <w:rFonts w:cs="Arial"/>
                <w:b/>
                <w:bCs/>
                <w:color w:val="000000"/>
                <w:szCs w:val="20"/>
                <w:lang w:val="sl-SI" w:eastAsia="sl-SI"/>
              </w:rPr>
            </w:pPr>
            <w:r w:rsidRPr="0020656B">
              <w:rPr>
                <w:rFonts w:cs="Arial"/>
                <w:b/>
                <w:bCs/>
                <w:color w:val="000000"/>
                <w:szCs w:val="20"/>
                <w:lang w:val="sl-SI" w:eastAsia="sl-SI"/>
              </w:rPr>
              <w:t>Kategorija vozil: čista težka vozila  (N2, N3)</w:t>
            </w:r>
          </w:p>
        </w:tc>
      </w:tr>
      <w:tr w:rsidR="00724028" w:rsidRPr="00B70C01" w14:paraId="79B6549E" w14:textId="77777777" w:rsidTr="001679AB">
        <w:trPr>
          <w:trHeight w:val="680"/>
          <w:tblHeader/>
        </w:trPr>
        <w:tc>
          <w:tcPr>
            <w:tcW w:w="3828"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9164C07" w14:textId="7B03379D"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Od 2. avgusta 2021 do 31. decembra 2025</w:t>
            </w:r>
            <w:r w:rsidR="00B70C01">
              <w:rPr>
                <w:rFonts w:cs="Arial"/>
                <w:color w:val="000000"/>
                <w:szCs w:val="20"/>
                <w:lang w:val="sl-SI" w:eastAsia="sl-SI"/>
              </w:rPr>
              <w:t xml:space="preserve"> (prvo referenčno obdobje)</w:t>
            </w:r>
          </w:p>
        </w:tc>
        <w:tc>
          <w:tcPr>
            <w:tcW w:w="3685" w:type="dxa"/>
            <w:gridSpan w:val="2"/>
            <w:tcBorders>
              <w:top w:val="single" w:sz="8" w:space="0" w:color="auto"/>
              <w:left w:val="nil"/>
              <w:bottom w:val="single" w:sz="4" w:space="0" w:color="auto"/>
              <w:right w:val="single" w:sz="8" w:space="0" w:color="000000"/>
            </w:tcBorders>
            <w:shd w:val="clear" w:color="auto" w:fill="auto"/>
            <w:vAlign w:val="center"/>
            <w:hideMark/>
          </w:tcPr>
          <w:p w14:paraId="276F73B3" w14:textId="786C974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Od 1. januarja 2026 do 31. decembra 2030</w:t>
            </w:r>
            <w:r w:rsidR="00B70C01">
              <w:rPr>
                <w:rFonts w:cs="Arial"/>
                <w:color w:val="000000"/>
                <w:szCs w:val="20"/>
                <w:lang w:val="sl-SI" w:eastAsia="sl-SI"/>
              </w:rPr>
              <w:t xml:space="preserve"> (drugo referenčno obdobje)</w:t>
            </w:r>
          </w:p>
        </w:tc>
      </w:tr>
      <w:tr w:rsidR="00724028" w:rsidRPr="0020656B" w14:paraId="3BF995BF" w14:textId="77777777" w:rsidTr="001679AB">
        <w:trPr>
          <w:trHeight w:val="694"/>
          <w:tblHeader/>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62D9333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Število vseh vozil zajetih v pogodbah</w:t>
            </w:r>
          </w:p>
        </w:tc>
        <w:tc>
          <w:tcPr>
            <w:tcW w:w="1843" w:type="dxa"/>
            <w:tcBorders>
              <w:top w:val="nil"/>
              <w:left w:val="nil"/>
              <w:bottom w:val="single" w:sz="4" w:space="0" w:color="auto"/>
              <w:right w:val="single" w:sz="8" w:space="0" w:color="auto"/>
            </w:tcBorders>
            <w:shd w:val="clear" w:color="auto" w:fill="auto"/>
            <w:vAlign w:val="center"/>
            <w:hideMark/>
          </w:tcPr>
          <w:p w14:paraId="418FEFD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Obvezno število čistih vozil</w:t>
            </w:r>
          </w:p>
        </w:tc>
        <w:tc>
          <w:tcPr>
            <w:tcW w:w="2126" w:type="dxa"/>
            <w:tcBorders>
              <w:top w:val="nil"/>
              <w:left w:val="nil"/>
              <w:bottom w:val="single" w:sz="4" w:space="0" w:color="auto"/>
              <w:right w:val="single" w:sz="4" w:space="0" w:color="auto"/>
            </w:tcBorders>
            <w:shd w:val="clear" w:color="auto" w:fill="auto"/>
            <w:vAlign w:val="center"/>
            <w:hideMark/>
          </w:tcPr>
          <w:p w14:paraId="49F12A4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Število vseh vozil zajetih v pogodbah</w:t>
            </w:r>
          </w:p>
        </w:tc>
        <w:tc>
          <w:tcPr>
            <w:tcW w:w="1559" w:type="dxa"/>
            <w:tcBorders>
              <w:top w:val="nil"/>
              <w:left w:val="nil"/>
              <w:bottom w:val="single" w:sz="4" w:space="0" w:color="auto"/>
              <w:right w:val="single" w:sz="8" w:space="0" w:color="auto"/>
            </w:tcBorders>
            <w:shd w:val="clear" w:color="auto" w:fill="auto"/>
            <w:vAlign w:val="center"/>
            <w:hideMark/>
          </w:tcPr>
          <w:p w14:paraId="43EED1F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Obvezno število čistih vozil</w:t>
            </w:r>
          </w:p>
        </w:tc>
      </w:tr>
      <w:tr w:rsidR="00724028" w:rsidRPr="0020656B" w14:paraId="33FD7521" w14:textId="77777777" w:rsidTr="001679AB">
        <w:trPr>
          <w:trHeight w:val="369"/>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70F28FE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1-14</w:t>
            </w:r>
          </w:p>
        </w:tc>
        <w:tc>
          <w:tcPr>
            <w:tcW w:w="1843" w:type="dxa"/>
            <w:tcBorders>
              <w:top w:val="nil"/>
              <w:left w:val="nil"/>
              <w:bottom w:val="single" w:sz="4" w:space="0" w:color="auto"/>
              <w:right w:val="single" w:sz="4" w:space="0" w:color="auto"/>
            </w:tcBorders>
            <w:shd w:val="clear" w:color="auto" w:fill="auto"/>
            <w:vAlign w:val="center"/>
            <w:hideMark/>
          </w:tcPr>
          <w:p w14:paraId="2486C697"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w:t>
            </w:r>
          </w:p>
        </w:tc>
        <w:tc>
          <w:tcPr>
            <w:tcW w:w="2126" w:type="dxa"/>
            <w:tcBorders>
              <w:top w:val="nil"/>
              <w:left w:val="nil"/>
              <w:bottom w:val="single" w:sz="4" w:space="0" w:color="auto"/>
              <w:right w:val="single" w:sz="4" w:space="0" w:color="auto"/>
            </w:tcBorders>
            <w:shd w:val="clear" w:color="auto" w:fill="auto"/>
            <w:vAlign w:val="center"/>
            <w:hideMark/>
          </w:tcPr>
          <w:p w14:paraId="617D618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1-11</w:t>
            </w:r>
          </w:p>
        </w:tc>
        <w:tc>
          <w:tcPr>
            <w:tcW w:w="1559" w:type="dxa"/>
            <w:tcBorders>
              <w:top w:val="nil"/>
              <w:left w:val="nil"/>
              <w:bottom w:val="single" w:sz="4" w:space="0" w:color="auto"/>
              <w:right w:val="single" w:sz="8" w:space="0" w:color="auto"/>
            </w:tcBorders>
            <w:shd w:val="clear" w:color="auto" w:fill="auto"/>
            <w:vAlign w:val="center"/>
            <w:hideMark/>
          </w:tcPr>
          <w:p w14:paraId="221252C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w:t>
            </w:r>
          </w:p>
        </w:tc>
      </w:tr>
      <w:tr w:rsidR="00724028" w:rsidRPr="0020656B" w14:paraId="41A7D977" w14:textId="77777777" w:rsidTr="001679AB">
        <w:trPr>
          <w:trHeight w:val="369"/>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1D83439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15-28</w:t>
            </w:r>
          </w:p>
        </w:tc>
        <w:tc>
          <w:tcPr>
            <w:tcW w:w="1843" w:type="dxa"/>
            <w:tcBorders>
              <w:top w:val="nil"/>
              <w:left w:val="nil"/>
              <w:bottom w:val="single" w:sz="4" w:space="0" w:color="auto"/>
              <w:right w:val="single" w:sz="4" w:space="0" w:color="auto"/>
            </w:tcBorders>
            <w:shd w:val="clear" w:color="auto" w:fill="auto"/>
            <w:vAlign w:val="center"/>
            <w:hideMark/>
          </w:tcPr>
          <w:p w14:paraId="4FC5A29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w:t>
            </w:r>
          </w:p>
        </w:tc>
        <w:tc>
          <w:tcPr>
            <w:tcW w:w="2126" w:type="dxa"/>
            <w:tcBorders>
              <w:top w:val="nil"/>
              <w:left w:val="nil"/>
              <w:bottom w:val="single" w:sz="4" w:space="0" w:color="auto"/>
              <w:right w:val="single" w:sz="4" w:space="0" w:color="auto"/>
            </w:tcBorders>
            <w:shd w:val="clear" w:color="auto" w:fill="auto"/>
            <w:vAlign w:val="center"/>
            <w:hideMark/>
          </w:tcPr>
          <w:p w14:paraId="6BFB82C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12-22</w:t>
            </w:r>
          </w:p>
        </w:tc>
        <w:tc>
          <w:tcPr>
            <w:tcW w:w="1559" w:type="dxa"/>
            <w:tcBorders>
              <w:top w:val="nil"/>
              <w:left w:val="nil"/>
              <w:bottom w:val="single" w:sz="4" w:space="0" w:color="auto"/>
              <w:right w:val="single" w:sz="8" w:space="0" w:color="auto"/>
            </w:tcBorders>
            <w:shd w:val="clear" w:color="auto" w:fill="auto"/>
            <w:vAlign w:val="center"/>
            <w:hideMark/>
          </w:tcPr>
          <w:p w14:paraId="2AD4D2C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w:t>
            </w:r>
          </w:p>
        </w:tc>
      </w:tr>
      <w:tr w:rsidR="00724028" w:rsidRPr="0020656B" w14:paraId="3ABFBC9F" w14:textId="77777777" w:rsidTr="001679AB">
        <w:trPr>
          <w:trHeight w:val="369"/>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5F4E7FA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29-42</w:t>
            </w:r>
          </w:p>
        </w:tc>
        <w:tc>
          <w:tcPr>
            <w:tcW w:w="1843" w:type="dxa"/>
            <w:tcBorders>
              <w:top w:val="nil"/>
              <w:left w:val="nil"/>
              <w:bottom w:val="single" w:sz="4" w:space="0" w:color="auto"/>
              <w:right w:val="single" w:sz="4" w:space="0" w:color="auto"/>
            </w:tcBorders>
            <w:shd w:val="clear" w:color="auto" w:fill="auto"/>
            <w:vAlign w:val="center"/>
            <w:hideMark/>
          </w:tcPr>
          <w:p w14:paraId="6183DFD7"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w:t>
            </w:r>
          </w:p>
        </w:tc>
        <w:tc>
          <w:tcPr>
            <w:tcW w:w="2126" w:type="dxa"/>
            <w:tcBorders>
              <w:top w:val="nil"/>
              <w:left w:val="nil"/>
              <w:bottom w:val="single" w:sz="4" w:space="0" w:color="auto"/>
              <w:right w:val="single" w:sz="4" w:space="0" w:color="auto"/>
            </w:tcBorders>
            <w:shd w:val="clear" w:color="auto" w:fill="auto"/>
            <w:vAlign w:val="center"/>
            <w:hideMark/>
          </w:tcPr>
          <w:p w14:paraId="1B2F217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23-33</w:t>
            </w:r>
          </w:p>
        </w:tc>
        <w:tc>
          <w:tcPr>
            <w:tcW w:w="1559" w:type="dxa"/>
            <w:tcBorders>
              <w:top w:val="nil"/>
              <w:left w:val="nil"/>
              <w:bottom w:val="single" w:sz="4" w:space="0" w:color="auto"/>
              <w:right w:val="single" w:sz="8" w:space="0" w:color="auto"/>
            </w:tcBorders>
            <w:shd w:val="clear" w:color="auto" w:fill="auto"/>
            <w:vAlign w:val="center"/>
            <w:hideMark/>
          </w:tcPr>
          <w:p w14:paraId="7A2363F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w:t>
            </w:r>
          </w:p>
        </w:tc>
      </w:tr>
      <w:tr w:rsidR="00724028" w:rsidRPr="0020656B" w14:paraId="4E7D616A" w14:textId="77777777" w:rsidTr="001679AB">
        <w:trPr>
          <w:trHeight w:val="369"/>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68B4063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43-57</w:t>
            </w:r>
          </w:p>
        </w:tc>
        <w:tc>
          <w:tcPr>
            <w:tcW w:w="1843" w:type="dxa"/>
            <w:tcBorders>
              <w:top w:val="nil"/>
              <w:left w:val="nil"/>
              <w:bottom w:val="single" w:sz="4" w:space="0" w:color="auto"/>
              <w:right w:val="single" w:sz="4" w:space="0" w:color="auto"/>
            </w:tcBorders>
            <w:shd w:val="clear" w:color="auto" w:fill="auto"/>
            <w:vAlign w:val="center"/>
            <w:hideMark/>
          </w:tcPr>
          <w:p w14:paraId="5D5E44E4"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w:t>
            </w:r>
          </w:p>
        </w:tc>
        <w:tc>
          <w:tcPr>
            <w:tcW w:w="2126" w:type="dxa"/>
            <w:tcBorders>
              <w:top w:val="nil"/>
              <w:left w:val="nil"/>
              <w:bottom w:val="single" w:sz="4" w:space="0" w:color="auto"/>
              <w:right w:val="single" w:sz="4" w:space="0" w:color="auto"/>
            </w:tcBorders>
            <w:shd w:val="clear" w:color="auto" w:fill="auto"/>
            <w:vAlign w:val="center"/>
            <w:hideMark/>
          </w:tcPr>
          <w:p w14:paraId="0485B66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34-44</w:t>
            </w:r>
          </w:p>
        </w:tc>
        <w:tc>
          <w:tcPr>
            <w:tcW w:w="1559" w:type="dxa"/>
            <w:tcBorders>
              <w:top w:val="nil"/>
              <w:left w:val="nil"/>
              <w:bottom w:val="single" w:sz="4" w:space="0" w:color="auto"/>
              <w:right w:val="single" w:sz="8" w:space="0" w:color="auto"/>
            </w:tcBorders>
            <w:shd w:val="clear" w:color="auto" w:fill="auto"/>
            <w:vAlign w:val="center"/>
            <w:hideMark/>
          </w:tcPr>
          <w:p w14:paraId="18B40DA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w:t>
            </w:r>
          </w:p>
        </w:tc>
      </w:tr>
      <w:tr w:rsidR="00724028" w:rsidRPr="0020656B" w14:paraId="698ED4BD" w14:textId="77777777" w:rsidTr="001679AB">
        <w:trPr>
          <w:trHeight w:val="369"/>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3B0F08D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58-71</w:t>
            </w:r>
          </w:p>
        </w:tc>
        <w:tc>
          <w:tcPr>
            <w:tcW w:w="1843" w:type="dxa"/>
            <w:tcBorders>
              <w:top w:val="nil"/>
              <w:left w:val="nil"/>
              <w:bottom w:val="single" w:sz="4" w:space="0" w:color="auto"/>
              <w:right w:val="single" w:sz="4" w:space="0" w:color="auto"/>
            </w:tcBorders>
            <w:shd w:val="clear" w:color="auto" w:fill="auto"/>
            <w:vAlign w:val="center"/>
            <w:hideMark/>
          </w:tcPr>
          <w:p w14:paraId="4AD3A23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w:t>
            </w:r>
          </w:p>
        </w:tc>
        <w:tc>
          <w:tcPr>
            <w:tcW w:w="2126" w:type="dxa"/>
            <w:tcBorders>
              <w:top w:val="nil"/>
              <w:left w:val="nil"/>
              <w:bottom w:val="single" w:sz="4" w:space="0" w:color="auto"/>
              <w:right w:val="single" w:sz="4" w:space="0" w:color="auto"/>
            </w:tcBorders>
            <w:shd w:val="clear" w:color="auto" w:fill="auto"/>
            <w:vAlign w:val="center"/>
            <w:hideMark/>
          </w:tcPr>
          <w:p w14:paraId="3403A81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45-55</w:t>
            </w:r>
          </w:p>
        </w:tc>
        <w:tc>
          <w:tcPr>
            <w:tcW w:w="1559" w:type="dxa"/>
            <w:tcBorders>
              <w:top w:val="nil"/>
              <w:left w:val="nil"/>
              <w:bottom w:val="single" w:sz="4" w:space="0" w:color="auto"/>
              <w:right w:val="single" w:sz="8" w:space="0" w:color="auto"/>
            </w:tcBorders>
            <w:shd w:val="clear" w:color="auto" w:fill="auto"/>
            <w:vAlign w:val="center"/>
            <w:hideMark/>
          </w:tcPr>
          <w:p w14:paraId="0B557C5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w:t>
            </w:r>
          </w:p>
        </w:tc>
      </w:tr>
      <w:tr w:rsidR="00724028" w:rsidRPr="0020656B" w14:paraId="71C843B1" w14:textId="77777777" w:rsidTr="001679AB">
        <w:trPr>
          <w:trHeight w:val="369"/>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2784420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72-85</w:t>
            </w:r>
          </w:p>
        </w:tc>
        <w:tc>
          <w:tcPr>
            <w:tcW w:w="1843" w:type="dxa"/>
            <w:tcBorders>
              <w:top w:val="nil"/>
              <w:left w:val="nil"/>
              <w:bottom w:val="single" w:sz="4" w:space="0" w:color="auto"/>
              <w:right w:val="single" w:sz="4" w:space="0" w:color="auto"/>
            </w:tcBorders>
            <w:shd w:val="clear" w:color="auto" w:fill="auto"/>
            <w:vAlign w:val="center"/>
            <w:hideMark/>
          </w:tcPr>
          <w:p w14:paraId="17E611E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w:t>
            </w:r>
          </w:p>
        </w:tc>
        <w:tc>
          <w:tcPr>
            <w:tcW w:w="2126" w:type="dxa"/>
            <w:tcBorders>
              <w:top w:val="nil"/>
              <w:left w:val="nil"/>
              <w:bottom w:val="single" w:sz="4" w:space="0" w:color="auto"/>
              <w:right w:val="single" w:sz="4" w:space="0" w:color="auto"/>
            </w:tcBorders>
            <w:shd w:val="clear" w:color="auto" w:fill="auto"/>
            <w:vAlign w:val="center"/>
            <w:hideMark/>
          </w:tcPr>
          <w:p w14:paraId="7049EBC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56-66</w:t>
            </w:r>
          </w:p>
        </w:tc>
        <w:tc>
          <w:tcPr>
            <w:tcW w:w="1559" w:type="dxa"/>
            <w:tcBorders>
              <w:top w:val="nil"/>
              <w:left w:val="nil"/>
              <w:bottom w:val="single" w:sz="4" w:space="0" w:color="auto"/>
              <w:right w:val="single" w:sz="8" w:space="0" w:color="auto"/>
            </w:tcBorders>
            <w:shd w:val="clear" w:color="auto" w:fill="auto"/>
            <w:vAlign w:val="center"/>
            <w:hideMark/>
          </w:tcPr>
          <w:p w14:paraId="5EE77D8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w:t>
            </w:r>
          </w:p>
        </w:tc>
      </w:tr>
      <w:tr w:rsidR="00724028" w:rsidRPr="0020656B" w14:paraId="4A49D062" w14:textId="77777777" w:rsidTr="001679AB">
        <w:trPr>
          <w:trHeight w:val="369"/>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2AD9C35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86-100</w:t>
            </w:r>
          </w:p>
        </w:tc>
        <w:tc>
          <w:tcPr>
            <w:tcW w:w="1843" w:type="dxa"/>
            <w:tcBorders>
              <w:top w:val="nil"/>
              <w:left w:val="nil"/>
              <w:bottom w:val="single" w:sz="4" w:space="0" w:color="auto"/>
              <w:right w:val="single" w:sz="4" w:space="0" w:color="auto"/>
            </w:tcBorders>
            <w:shd w:val="clear" w:color="auto" w:fill="auto"/>
            <w:vAlign w:val="center"/>
            <w:hideMark/>
          </w:tcPr>
          <w:p w14:paraId="7F283CD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w:t>
            </w:r>
          </w:p>
        </w:tc>
        <w:tc>
          <w:tcPr>
            <w:tcW w:w="2126" w:type="dxa"/>
            <w:tcBorders>
              <w:top w:val="nil"/>
              <w:left w:val="nil"/>
              <w:bottom w:val="single" w:sz="4" w:space="0" w:color="auto"/>
              <w:right w:val="single" w:sz="4" w:space="0" w:color="auto"/>
            </w:tcBorders>
            <w:shd w:val="clear" w:color="auto" w:fill="auto"/>
            <w:vAlign w:val="center"/>
            <w:hideMark/>
          </w:tcPr>
          <w:p w14:paraId="45B2180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67-77</w:t>
            </w:r>
          </w:p>
        </w:tc>
        <w:tc>
          <w:tcPr>
            <w:tcW w:w="1559" w:type="dxa"/>
            <w:tcBorders>
              <w:top w:val="nil"/>
              <w:left w:val="nil"/>
              <w:bottom w:val="single" w:sz="4" w:space="0" w:color="auto"/>
              <w:right w:val="single" w:sz="8" w:space="0" w:color="auto"/>
            </w:tcBorders>
            <w:shd w:val="clear" w:color="auto" w:fill="auto"/>
            <w:vAlign w:val="center"/>
            <w:hideMark/>
          </w:tcPr>
          <w:p w14:paraId="5C51D44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w:t>
            </w:r>
          </w:p>
        </w:tc>
      </w:tr>
      <w:tr w:rsidR="00724028" w:rsidRPr="0020656B" w14:paraId="451382C5" w14:textId="77777777" w:rsidTr="001679AB">
        <w:trPr>
          <w:trHeight w:val="369"/>
        </w:trPr>
        <w:tc>
          <w:tcPr>
            <w:tcW w:w="3828" w:type="dxa"/>
            <w:gridSpan w:val="2"/>
            <w:vMerge w:val="restart"/>
            <w:tcBorders>
              <w:top w:val="nil"/>
              <w:left w:val="single" w:sz="8" w:space="0" w:color="auto"/>
              <w:right w:val="single" w:sz="4" w:space="0" w:color="auto"/>
            </w:tcBorders>
            <w:shd w:val="clear" w:color="auto" w:fill="auto"/>
            <w:vAlign w:val="center"/>
            <w:hideMark/>
          </w:tcPr>
          <w:p w14:paraId="0CCC0D9B" w14:textId="77777777" w:rsidR="00724028" w:rsidRPr="0020656B" w:rsidRDefault="00724028" w:rsidP="001679AB">
            <w:pPr>
              <w:spacing w:line="240" w:lineRule="auto"/>
              <w:rPr>
                <w:rFonts w:cs="Arial"/>
                <w:color w:val="000000"/>
                <w:szCs w:val="20"/>
                <w:lang w:val="sl-SI" w:eastAsia="sl-SI"/>
              </w:rPr>
            </w:pPr>
          </w:p>
        </w:tc>
        <w:tc>
          <w:tcPr>
            <w:tcW w:w="2126" w:type="dxa"/>
            <w:tcBorders>
              <w:top w:val="nil"/>
              <w:left w:val="nil"/>
              <w:bottom w:val="single" w:sz="4" w:space="0" w:color="auto"/>
              <w:right w:val="single" w:sz="4" w:space="0" w:color="auto"/>
            </w:tcBorders>
            <w:shd w:val="clear" w:color="auto" w:fill="auto"/>
            <w:vAlign w:val="center"/>
            <w:hideMark/>
          </w:tcPr>
          <w:p w14:paraId="0B32AA2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78-88</w:t>
            </w:r>
          </w:p>
        </w:tc>
        <w:tc>
          <w:tcPr>
            <w:tcW w:w="1559" w:type="dxa"/>
            <w:tcBorders>
              <w:top w:val="nil"/>
              <w:left w:val="nil"/>
              <w:bottom w:val="single" w:sz="4" w:space="0" w:color="auto"/>
              <w:right w:val="single" w:sz="8" w:space="0" w:color="auto"/>
            </w:tcBorders>
            <w:shd w:val="clear" w:color="auto" w:fill="auto"/>
            <w:vAlign w:val="center"/>
            <w:hideMark/>
          </w:tcPr>
          <w:p w14:paraId="31B698D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w:t>
            </w:r>
          </w:p>
        </w:tc>
      </w:tr>
      <w:tr w:rsidR="00724028" w:rsidRPr="0020656B" w14:paraId="605B68D3" w14:textId="77777777" w:rsidTr="001679AB">
        <w:trPr>
          <w:trHeight w:val="369"/>
        </w:trPr>
        <w:tc>
          <w:tcPr>
            <w:tcW w:w="3828" w:type="dxa"/>
            <w:gridSpan w:val="2"/>
            <w:vMerge/>
            <w:tcBorders>
              <w:left w:val="single" w:sz="8" w:space="0" w:color="auto"/>
              <w:bottom w:val="single" w:sz="8" w:space="0" w:color="auto"/>
              <w:right w:val="single" w:sz="4" w:space="0" w:color="auto"/>
            </w:tcBorders>
            <w:shd w:val="clear" w:color="auto" w:fill="auto"/>
            <w:vAlign w:val="center"/>
            <w:hideMark/>
          </w:tcPr>
          <w:p w14:paraId="188C9EA7" w14:textId="77777777" w:rsidR="00724028" w:rsidRPr="0020656B" w:rsidRDefault="00724028" w:rsidP="001679AB">
            <w:pPr>
              <w:spacing w:line="240" w:lineRule="auto"/>
              <w:jc w:val="center"/>
              <w:rPr>
                <w:rFonts w:cs="Arial"/>
                <w:color w:val="000000"/>
                <w:szCs w:val="20"/>
                <w:lang w:val="sl-SI" w:eastAsia="sl-SI"/>
              </w:rPr>
            </w:pPr>
          </w:p>
        </w:tc>
        <w:tc>
          <w:tcPr>
            <w:tcW w:w="2126" w:type="dxa"/>
            <w:tcBorders>
              <w:top w:val="nil"/>
              <w:left w:val="nil"/>
              <w:bottom w:val="single" w:sz="8" w:space="0" w:color="auto"/>
              <w:right w:val="single" w:sz="4" w:space="0" w:color="auto"/>
            </w:tcBorders>
            <w:shd w:val="clear" w:color="auto" w:fill="auto"/>
            <w:vAlign w:val="center"/>
            <w:hideMark/>
          </w:tcPr>
          <w:p w14:paraId="65AF336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89-100</w:t>
            </w:r>
          </w:p>
        </w:tc>
        <w:tc>
          <w:tcPr>
            <w:tcW w:w="1559" w:type="dxa"/>
            <w:tcBorders>
              <w:top w:val="nil"/>
              <w:left w:val="nil"/>
              <w:bottom w:val="single" w:sz="8" w:space="0" w:color="auto"/>
              <w:right w:val="single" w:sz="8" w:space="0" w:color="auto"/>
            </w:tcBorders>
            <w:shd w:val="clear" w:color="auto" w:fill="auto"/>
            <w:vAlign w:val="center"/>
            <w:hideMark/>
          </w:tcPr>
          <w:p w14:paraId="0D53BBE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w:t>
            </w:r>
          </w:p>
        </w:tc>
      </w:tr>
    </w:tbl>
    <w:p w14:paraId="2DD1486F" w14:textId="77777777" w:rsidR="00724028" w:rsidRPr="0020656B" w:rsidRDefault="00724028" w:rsidP="00724028">
      <w:pPr>
        <w:spacing w:before="120" w:line="240" w:lineRule="auto"/>
        <w:jc w:val="both"/>
        <w:rPr>
          <w:rFonts w:cs="Arial"/>
          <w:i/>
          <w:lang w:val="sl-SI"/>
        </w:rPr>
      </w:pPr>
      <w:r w:rsidRPr="0020656B">
        <w:rPr>
          <w:rFonts w:cs="Arial"/>
          <w:i/>
          <w:lang w:val="sl-SI"/>
        </w:rPr>
        <w:t>Opombe k Tabeli 4:</w:t>
      </w:r>
    </w:p>
    <w:p w14:paraId="50D4A5BC" w14:textId="18843188" w:rsidR="00724028" w:rsidRPr="0020656B" w:rsidRDefault="00724028" w:rsidP="00724028">
      <w:pPr>
        <w:spacing w:before="120" w:line="240" w:lineRule="auto"/>
        <w:jc w:val="both"/>
        <w:rPr>
          <w:rFonts w:cs="Arial"/>
          <w:i/>
          <w:lang w:val="sl-SI"/>
        </w:rPr>
      </w:pPr>
      <w:r w:rsidRPr="0020656B">
        <w:rPr>
          <w:rFonts w:cs="Arial"/>
          <w:i/>
          <w:lang w:val="sl-SI"/>
        </w:rPr>
        <w:t xml:space="preserve"> a) v obdobju od 2.8.2021 do 31.12.2025 se v primeru več kot 100 vozil upošteva delež vsaj 7 % čisti</w:t>
      </w:r>
      <w:r w:rsidR="00F813FD">
        <w:rPr>
          <w:rFonts w:cs="Arial"/>
          <w:i/>
          <w:lang w:val="sl-SI"/>
        </w:rPr>
        <w:t>h</w:t>
      </w:r>
      <w:r w:rsidRPr="0020656B">
        <w:rPr>
          <w:rFonts w:cs="Arial"/>
          <w:i/>
          <w:lang w:val="sl-SI"/>
        </w:rPr>
        <w:t xml:space="preserve"> vozil, tako da se število vseh vozil pomnoži z 0,07 ter zaokroži navzgor na višje celo število (v primeru 105 vozil je število čistih vozil 8). </w:t>
      </w:r>
    </w:p>
    <w:p w14:paraId="08E70E38" w14:textId="46B7E60C" w:rsidR="00724028" w:rsidRPr="0020656B" w:rsidRDefault="00724028" w:rsidP="00724028">
      <w:pPr>
        <w:spacing w:before="120" w:line="240" w:lineRule="auto"/>
        <w:jc w:val="both"/>
        <w:rPr>
          <w:rFonts w:cs="Arial"/>
          <w:i/>
          <w:lang w:val="sl-SI"/>
        </w:rPr>
      </w:pPr>
      <w:r w:rsidRPr="0020656B">
        <w:rPr>
          <w:rFonts w:cs="Arial"/>
          <w:i/>
          <w:lang w:val="sl-SI"/>
        </w:rPr>
        <w:t>b) v obdobju od 1.1.2026 do 31.12.2030 se v primeru več kot 100 vozil upošteva delež 9 % čisti</w:t>
      </w:r>
      <w:r w:rsidR="00F813FD">
        <w:rPr>
          <w:rFonts w:cs="Arial"/>
          <w:i/>
          <w:lang w:val="sl-SI"/>
        </w:rPr>
        <w:t>h</w:t>
      </w:r>
      <w:r w:rsidRPr="0020656B">
        <w:rPr>
          <w:rFonts w:cs="Arial"/>
          <w:i/>
          <w:lang w:val="sl-SI"/>
        </w:rPr>
        <w:t xml:space="preserve"> vozil, tako da se število vseh vozil pomnoži z 0,09 ter zaokroži navzgor na višje celo število (v primeru 105 vozil je število čistih vozil 10). </w:t>
      </w:r>
    </w:p>
    <w:p w14:paraId="2319238E" w14:textId="77777777" w:rsidR="00724028" w:rsidRPr="0020656B" w:rsidRDefault="00724028" w:rsidP="00724028">
      <w:pPr>
        <w:spacing w:before="120" w:line="240" w:lineRule="auto"/>
        <w:jc w:val="both"/>
        <w:rPr>
          <w:rFonts w:cs="Arial"/>
          <w:i/>
          <w:lang w:val="sl-SI"/>
        </w:rPr>
      </w:pPr>
      <w:r w:rsidRPr="0020656B">
        <w:rPr>
          <w:rFonts w:cs="Arial"/>
          <w:i/>
          <w:lang w:val="sl-SI"/>
        </w:rPr>
        <w:t>c)</w:t>
      </w:r>
      <w:r w:rsidRPr="0020656B">
        <w:rPr>
          <w:rFonts w:cs="Arial"/>
          <w:lang w:val="sl-SI"/>
        </w:rPr>
        <w:t xml:space="preserve"> </w:t>
      </w:r>
      <w:r w:rsidRPr="0020656B">
        <w:rPr>
          <w:rFonts w:cs="Arial"/>
          <w:i/>
          <w:lang w:val="sl-SI"/>
        </w:rPr>
        <w:t>v primeru, da naročnik naroči le eno vozilo mora le to biti čisto.</w:t>
      </w:r>
    </w:p>
    <w:p w14:paraId="1675D4AE" w14:textId="77777777" w:rsidR="00724028" w:rsidRPr="0020656B" w:rsidRDefault="00724028" w:rsidP="00724028">
      <w:pPr>
        <w:jc w:val="both"/>
        <w:rPr>
          <w:i/>
          <w:lang w:val="sl-SI"/>
        </w:rPr>
      </w:pPr>
    </w:p>
    <w:p w14:paraId="416CE5BC" w14:textId="77777777" w:rsidR="00724028" w:rsidRPr="0020656B" w:rsidRDefault="00724028" w:rsidP="00724028">
      <w:pPr>
        <w:rPr>
          <w:rFonts w:cs="Arial"/>
          <w:lang w:val="sl-SI"/>
        </w:rPr>
      </w:pPr>
    </w:p>
    <w:p w14:paraId="09B644ED" w14:textId="77777777" w:rsidR="00724028" w:rsidRPr="0020656B" w:rsidRDefault="00724028" w:rsidP="00724028">
      <w:pPr>
        <w:rPr>
          <w:rFonts w:cs="Arial"/>
          <w:color w:val="FF0000"/>
          <w:szCs w:val="20"/>
          <w:lang w:val="sl-SI"/>
        </w:rPr>
      </w:pPr>
      <w:r w:rsidRPr="0020656B">
        <w:rPr>
          <w:rFonts w:cs="Arial"/>
          <w:lang w:val="sl-SI"/>
        </w:rPr>
        <w:t xml:space="preserve">Tabela 5: Minimalni cilji za čiste in </w:t>
      </w:r>
      <w:proofErr w:type="spellStart"/>
      <w:r w:rsidRPr="0020656B">
        <w:rPr>
          <w:rFonts w:cs="Arial"/>
          <w:lang w:val="sl-SI"/>
        </w:rPr>
        <w:t>brezemisijske</w:t>
      </w:r>
      <w:proofErr w:type="spellEnd"/>
      <w:r w:rsidRPr="0020656B">
        <w:rPr>
          <w:rFonts w:cs="Arial"/>
          <w:lang w:val="sl-SI"/>
        </w:rPr>
        <w:t xml:space="preserve"> mestne avtobuse v celotnem številu vozil, zajetih v pogodbah pri javnem naročilu vozil in storitev prevoza </w:t>
      </w:r>
    </w:p>
    <w:tbl>
      <w:tblPr>
        <w:tblW w:w="9867" w:type="dxa"/>
        <w:tblInd w:w="-10" w:type="dxa"/>
        <w:tblCellMar>
          <w:left w:w="70" w:type="dxa"/>
          <w:right w:w="70" w:type="dxa"/>
        </w:tblCellMar>
        <w:tblLook w:val="04A0" w:firstRow="1" w:lastRow="0" w:firstColumn="1" w:lastColumn="0" w:noHBand="0" w:noVBand="1"/>
      </w:tblPr>
      <w:tblGrid>
        <w:gridCol w:w="1843"/>
        <w:gridCol w:w="1701"/>
        <w:gridCol w:w="1664"/>
        <w:gridCol w:w="1738"/>
        <w:gridCol w:w="1399"/>
        <w:gridCol w:w="1522"/>
      </w:tblGrid>
      <w:tr w:rsidR="00724028" w:rsidRPr="00FD4866" w14:paraId="1153CA3D" w14:textId="77777777" w:rsidTr="001679AB">
        <w:trPr>
          <w:trHeight w:val="390"/>
          <w:tblHeader/>
        </w:trPr>
        <w:tc>
          <w:tcPr>
            <w:tcW w:w="9867" w:type="dxa"/>
            <w:gridSpan w:val="6"/>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307EF398" w14:textId="77777777" w:rsidR="00724028" w:rsidRPr="0020656B" w:rsidRDefault="00724028" w:rsidP="001679AB">
            <w:pPr>
              <w:spacing w:line="240" w:lineRule="auto"/>
              <w:jc w:val="center"/>
              <w:rPr>
                <w:rFonts w:cs="Arial"/>
                <w:b/>
                <w:bCs/>
                <w:color w:val="000000"/>
                <w:szCs w:val="20"/>
                <w:lang w:val="sl-SI" w:eastAsia="sl-SI"/>
              </w:rPr>
            </w:pPr>
            <w:r w:rsidRPr="0020656B">
              <w:rPr>
                <w:rFonts w:cs="Arial"/>
                <w:b/>
                <w:bCs/>
                <w:color w:val="000000"/>
                <w:szCs w:val="20"/>
                <w:lang w:val="sl-SI" w:eastAsia="sl-SI"/>
              </w:rPr>
              <w:t xml:space="preserve">Kategorija vozil: čisti in </w:t>
            </w:r>
            <w:proofErr w:type="spellStart"/>
            <w:r w:rsidRPr="0020656B">
              <w:rPr>
                <w:rFonts w:cs="Arial"/>
                <w:b/>
                <w:bCs/>
                <w:color w:val="000000"/>
                <w:szCs w:val="20"/>
                <w:lang w:val="sl-SI" w:eastAsia="sl-SI"/>
              </w:rPr>
              <w:t>brezemisijski</w:t>
            </w:r>
            <w:proofErr w:type="spellEnd"/>
            <w:r w:rsidRPr="0020656B">
              <w:rPr>
                <w:rFonts w:cs="Arial"/>
                <w:b/>
                <w:bCs/>
                <w:color w:val="000000"/>
                <w:szCs w:val="20"/>
                <w:lang w:val="sl-SI" w:eastAsia="sl-SI"/>
              </w:rPr>
              <w:t xml:space="preserve"> mestni avtobusi (M3, razred I in A)</w:t>
            </w:r>
          </w:p>
        </w:tc>
      </w:tr>
      <w:tr w:rsidR="00724028" w:rsidRPr="0020656B" w14:paraId="11D4CB32" w14:textId="77777777" w:rsidTr="001679AB">
        <w:trPr>
          <w:trHeight w:val="948"/>
          <w:tblHeader/>
        </w:trPr>
        <w:tc>
          <w:tcPr>
            <w:tcW w:w="5208" w:type="dxa"/>
            <w:gridSpan w:val="3"/>
            <w:tcBorders>
              <w:top w:val="single" w:sz="6" w:space="0" w:color="auto"/>
              <w:left w:val="single" w:sz="6" w:space="0" w:color="auto"/>
              <w:bottom w:val="nil"/>
              <w:right w:val="single" w:sz="6" w:space="0" w:color="auto"/>
            </w:tcBorders>
            <w:shd w:val="clear" w:color="auto" w:fill="auto"/>
            <w:vAlign w:val="center"/>
            <w:hideMark/>
          </w:tcPr>
          <w:p w14:paraId="56824C97" w14:textId="1F9ED815"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Od 2. avgusta 2021 do 31. decembra 2025</w:t>
            </w:r>
            <w:r w:rsidR="00B70C01">
              <w:rPr>
                <w:rFonts w:cs="Arial"/>
                <w:color w:val="000000"/>
                <w:szCs w:val="20"/>
                <w:lang w:val="sl-SI" w:eastAsia="sl-SI"/>
              </w:rPr>
              <w:t xml:space="preserve"> (prvo referenčno obdobje)</w:t>
            </w:r>
          </w:p>
        </w:tc>
        <w:tc>
          <w:tcPr>
            <w:tcW w:w="4659" w:type="dxa"/>
            <w:gridSpan w:val="3"/>
            <w:tcBorders>
              <w:top w:val="single" w:sz="8" w:space="0" w:color="auto"/>
              <w:left w:val="single" w:sz="6" w:space="0" w:color="auto"/>
              <w:bottom w:val="nil"/>
              <w:right w:val="single" w:sz="8" w:space="0" w:color="000000"/>
            </w:tcBorders>
            <w:shd w:val="clear" w:color="auto" w:fill="auto"/>
            <w:vAlign w:val="center"/>
            <w:hideMark/>
          </w:tcPr>
          <w:p w14:paraId="5FC1332A" w14:textId="27BC7049"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Od 1. januarja 2026 do 31. decembra 2030</w:t>
            </w:r>
            <w:r w:rsidR="00B70C01">
              <w:rPr>
                <w:rFonts w:cs="Arial"/>
                <w:color w:val="000000"/>
                <w:szCs w:val="20"/>
                <w:lang w:val="sl-SI" w:eastAsia="sl-SI"/>
              </w:rPr>
              <w:t xml:space="preserve"> (drugo referenčno obdobje)</w:t>
            </w:r>
          </w:p>
        </w:tc>
      </w:tr>
      <w:tr w:rsidR="00724028" w:rsidRPr="00FD4866" w14:paraId="4CA143B2" w14:textId="77777777" w:rsidTr="001679AB">
        <w:trPr>
          <w:trHeight w:val="1284"/>
          <w:tblHeader/>
        </w:trPr>
        <w:tc>
          <w:tcPr>
            <w:tcW w:w="1843"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2B83F71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Število vseh vozil zajetih v pogodbah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AACA2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Obvezno število čistih vozil</w:t>
            </w:r>
          </w:p>
        </w:tc>
        <w:tc>
          <w:tcPr>
            <w:tcW w:w="1664" w:type="dxa"/>
            <w:tcBorders>
              <w:top w:val="single" w:sz="4" w:space="0" w:color="auto"/>
              <w:left w:val="nil"/>
              <w:bottom w:val="single" w:sz="4" w:space="0" w:color="auto"/>
              <w:right w:val="single" w:sz="6" w:space="0" w:color="auto"/>
            </w:tcBorders>
            <w:shd w:val="clear" w:color="auto" w:fill="auto"/>
            <w:vAlign w:val="center"/>
            <w:hideMark/>
          </w:tcPr>
          <w:p w14:paraId="3319243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xml:space="preserve">Obvezno število </w:t>
            </w:r>
            <w:proofErr w:type="spellStart"/>
            <w:r w:rsidRPr="0020656B">
              <w:rPr>
                <w:rFonts w:cs="Arial"/>
                <w:color w:val="000000"/>
                <w:szCs w:val="20"/>
                <w:lang w:val="sl-SI" w:eastAsia="sl-SI"/>
              </w:rPr>
              <w:t>brezemisijskih</w:t>
            </w:r>
            <w:proofErr w:type="spellEnd"/>
            <w:r w:rsidRPr="0020656B">
              <w:rPr>
                <w:rFonts w:cs="Arial"/>
                <w:color w:val="000000"/>
                <w:szCs w:val="20"/>
                <w:lang w:val="sl-SI" w:eastAsia="sl-SI"/>
              </w:rPr>
              <w:t xml:space="preserve"> vozil v čistih vozilih</w:t>
            </w:r>
          </w:p>
        </w:tc>
        <w:tc>
          <w:tcPr>
            <w:tcW w:w="1738"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6690003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Število vseh vozil zajetih v pogodbah</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14:paraId="3D6625D3"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Obvezno število čistih vozil</w:t>
            </w:r>
          </w:p>
        </w:tc>
        <w:tc>
          <w:tcPr>
            <w:tcW w:w="1522" w:type="dxa"/>
            <w:tcBorders>
              <w:top w:val="single" w:sz="4" w:space="0" w:color="auto"/>
              <w:left w:val="nil"/>
              <w:bottom w:val="single" w:sz="4" w:space="0" w:color="auto"/>
              <w:right w:val="single" w:sz="8" w:space="0" w:color="auto"/>
            </w:tcBorders>
            <w:shd w:val="clear" w:color="auto" w:fill="auto"/>
            <w:vAlign w:val="center"/>
            <w:hideMark/>
          </w:tcPr>
          <w:p w14:paraId="12C5E2F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xml:space="preserve">Obvezno število </w:t>
            </w:r>
            <w:proofErr w:type="spellStart"/>
            <w:r w:rsidRPr="0020656B">
              <w:rPr>
                <w:rFonts w:cs="Arial"/>
                <w:color w:val="000000"/>
                <w:szCs w:val="20"/>
                <w:lang w:val="sl-SI" w:eastAsia="sl-SI"/>
              </w:rPr>
              <w:t>brezemisijskih</w:t>
            </w:r>
            <w:proofErr w:type="spellEnd"/>
            <w:r w:rsidRPr="0020656B">
              <w:rPr>
                <w:rFonts w:cs="Arial"/>
                <w:color w:val="000000"/>
                <w:szCs w:val="20"/>
                <w:lang w:val="sl-SI" w:eastAsia="sl-SI"/>
              </w:rPr>
              <w:t xml:space="preserve"> vozil v čistih vozilih</w:t>
            </w:r>
          </w:p>
        </w:tc>
      </w:tr>
      <w:tr w:rsidR="00724028" w:rsidRPr="0020656B" w14:paraId="60C0D441"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vAlign w:val="center"/>
            <w:hideMark/>
          </w:tcPr>
          <w:p w14:paraId="61AEEA5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1-3</w:t>
            </w:r>
          </w:p>
        </w:tc>
        <w:tc>
          <w:tcPr>
            <w:tcW w:w="1701" w:type="dxa"/>
            <w:tcBorders>
              <w:top w:val="nil"/>
              <w:left w:val="nil"/>
              <w:bottom w:val="single" w:sz="4" w:space="0" w:color="auto"/>
              <w:right w:val="single" w:sz="4" w:space="0" w:color="auto"/>
            </w:tcBorders>
            <w:shd w:val="clear" w:color="auto" w:fill="auto"/>
            <w:vAlign w:val="center"/>
            <w:hideMark/>
          </w:tcPr>
          <w:p w14:paraId="0E5FF96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w:t>
            </w:r>
          </w:p>
        </w:tc>
        <w:tc>
          <w:tcPr>
            <w:tcW w:w="1664" w:type="dxa"/>
            <w:tcBorders>
              <w:top w:val="nil"/>
              <w:left w:val="nil"/>
              <w:bottom w:val="single" w:sz="4" w:space="0" w:color="auto"/>
              <w:right w:val="single" w:sz="6" w:space="0" w:color="auto"/>
            </w:tcBorders>
            <w:shd w:val="clear" w:color="auto" w:fill="auto"/>
            <w:vAlign w:val="center"/>
            <w:hideMark/>
          </w:tcPr>
          <w:p w14:paraId="12F06F77"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w:t>
            </w:r>
          </w:p>
        </w:tc>
        <w:tc>
          <w:tcPr>
            <w:tcW w:w="1738" w:type="dxa"/>
            <w:tcBorders>
              <w:top w:val="nil"/>
              <w:left w:val="single" w:sz="6" w:space="0" w:color="auto"/>
              <w:bottom w:val="single" w:sz="4" w:space="0" w:color="auto"/>
              <w:right w:val="single" w:sz="4" w:space="0" w:color="auto"/>
            </w:tcBorders>
            <w:shd w:val="clear" w:color="auto" w:fill="auto"/>
            <w:vAlign w:val="center"/>
            <w:hideMark/>
          </w:tcPr>
          <w:p w14:paraId="2CF0E9C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1-2</w:t>
            </w:r>
          </w:p>
        </w:tc>
        <w:tc>
          <w:tcPr>
            <w:tcW w:w="1399" w:type="dxa"/>
            <w:tcBorders>
              <w:top w:val="nil"/>
              <w:left w:val="nil"/>
              <w:bottom w:val="single" w:sz="4" w:space="0" w:color="auto"/>
              <w:right w:val="single" w:sz="4" w:space="0" w:color="auto"/>
            </w:tcBorders>
            <w:shd w:val="clear" w:color="auto" w:fill="auto"/>
            <w:vAlign w:val="center"/>
            <w:hideMark/>
          </w:tcPr>
          <w:p w14:paraId="3145E81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w:t>
            </w:r>
          </w:p>
        </w:tc>
        <w:tc>
          <w:tcPr>
            <w:tcW w:w="1522" w:type="dxa"/>
            <w:tcBorders>
              <w:top w:val="nil"/>
              <w:left w:val="nil"/>
              <w:bottom w:val="single" w:sz="4" w:space="0" w:color="auto"/>
              <w:right w:val="single" w:sz="8" w:space="0" w:color="auto"/>
            </w:tcBorders>
            <w:shd w:val="clear" w:color="auto" w:fill="auto"/>
            <w:vAlign w:val="center"/>
            <w:hideMark/>
          </w:tcPr>
          <w:p w14:paraId="61E6726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w:t>
            </w:r>
          </w:p>
        </w:tc>
      </w:tr>
      <w:tr w:rsidR="00724028" w:rsidRPr="0020656B" w14:paraId="0C27943C"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vAlign w:val="center"/>
            <w:hideMark/>
          </w:tcPr>
          <w:p w14:paraId="609BA9D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4-7</w:t>
            </w:r>
          </w:p>
        </w:tc>
        <w:tc>
          <w:tcPr>
            <w:tcW w:w="1701" w:type="dxa"/>
            <w:tcBorders>
              <w:top w:val="nil"/>
              <w:left w:val="nil"/>
              <w:bottom w:val="single" w:sz="4" w:space="0" w:color="auto"/>
              <w:right w:val="single" w:sz="4" w:space="0" w:color="auto"/>
            </w:tcBorders>
            <w:shd w:val="clear" w:color="auto" w:fill="auto"/>
            <w:vAlign w:val="center"/>
            <w:hideMark/>
          </w:tcPr>
          <w:p w14:paraId="4ECF69F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w:t>
            </w:r>
          </w:p>
        </w:tc>
        <w:tc>
          <w:tcPr>
            <w:tcW w:w="1664" w:type="dxa"/>
            <w:tcBorders>
              <w:top w:val="nil"/>
              <w:left w:val="nil"/>
              <w:bottom w:val="single" w:sz="4" w:space="0" w:color="auto"/>
              <w:right w:val="single" w:sz="6" w:space="0" w:color="auto"/>
            </w:tcBorders>
            <w:shd w:val="clear" w:color="auto" w:fill="auto"/>
            <w:vAlign w:val="center"/>
            <w:hideMark/>
          </w:tcPr>
          <w:p w14:paraId="0621A9F7"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w:t>
            </w:r>
          </w:p>
        </w:tc>
        <w:tc>
          <w:tcPr>
            <w:tcW w:w="1738" w:type="dxa"/>
            <w:tcBorders>
              <w:top w:val="nil"/>
              <w:left w:val="single" w:sz="6" w:space="0" w:color="auto"/>
              <w:bottom w:val="single" w:sz="4" w:space="0" w:color="auto"/>
              <w:right w:val="single" w:sz="4" w:space="0" w:color="auto"/>
            </w:tcBorders>
            <w:shd w:val="clear" w:color="auto" w:fill="auto"/>
            <w:vAlign w:val="center"/>
            <w:hideMark/>
          </w:tcPr>
          <w:p w14:paraId="54820BC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3-5</w:t>
            </w:r>
          </w:p>
        </w:tc>
        <w:tc>
          <w:tcPr>
            <w:tcW w:w="1399" w:type="dxa"/>
            <w:tcBorders>
              <w:top w:val="nil"/>
              <w:left w:val="nil"/>
              <w:bottom w:val="single" w:sz="4" w:space="0" w:color="auto"/>
              <w:right w:val="single" w:sz="4" w:space="0" w:color="auto"/>
            </w:tcBorders>
            <w:shd w:val="clear" w:color="auto" w:fill="auto"/>
            <w:vAlign w:val="center"/>
            <w:hideMark/>
          </w:tcPr>
          <w:p w14:paraId="1C0B6B4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w:t>
            </w:r>
          </w:p>
        </w:tc>
        <w:tc>
          <w:tcPr>
            <w:tcW w:w="1522" w:type="dxa"/>
            <w:tcBorders>
              <w:top w:val="nil"/>
              <w:left w:val="nil"/>
              <w:bottom w:val="single" w:sz="4" w:space="0" w:color="auto"/>
              <w:right w:val="single" w:sz="8" w:space="0" w:color="auto"/>
            </w:tcBorders>
            <w:shd w:val="clear" w:color="auto" w:fill="auto"/>
            <w:vAlign w:val="center"/>
            <w:hideMark/>
          </w:tcPr>
          <w:p w14:paraId="7D1E3D6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w:t>
            </w:r>
          </w:p>
        </w:tc>
      </w:tr>
      <w:tr w:rsidR="00724028" w:rsidRPr="0020656B" w14:paraId="1B66C763"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vAlign w:val="center"/>
            <w:hideMark/>
          </w:tcPr>
          <w:p w14:paraId="656E6B3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8-10</w:t>
            </w:r>
          </w:p>
        </w:tc>
        <w:tc>
          <w:tcPr>
            <w:tcW w:w="1701" w:type="dxa"/>
            <w:tcBorders>
              <w:top w:val="nil"/>
              <w:left w:val="nil"/>
              <w:bottom w:val="single" w:sz="4" w:space="0" w:color="auto"/>
              <w:right w:val="single" w:sz="4" w:space="0" w:color="auto"/>
            </w:tcBorders>
            <w:shd w:val="clear" w:color="auto" w:fill="auto"/>
            <w:vAlign w:val="center"/>
            <w:hideMark/>
          </w:tcPr>
          <w:p w14:paraId="5814A16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w:t>
            </w:r>
          </w:p>
        </w:tc>
        <w:tc>
          <w:tcPr>
            <w:tcW w:w="1664" w:type="dxa"/>
            <w:tcBorders>
              <w:top w:val="nil"/>
              <w:left w:val="nil"/>
              <w:bottom w:val="single" w:sz="4" w:space="0" w:color="auto"/>
              <w:right w:val="single" w:sz="6" w:space="0" w:color="auto"/>
            </w:tcBorders>
            <w:shd w:val="clear" w:color="auto" w:fill="auto"/>
            <w:vAlign w:val="center"/>
            <w:hideMark/>
          </w:tcPr>
          <w:p w14:paraId="2A81E17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w:t>
            </w:r>
          </w:p>
        </w:tc>
        <w:tc>
          <w:tcPr>
            <w:tcW w:w="1738" w:type="dxa"/>
            <w:tcBorders>
              <w:top w:val="nil"/>
              <w:left w:val="single" w:sz="6" w:space="0" w:color="auto"/>
              <w:bottom w:val="single" w:sz="4" w:space="0" w:color="auto"/>
              <w:right w:val="single" w:sz="4" w:space="0" w:color="auto"/>
            </w:tcBorders>
            <w:shd w:val="clear" w:color="auto" w:fill="auto"/>
            <w:vAlign w:val="center"/>
            <w:hideMark/>
          </w:tcPr>
          <w:p w14:paraId="53B43AC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6-8</w:t>
            </w:r>
          </w:p>
        </w:tc>
        <w:tc>
          <w:tcPr>
            <w:tcW w:w="1399" w:type="dxa"/>
            <w:tcBorders>
              <w:top w:val="nil"/>
              <w:left w:val="nil"/>
              <w:bottom w:val="single" w:sz="4" w:space="0" w:color="auto"/>
              <w:right w:val="single" w:sz="4" w:space="0" w:color="auto"/>
            </w:tcBorders>
            <w:shd w:val="clear" w:color="auto" w:fill="auto"/>
            <w:vAlign w:val="center"/>
            <w:hideMark/>
          </w:tcPr>
          <w:p w14:paraId="44407B67"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w:t>
            </w:r>
          </w:p>
        </w:tc>
        <w:tc>
          <w:tcPr>
            <w:tcW w:w="1522" w:type="dxa"/>
            <w:tcBorders>
              <w:top w:val="nil"/>
              <w:left w:val="nil"/>
              <w:bottom w:val="single" w:sz="4" w:space="0" w:color="auto"/>
              <w:right w:val="single" w:sz="8" w:space="0" w:color="auto"/>
            </w:tcBorders>
            <w:shd w:val="clear" w:color="auto" w:fill="auto"/>
            <w:vAlign w:val="center"/>
            <w:hideMark/>
          </w:tcPr>
          <w:p w14:paraId="78CAE95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w:t>
            </w:r>
          </w:p>
        </w:tc>
      </w:tr>
      <w:tr w:rsidR="00724028" w:rsidRPr="0020656B" w14:paraId="7EFB9430"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vAlign w:val="center"/>
            <w:hideMark/>
          </w:tcPr>
          <w:p w14:paraId="50FBE287"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11-14</w:t>
            </w:r>
          </w:p>
        </w:tc>
        <w:tc>
          <w:tcPr>
            <w:tcW w:w="1701" w:type="dxa"/>
            <w:tcBorders>
              <w:top w:val="nil"/>
              <w:left w:val="nil"/>
              <w:bottom w:val="single" w:sz="4" w:space="0" w:color="auto"/>
              <w:right w:val="single" w:sz="4" w:space="0" w:color="auto"/>
            </w:tcBorders>
            <w:shd w:val="clear" w:color="auto" w:fill="auto"/>
            <w:vAlign w:val="center"/>
            <w:hideMark/>
          </w:tcPr>
          <w:p w14:paraId="6A2E2C6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w:t>
            </w:r>
          </w:p>
        </w:tc>
        <w:tc>
          <w:tcPr>
            <w:tcW w:w="1664" w:type="dxa"/>
            <w:tcBorders>
              <w:top w:val="nil"/>
              <w:left w:val="nil"/>
              <w:bottom w:val="single" w:sz="4" w:space="0" w:color="auto"/>
              <w:right w:val="single" w:sz="6" w:space="0" w:color="auto"/>
            </w:tcBorders>
            <w:shd w:val="clear" w:color="auto" w:fill="auto"/>
            <w:vAlign w:val="center"/>
            <w:hideMark/>
          </w:tcPr>
          <w:p w14:paraId="086A8A0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w:t>
            </w:r>
          </w:p>
        </w:tc>
        <w:tc>
          <w:tcPr>
            <w:tcW w:w="1738" w:type="dxa"/>
            <w:tcBorders>
              <w:top w:val="nil"/>
              <w:left w:val="single" w:sz="6" w:space="0" w:color="auto"/>
              <w:bottom w:val="single" w:sz="4" w:space="0" w:color="auto"/>
              <w:right w:val="single" w:sz="4" w:space="0" w:color="auto"/>
            </w:tcBorders>
            <w:shd w:val="clear" w:color="auto" w:fill="auto"/>
            <w:vAlign w:val="center"/>
            <w:hideMark/>
          </w:tcPr>
          <w:p w14:paraId="7A3E8FE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9-10</w:t>
            </w:r>
          </w:p>
        </w:tc>
        <w:tc>
          <w:tcPr>
            <w:tcW w:w="1399" w:type="dxa"/>
            <w:tcBorders>
              <w:top w:val="nil"/>
              <w:left w:val="nil"/>
              <w:bottom w:val="single" w:sz="4" w:space="0" w:color="auto"/>
              <w:right w:val="single" w:sz="4" w:space="0" w:color="auto"/>
            </w:tcBorders>
            <w:shd w:val="clear" w:color="auto" w:fill="auto"/>
            <w:vAlign w:val="center"/>
            <w:hideMark/>
          </w:tcPr>
          <w:p w14:paraId="4D245F53"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w:t>
            </w:r>
          </w:p>
        </w:tc>
        <w:tc>
          <w:tcPr>
            <w:tcW w:w="1522" w:type="dxa"/>
            <w:tcBorders>
              <w:top w:val="nil"/>
              <w:left w:val="nil"/>
              <w:bottom w:val="single" w:sz="4" w:space="0" w:color="auto"/>
              <w:right w:val="single" w:sz="8" w:space="0" w:color="auto"/>
            </w:tcBorders>
            <w:shd w:val="clear" w:color="auto" w:fill="auto"/>
            <w:vAlign w:val="center"/>
            <w:hideMark/>
          </w:tcPr>
          <w:p w14:paraId="0769C01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w:t>
            </w:r>
          </w:p>
        </w:tc>
      </w:tr>
      <w:tr w:rsidR="00724028" w:rsidRPr="0020656B" w14:paraId="4CD4DDD9"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vAlign w:val="center"/>
            <w:hideMark/>
          </w:tcPr>
          <w:p w14:paraId="1470E11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15-17</w:t>
            </w:r>
          </w:p>
        </w:tc>
        <w:tc>
          <w:tcPr>
            <w:tcW w:w="1701" w:type="dxa"/>
            <w:tcBorders>
              <w:top w:val="nil"/>
              <w:left w:val="nil"/>
              <w:bottom w:val="single" w:sz="4" w:space="0" w:color="auto"/>
              <w:right w:val="single" w:sz="4" w:space="0" w:color="auto"/>
            </w:tcBorders>
            <w:shd w:val="clear" w:color="auto" w:fill="auto"/>
            <w:vAlign w:val="center"/>
            <w:hideMark/>
          </w:tcPr>
          <w:p w14:paraId="4978C9C3"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w:t>
            </w:r>
          </w:p>
        </w:tc>
        <w:tc>
          <w:tcPr>
            <w:tcW w:w="1664" w:type="dxa"/>
            <w:tcBorders>
              <w:top w:val="nil"/>
              <w:left w:val="nil"/>
              <w:bottom w:val="single" w:sz="4" w:space="0" w:color="auto"/>
              <w:right w:val="single" w:sz="6" w:space="0" w:color="auto"/>
            </w:tcBorders>
            <w:shd w:val="clear" w:color="auto" w:fill="auto"/>
            <w:vAlign w:val="center"/>
            <w:hideMark/>
          </w:tcPr>
          <w:p w14:paraId="39E1087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w:t>
            </w:r>
          </w:p>
        </w:tc>
        <w:tc>
          <w:tcPr>
            <w:tcW w:w="1738" w:type="dxa"/>
            <w:tcBorders>
              <w:top w:val="nil"/>
              <w:left w:val="single" w:sz="6" w:space="0" w:color="auto"/>
              <w:bottom w:val="single" w:sz="4" w:space="0" w:color="auto"/>
              <w:right w:val="single" w:sz="4" w:space="0" w:color="auto"/>
            </w:tcBorders>
            <w:shd w:val="clear" w:color="auto" w:fill="auto"/>
            <w:vAlign w:val="center"/>
            <w:hideMark/>
          </w:tcPr>
          <w:p w14:paraId="090EBA24"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11-12</w:t>
            </w:r>
          </w:p>
        </w:tc>
        <w:tc>
          <w:tcPr>
            <w:tcW w:w="1399" w:type="dxa"/>
            <w:tcBorders>
              <w:top w:val="nil"/>
              <w:left w:val="nil"/>
              <w:bottom w:val="single" w:sz="4" w:space="0" w:color="auto"/>
              <w:right w:val="single" w:sz="4" w:space="0" w:color="auto"/>
            </w:tcBorders>
            <w:shd w:val="clear" w:color="auto" w:fill="auto"/>
            <w:vAlign w:val="center"/>
            <w:hideMark/>
          </w:tcPr>
          <w:p w14:paraId="1507A2B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w:t>
            </w:r>
          </w:p>
        </w:tc>
        <w:tc>
          <w:tcPr>
            <w:tcW w:w="1522" w:type="dxa"/>
            <w:tcBorders>
              <w:top w:val="nil"/>
              <w:left w:val="nil"/>
              <w:bottom w:val="single" w:sz="4" w:space="0" w:color="auto"/>
              <w:right w:val="single" w:sz="8" w:space="0" w:color="auto"/>
            </w:tcBorders>
            <w:shd w:val="clear" w:color="auto" w:fill="auto"/>
            <w:vAlign w:val="center"/>
            <w:hideMark/>
          </w:tcPr>
          <w:p w14:paraId="60F908D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w:t>
            </w:r>
          </w:p>
        </w:tc>
      </w:tr>
      <w:tr w:rsidR="00724028" w:rsidRPr="0020656B" w14:paraId="27940E18"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vAlign w:val="center"/>
            <w:hideMark/>
          </w:tcPr>
          <w:p w14:paraId="1D4F9B1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18-21</w:t>
            </w:r>
          </w:p>
        </w:tc>
        <w:tc>
          <w:tcPr>
            <w:tcW w:w="1701" w:type="dxa"/>
            <w:tcBorders>
              <w:top w:val="nil"/>
              <w:left w:val="nil"/>
              <w:bottom w:val="single" w:sz="4" w:space="0" w:color="auto"/>
              <w:right w:val="single" w:sz="4" w:space="0" w:color="auto"/>
            </w:tcBorders>
            <w:shd w:val="clear" w:color="auto" w:fill="auto"/>
            <w:vAlign w:val="center"/>
            <w:hideMark/>
          </w:tcPr>
          <w:p w14:paraId="11FD58E3"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w:t>
            </w:r>
          </w:p>
        </w:tc>
        <w:tc>
          <w:tcPr>
            <w:tcW w:w="1664" w:type="dxa"/>
            <w:tcBorders>
              <w:top w:val="nil"/>
              <w:left w:val="nil"/>
              <w:bottom w:val="single" w:sz="4" w:space="0" w:color="auto"/>
              <w:right w:val="single" w:sz="6" w:space="0" w:color="auto"/>
            </w:tcBorders>
            <w:shd w:val="clear" w:color="auto" w:fill="auto"/>
            <w:vAlign w:val="center"/>
            <w:hideMark/>
          </w:tcPr>
          <w:p w14:paraId="3F47B14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w:t>
            </w:r>
          </w:p>
        </w:tc>
        <w:tc>
          <w:tcPr>
            <w:tcW w:w="1738" w:type="dxa"/>
            <w:tcBorders>
              <w:top w:val="nil"/>
              <w:left w:val="single" w:sz="6" w:space="0" w:color="auto"/>
              <w:bottom w:val="single" w:sz="4" w:space="0" w:color="auto"/>
              <w:right w:val="single" w:sz="4" w:space="0" w:color="auto"/>
            </w:tcBorders>
            <w:shd w:val="clear" w:color="auto" w:fill="auto"/>
            <w:vAlign w:val="center"/>
            <w:hideMark/>
          </w:tcPr>
          <w:p w14:paraId="3C693FE5"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13-15</w:t>
            </w:r>
          </w:p>
        </w:tc>
        <w:tc>
          <w:tcPr>
            <w:tcW w:w="1399" w:type="dxa"/>
            <w:tcBorders>
              <w:top w:val="nil"/>
              <w:left w:val="nil"/>
              <w:bottom w:val="single" w:sz="4" w:space="0" w:color="auto"/>
              <w:right w:val="single" w:sz="4" w:space="0" w:color="auto"/>
            </w:tcBorders>
            <w:shd w:val="clear" w:color="auto" w:fill="auto"/>
            <w:vAlign w:val="center"/>
            <w:hideMark/>
          </w:tcPr>
          <w:p w14:paraId="2CC5102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w:t>
            </w:r>
          </w:p>
        </w:tc>
        <w:tc>
          <w:tcPr>
            <w:tcW w:w="1522" w:type="dxa"/>
            <w:tcBorders>
              <w:top w:val="nil"/>
              <w:left w:val="nil"/>
              <w:bottom w:val="single" w:sz="4" w:space="0" w:color="auto"/>
              <w:right w:val="single" w:sz="8" w:space="0" w:color="auto"/>
            </w:tcBorders>
            <w:shd w:val="clear" w:color="auto" w:fill="auto"/>
            <w:vAlign w:val="center"/>
            <w:hideMark/>
          </w:tcPr>
          <w:p w14:paraId="1F0896F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w:t>
            </w:r>
          </w:p>
        </w:tc>
      </w:tr>
      <w:tr w:rsidR="00724028" w:rsidRPr="0020656B" w14:paraId="69209B8F"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vAlign w:val="center"/>
            <w:hideMark/>
          </w:tcPr>
          <w:p w14:paraId="75ED876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22-25</w:t>
            </w:r>
          </w:p>
        </w:tc>
        <w:tc>
          <w:tcPr>
            <w:tcW w:w="1701" w:type="dxa"/>
            <w:tcBorders>
              <w:top w:val="nil"/>
              <w:left w:val="nil"/>
              <w:bottom w:val="single" w:sz="4" w:space="0" w:color="auto"/>
              <w:right w:val="single" w:sz="4" w:space="0" w:color="auto"/>
            </w:tcBorders>
            <w:shd w:val="clear" w:color="auto" w:fill="auto"/>
            <w:vAlign w:val="center"/>
            <w:hideMark/>
          </w:tcPr>
          <w:p w14:paraId="3471899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w:t>
            </w:r>
          </w:p>
        </w:tc>
        <w:tc>
          <w:tcPr>
            <w:tcW w:w="1664" w:type="dxa"/>
            <w:tcBorders>
              <w:top w:val="nil"/>
              <w:left w:val="nil"/>
              <w:bottom w:val="single" w:sz="4" w:space="0" w:color="auto"/>
              <w:right w:val="single" w:sz="6" w:space="0" w:color="auto"/>
            </w:tcBorders>
            <w:shd w:val="clear" w:color="auto" w:fill="auto"/>
            <w:vAlign w:val="center"/>
            <w:hideMark/>
          </w:tcPr>
          <w:p w14:paraId="02B723D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w:t>
            </w:r>
          </w:p>
        </w:tc>
        <w:tc>
          <w:tcPr>
            <w:tcW w:w="1738" w:type="dxa"/>
            <w:tcBorders>
              <w:top w:val="nil"/>
              <w:left w:val="single" w:sz="6" w:space="0" w:color="auto"/>
              <w:bottom w:val="single" w:sz="4" w:space="0" w:color="auto"/>
              <w:right w:val="single" w:sz="4" w:space="0" w:color="auto"/>
            </w:tcBorders>
            <w:shd w:val="clear" w:color="auto" w:fill="auto"/>
            <w:vAlign w:val="center"/>
            <w:hideMark/>
          </w:tcPr>
          <w:p w14:paraId="46E7CB3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16-17</w:t>
            </w:r>
          </w:p>
        </w:tc>
        <w:tc>
          <w:tcPr>
            <w:tcW w:w="1399" w:type="dxa"/>
            <w:tcBorders>
              <w:top w:val="nil"/>
              <w:left w:val="nil"/>
              <w:bottom w:val="single" w:sz="4" w:space="0" w:color="auto"/>
              <w:right w:val="single" w:sz="4" w:space="0" w:color="auto"/>
            </w:tcBorders>
            <w:shd w:val="clear" w:color="auto" w:fill="auto"/>
            <w:vAlign w:val="center"/>
            <w:hideMark/>
          </w:tcPr>
          <w:p w14:paraId="456C1FC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w:t>
            </w:r>
          </w:p>
        </w:tc>
        <w:tc>
          <w:tcPr>
            <w:tcW w:w="1522" w:type="dxa"/>
            <w:tcBorders>
              <w:top w:val="nil"/>
              <w:left w:val="nil"/>
              <w:bottom w:val="single" w:sz="4" w:space="0" w:color="auto"/>
              <w:right w:val="single" w:sz="8" w:space="0" w:color="auto"/>
            </w:tcBorders>
            <w:shd w:val="clear" w:color="auto" w:fill="auto"/>
            <w:vAlign w:val="center"/>
            <w:hideMark/>
          </w:tcPr>
          <w:p w14:paraId="600CE10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w:t>
            </w:r>
          </w:p>
        </w:tc>
      </w:tr>
      <w:tr w:rsidR="00724028" w:rsidRPr="0020656B" w14:paraId="5B847432"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vAlign w:val="center"/>
            <w:hideMark/>
          </w:tcPr>
          <w:p w14:paraId="22FC9FA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26-28</w:t>
            </w:r>
          </w:p>
        </w:tc>
        <w:tc>
          <w:tcPr>
            <w:tcW w:w="1701" w:type="dxa"/>
            <w:tcBorders>
              <w:top w:val="nil"/>
              <w:left w:val="nil"/>
              <w:bottom w:val="single" w:sz="4" w:space="0" w:color="auto"/>
              <w:right w:val="single" w:sz="4" w:space="0" w:color="auto"/>
            </w:tcBorders>
            <w:shd w:val="clear" w:color="auto" w:fill="auto"/>
            <w:vAlign w:val="center"/>
            <w:hideMark/>
          </w:tcPr>
          <w:p w14:paraId="5084C5C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w:t>
            </w:r>
          </w:p>
        </w:tc>
        <w:tc>
          <w:tcPr>
            <w:tcW w:w="1664" w:type="dxa"/>
            <w:tcBorders>
              <w:top w:val="nil"/>
              <w:left w:val="nil"/>
              <w:bottom w:val="single" w:sz="4" w:space="0" w:color="auto"/>
              <w:right w:val="single" w:sz="6" w:space="0" w:color="auto"/>
            </w:tcBorders>
            <w:shd w:val="clear" w:color="auto" w:fill="auto"/>
            <w:vAlign w:val="center"/>
            <w:hideMark/>
          </w:tcPr>
          <w:p w14:paraId="10A4E294"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w:t>
            </w:r>
          </w:p>
        </w:tc>
        <w:tc>
          <w:tcPr>
            <w:tcW w:w="1738" w:type="dxa"/>
            <w:tcBorders>
              <w:top w:val="nil"/>
              <w:left w:val="single" w:sz="6" w:space="0" w:color="auto"/>
              <w:bottom w:val="single" w:sz="4" w:space="0" w:color="auto"/>
              <w:right w:val="single" w:sz="4" w:space="0" w:color="auto"/>
            </w:tcBorders>
            <w:shd w:val="clear" w:color="auto" w:fill="auto"/>
            <w:vAlign w:val="center"/>
            <w:hideMark/>
          </w:tcPr>
          <w:p w14:paraId="2094F57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18-20</w:t>
            </w:r>
          </w:p>
        </w:tc>
        <w:tc>
          <w:tcPr>
            <w:tcW w:w="1399" w:type="dxa"/>
            <w:tcBorders>
              <w:top w:val="nil"/>
              <w:left w:val="nil"/>
              <w:bottom w:val="single" w:sz="4" w:space="0" w:color="auto"/>
              <w:right w:val="single" w:sz="4" w:space="0" w:color="auto"/>
            </w:tcBorders>
            <w:shd w:val="clear" w:color="auto" w:fill="auto"/>
            <w:vAlign w:val="center"/>
            <w:hideMark/>
          </w:tcPr>
          <w:p w14:paraId="0D99F52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w:t>
            </w:r>
          </w:p>
        </w:tc>
        <w:tc>
          <w:tcPr>
            <w:tcW w:w="1522" w:type="dxa"/>
            <w:tcBorders>
              <w:top w:val="nil"/>
              <w:left w:val="nil"/>
              <w:bottom w:val="single" w:sz="4" w:space="0" w:color="auto"/>
              <w:right w:val="single" w:sz="8" w:space="0" w:color="auto"/>
            </w:tcBorders>
            <w:shd w:val="clear" w:color="auto" w:fill="auto"/>
            <w:vAlign w:val="center"/>
            <w:hideMark/>
          </w:tcPr>
          <w:p w14:paraId="665EBCF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w:t>
            </w:r>
          </w:p>
        </w:tc>
      </w:tr>
      <w:tr w:rsidR="00724028" w:rsidRPr="0020656B" w14:paraId="589E2B89"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vAlign w:val="center"/>
            <w:hideMark/>
          </w:tcPr>
          <w:p w14:paraId="036A96E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29-32</w:t>
            </w:r>
          </w:p>
        </w:tc>
        <w:tc>
          <w:tcPr>
            <w:tcW w:w="1701" w:type="dxa"/>
            <w:tcBorders>
              <w:top w:val="nil"/>
              <w:left w:val="nil"/>
              <w:bottom w:val="single" w:sz="4" w:space="0" w:color="auto"/>
              <w:right w:val="single" w:sz="4" w:space="0" w:color="auto"/>
            </w:tcBorders>
            <w:shd w:val="clear" w:color="auto" w:fill="auto"/>
            <w:vAlign w:val="center"/>
            <w:hideMark/>
          </w:tcPr>
          <w:p w14:paraId="2B2BF59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w:t>
            </w:r>
          </w:p>
        </w:tc>
        <w:tc>
          <w:tcPr>
            <w:tcW w:w="1664" w:type="dxa"/>
            <w:tcBorders>
              <w:top w:val="nil"/>
              <w:left w:val="nil"/>
              <w:bottom w:val="single" w:sz="4" w:space="0" w:color="auto"/>
              <w:right w:val="single" w:sz="6" w:space="0" w:color="auto"/>
            </w:tcBorders>
            <w:shd w:val="clear" w:color="auto" w:fill="auto"/>
            <w:vAlign w:val="center"/>
            <w:hideMark/>
          </w:tcPr>
          <w:p w14:paraId="507A256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w:t>
            </w:r>
          </w:p>
        </w:tc>
        <w:tc>
          <w:tcPr>
            <w:tcW w:w="1738" w:type="dxa"/>
            <w:tcBorders>
              <w:top w:val="nil"/>
              <w:left w:val="single" w:sz="6" w:space="0" w:color="auto"/>
              <w:bottom w:val="single" w:sz="4" w:space="0" w:color="auto"/>
              <w:right w:val="single" w:sz="4" w:space="0" w:color="auto"/>
            </w:tcBorders>
            <w:shd w:val="clear" w:color="auto" w:fill="auto"/>
            <w:vAlign w:val="center"/>
            <w:hideMark/>
          </w:tcPr>
          <w:p w14:paraId="78F9E86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21-22</w:t>
            </w:r>
          </w:p>
        </w:tc>
        <w:tc>
          <w:tcPr>
            <w:tcW w:w="1399" w:type="dxa"/>
            <w:tcBorders>
              <w:top w:val="nil"/>
              <w:left w:val="nil"/>
              <w:bottom w:val="single" w:sz="4" w:space="0" w:color="auto"/>
              <w:right w:val="single" w:sz="4" w:space="0" w:color="auto"/>
            </w:tcBorders>
            <w:shd w:val="clear" w:color="auto" w:fill="auto"/>
            <w:vAlign w:val="center"/>
            <w:hideMark/>
          </w:tcPr>
          <w:p w14:paraId="2655F7F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w:t>
            </w:r>
          </w:p>
        </w:tc>
        <w:tc>
          <w:tcPr>
            <w:tcW w:w="1522" w:type="dxa"/>
            <w:tcBorders>
              <w:top w:val="nil"/>
              <w:left w:val="nil"/>
              <w:bottom w:val="single" w:sz="4" w:space="0" w:color="auto"/>
              <w:right w:val="single" w:sz="8" w:space="0" w:color="auto"/>
            </w:tcBorders>
            <w:shd w:val="clear" w:color="auto" w:fill="auto"/>
            <w:vAlign w:val="center"/>
            <w:hideMark/>
          </w:tcPr>
          <w:p w14:paraId="4B17517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w:t>
            </w:r>
          </w:p>
        </w:tc>
      </w:tr>
      <w:tr w:rsidR="00724028" w:rsidRPr="0020656B" w14:paraId="2CE22112"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vAlign w:val="center"/>
            <w:hideMark/>
          </w:tcPr>
          <w:p w14:paraId="46F8FBA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33-36</w:t>
            </w:r>
          </w:p>
        </w:tc>
        <w:tc>
          <w:tcPr>
            <w:tcW w:w="1701" w:type="dxa"/>
            <w:tcBorders>
              <w:top w:val="nil"/>
              <w:left w:val="nil"/>
              <w:bottom w:val="single" w:sz="4" w:space="0" w:color="auto"/>
              <w:right w:val="single" w:sz="4" w:space="0" w:color="auto"/>
            </w:tcBorders>
            <w:shd w:val="clear" w:color="auto" w:fill="auto"/>
            <w:vAlign w:val="center"/>
            <w:hideMark/>
          </w:tcPr>
          <w:p w14:paraId="58DB7AE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10</w:t>
            </w:r>
          </w:p>
        </w:tc>
        <w:tc>
          <w:tcPr>
            <w:tcW w:w="1664" w:type="dxa"/>
            <w:tcBorders>
              <w:top w:val="nil"/>
              <w:left w:val="nil"/>
              <w:bottom w:val="single" w:sz="4" w:space="0" w:color="auto"/>
              <w:right w:val="single" w:sz="6" w:space="0" w:color="auto"/>
            </w:tcBorders>
            <w:shd w:val="clear" w:color="auto" w:fill="auto"/>
            <w:vAlign w:val="center"/>
            <w:hideMark/>
          </w:tcPr>
          <w:p w14:paraId="7705E69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w:t>
            </w:r>
          </w:p>
        </w:tc>
        <w:tc>
          <w:tcPr>
            <w:tcW w:w="1738" w:type="dxa"/>
            <w:tcBorders>
              <w:top w:val="nil"/>
              <w:left w:val="single" w:sz="6" w:space="0" w:color="auto"/>
              <w:bottom w:val="single" w:sz="4" w:space="0" w:color="auto"/>
              <w:right w:val="single" w:sz="4" w:space="0" w:color="auto"/>
            </w:tcBorders>
            <w:shd w:val="clear" w:color="auto" w:fill="auto"/>
            <w:vAlign w:val="center"/>
            <w:hideMark/>
          </w:tcPr>
          <w:p w14:paraId="386B7144"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23-25</w:t>
            </w:r>
          </w:p>
        </w:tc>
        <w:tc>
          <w:tcPr>
            <w:tcW w:w="1399" w:type="dxa"/>
            <w:tcBorders>
              <w:top w:val="nil"/>
              <w:left w:val="nil"/>
              <w:bottom w:val="single" w:sz="4" w:space="0" w:color="auto"/>
              <w:right w:val="single" w:sz="4" w:space="0" w:color="auto"/>
            </w:tcBorders>
            <w:shd w:val="clear" w:color="auto" w:fill="auto"/>
            <w:vAlign w:val="center"/>
            <w:hideMark/>
          </w:tcPr>
          <w:p w14:paraId="0CE50BD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10</w:t>
            </w:r>
          </w:p>
        </w:tc>
        <w:tc>
          <w:tcPr>
            <w:tcW w:w="1522" w:type="dxa"/>
            <w:tcBorders>
              <w:top w:val="nil"/>
              <w:left w:val="nil"/>
              <w:bottom w:val="single" w:sz="4" w:space="0" w:color="auto"/>
              <w:right w:val="single" w:sz="8" w:space="0" w:color="auto"/>
            </w:tcBorders>
            <w:shd w:val="clear" w:color="auto" w:fill="auto"/>
            <w:vAlign w:val="center"/>
            <w:hideMark/>
          </w:tcPr>
          <w:p w14:paraId="4A04955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w:t>
            </w:r>
          </w:p>
        </w:tc>
      </w:tr>
      <w:tr w:rsidR="00724028" w:rsidRPr="0020656B" w14:paraId="4ADE98C0"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vAlign w:val="center"/>
            <w:hideMark/>
          </w:tcPr>
          <w:p w14:paraId="7A1B69A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37-39</w:t>
            </w:r>
          </w:p>
        </w:tc>
        <w:tc>
          <w:tcPr>
            <w:tcW w:w="1701" w:type="dxa"/>
            <w:tcBorders>
              <w:top w:val="nil"/>
              <w:left w:val="nil"/>
              <w:bottom w:val="single" w:sz="4" w:space="0" w:color="auto"/>
              <w:right w:val="single" w:sz="4" w:space="0" w:color="auto"/>
            </w:tcBorders>
            <w:shd w:val="clear" w:color="auto" w:fill="auto"/>
            <w:vAlign w:val="center"/>
            <w:hideMark/>
          </w:tcPr>
          <w:p w14:paraId="08B2369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11</w:t>
            </w:r>
          </w:p>
        </w:tc>
        <w:tc>
          <w:tcPr>
            <w:tcW w:w="1664" w:type="dxa"/>
            <w:tcBorders>
              <w:top w:val="nil"/>
              <w:left w:val="nil"/>
              <w:bottom w:val="single" w:sz="4" w:space="0" w:color="auto"/>
              <w:right w:val="single" w:sz="6" w:space="0" w:color="auto"/>
            </w:tcBorders>
            <w:shd w:val="clear" w:color="auto" w:fill="auto"/>
            <w:vAlign w:val="center"/>
            <w:hideMark/>
          </w:tcPr>
          <w:p w14:paraId="37E60F5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w:t>
            </w:r>
          </w:p>
        </w:tc>
        <w:tc>
          <w:tcPr>
            <w:tcW w:w="1738" w:type="dxa"/>
            <w:tcBorders>
              <w:top w:val="nil"/>
              <w:left w:val="single" w:sz="6" w:space="0" w:color="auto"/>
              <w:bottom w:val="single" w:sz="4" w:space="0" w:color="auto"/>
              <w:right w:val="single" w:sz="4" w:space="0" w:color="auto"/>
            </w:tcBorders>
            <w:shd w:val="clear" w:color="auto" w:fill="auto"/>
            <w:vAlign w:val="center"/>
            <w:hideMark/>
          </w:tcPr>
          <w:p w14:paraId="0FE80C9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26-27</w:t>
            </w:r>
          </w:p>
        </w:tc>
        <w:tc>
          <w:tcPr>
            <w:tcW w:w="1399" w:type="dxa"/>
            <w:tcBorders>
              <w:top w:val="nil"/>
              <w:left w:val="nil"/>
              <w:bottom w:val="single" w:sz="4" w:space="0" w:color="auto"/>
              <w:right w:val="single" w:sz="4" w:space="0" w:color="auto"/>
            </w:tcBorders>
            <w:shd w:val="clear" w:color="auto" w:fill="auto"/>
            <w:vAlign w:val="center"/>
            <w:hideMark/>
          </w:tcPr>
          <w:p w14:paraId="54380AB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11</w:t>
            </w:r>
          </w:p>
        </w:tc>
        <w:tc>
          <w:tcPr>
            <w:tcW w:w="1522" w:type="dxa"/>
            <w:tcBorders>
              <w:top w:val="nil"/>
              <w:left w:val="nil"/>
              <w:bottom w:val="single" w:sz="4" w:space="0" w:color="auto"/>
              <w:right w:val="single" w:sz="8" w:space="0" w:color="auto"/>
            </w:tcBorders>
            <w:shd w:val="clear" w:color="auto" w:fill="auto"/>
            <w:vAlign w:val="center"/>
            <w:hideMark/>
          </w:tcPr>
          <w:p w14:paraId="04FF229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w:t>
            </w:r>
          </w:p>
        </w:tc>
      </w:tr>
      <w:tr w:rsidR="00724028" w:rsidRPr="0020656B" w14:paraId="0BDE2B87"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vAlign w:val="center"/>
            <w:hideMark/>
          </w:tcPr>
          <w:p w14:paraId="5896E9C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40-42</w:t>
            </w:r>
          </w:p>
        </w:tc>
        <w:tc>
          <w:tcPr>
            <w:tcW w:w="1701" w:type="dxa"/>
            <w:tcBorders>
              <w:top w:val="nil"/>
              <w:left w:val="nil"/>
              <w:bottom w:val="single" w:sz="4" w:space="0" w:color="auto"/>
              <w:right w:val="single" w:sz="4" w:space="0" w:color="auto"/>
            </w:tcBorders>
            <w:shd w:val="clear" w:color="auto" w:fill="auto"/>
            <w:vAlign w:val="center"/>
            <w:hideMark/>
          </w:tcPr>
          <w:p w14:paraId="30940E1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12</w:t>
            </w:r>
          </w:p>
        </w:tc>
        <w:tc>
          <w:tcPr>
            <w:tcW w:w="1664" w:type="dxa"/>
            <w:tcBorders>
              <w:top w:val="nil"/>
              <w:left w:val="nil"/>
              <w:bottom w:val="single" w:sz="4" w:space="0" w:color="auto"/>
              <w:right w:val="single" w:sz="6" w:space="0" w:color="auto"/>
            </w:tcBorders>
            <w:shd w:val="clear" w:color="auto" w:fill="auto"/>
            <w:vAlign w:val="center"/>
            <w:hideMark/>
          </w:tcPr>
          <w:p w14:paraId="3AEDD0D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w:t>
            </w:r>
          </w:p>
        </w:tc>
        <w:tc>
          <w:tcPr>
            <w:tcW w:w="1738" w:type="dxa"/>
            <w:tcBorders>
              <w:top w:val="nil"/>
              <w:left w:val="single" w:sz="6" w:space="0" w:color="auto"/>
              <w:bottom w:val="single" w:sz="4" w:space="0" w:color="auto"/>
              <w:right w:val="single" w:sz="4" w:space="0" w:color="auto"/>
            </w:tcBorders>
            <w:shd w:val="clear" w:color="auto" w:fill="auto"/>
            <w:vAlign w:val="center"/>
            <w:hideMark/>
          </w:tcPr>
          <w:p w14:paraId="50728AD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28-30</w:t>
            </w:r>
          </w:p>
        </w:tc>
        <w:tc>
          <w:tcPr>
            <w:tcW w:w="1399" w:type="dxa"/>
            <w:tcBorders>
              <w:top w:val="nil"/>
              <w:left w:val="nil"/>
              <w:bottom w:val="single" w:sz="4" w:space="0" w:color="auto"/>
              <w:right w:val="single" w:sz="4" w:space="0" w:color="auto"/>
            </w:tcBorders>
            <w:shd w:val="clear" w:color="auto" w:fill="auto"/>
            <w:vAlign w:val="center"/>
            <w:hideMark/>
          </w:tcPr>
          <w:p w14:paraId="554480A4"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12</w:t>
            </w:r>
          </w:p>
        </w:tc>
        <w:tc>
          <w:tcPr>
            <w:tcW w:w="1522" w:type="dxa"/>
            <w:tcBorders>
              <w:top w:val="nil"/>
              <w:left w:val="nil"/>
              <w:bottom w:val="single" w:sz="4" w:space="0" w:color="auto"/>
              <w:right w:val="single" w:sz="8" w:space="0" w:color="auto"/>
            </w:tcBorders>
            <w:shd w:val="clear" w:color="auto" w:fill="auto"/>
            <w:vAlign w:val="center"/>
            <w:hideMark/>
          </w:tcPr>
          <w:p w14:paraId="4007F21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w:t>
            </w:r>
          </w:p>
        </w:tc>
      </w:tr>
      <w:tr w:rsidR="00724028" w:rsidRPr="0020656B" w14:paraId="490C042F"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noWrap/>
            <w:vAlign w:val="bottom"/>
            <w:hideMark/>
          </w:tcPr>
          <w:p w14:paraId="65389A1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43-46</w:t>
            </w:r>
          </w:p>
        </w:tc>
        <w:tc>
          <w:tcPr>
            <w:tcW w:w="1701" w:type="dxa"/>
            <w:tcBorders>
              <w:top w:val="nil"/>
              <w:left w:val="nil"/>
              <w:bottom w:val="single" w:sz="4" w:space="0" w:color="auto"/>
              <w:right w:val="single" w:sz="4" w:space="0" w:color="auto"/>
            </w:tcBorders>
            <w:shd w:val="clear" w:color="auto" w:fill="auto"/>
            <w:noWrap/>
            <w:vAlign w:val="bottom"/>
            <w:hideMark/>
          </w:tcPr>
          <w:p w14:paraId="477CE343"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13</w:t>
            </w:r>
          </w:p>
        </w:tc>
        <w:tc>
          <w:tcPr>
            <w:tcW w:w="1664" w:type="dxa"/>
            <w:tcBorders>
              <w:top w:val="nil"/>
              <w:left w:val="nil"/>
              <w:bottom w:val="single" w:sz="4" w:space="0" w:color="auto"/>
              <w:right w:val="single" w:sz="6" w:space="0" w:color="auto"/>
            </w:tcBorders>
            <w:shd w:val="clear" w:color="auto" w:fill="auto"/>
            <w:noWrap/>
            <w:vAlign w:val="bottom"/>
            <w:hideMark/>
          </w:tcPr>
          <w:p w14:paraId="1D2758E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098B8944"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31-32</w:t>
            </w:r>
          </w:p>
        </w:tc>
        <w:tc>
          <w:tcPr>
            <w:tcW w:w="1399" w:type="dxa"/>
            <w:tcBorders>
              <w:top w:val="nil"/>
              <w:left w:val="nil"/>
              <w:bottom w:val="single" w:sz="4" w:space="0" w:color="auto"/>
              <w:right w:val="single" w:sz="4" w:space="0" w:color="auto"/>
            </w:tcBorders>
            <w:shd w:val="clear" w:color="auto" w:fill="auto"/>
            <w:noWrap/>
            <w:vAlign w:val="bottom"/>
            <w:hideMark/>
          </w:tcPr>
          <w:p w14:paraId="491DB145"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13</w:t>
            </w:r>
          </w:p>
        </w:tc>
        <w:tc>
          <w:tcPr>
            <w:tcW w:w="1522" w:type="dxa"/>
            <w:tcBorders>
              <w:top w:val="nil"/>
              <w:left w:val="nil"/>
              <w:bottom w:val="single" w:sz="4" w:space="0" w:color="auto"/>
              <w:right w:val="single" w:sz="8" w:space="0" w:color="auto"/>
            </w:tcBorders>
            <w:shd w:val="clear" w:color="auto" w:fill="auto"/>
            <w:noWrap/>
            <w:vAlign w:val="bottom"/>
            <w:hideMark/>
          </w:tcPr>
          <w:p w14:paraId="13268D6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w:t>
            </w:r>
          </w:p>
        </w:tc>
      </w:tr>
      <w:tr w:rsidR="00724028" w:rsidRPr="0020656B" w14:paraId="0AE25ADB"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noWrap/>
            <w:vAlign w:val="bottom"/>
            <w:hideMark/>
          </w:tcPr>
          <w:p w14:paraId="6D094F65"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47-50</w:t>
            </w:r>
          </w:p>
        </w:tc>
        <w:tc>
          <w:tcPr>
            <w:tcW w:w="1701" w:type="dxa"/>
            <w:tcBorders>
              <w:top w:val="nil"/>
              <w:left w:val="nil"/>
              <w:bottom w:val="single" w:sz="4" w:space="0" w:color="auto"/>
              <w:right w:val="single" w:sz="4" w:space="0" w:color="auto"/>
            </w:tcBorders>
            <w:shd w:val="clear" w:color="auto" w:fill="auto"/>
            <w:noWrap/>
            <w:vAlign w:val="bottom"/>
            <w:hideMark/>
          </w:tcPr>
          <w:p w14:paraId="1937CB1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14</w:t>
            </w:r>
          </w:p>
        </w:tc>
        <w:tc>
          <w:tcPr>
            <w:tcW w:w="1664" w:type="dxa"/>
            <w:tcBorders>
              <w:top w:val="nil"/>
              <w:left w:val="nil"/>
              <w:bottom w:val="single" w:sz="4" w:space="0" w:color="auto"/>
              <w:right w:val="single" w:sz="6" w:space="0" w:color="auto"/>
            </w:tcBorders>
            <w:shd w:val="clear" w:color="auto" w:fill="auto"/>
            <w:noWrap/>
            <w:vAlign w:val="bottom"/>
            <w:hideMark/>
          </w:tcPr>
          <w:p w14:paraId="0C77969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62D7DE4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33-35</w:t>
            </w:r>
          </w:p>
        </w:tc>
        <w:tc>
          <w:tcPr>
            <w:tcW w:w="1399" w:type="dxa"/>
            <w:tcBorders>
              <w:top w:val="nil"/>
              <w:left w:val="nil"/>
              <w:bottom w:val="single" w:sz="4" w:space="0" w:color="auto"/>
              <w:right w:val="single" w:sz="4" w:space="0" w:color="auto"/>
            </w:tcBorders>
            <w:shd w:val="clear" w:color="auto" w:fill="auto"/>
            <w:noWrap/>
            <w:vAlign w:val="bottom"/>
            <w:hideMark/>
          </w:tcPr>
          <w:p w14:paraId="0E779DC5"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14</w:t>
            </w:r>
          </w:p>
        </w:tc>
        <w:tc>
          <w:tcPr>
            <w:tcW w:w="1522" w:type="dxa"/>
            <w:tcBorders>
              <w:top w:val="nil"/>
              <w:left w:val="nil"/>
              <w:bottom w:val="single" w:sz="4" w:space="0" w:color="auto"/>
              <w:right w:val="single" w:sz="8" w:space="0" w:color="auto"/>
            </w:tcBorders>
            <w:shd w:val="clear" w:color="auto" w:fill="auto"/>
            <w:noWrap/>
            <w:vAlign w:val="bottom"/>
            <w:hideMark/>
          </w:tcPr>
          <w:p w14:paraId="1DEC3CB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w:t>
            </w:r>
          </w:p>
        </w:tc>
      </w:tr>
      <w:tr w:rsidR="00724028" w:rsidRPr="0020656B" w14:paraId="2068D9C6"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noWrap/>
            <w:vAlign w:val="bottom"/>
            <w:hideMark/>
          </w:tcPr>
          <w:p w14:paraId="28C4284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lastRenderedPageBreak/>
              <w:t>51-53</w:t>
            </w:r>
          </w:p>
        </w:tc>
        <w:tc>
          <w:tcPr>
            <w:tcW w:w="1701" w:type="dxa"/>
            <w:tcBorders>
              <w:top w:val="nil"/>
              <w:left w:val="nil"/>
              <w:bottom w:val="single" w:sz="4" w:space="0" w:color="auto"/>
              <w:right w:val="single" w:sz="4" w:space="0" w:color="auto"/>
            </w:tcBorders>
            <w:shd w:val="clear" w:color="auto" w:fill="auto"/>
            <w:noWrap/>
            <w:vAlign w:val="bottom"/>
            <w:hideMark/>
          </w:tcPr>
          <w:p w14:paraId="0849DF6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15</w:t>
            </w:r>
          </w:p>
        </w:tc>
        <w:tc>
          <w:tcPr>
            <w:tcW w:w="1664" w:type="dxa"/>
            <w:tcBorders>
              <w:top w:val="nil"/>
              <w:left w:val="nil"/>
              <w:bottom w:val="single" w:sz="4" w:space="0" w:color="auto"/>
              <w:right w:val="single" w:sz="6" w:space="0" w:color="auto"/>
            </w:tcBorders>
            <w:shd w:val="clear" w:color="auto" w:fill="auto"/>
            <w:noWrap/>
            <w:vAlign w:val="bottom"/>
            <w:hideMark/>
          </w:tcPr>
          <w:p w14:paraId="150CEB7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2BB29ED5"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36-37</w:t>
            </w:r>
          </w:p>
        </w:tc>
        <w:tc>
          <w:tcPr>
            <w:tcW w:w="1399" w:type="dxa"/>
            <w:tcBorders>
              <w:top w:val="nil"/>
              <w:left w:val="nil"/>
              <w:bottom w:val="single" w:sz="4" w:space="0" w:color="auto"/>
              <w:right w:val="single" w:sz="4" w:space="0" w:color="auto"/>
            </w:tcBorders>
            <w:shd w:val="clear" w:color="auto" w:fill="auto"/>
            <w:noWrap/>
            <w:vAlign w:val="bottom"/>
            <w:hideMark/>
          </w:tcPr>
          <w:p w14:paraId="7E84205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15</w:t>
            </w:r>
          </w:p>
        </w:tc>
        <w:tc>
          <w:tcPr>
            <w:tcW w:w="1522" w:type="dxa"/>
            <w:tcBorders>
              <w:top w:val="nil"/>
              <w:left w:val="nil"/>
              <w:bottom w:val="single" w:sz="4" w:space="0" w:color="auto"/>
              <w:right w:val="single" w:sz="8" w:space="0" w:color="auto"/>
            </w:tcBorders>
            <w:shd w:val="clear" w:color="auto" w:fill="auto"/>
            <w:noWrap/>
            <w:vAlign w:val="bottom"/>
            <w:hideMark/>
          </w:tcPr>
          <w:p w14:paraId="2DDA07C5"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w:t>
            </w:r>
          </w:p>
        </w:tc>
      </w:tr>
      <w:tr w:rsidR="00724028" w:rsidRPr="0020656B" w14:paraId="2DEA6261"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noWrap/>
            <w:vAlign w:val="bottom"/>
            <w:hideMark/>
          </w:tcPr>
          <w:p w14:paraId="7177462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54-57</w:t>
            </w:r>
          </w:p>
        </w:tc>
        <w:tc>
          <w:tcPr>
            <w:tcW w:w="1701" w:type="dxa"/>
            <w:tcBorders>
              <w:top w:val="nil"/>
              <w:left w:val="nil"/>
              <w:bottom w:val="single" w:sz="4" w:space="0" w:color="auto"/>
              <w:right w:val="single" w:sz="4" w:space="0" w:color="auto"/>
            </w:tcBorders>
            <w:shd w:val="clear" w:color="auto" w:fill="auto"/>
            <w:noWrap/>
            <w:vAlign w:val="bottom"/>
            <w:hideMark/>
          </w:tcPr>
          <w:p w14:paraId="07CB8CC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16</w:t>
            </w:r>
          </w:p>
        </w:tc>
        <w:tc>
          <w:tcPr>
            <w:tcW w:w="1664" w:type="dxa"/>
            <w:tcBorders>
              <w:top w:val="nil"/>
              <w:left w:val="nil"/>
              <w:bottom w:val="single" w:sz="4" w:space="0" w:color="auto"/>
              <w:right w:val="single" w:sz="6" w:space="0" w:color="auto"/>
            </w:tcBorders>
            <w:shd w:val="clear" w:color="auto" w:fill="auto"/>
            <w:noWrap/>
            <w:vAlign w:val="bottom"/>
            <w:hideMark/>
          </w:tcPr>
          <w:p w14:paraId="26E582B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4DD3A18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38-40</w:t>
            </w:r>
          </w:p>
        </w:tc>
        <w:tc>
          <w:tcPr>
            <w:tcW w:w="1399" w:type="dxa"/>
            <w:tcBorders>
              <w:top w:val="nil"/>
              <w:left w:val="nil"/>
              <w:bottom w:val="single" w:sz="4" w:space="0" w:color="auto"/>
              <w:right w:val="single" w:sz="4" w:space="0" w:color="auto"/>
            </w:tcBorders>
            <w:shd w:val="clear" w:color="auto" w:fill="auto"/>
            <w:noWrap/>
            <w:vAlign w:val="bottom"/>
            <w:hideMark/>
          </w:tcPr>
          <w:p w14:paraId="4AE9BBF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16</w:t>
            </w:r>
          </w:p>
        </w:tc>
        <w:tc>
          <w:tcPr>
            <w:tcW w:w="1522" w:type="dxa"/>
            <w:tcBorders>
              <w:top w:val="nil"/>
              <w:left w:val="nil"/>
              <w:bottom w:val="single" w:sz="4" w:space="0" w:color="auto"/>
              <w:right w:val="single" w:sz="8" w:space="0" w:color="auto"/>
            </w:tcBorders>
            <w:shd w:val="clear" w:color="auto" w:fill="auto"/>
            <w:noWrap/>
            <w:vAlign w:val="bottom"/>
            <w:hideMark/>
          </w:tcPr>
          <w:p w14:paraId="03DC1A5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w:t>
            </w:r>
          </w:p>
        </w:tc>
      </w:tr>
      <w:tr w:rsidR="00724028" w:rsidRPr="0020656B" w14:paraId="0DF91B37"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noWrap/>
            <w:vAlign w:val="bottom"/>
            <w:hideMark/>
          </w:tcPr>
          <w:p w14:paraId="13CCEB9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58-60</w:t>
            </w:r>
          </w:p>
        </w:tc>
        <w:tc>
          <w:tcPr>
            <w:tcW w:w="1701" w:type="dxa"/>
            <w:tcBorders>
              <w:top w:val="nil"/>
              <w:left w:val="nil"/>
              <w:bottom w:val="single" w:sz="4" w:space="0" w:color="auto"/>
              <w:right w:val="single" w:sz="4" w:space="0" w:color="auto"/>
            </w:tcBorders>
            <w:shd w:val="clear" w:color="auto" w:fill="auto"/>
            <w:noWrap/>
            <w:vAlign w:val="bottom"/>
            <w:hideMark/>
          </w:tcPr>
          <w:p w14:paraId="3777F81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17</w:t>
            </w:r>
          </w:p>
        </w:tc>
        <w:tc>
          <w:tcPr>
            <w:tcW w:w="1664" w:type="dxa"/>
            <w:tcBorders>
              <w:top w:val="nil"/>
              <w:left w:val="nil"/>
              <w:bottom w:val="single" w:sz="4" w:space="0" w:color="auto"/>
              <w:right w:val="single" w:sz="6" w:space="0" w:color="auto"/>
            </w:tcBorders>
            <w:shd w:val="clear" w:color="auto" w:fill="auto"/>
            <w:noWrap/>
            <w:vAlign w:val="bottom"/>
            <w:hideMark/>
          </w:tcPr>
          <w:p w14:paraId="1074A50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65ECCDB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41-42</w:t>
            </w:r>
          </w:p>
        </w:tc>
        <w:tc>
          <w:tcPr>
            <w:tcW w:w="1399" w:type="dxa"/>
            <w:tcBorders>
              <w:top w:val="nil"/>
              <w:left w:val="nil"/>
              <w:bottom w:val="single" w:sz="4" w:space="0" w:color="auto"/>
              <w:right w:val="single" w:sz="4" w:space="0" w:color="auto"/>
            </w:tcBorders>
            <w:shd w:val="clear" w:color="auto" w:fill="auto"/>
            <w:noWrap/>
            <w:vAlign w:val="bottom"/>
            <w:hideMark/>
          </w:tcPr>
          <w:p w14:paraId="489DF30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17</w:t>
            </w:r>
          </w:p>
        </w:tc>
        <w:tc>
          <w:tcPr>
            <w:tcW w:w="1522" w:type="dxa"/>
            <w:tcBorders>
              <w:top w:val="nil"/>
              <w:left w:val="nil"/>
              <w:bottom w:val="single" w:sz="4" w:space="0" w:color="auto"/>
              <w:right w:val="single" w:sz="8" w:space="0" w:color="auto"/>
            </w:tcBorders>
            <w:shd w:val="clear" w:color="auto" w:fill="auto"/>
            <w:noWrap/>
            <w:vAlign w:val="bottom"/>
            <w:hideMark/>
          </w:tcPr>
          <w:p w14:paraId="6E820B5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w:t>
            </w:r>
          </w:p>
        </w:tc>
      </w:tr>
      <w:tr w:rsidR="00724028" w:rsidRPr="0020656B" w14:paraId="7382B418"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noWrap/>
            <w:vAlign w:val="bottom"/>
            <w:hideMark/>
          </w:tcPr>
          <w:p w14:paraId="2895B8F7"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61-64</w:t>
            </w:r>
          </w:p>
        </w:tc>
        <w:tc>
          <w:tcPr>
            <w:tcW w:w="1701" w:type="dxa"/>
            <w:tcBorders>
              <w:top w:val="nil"/>
              <w:left w:val="nil"/>
              <w:bottom w:val="single" w:sz="4" w:space="0" w:color="auto"/>
              <w:right w:val="single" w:sz="4" w:space="0" w:color="auto"/>
            </w:tcBorders>
            <w:shd w:val="clear" w:color="auto" w:fill="auto"/>
            <w:noWrap/>
            <w:vAlign w:val="bottom"/>
            <w:hideMark/>
          </w:tcPr>
          <w:p w14:paraId="12E5A71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18</w:t>
            </w:r>
          </w:p>
        </w:tc>
        <w:tc>
          <w:tcPr>
            <w:tcW w:w="1664" w:type="dxa"/>
            <w:tcBorders>
              <w:top w:val="nil"/>
              <w:left w:val="nil"/>
              <w:bottom w:val="single" w:sz="4" w:space="0" w:color="auto"/>
              <w:right w:val="single" w:sz="6" w:space="0" w:color="auto"/>
            </w:tcBorders>
            <w:shd w:val="clear" w:color="auto" w:fill="auto"/>
            <w:noWrap/>
            <w:vAlign w:val="bottom"/>
            <w:hideMark/>
          </w:tcPr>
          <w:p w14:paraId="0F48ACA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7215119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43-45</w:t>
            </w:r>
          </w:p>
        </w:tc>
        <w:tc>
          <w:tcPr>
            <w:tcW w:w="1399" w:type="dxa"/>
            <w:tcBorders>
              <w:top w:val="nil"/>
              <w:left w:val="nil"/>
              <w:bottom w:val="single" w:sz="4" w:space="0" w:color="auto"/>
              <w:right w:val="single" w:sz="4" w:space="0" w:color="auto"/>
            </w:tcBorders>
            <w:shd w:val="clear" w:color="auto" w:fill="auto"/>
            <w:noWrap/>
            <w:vAlign w:val="bottom"/>
            <w:hideMark/>
          </w:tcPr>
          <w:p w14:paraId="2D51605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18</w:t>
            </w:r>
          </w:p>
        </w:tc>
        <w:tc>
          <w:tcPr>
            <w:tcW w:w="1522" w:type="dxa"/>
            <w:tcBorders>
              <w:top w:val="nil"/>
              <w:left w:val="nil"/>
              <w:bottom w:val="single" w:sz="4" w:space="0" w:color="auto"/>
              <w:right w:val="single" w:sz="8" w:space="0" w:color="auto"/>
            </w:tcBorders>
            <w:shd w:val="clear" w:color="auto" w:fill="auto"/>
            <w:noWrap/>
            <w:vAlign w:val="bottom"/>
            <w:hideMark/>
          </w:tcPr>
          <w:p w14:paraId="25E8EAC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w:t>
            </w:r>
          </w:p>
        </w:tc>
      </w:tr>
      <w:tr w:rsidR="00724028" w:rsidRPr="0020656B" w14:paraId="592ED9F2"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noWrap/>
            <w:vAlign w:val="bottom"/>
            <w:hideMark/>
          </w:tcPr>
          <w:p w14:paraId="7843EF95"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65-67</w:t>
            </w:r>
          </w:p>
        </w:tc>
        <w:tc>
          <w:tcPr>
            <w:tcW w:w="1701" w:type="dxa"/>
            <w:tcBorders>
              <w:top w:val="nil"/>
              <w:left w:val="nil"/>
              <w:bottom w:val="single" w:sz="4" w:space="0" w:color="auto"/>
              <w:right w:val="single" w:sz="4" w:space="0" w:color="auto"/>
            </w:tcBorders>
            <w:shd w:val="clear" w:color="auto" w:fill="auto"/>
            <w:noWrap/>
            <w:vAlign w:val="bottom"/>
            <w:hideMark/>
          </w:tcPr>
          <w:p w14:paraId="614B128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19</w:t>
            </w:r>
          </w:p>
        </w:tc>
        <w:tc>
          <w:tcPr>
            <w:tcW w:w="1664" w:type="dxa"/>
            <w:tcBorders>
              <w:top w:val="nil"/>
              <w:left w:val="nil"/>
              <w:bottom w:val="single" w:sz="4" w:space="0" w:color="auto"/>
              <w:right w:val="single" w:sz="6" w:space="0" w:color="auto"/>
            </w:tcBorders>
            <w:shd w:val="clear" w:color="auto" w:fill="auto"/>
            <w:noWrap/>
            <w:vAlign w:val="bottom"/>
            <w:hideMark/>
          </w:tcPr>
          <w:p w14:paraId="18119D95"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10</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76D711E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46-47</w:t>
            </w:r>
          </w:p>
        </w:tc>
        <w:tc>
          <w:tcPr>
            <w:tcW w:w="1399" w:type="dxa"/>
            <w:tcBorders>
              <w:top w:val="nil"/>
              <w:left w:val="nil"/>
              <w:bottom w:val="single" w:sz="4" w:space="0" w:color="auto"/>
              <w:right w:val="single" w:sz="4" w:space="0" w:color="auto"/>
            </w:tcBorders>
            <w:shd w:val="clear" w:color="auto" w:fill="auto"/>
            <w:noWrap/>
            <w:vAlign w:val="bottom"/>
            <w:hideMark/>
          </w:tcPr>
          <w:p w14:paraId="33D5B9C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19</w:t>
            </w:r>
          </w:p>
        </w:tc>
        <w:tc>
          <w:tcPr>
            <w:tcW w:w="1522" w:type="dxa"/>
            <w:tcBorders>
              <w:top w:val="nil"/>
              <w:left w:val="nil"/>
              <w:bottom w:val="single" w:sz="4" w:space="0" w:color="auto"/>
              <w:right w:val="single" w:sz="8" w:space="0" w:color="auto"/>
            </w:tcBorders>
            <w:shd w:val="clear" w:color="auto" w:fill="auto"/>
            <w:noWrap/>
            <w:vAlign w:val="bottom"/>
            <w:hideMark/>
          </w:tcPr>
          <w:p w14:paraId="29450DC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10</w:t>
            </w:r>
          </w:p>
        </w:tc>
      </w:tr>
      <w:tr w:rsidR="00724028" w:rsidRPr="0020656B" w14:paraId="1B6A0A51"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noWrap/>
            <w:vAlign w:val="bottom"/>
            <w:hideMark/>
          </w:tcPr>
          <w:p w14:paraId="756BF167"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68-71</w:t>
            </w:r>
          </w:p>
        </w:tc>
        <w:tc>
          <w:tcPr>
            <w:tcW w:w="1701" w:type="dxa"/>
            <w:tcBorders>
              <w:top w:val="nil"/>
              <w:left w:val="nil"/>
              <w:bottom w:val="single" w:sz="4" w:space="0" w:color="auto"/>
              <w:right w:val="single" w:sz="4" w:space="0" w:color="auto"/>
            </w:tcBorders>
            <w:shd w:val="clear" w:color="auto" w:fill="auto"/>
            <w:noWrap/>
            <w:vAlign w:val="bottom"/>
            <w:hideMark/>
          </w:tcPr>
          <w:p w14:paraId="4918EA1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20</w:t>
            </w:r>
          </w:p>
        </w:tc>
        <w:tc>
          <w:tcPr>
            <w:tcW w:w="1664" w:type="dxa"/>
            <w:tcBorders>
              <w:top w:val="nil"/>
              <w:left w:val="nil"/>
              <w:bottom w:val="single" w:sz="4" w:space="0" w:color="auto"/>
              <w:right w:val="single" w:sz="6" w:space="0" w:color="auto"/>
            </w:tcBorders>
            <w:shd w:val="clear" w:color="auto" w:fill="auto"/>
            <w:noWrap/>
            <w:vAlign w:val="bottom"/>
            <w:hideMark/>
          </w:tcPr>
          <w:p w14:paraId="5BDA316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10</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5CA51DB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48-50</w:t>
            </w:r>
          </w:p>
        </w:tc>
        <w:tc>
          <w:tcPr>
            <w:tcW w:w="1399" w:type="dxa"/>
            <w:tcBorders>
              <w:top w:val="nil"/>
              <w:left w:val="nil"/>
              <w:bottom w:val="single" w:sz="4" w:space="0" w:color="auto"/>
              <w:right w:val="single" w:sz="4" w:space="0" w:color="auto"/>
            </w:tcBorders>
            <w:shd w:val="clear" w:color="auto" w:fill="auto"/>
            <w:noWrap/>
            <w:vAlign w:val="bottom"/>
            <w:hideMark/>
          </w:tcPr>
          <w:p w14:paraId="4572009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20</w:t>
            </w:r>
          </w:p>
        </w:tc>
        <w:tc>
          <w:tcPr>
            <w:tcW w:w="1522" w:type="dxa"/>
            <w:tcBorders>
              <w:top w:val="nil"/>
              <w:left w:val="nil"/>
              <w:bottom w:val="single" w:sz="4" w:space="0" w:color="auto"/>
              <w:right w:val="single" w:sz="8" w:space="0" w:color="auto"/>
            </w:tcBorders>
            <w:shd w:val="clear" w:color="auto" w:fill="auto"/>
            <w:noWrap/>
            <w:vAlign w:val="bottom"/>
            <w:hideMark/>
          </w:tcPr>
          <w:p w14:paraId="418EB95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10</w:t>
            </w:r>
          </w:p>
        </w:tc>
      </w:tr>
      <w:tr w:rsidR="00724028" w:rsidRPr="0020656B" w14:paraId="7CC2D088"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noWrap/>
            <w:vAlign w:val="bottom"/>
            <w:hideMark/>
          </w:tcPr>
          <w:p w14:paraId="4E1A7D9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72-75</w:t>
            </w:r>
          </w:p>
        </w:tc>
        <w:tc>
          <w:tcPr>
            <w:tcW w:w="1701" w:type="dxa"/>
            <w:tcBorders>
              <w:top w:val="nil"/>
              <w:left w:val="nil"/>
              <w:bottom w:val="single" w:sz="4" w:space="0" w:color="auto"/>
              <w:right w:val="single" w:sz="4" w:space="0" w:color="auto"/>
            </w:tcBorders>
            <w:shd w:val="clear" w:color="auto" w:fill="auto"/>
            <w:noWrap/>
            <w:vAlign w:val="bottom"/>
            <w:hideMark/>
          </w:tcPr>
          <w:p w14:paraId="69521F7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21</w:t>
            </w:r>
          </w:p>
        </w:tc>
        <w:tc>
          <w:tcPr>
            <w:tcW w:w="1664" w:type="dxa"/>
            <w:tcBorders>
              <w:top w:val="nil"/>
              <w:left w:val="nil"/>
              <w:bottom w:val="single" w:sz="4" w:space="0" w:color="auto"/>
              <w:right w:val="single" w:sz="6" w:space="0" w:color="auto"/>
            </w:tcBorders>
            <w:shd w:val="clear" w:color="auto" w:fill="auto"/>
            <w:noWrap/>
            <w:vAlign w:val="bottom"/>
            <w:hideMark/>
          </w:tcPr>
          <w:p w14:paraId="0E8D145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11</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5552CCE3"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51-52</w:t>
            </w:r>
          </w:p>
        </w:tc>
        <w:tc>
          <w:tcPr>
            <w:tcW w:w="1399" w:type="dxa"/>
            <w:tcBorders>
              <w:top w:val="nil"/>
              <w:left w:val="nil"/>
              <w:bottom w:val="single" w:sz="4" w:space="0" w:color="auto"/>
              <w:right w:val="single" w:sz="4" w:space="0" w:color="auto"/>
            </w:tcBorders>
            <w:shd w:val="clear" w:color="auto" w:fill="auto"/>
            <w:noWrap/>
            <w:vAlign w:val="bottom"/>
            <w:hideMark/>
          </w:tcPr>
          <w:p w14:paraId="648AF48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21</w:t>
            </w:r>
          </w:p>
        </w:tc>
        <w:tc>
          <w:tcPr>
            <w:tcW w:w="1522" w:type="dxa"/>
            <w:tcBorders>
              <w:top w:val="nil"/>
              <w:left w:val="nil"/>
              <w:bottom w:val="single" w:sz="4" w:space="0" w:color="auto"/>
              <w:right w:val="single" w:sz="8" w:space="0" w:color="auto"/>
            </w:tcBorders>
            <w:shd w:val="clear" w:color="auto" w:fill="auto"/>
            <w:noWrap/>
            <w:vAlign w:val="bottom"/>
            <w:hideMark/>
          </w:tcPr>
          <w:p w14:paraId="41D3FDF7"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11</w:t>
            </w:r>
          </w:p>
        </w:tc>
      </w:tr>
      <w:tr w:rsidR="00724028" w:rsidRPr="0020656B" w14:paraId="23BC9F10"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noWrap/>
            <w:vAlign w:val="bottom"/>
            <w:hideMark/>
          </w:tcPr>
          <w:p w14:paraId="58C6EF8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76-78</w:t>
            </w:r>
          </w:p>
        </w:tc>
        <w:tc>
          <w:tcPr>
            <w:tcW w:w="1701" w:type="dxa"/>
            <w:tcBorders>
              <w:top w:val="nil"/>
              <w:left w:val="nil"/>
              <w:bottom w:val="single" w:sz="4" w:space="0" w:color="auto"/>
              <w:right w:val="single" w:sz="4" w:space="0" w:color="auto"/>
            </w:tcBorders>
            <w:shd w:val="clear" w:color="auto" w:fill="auto"/>
            <w:noWrap/>
            <w:vAlign w:val="bottom"/>
            <w:hideMark/>
          </w:tcPr>
          <w:p w14:paraId="62DF430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22</w:t>
            </w:r>
          </w:p>
        </w:tc>
        <w:tc>
          <w:tcPr>
            <w:tcW w:w="1664" w:type="dxa"/>
            <w:tcBorders>
              <w:top w:val="nil"/>
              <w:left w:val="nil"/>
              <w:bottom w:val="single" w:sz="4" w:space="0" w:color="auto"/>
              <w:right w:val="single" w:sz="6" w:space="0" w:color="auto"/>
            </w:tcBorders>
            <w:shd w:val="clear" w:color="auto" w:fill="auto"/>
            <w:noWrap/>
            <w:vAlign w:val="bottom"/>
            <w:hideMark/>
          </w:tcPr>
          <w:p w14:paraId="2A1BB74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11</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045377D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53-55</w:t>
            </w:r>
          </w:p>
        </w:tc>
        <w:tc>
          <w:tcPr>
            <w:tcW w:w="1399" w:type="dxa"/>
            <w:tcBorders>
              <w:top w:val="nil"/>
              <w:left w:val="nil"/>
              <w:bottom w:val="single" w:sz="4" w:space="0" w:color="auto"/>
              <w:right w:val="single" w:sz="4" w:space="0" w:color="auto"/>
            </w:tcBorders>
            <w:shd w:val="clear" w:color="auto" w:fill="auto"/>
            <w:noWrap/>
            <w:vAlign w:val="bottom"/>
            <w:hideMark/>
          </w:tcPr>
          <w:p w14:paraId="112A14E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22</w:t>
            </w:r>
          </w:p>
        </w:tc>
        <w:tc>
          <w:tcPr>
            <w:tcW w:w="1522" w:type="dxa"/>
            <w:tcBorders>
              <w:top w:val="nil"/>
              <w:left w:val="nil"/>
              <w:bottom w:val="single" w:sz="4" w:space="0" w:color="auto"/>
              <w:right w:val="single" w:sz="8" w:space="0" w:color="auto"/>
            </w:tcBorders>
            <w:shd w:val="clear" w:color="auto" w:fill="auto"/>
            <w:noWrap/>
            <w:vAlign w:val="bottom"/>
            <w:hideMark/>
          </w:tcPr>
          <w:p w14:paraId="1671B86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11</w:t>
            </w:r>
          </w:p>
        </w:tc>
      </w:tr>
      <w:tr w:rsidR="00724028" w:rsidRPr="0020656B" w14:paraId="55744795"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noWrap/>
            <w:vAlign w:val="bottom"/>
            <w:hideMark/>
          </w:tcPr>
          <w:p w14:paraId="162EF983"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79-82</w:t>
            </w:r>
          </w:p>
        </w:tc>
        <w:tc>
          <w:tcPr>
            <w:tcW w:w="1701" w:type="dxa"/>
            <w:tcBorders>
              <w:top w:val="nil"/>
              <w:left w:val="nil"/>
              <w:bottom w:val="single" w:sz="4" w:space="0" w:color="auto"/>
              <w:right w:val="single" w:sz="4" w:space="0" w:color="auto"/>
            </w:tcBorders>
            <w:shd w:val="clear" w:color="auto" w:fill="auto"/>
            <w:noWrap/>
            <w:vAlign w:val="bottom"/>
            <w:hideMark/>
          </w:tcPr>
          <w:p w14:paraId="2326E21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23</w:t>
            </w:r>
          </w:p>
        </w:tc>
        <w:tc>
          <w:tcPr>
            <w:tcW w:w="1664" w:type="dxa"/>
            <w:tcBorders>
              <w:top w:val="nil"/>
              <w:left w:val="nil"/>
              <w:bottom w:val="single" w:sz="4" w:space="0" w:color="auto"/>
              <w:right w:val="single" w:sz="6" w:space="0" w:color="auto"/>
            </w:tcBorders>
            <w:shd w:val="clear" w:color="auto" w:fill="auto"/>
            <w:noWrap/>
            <w:vAlign w:val="bottom"/>
            <w:hideMark/>
          </w:tcPr>
          <w:p w14:paraId="25BD765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12</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7071881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56-57</w:t>
            </w:r>
          </w:p>
        </w:tc>
        <w:tc>
          <w:tcPr>
            <w:tcW w:w="1399" w:type="dxa"/>
            <w:tcBorders>
              <w:top w:val="nil"/>
              <w:left w:val="nil"/>
              <w:bottom w:val="single" w:sz="4" w:space="0" w:color="auto"/>
              <w:right w:val="single" w:sz="4" w:space="0" w:color="auto"/>
            </w:tcBorders>
            <w:shd w:val="clear" w:color="auto" w:fill="auto"/>
            <w:noWrap/>
            <w:vAlign w:val="bottom"/>
            <w:hideMark/>
          </w:tcPr>
          <w:p w14:paraId="4E800705"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23</w:t>
            </w:r>
          </w:p>
        </w:tc>
        <w:tc>
          <w:tcPr>
            <w:tcW w:w="1522" w:type="dxa"/>
            <w:tcBorders>
              <w:top w:val="nil"/>
              <w:left w:val="nil"/>
              <w:bottom w:val="single" w:sz="4" w:space="0" w:color="auto"/>
              <w:right w:val="single" w:sz="8" w:space="0" w:color="auto"/>
            </w:tcBorders>
            <w:shd w:val="clear" w:color="auto" w:fill="auto"/>
            <w:noWrap/>
            <w:vAlign w:val="bottom"/>
            <w:hideMark/>
          </w:tcPr>
          <w:p w14:paraId="209A2B1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12</w:t>
            </w:r>
          </w:p>
        </w:tc>
      </w:tr>
      <w:tr w:rsidR="00724028" w:rsidRPr="0020656B" w14:paraId="4386C4B2"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noWrap/>
            <w:vAlign w:val="bottom"/>
            <w:hideMark/>
          </w:tcPr>
          <w:p w14:paraId="68EAEF6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83-86</w:t>
            </w:r>
          </w:p>
        </w:tc>
        <w:tc>
          <w:tcPr>
            <w:tcW w:w="1701" w:type="dxa"/>
            <w:tcBorders>
              <w:top w:val="nil"/>
              <w:left w:val="nil"/>
              <w:bottom w:val="single" w:sz="4" w:space="0" w:color="auto"/>
              <w:right w:val="single" w:sz="4" w:space="0" w:color="auto"/>
            </w:tcBorders>
            <w:shd w:val="clear" w:color="auto" w:fill="auto"/>
            <w:noWrap/>
            <w:vAlign w:val="bottom"/>
            <w:hideMark/>
          </w:tcPr>
          <w:p w14:paraId="17EE245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24</w:t>
            </w:r>
          </w:p>
        </w:tc>
        <w:tc>
          <w:tcPr>
            <w:tcW w:w="1664" w:type="dxa"/>
            <w:tcBorders>
              <w:top w:val="nil"/>
              <w:left w:val="nil"/>
              <w:bottom w:val="single" w:sz="4" w:space="0" w:color="auto"/>
              <w:right w:val="single" w:sz="6" w:space="0" w:color="auto"/>
            </w:tcBorders>
            <w:shd w:val="clear" w:color="auto" w:fill="auto"/>
            <w:noWrap/>
            <w:vAlign w:val="bottom"/>
            <w:hideMark/>
          </w:tcPr>
          <w:p w14:paraId="25F42D97"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12</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2385BE7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58-60</w:t>
            </w:r>
          </w:p>
        </w:tc>
        <w:tc>
          <w:tcPr>
            <w:tcW w:w="1399" w:type="dxa"/>
            <w:tcBorders>
              <w:top w:val="nil"/>
              <w:left w:val="nil"/>
              <w:bottom w:val="single" w:sz="4" w:space="0" w:color="auto"/>
              <w:right w:val="single" w:sz="4" w:space="0" w:color="auto"/>
            </w:tcBorders>
            <w:shd w:val="clear" w:color="auto" w:fill="auto"/>
            <w:noWrap/>
            <w:vAlign w:val="bottom"/>
            <w:hideMark/>
          </w:tcPr>
          <w:p w14:paraId="5CE9A9E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24</w:t>
            </w:r>
          </w:p>
        </w:tc>
        <w:tc>
          <w:tcPr>
            <w:tcW w:w="1522" w:type="dxa"/>
            <w:tcBorders>
              <w:top w:val="nil"/>
              <w:left w:val="nil"/>
              <w:bottom w:val="single" w:sz="4" w:space="0" w:color="auto"/>
              <w:right w:val="single" w:sz="8" w:space="0" w:color="auto"/>
            </w:tcBorders>
            <w:shd w:val="clear" w:color="auto" w:fill="auto"/>
            <w:noWrap/>
            <w:vAlign w:val="bottom"/>
            <w:hideMark/>
          </w:tcPr>
          <w:p w14:paraId="0B291E94"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12</w:t>
            </w:r>
          </w:p>
        </w:tc>
      </w:tr>
      <w:tr w:rsidR="00724028" w:rsidRPr="0020656B" w14:paraId="1065B01C"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noWrap/>
            <w:vAlign w:val="bottom"/>
            <w:hideMark/>
          </w:tcPr>
          <w:p w14:paraId="2434AB9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87-89</w:t>
            </w:r>
          </w:p>
        </w:tc>
        <w:tc>
          <w:tcPr>
            <w:tcW w:w="1701" w:type="dxa"/>
            <w:tcBorders>
              <w:top w:val="nil"/>
              <w:left w:val="nil"/>
              <w:bottom w:val="single" w:sz="4" w:space="0" w:color="auto"/>
              <w:right w:val="single" w:sz="4" w:space="0" w:color="auto"/>
            </w:tcBorders>
            <w:shd w:val="clear" w:color="auto" w:fill="auto"/>
            <w:noWrap/>
            <w:vAlign w:val="bottom"/>
            <w:hideMark/>
          </w:tcPr>
          <w:p w14:paraId="13A7B24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25</w:t>
            </w:r>
          </w:p>
        </w:tc>
        <w:tc>
          <w:tcPr>
            <w:tcW w:w="1664" w:type="dxa"/>
            <w:tcBorders>
              <w:top w:val="nil"/>
              <w:left w:val="nil"/>
              <w:bottom w:val="single" w:sz="4" w:space="0" w:color="auto"/>
              <w:right w:val="single" w:sz="6" w:space="0" w:color="auto"/>
            </w:tcBorders>
            <w:shd w:val="clear" w:color="auto" w:fill="auto"/>
            <w:noWrap/>
            <w:vAlign w:val="bottom"/>
            <w:hideMark/>
          </w:tcPr>
          <w:p w14:paraId="236EE8E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13</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70EA4FC4"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61-62</w:t>
            </w:r>
          </w:p>
        </w:tc>
        <w:tc>
          <w:tcPr>
            <w:tcW w:w="1399" w:type="dxa"/>
            <w:tcBorders>
              <w:top w:val="nil"/>
              <w:left w:val="nil"/>
              <w:bottom w:val="single" w:sz="4" w:space="0" w:color="auto"/>
              <w:right w:val="single" w:sz="4" w:space="0" w:color="auto"/>
            </w:tcBorders>
            <w:shd w:val="clear" w:color="auto" w:fill="auto"/>
            <w:noWrap/>
            <w:vAlign w:val="bottom"/>
            <w:hideMark/>
          </w:tcPr>
          <w:p w14:paraId="68030E95"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25</w:t>
            </w:r>
          </w:p>
        </w:tc>
        <w:tc>
          <w:tcPr>
            <w:tcW w:w="1522" w:type="dxa"/>
            <w:tcBorders>
              <w:top w:val="nil"/>
              <w:left w:val="nil"/>
              <w:bottom w:val="single" w:sz="4" w:space="0" w:color="auto"/>
              <w:right w:val="single" w:sz="8" w:space="0" w:color="auto"/>
            </w:tcBorders>
            <w:shd w:val="clear" w:color="auto" w:fill="auto"/>
            <w:noWrap/>
            <w:vAlign w:val="bottom"/>
            <w:hideMark/>
          </w:tcPr>
          <w:p w14:paraId="5853580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13</w:t>
            </w:r>
          </w:p>
        </w:tc>
      </w:tr>
      <w:tr w:rsidR="00724028" w:rsidRPr="0020656B" w14:paraId="663A5536"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noWrap/>
            <w:vAlign w:val="bottom"/>
            <w:hideMark/>
          </w:tcPr>
          <w:p w14:paraId="2821DD4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90-93</w:t>
            </w:r>
          </w:p>
        </w:tc>
        <w:tc>
          <w:tcPr>
            <w:tcW w:w="1701" w:type="dxa"/>
            <w:tcBorders>
              <w:top w:val="nil"/>
              <w:left w:val="nil"/>
              <w:bottom w:val="single" w:sz="4" w:space="0" w:color="auto"/>
              <w:right w:val="single" w:sz="4" w:space="0" w:color="auto"/>
            </w:tcBorders>
            <w:shd w:val="clear" w:color="auto" w:fill="auto"/>
            <w:noWrap/>
            <w:vAlign w:val="bottom"/>
            <w:hideMark/>
          </w:tcPr>
          <w:p w14:paraId="363345C9"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26</w:t>
            </w:r>
          </w:p>
        </w:tc>
        <w:tc>
          <w:tcPr>
            <w:tcW w:w="1664" w:type="dxa"/>
            <w:tcBorders>
              <w:top w:val="nil"/>
              <w:left w:val="nil"/>
              <w:bottom w:val="single" w:sz="4" w:space="0" w:color="auto"/>
              <w:right w:val="single" w:sz="6" w:space="0" w:color="auto"/>
            </w:tcBorders>
            <w:shd w:val="clear" w:color="auto" w:fill="auto"/>
            <w:noWrap/>
            <w:vAlign w:val="bottom"/>
            <w:hideMark/>
          </w:tcPr>
          <w:p w14:paraId="68090B0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13</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3DFA0C8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63-65</w:t>
            </w:r>
          </w:p>
        </w:tc>
        <w:tc>
          <w:tcPr>
            <w:tcW w:w="1399" w:type="dxa"/>
            <w:tcBorders>
              <w:top w:val="nil"/>
              <w:left w:val="nil"/>
              <w:bottom w:val="single" w:sz="4" w:space="0" w:color="auto"/>
              <w:right w:val="single" w:sz="4" w:space="0" w:color="auto"/>
            </w:tcBorders>
            <w:shd w:val="clear" w:color="auto" w:fill="auto"/>
            <w:noWrap/>
            <w:vAlign w:val="bottom"/>
            <w:hideMark/>
          </w:tcPr>
          <w:p w14:paraId="3CBF54D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26</w:t>
            </w:r>
          </w:p>
        </w:tc>
        <w:tc>
          <w:tcPr>
            <w:tcW w:w="1522" w:type="dxa"/>
            <w:tcBorders>
              <w:top w:val="nil"/>
              <w:left w:val="nil"/>
              <w:bottom w:val="single" w:sz="4" w:space="0" w:color="auto"/>
              <w:right w:val="single" w:sz="8" w:space="0" w:color="auto"/>
            </w:tcBorders>
            <w:shd w:val="clear" w:color="auto" w:fill="auto"/>
            <w:noWrap/>
            <w:vAlign w:val="bottom"/>
            <w:hideMark/>
          </w:tcPr>
          <w:p w14:paraId="13275025"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13</w:t>
            </w:r>
          </w:p>
        </w:tc>
      </w:tr>
      <w:tr w:rsidR="00724028" w:rsidRPr="0020656B" w14:paraId="74B7E939" w14:textId="77777777" w:rsidTr="001679AB">
        <w:trPr>
          <w:trHeight w:val="371"/>
        </w:trPr>
        <w:tc>
          <w:tcPr>
            <w:tcW w:w="1843" w:type="dxa"/>
            <w:tcBorders>
              <w:top w:val="nil"/>
              <w:left w:val="single" w:sz="6" w:space="0" w:color="auto"/>
              <w:bottom w:val="single" w:sz="4" w:space="0" w:color="auto"/>
              <w:right w:val="single" w:sz="4" w:space="0" w:color="auto"/>
            </w:tcBorders>
            <w:shd w:val="clear" w:color="auto" w:fill="auto"/>
            <w:noWrap/>
            <w:vAlign w:val="bottom"/>
            <w:hideMark/>
          </w:tcPr>
          <w:p w14:paraId="66E3D42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94-96</w:t>
            </w:r>
          </w:p>
        </w:tc>
        <w:tc>
          <w:tcPr>
            <w:tcW w:w="1701" w:type="dxa"/>
            <w:tcBorders>
              <w:top w:val="nil"/>
              <w:left w:val="nil"/>
              <w:bottom w:val="single" w:sz="4" w:space="0" w:color="auto"/>
              <w:right w:val="single" w:sz="4" w:space="0" w:color="auto"/>
            </w:tcBorders>
            <w:shd w:val="clear" w:color="auto" w:fill="auto"/>
            <w:noWrap/>
            <w:vAlign w:val="bottom"/>
            <w:hideMark/>
          </w:tcPr>
          <w:p w14:paraId="4D4FC133"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27</w:t>
            </w:r>
          </w:p>
        </w:tc>
        <w:tc>
          <w:tcPr>
            <w:tcW w:w="1664" w:type="dxa"/>
            <w:tcBorders>
              <w:top w:val="nil"/>
              <w:left w:val="nil"/>
              <w:bottom w:val="single" w:sz="4" w:space="0" w:color="auto"/>
              <w:right w:val="single" w:sz="6" w:space="0" w:color="auto"/>
            </w:tcBorders>
            <w:shd w:val="clear" w:color="auto" w:fill="auto"/>
            <w:noWrap/>
            <w:vAlign w:val="bottom"/>
            <w:hideMark/>
          </w:tcPr>
          <w:p w14:paraId="07B3AF3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14</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1355F48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66-67</w:t>
            </w:r>
          </w:p>
        </w:tc>
        <w:tc>
          <w:tcPr>
            <w:tcW w:w="1399" w:type="dxa"/>
            <w:tcBorders>
              <w:top w:val="nil"/>
              <w:left w:val="nil"/>
              <w:bottom w:val="single" w:sz="4" w:space="0" w:color="auto"/>
              <w:right w:val="single" w:sz="4" w:space="0" w:color="auto"/>
            </w:tcBorders>
            <w:shd w:val="clear" w:color="auto" w:fill="auto"/>
            <w:noWrap/>
            <w:vAlign w:val="bottom"/>
            <w:hideMark/>
          </w:tcPr>
          <w:p w14:paraId="63938CB4"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27</w:t>
            </w:r>
          </w:p>
        </w:tc>
        <w:tc>
          <w:tcPr>
            <w:tcW w:w="1522" w:type="dxa"/>
            <w:tcBorders>
              <w:top w:val="nil"/>
              <w:left w:val="nil"/>
              <w:bottom w:val="single" w:sz="4" w:space="0" w:color="auto"/>
              <w:right w:val="single" w:sz="8" w:space="0" w:color="auto"/>
            </w:tcBorders>
            <w:shd w:val="clear" w:color="auto" w:fill="auto"/>
            <w:noWrap/>
            <w:vAlign w:val="bottom"/>
            <w:hideMark/>
          </w:tcPr>
          <w:p w14:paraId="2E89BA2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14</w:t>
            </w:r>
          </w:p>
        </w:tc>
      </w:tr>
      <w:tr w:rsidR="00724028" w:rsidRPr="0020656B" w14:paraId="1C6011EC" w14:textId="77777777" w:rsidTr="001679AB">
        <w:trPr>
          <w:trHeight w:val="390"/>
        </w:trPr>
        <w:tc>
          <w:tcPr>
            <w:tcW w:w="1843" w:type="dxa"/>
            <w:tcBorders>
              <w:top w:val="nil"/>
              <w:left w:val="single" w:sz="6" w:space="0" w:color="auto"/>
              <w:bottom w:val="single" w:sz="8" w:space="0" w:color="auto"/>
              <w:right w:val="single" w:sz="4" w:space="0" w:color="auto"/>
            </w:tcBorders>
            <w:shd w:val="clear" w:color="auto" w:fill="auto"/>
            <w:noWrap/>
            <w:vAlign w:val="bottom"/>
            <w:hideMark/>
          </w:tcPr>
          <w:p w14:paraId="4E7B153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97-100</w:t>
            </w:r>
          </w:p>
        </w:tc>
        <w:tc>
          <w:tcPr>
            <w:tcW w:w="1701" w:type="dxa"/>
            <w:tcBorders>
              <w:top w:val="nil"/>
              <w:left w:val="nil"/>
              <w:bottom w:val="single" w:sz="8" w:space="0" w:color="auto"/>
              <w:right w:val="single" w:sz="4" w:space="0" w:color="auto"/>
            </w:tcBorders>
            <w:shd w:val="clear" w:color="auto" w:fill="auto"/>
            <w:noWrap/>
            <w:vAlign w:val="bottom"/>
            <w:hideMark/>
          </w:tcPr>
          <w:p w14:paraId="62EA7D6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28</w:t>
            </w:r>
          </w:p>
        </w:tc>
        <w:tc>
          <w:tcPr>
            <w:tcW w:w="1664" w:type="dxa"/>
            <w:tcBorders>
              <w:top w:val="nil"/>
              <w:left w:val="nil"/>
              <w:bottom w:val="single" w:sz="8" w:space="0" w:color="auto"/>
              <w:right w:val="single" w:sz="6" w:space="0" w:color="auto"/>
            </w:tcBorders>
            <w:shd w:val="clear" w:color="auto" w:fill="auto"/>
            <w:noWrap/>
            <w:vAlign w:val="bottom"/>
            <w:hideMark/>
          </w:tcPr>
          <w:p w14:paraId="58DACE9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14</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5D3514D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68-69</w:t>
            </w:r>
          </w:p>
        </w:tc>
        <w:tc>
          <w:tcPr>
            <w:tcW w:w="1399" w:type="dxa"/>
            <w:tcBorders>
              <w:top w:val="nil"/>
              <w:left w:val="nil"/>
              <w:bottom w:val="single" w:sz="4" w:space="0" w:color="auto"/>
              <w:right w:val="single" w:sz="4" w:space="0" w:color="auto"/>
            </w:tcBorders>
            <w:shd w:val="clear" w:color="auto" w:fill="auto"/>
            <w:noWrap/>
            <w:vAlign w:val="bottom"/>
            <w:hideMark/>
          </w:tcPr>
          <w:p w14:paraId="586DFBC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28</w:t>
            </w:r>
          </w:p>
        </w:tc>
        <w:tc>
          <w:tcPr>
            <w:tcW w:w="1522" w:type="dxa"/>
            <w:tcBorders>
              <w:top w:val="nil"/>
              <w:left w:val="nil"/>
              <w:bottom w:val="single" w:sz="4" w:space="0" w:color="auto"/>
              <w:right w:val="single" w:sz="8" w:space="0" w:color="auto"/>
            </w:tcBorders>
            <w:shd w:val="clear" w:color="auto" w:fill="auto"/>
            <w:noWrap/>
            <w:vAlign w:val="bottom"/>
            <w:hideMark/>
          </w:tcPr>
          <w:p w14:paraId="0E603864"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14</w:t>
            </w:r>
          </w:p>
        </w:tc>
      </w:tr>
      <w:tr w:rsidR="00724028" w:rsidRPr="0020656B" w14:paraId="050ACB1D" w14:textId="77777777" w:rsidTr="001679AB">
        <w:trPr>
          <w:trHeight w:val="371"/>
        </w:trPr>
        <w:tc>
          <w:tcPr>
            <w:tcW w:w="5208" w:type="dxa"/>
            <w:gridSpan w:val="3"/>
            <w:vMerge w:val="restart"/>
            <w:tcBorders>
              <w:top w:val="nil"/>
              <w:left w:val="single" w:sz="6" w:space="0" w:color="auto"/>
              <w:right w:val="single" w:sz="6" w:space="0" w:color="auto"/>
            </w:tcBorders>
            <w:shd w:val="clear" w:color="auto" w:fill="auto"/>
            <w:noWrap/>
            <w:vAlign w:val="bottom"/>
            <w:hideMark/>
          </w:tcPr>
          <w:p w14:paraId="2C9C4A0D" w14:textId="77777777" w:rsidR="00724028" w:rsidRPr="0020656B" w:rsidRDefault="00724028" w:rsidP="001679AB">
            <w:pPr>
              <w:spacing w:line="240" w:lineRule="auto"/>
              <w:rPr>
                <w:rFonts w:cs="Arial"/>
                <w:color w:val="000000"/>
                <w:szCs w:val="20"/>
                <w:lang w:val="sl-SI" w:eastAsia="sl-SI"/>
              </w:rPr>
            </w:pPr>
            <w:r w:rsidRPr="0020656B">
              <w:rPr>
                <w:rFonts w:cs="Arial"/>
                <w:color w:val="000000"/>
                <w:szCs w:val="20"/>
                <w:lang w:val="sl-SI" w:eastAsia="sl-SI"/>
              </w:rPr>
              <w:t> </w:t>
            </w:r>
          </w:p>
          <w:p w14:paraId="02D19AD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w:t>
            </w:r>
          </w:p>
          <w:p w14:paraId="3E2E9DF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w:t>
            </w:r>
          </w:p>
          <w:p w14:paraId="1D7022B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w:t>
            </w:r>
          </w:p>
          <w:p w14:paraId="71EFD61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w:t>
            </w:r>
          </w:p>
          <w:p w14:paraId="18F4F884"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w:t>
            </w:r>
          </w:p>
          <w:p w14:paraId="08EE906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w:t>
            </w:r>
          </w:p>
          <w:p w14:paraId="4327B9C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w:t>
            </w:r>
          </w:p>
          <w:p w14:paraId="660FF89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w:t>
            </w:r>
          </w:p>
          <w:p w14:paraId="0DC184A4"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w:t>
            </w:r>
          </w:p>
          <w:p w14:paraId="540A46B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w:t>
            </w:r>
          </w:p>
          <w:p w14:paraId="2948C59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w:t>
            </w:r>
          </w:p>
          <w:p w14:paraId="67D0C7C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w:t>
            </w:r>
          </w:p>
          <w:p w14:paraId="4F8E328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w:t>
            </w:r>
          </w:p>
          <w:p w14:paraId="1D3464B1" w14:textId="77777777" w:rsidR="00724028" w:rsidRPr="0020656B" w:rsidRDefault="00724028" w:rsidP="001679AB">
            <w:pPr>
              <w:spacing w:line="240" w:lineRule="auto"/>
              <w:jc w:val="center"/>
              <w:rPr>
                <w:rFonts w:cs="Arial"/>
                <w:color w:val="000000"/>
                <w:szCs w:val="20"/>
                <w:lang w:val="sl-SI" w:eastAsia="sl-SI"/>
              </w:rPr>
            </w:pPr>
          </w:p>
          <w:p w14:paraId="7E07AE5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w:t>
            </w:r>
          </w:p>
          <w:p w14:paraId="07B944B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w:t>
            </w:r>
          </w:p>
          <w:p w14:paraId="698DB7A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 </w:t>
            </w: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7CCAA08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70-72</w:t>
            </w:r>
          </w:p>
        </w:tc>
        <w:tc>
          <w:tcPr>
            <w:tcW w:w="1399" w:type="dxa"/>
            <w:tcBorders>
              <w:top w:val="nil"/>
              <w:left w:val="nil"/>
              <w:bottom w:val="single" w:sz="4" w:space="0" w:color="auto"/>
              <w:right w:val="single" w:sz="4" w:space="0" w:color="auto"/>
            </w:tcBorders>
            <w:shd w:val="clear" w:color="auto" w:fill="auto"/>
            <w:noWrap/>
            <w:vAlign w:val="bottom"/>
            <w:hideMark/>
          </w:tcPr>
          <w:p w14:paraId="047E7E9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29</w:t>
            </w:r>
          </w:p>
        </w:tc>
        <w:tc>
          <w:tcPr>
            <w:tcW w:w="1522" w:type="dxa"/>
            <w:tcBorders>
              <w:top w:val="nil"/>
              <w:left w:val="nil"/>
              <w:bottom w:val="single" w:sz="4" w:space="0" w:color="auto"/>
              <w:right w:val="single" w:sz="8" w:space="0" w:color="auto"/>
            </w:tcBorders>
            <w:shd w:val="clear" w:color="auto" w:fill="auto"/>
            <w:noWrap/>
            <w:vAlign w:val="bottom"/>
            <w:hideMark/>
          </w:tcPr>
          <w:p w14:paraId="03CA5AD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15</w:t>
            </w:r>
          </w:p>
        </w:tc>
      </w:tr>
      <w:tr w:rsidR="00724028" w:rsidRPr="0020656B" w14:paraId="17081FC2" w14:textId="77777777" w:rsidTr="001679AB">
        <w:trPr>
          <w:trHeight w:val="371"/>
        </w:trPr>
        <w:tc>
          <w:tcPr>
            <w:tcW w:w="5208" w:type="dxa"/>
            <w:gridSpan w:val="3"/>
            <w:vMerge/>
            <w:tcBorders>
              <w:left w:val="single" w:sz="6" w:space="0" w:color="auto"/>
              <w:right w:val="single" w:sz="6" w:space="0" w:color="auto"/>
            </w:tcBorders>
            <w:shd w:val="clear" w:color="auto" w:fill="auto"/>
            <w:noWrap/>
            <w:vAlign w:val="bottom"/>
            <w:hideMark/>
          </w:tcPr>
          <w:p w14:paraId="0A1EBA15" w14:textId="77777777" w:rsidR="00724028" w:rsidRPr="0020656B" w:rsidRDefault="00724028" w:rsidP="001679AB">
            <w:pPr>
              <w:spacing w:line="240" w:lineRule="auto"/>
              <w:jc w:val="center"/>
              <w:rPr>
                <w:rFonts w:cs="Arial"/>
                <w:color w:val="000000"/>
                <w:szCs w:val="20"/>
                <w:lang w:val="sl-SI" w:eastAsia="sl-SI"/>
              </w:rPr>
            </w:pP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57D560FD"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73-74</w:t>
            </w:r>
          </w:p>
        </w:tc>
        <w:tc>
          <w:tcPr>
            <w:tcW w:w="1399" w:type="dxa"/>
            <w:tcBorders>
              <w:top w:val="nil"/>
              <w:left w:val="nil"/>
              <w:bottom w:val="single" w:sz="4" w:space="0" w:color="auto"/>
              <w:right w:val="single" w:sz="4" w:space="0" w:color="auto"/>
            </w:tcBorders>
            <w:shd w:val="clear" w:color="auto" w:fill="auto"/>
            <w:noWrap/>
            <w:vAlign w:val="bottom"/>
            <w:hideMark/>
          </w:tcPr>
          <w:p w14:paraId="2FF6ADF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30</w:t>
            </w:r>
          </w:p>
        </w:tc>
        <w:tc>
          <w:tcPr>
            <w:tcW w:w="1522" w:type="dxa"/>
            <w:tcBorders>
              <w:top w:val="nil"/>
              <w:left w:val="nil"/>
              <w:bottom w:val="single" w:sz="4" w:space="0" w:color="auto"/>
              <w:right w:val="single" w:sz="8" w:space="0" w:color="auto"/>
            </w:tcBorders>
            <w:shd w:val="clear" w:color="auto" w:fill="auto"/>
            <w:noWrap/>
            <w:vAlign w:val="bottom"/>
            <w:hideMark/>
          </w:tcPr>
          <w:p w14:paraId="257BBCD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15</w:t>
            </w:r>
          </w:p>
        </w:tc>
      </w:tr>
      <w:tr w:rsidR="00724028" w:rsidRPr="0020656B" w14:paraId="6607B9B2" w14:textId="77777777" w:rsidTr="001679AB">
        <w:trPr>
          <w:trHeight w:val="371"/>
        </w:trPr>
        <w:tc>
          <w:tcPr>
            <w:tcW w:w="5208" w:type="dxa"/>
            <w:gridSpan w:val="3"/>
            <w:vMerge/>
            <w:tcBorders>
              <w:left w:val="single" w:sz="6" w:space="0" w:color="auto"/>
              <w:right w:val="single" w:sz="6" w:space="0" w:color="auto"/>
            </w:tcBorders>
            <w:shd w:val="clear" w:color="auto" w:fill="auto"/>
            <w:noWrap/>
            <w:vAlign w:val="bottom"/>
            <w:hideMark/>
          </w:tcPr>
          <w:p w14:paraId="2DB709EE" w14:textId="77777777" w:rsidR="00724028" w:rsidRPr="0020656B" w:rsidRDefault="00724028" w:rsidP="001679AB">
            <w:pPr>
              <w:spacing w:line="240" w:lineRule="auto"/>
              <w:jc w:val="center"/>
              <w:rPr>
                <w:rFonts w:cs="Arial"/>
                <w:color w:val="000000"/>
                <w:szCs w:val="20"/>
                <w:lang w:val="sl-SI" w:eastAsia="sl-SI"/>
              </w:rPr>
            </w:pP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6204A8A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75-77</w:t>
            </w:r>
          </w:p>
        </w:tc>
        <w:tc>
          <w:tcPr>
            <w:tcW w:w="1399" w:type="dxa"/>
            <w:tcBorders>
              <w:top w:val="nil"/>
              <w:left w:val="nil"/>
              <w:bottom w:val="single" w:sz="4" w:space="0" w:color="auto"/>
              <w:right w:val="single" w:sz="4" w:space="0" w:color="auto"/>
            </w:tcBorders>
            <w:shd w:val="clear" w:color="auto" w:fill="auto"/>
            <w:noWrap/>
            <w:vAlign w:val="bottom"/>
            <w:hideMark/>
          </w:tcPr>
          <w:p w14:paraId="67C61907"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31</w:t>
            </w:r>
          </w:p>
        </w:tc>
        <w:tc>
          <w:tcPr>
            <w:tcW w:w="1522" w:type="dxa"/>
            <w:tcBorders>
              <w:top w:val="nil"/>
              <w:left w:val="nil"/>
              <w:bottom w:val="single" w:sz="4" w:space="0" w:color="auto"/>
              <w:right w:val="single" w:sz="8" w:space="0" w:color="auto"/>
            </w:tcBorders>
            <w:shd w:val="clear" w:color="auto" w:fill="auto"/>
            <w:noWrap/>
            <w:vAlign w:val="bottom"/>
            <w:hideMark/>
          </w:tcPr>
          <w:p w14:paraId="35BB1B0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16</w:t>
            </w:r>
          </w:p>
        </w:tc>
      </w:tr>
      <w:tr w:rsidR="00724028" w:rsidRPr="0020656B" w14:paraId="6D73F5FF" w14:textId="77777777" w:rsidTr="001679AB">
        <w:trPr>
          <w:trHeight w:val="371"/>
        </w:trPr>
        <w:tc>
          <w:tcPr>
            <w:tcW w:w="5208" w:type="dxa"/>
            <w:gridSpan w:val="3"/>
            <w:vMerge/>
            <w:tcBorders>
              <w:left w:val="single" w:sz="6" w:space="0" w:color="auto"/>
              <w:right w:val="single" w:sz="6" w:space="0" w:color="auto"/>
            </w:tcBorders>
            <w:shd w:val="clear" w:color="auto" w:fill="auto"/>
            <w:noWrap/>
            <w:vAlign w:val="bottom"/>
            <w:hideMark/>
          </w:tcPr>
          <w:p w14:paraId="516BD4AE" w14:textId="77777777" w:rsidR="00724028" w:rsidRPr="0020656B" w:rsidRDefault="00724028" w:rsidP="001679AB">
            <w:pPr>
              <w:spacing w:line="240" w:lineRule="auto"/>
              <w:jc w:val="center"/>
              <w:rPr>
                <w:rFonts w:cs="Arial"/>
                <w:color w:val="000000"/>
                <w:szCs w:val="20"/>
                <w:lang w:val="sl-SI" w:eastAsia="sl-SI"/>
              </w:rPr>
            </w:pP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30CAEA15"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78-80</w:t>
            </w:r>
          </w:p>
        </w:tc>
        <w:tc>
          <w:tcPr>
            <w:tcW w:w="1399" w:type="dxa"/>
            <w:tcBorders>
              <w:top w:val="nil"/>
              <w:left w:val="nil"/>
              <w:bottom w:val="single" w:sz="4" w:space="0" w:color="auto"/>
              <w:right w:val="single" w:sz="4" w:space="0" w:color="auto"/>
            </w:tcBorders>
            <w:shd w:val="clear" w:color="auto" w:fill="auto"/>
            <w:noWrap/>
            <w:vAlign w:val="bottom"/>
            <w:hideMark/>
          </w:tcPr>
          <w:p w14:paraId="7382FD6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32</w:t>
            </w:r>
          </w:p>
        </w:tc>
        <w:tc>
          <w:tcPr>
            <w:tcW w:w="1522" w:type="dxa"/>
            <w:tcBorders>
              <w:top w:val="nil"/>
              <w:left w:val="nil"/>
              <w:bottom w:val="single" w:sz="4" w:space="0" w:color="auto"/>
              <w:right w:val="single" w:sz="8" w:space="0" w:color="auto"/>
            </w:tcBorders>
            <w:shd w:val="clear" w:color="auto" w:fill="auto"/>
            <w:noWrap/>
            <w:vAlign w:val="bottom"/>
            <w:hideMark/>
          </w:tcPr>
          <w:p w14:paraId="0340F14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16</w:t>
            </w:r>
          </w:p>
        </w:tc>
      </w:tr>
      <w:tr w:rsidR="00724028" w:rsidRPr="0020656B" w14:paraId="57A558DA" w14:textId="77777777" w:rsidTr="001679AB">
        <w:trPr>
          <w:trHeight w:val="371"/>
        </w:trPr>
        <w:tc>
          <w:tcPr>
            <w:tcW w:w="5208" w:type="dxa"/>
            <w:gridSpan w:val="3"/>
            <w:vMerge/>
            <w:tcBorders>
              <w:left w:val="single" w:sz="6" w:space="0" w:color="auto"/>
              <w:right w:val="single" w:sz="6" w:space="0" w:color="auto"/>
            </w:tcBorders>
            <w:shd w:val="clear" w:color="auto" w:fill="auto"/>
            <w:noWrap/>
            <w:vAlign w:val="bottom"/>
            <w:hideMark/>
          </w:tcPr>
          <w:p w14:paraId="14B11800" w14:textId="77777777" w:rsidR="00724028" w:rsidRPr="0020656B" w:rsidRDefault="00724028" w:rsidP="001679AB">
            <w:pPr>
              <w:spacing w:line="240" w:lineRule="auto"/>
              <w:jc w:val="center"/>
              <w:rPr>
                <w:rFonts w:cs="Arial"/>
                <w:color w:val="000000"/>
                <w:szCs w:val="20"/>
                <w:lang w:val="sl-SI" w:eastAsia="sl-SI"/>
              </w:rPr>
            </w:pP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68F272D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81-82</w:t>
            </w:r>
          </w:p>
        </w:tc>
        <w:tc>
          <w:tcPr>
            <w:tcW w:w="1399" w:type="dxa"/>
            <w:tcBorders>
              <w:top w:val="nil"/>
              <w:left w:val="nil"/>
              <w:bottom w:val="single" w:sz="4" w:space="0" w:color="auto"/>
              <w:right w:val="single" w:sz="4" w:space="0" w:color="auto"/>
            </w:tcBorders>
            <w:shd w:val="clear" w:color="auto" w:fill="auto"/>
            <w:noWrap/>
            <w:vAlign w:val="bottom"/>
            <w:hideMark/>
          </w:tcPr>
          <w:p w14:paraId="382BAC5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33</w:t>
            </w:r>
          </w:p>
        </w:tc>
        <w:tc>
          <w:tcPr>
            <w:tcW w:w="1522" w:type="dxa"/>
            <w:tcBorders>
              <w:top w:val="nil"/>
              <w:left w:val="nil"/>
              <w:bottom w:val="single" w:sz="4" w:space="0" w:color="auto"/>
              <w:right w:val="single" w:sz="8" w:space="0" w:color="auto"/>
            </w:tcBorders>
            <w:shd w:val="clear" w:color="auto" w:fill="auto"/>
            <w:noWrap/>
            <w:vAlign w:val="bottom"/>
            <w:hideMark/>
          </w:tcPr>
          <w:p w14:paraId="7E7E8AF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17</w:t>
            </w:r>
          </w:p>
        </w:tc>
      </w:tr>
      <w:tr w:rsidR="00724028" w:rsidRPr="0020656B" w14:paraId="59F7C702" w14:textId="77777777" w:rsidTr="001679AB">
        <w:trPr>
          <w:trHeight w:val="371"/>
        </w:trPr>
        <w:tc>
          <w:tcPr>
            <w:tcW w:w="5208" w:type="dxa"/>
            <w:gridSpan w:val="3"/>
            <w:vMerge/>
            <w:tcBorders>
              <w:left w:val="single" w:sz="6" w:space="0" w:color="auto"/>
              <w:right w:val="single" w:sz="6" w:space="0" w:color="auto"/>
            </w:tcBorders>
            <w:shd w:val="clear" w:color="auto" w:fill="auto"/>
            <w:noWrap/>
            <w:vAlign w:val="bottom"/>
            <w:hideMark/>
          </w:tcPr>
          <w:p w14:paraId="7D4E959B" w14:textId="77777777" w:rsidR="00724028" w:rsidRPr="0020656B" w:rsidRDefault="00724028" w:rsidP="001679AB">
            <w:pPr>
              <w:spacing w:line="240" w:lineRule="auto"/>
              <w:jc w:val="center"/>
              <w:rPr>
                <w:rFonts w:cs="Arial"/>
                <w:color w:val="000000"/>
                <w:szCs w:val="20"/>
                <w:lang w:val="sl-SI" w:eastAsia="sl-SI"/>
              </w:rPr>
            </w:pP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4ACE698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83-85</w:t>
            </w:r>
          </w:p>
        </w:tc>
        <w:tc>
          <w:tcPr>
            <w:tcW w:w="1399" w:type="dxa"/>
            <w:tcBorders>
              <w:top w:val="nil"/>
              <w:left w:val="nil"/>
              <w:bottom w:val="single" w:sz="4" w:space="0" w:color="auto"/>
              <w:right w:val="single" w:sz="4" w:space="0" w:color="auto"/>
            </w:tcBorders>
            <w:shd w:val="clear" w:color="auto" w:fill="auto"/>
            <w:noWrap/>
            <w:vAlign w:val="bottom"/>
            <w:hideMark/>
          </w:tcPr>
          <w:p w14:paraId="6BB30A3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34</w:t>
            </w:r>
          </w:p>
        </w:tc>
        <w:tc>
          <w:tcPr>
            <w:tcW w:w="1522" w:type="dxa"/>
            <w:tcBorders>
              <w:top w:val="nil"/>
              <w:left w:val="nil"/>
              <w:bottom w:val="single" w:sz="4" w:space="0" w:color="auto"/>
              <w:right w:val="single" w:sz="8" w:space="0" w:color="auto"/>
            </w:tcBorders>
            <w:shd w:val="clear" w:color="auto" w:fill="auto"/>
            <w:noWrap/>
            <w:vAlign w:val="bottom"/>
            <w:hideMark/>
          </w:tcPr>
          <w:p w14:paraId="4E9C3706"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17</w:t>
            </w:r>
          </w:p>
        </w:tc>
      </w:tr>
      <w:tr w:rsidR="00724028" w:rsidRPr="0020656B" w14:paraId="375B95AA" w14:textId="77777777" w:rsidTr="001679AB">
        <w:trPr>
          <w:trHeight w:val="371"/>
        </w:trPr>
        <w:tc>
          <w:tcPr>
            <w:tcW w:w="5208" w:type="dxa"/>
            <w:gridSpan w:val="3"/>
            <w:vMerge/>
            <w:tcBorders>
              <w:left w:val="single" w:sz="6" w:space="0" w:color="auto"/>
              <w:right w:val="single" w:sz="6" w:space="0" w:color="auto"/>
            </w:tcBorders>
            <w:shd w:val="clear" w:color="auto" w:fill="auto"/>
            <w:noWrap/>
            <w:vAlign w:val="bottom"/>
            <w:hideMark/>
          </w:tcPr>
          <w:p w14:paraId="119A6BCD" w14:textId="77777777" w:rsidR="00724028" w:rsidRPr="0020656B" w:rsidRDefault="00724028" w:rsidP="001679AB">
            <w:pPr>
              <w:spacing w:line="240" w:lineRule="auto"/>
              <w:jc w:val="center"/>
              <w:rPr>
                <w:rFonts w:cs="Arial"/>
                <w:color w:val="000000"/>
                <w:szCs w:val="20"/>
                <w:lang w:val="sl-SI" w:eastAsia="sl-SI"/>
              </w:rPr>
            </w:pP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6C26434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86-87</w:t>
            </w:r>
          </w:p>
        </w:tc>
        <w:tc>
          <w:tcPr>
            <w:tcW w:w="1399" w:type="dxa"/>
            <w:tcBorders>
              <w:top w:val="nil"/>
              <w:left w:val="nil"/>
              <w:bottom w:val="single" w:sz="4" w:space="0" w:color="auto"/>
              <w:right w:val="single" w:sz="4" w:space="0" w:color="auto"/>
            </w:tcBorders>
            <w:shd w:val="clear" w:color="auto" w:fill="auto"/>
            <w:noWrap/>
            <w:vAlign w:val="bottom"/>
            <w:hideMark/>
          </w:tcPr>
          <w:p w14:paraId="12F0EB25"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35</w:t>
            </w:r>
          </w:p>
        </w:tc>
        <w:tc>
          <w:tcPr>
            <w:tcW w:w="1522" w:type="dxa"/>
            <w:tcBorders>
              <w:top w:val="nil"/>
              <w:left w:val="nil"/>
              <w:bottom w:val="single" w:sz="4" w:space="0" w:color="auto"/>
              <w:right w:val="single" w:sz="8" w:space="0" w:color="auto"/>
            </w:tcBorders>
            <w:shd w:val="clear" w:color="auto" w:fill="auto"/>
            <w:noWrap/>
            <w:vAlign w:val="bottom"/>
            <w:hideMark/>
          </w:tcPr>
          <w:p w14:paraId="3F799BD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18</w:t>
            </w:r>
          </w:p>
        </w:tc>
      </w:tr>
      <w:tr w:rsidR="00724028" w:rsidRPr="0020656B" w14:paraId="07D45FE0" w14:textId="77777777" w:rsidTr="001679AB">
        <w:trPr>
          <w:trHeight w:val="371"/>
        </w:trPr>
        <w:tc>
          <w:tcPr>
            <w:tcW w:w="5208" w:type="dxa"/>
            <w:gridSpan w:val="3"/>
            <w:vMerge/>
            <w:tcBorders>
              <w:left w:val="single" w:sz="6" w:space="0" w:color="auto"/>
              <w:right w:val="single" w:sz="6" w:space="0" w:color="auto"/>
            </w:tcBorders>
            <w:shd w:val="clear" w:color="auto" w:fill="auto"/>
            <w:noWrap/>
            <w:vAlign w:val="bottom"/>
            <w:hideMark/>
          </w:tcPr>
          <w:p w14:paraId="4F897472" w14:textId="77777777" w:rsidR="00724028" w:rsidRPr="0020656B" w:rsidRDefault="00724028" w:rsidP="001679AB">
            <w:pPr>
              <w:spacing w:line="240" w:lineRule="auto"/>
              <w:jc w:val="center"/>
              <w:rPr>
                <w:rFonts w:cs="Arial"/>
                <w:color w:val="000000"/>
                <w:szCs w:val="20"/>
                <w:lang w:val="sl-SI" w:eastAsia="sl-SI"/>
              </w:rPr>
            </w:pP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67452383"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88-90</w:t>
            </w:r>
          </w:p>
        </w:tc>
        <w:tc>
          <w:tcPr>
            <w:tcW w:w="1399" w:type="dxa"/>
            <w:tcBorders>
              <w:top w:val="nil"/>
              <w:left w:val="nil"/>
              <w:bottom w:val="single" w:sz="4" w:space="0" w:color="auto"/>
              <w:right w:val="single" w:sz="4" w:space="0" w:color="auto"/>
            </w:tcBorders>
            <w:shd w:val="clear" w:color="auto" w:fill="auto"/>
            <w:noWrap/>
            <w:vAlign w:val="bottom"/>
            <w:hideMark/>
          </w:tcPr>
          <w:p w14:paraId="62703A38"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36</w:t>
            </w:r>
          </w:p>
        </w:tc>
        <w:tc>
          <w:tcPr>
            <w:tcW w:w="1522" w:type="dxa"/>
            <w:tcBorders>
              <w:top w:val="nil"/>
              <w:left w:val="nil"/>
              <w:bottom w:val="single" w:sz="4" w:space="0" w:color="auto"/>
              <w:right w:val="single" w:sz="8" w:space="0" w:color="auto"/>
            </w:tcBorders>
            <w:shd w:val="clear" w:color="auto" w:fill="auto"/>
            <w:noWrap/>
            <w:vAlign w:val="bottom"/>
            <w:hideMark/>
          </w:tcPr>
          <w:p w14:paraId="06766A3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18</w:t>
            </w:r>
          </w:p>
        </w:tc>
      </w:tr>
      <w:tr w:rsidR="00724028" w:rsidRPr="0020656B" w14:paraId="4E58EC53" w14:textId="77777777" w:rsidTr="001679AB">
        <w:trPr>
          <w:trHeight w:val="371"/>
        </w:trPr>
        <w:tc>
          <w:tcPr>
            <w:tcW w:w="5208" w:type="dxa"/>
            <w:gridSpan w:val="3"/>
            <w:vMerge/>
            <w:tcBorders>
              <w:left w:val="single" w:sz="6" w:space="0" w:color="auto"/>
              <w:right w:val="single" w:sz="6" w:space="0" w:color="auto"/>
            </w:tcBorders>
            <w:shd w:val="clear" w:color="auto" w:fill="auto"/>
            <w:noWrap/>
            <w:vAlign w:val="bottom"/>
            <w:hideMark/>
          </w:tcPr>
          <w:p w14:paraId="796EBCD5" w14:textId="77777777" w:rsidR="00724028" w:rsidRPr="0020656B" w:rsidRDefault="00724028" w:rsidP="001679AB">
            <w:pPr>
              <w:spacing w:line="240" w:lineRule="auto"/>
              <w:jc w:val="center"/>
              <w:rPr>
                <w:rFonts w:cs="Arial"/>
                <w:color w:val="000000"/>
                <w:szCs w:val="20"/>
                <w:lang w:val="sl-SI" w:eastAsia="sl-SI"/>
              </w:rPr>
            </w:pP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284F3AE1"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91-92</w:t>
            </w:r>
          </w:p>
        </w:tc>
        <w:tc>
          <w:tcPr>
            <w:tcW w:w="1399" w:type="dxa"/>
            <w:tcBorders>
              <w:top w:val="nil"/>
              <w:left w:val="nil"/>
              <w:bottom w:val="single" w:sz="4" w:space="0" w:color="auto"/>
              <w:right w:val="single" w:sz="4" w:space="0" w:color="auto"/>
            </w:tcBorders>
            <w:shd w:val="clear" w:color="auto" w:fill="auto"/>
            <w:noWrap/>
            <w:vAlign w:val="bottom"/>
            <w:hideMark/>
          </w:tcPr>
          <w:p w14:paraId="02929B30"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37</w:t>
            </w:r>
          </w:p>
        </w:tc>
        <w:tc>
          <w:tcPr>
            <w:tcW w:w="1522" w:type="dxa"/>
            <w:tcBorders>
              <w:top w:val="nil"/>
              <w:left w:val="nil"/>
              <w:bottom w:val="single" w:sz="4" w:space="0" w:color="auto"/>
              <w:right w:val="single" w:sz="8" w:space="0" w:color="auto"/>
            </w:tcBorders>
            <w:shd w:val="clear" w:color="auto" w:fill="auto"/>
            <w:noWrap/>
            <w:vAlign w:val="bottom"/>
            <w:hideMark/>
          </w:tcPr>
          <w:p w14:paraId="4D5844E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19</w:t>
            </w:r>
          </w:p>
        </w:tc>
      </w:tr>
      <w:tr w:rsidR="00724028" w:rsidRPr="0020656B" w14:paraId="6A7BC34F" w14:textId="77777777" w:rsidTr="001679AB">
        <w:trPr>
          <w:trHeight w:val="371"/>
        </w:trPr>
        <w:tc>
          <w:tcPr>
            <w:tcW w:w="5208" w:type="dxa"/>
            <w:gridSpan w:val="3"/>
            <w:vMerge/>
            <w:tcBorders>
              <w:left w:val="single" w:sz="6" w:space="0" w:color="auto"/>
              <w:right w:val="single" w:sz="6" w:space="0" w:color="auto"/>
            </w:tcBorders>
            <w:shd w:val="clear" w:color="auto" w:fill="auto"/>
            <w:noWrap/>
            <w:vAlign w:val="bottom"/>
            <w:hideMark/>
          </w:tcPr>
          <w:p w14:paraId="446F0DC9" w14:textId="77777777" w:rsidR="00724028" w:rsidRPr="0020656B" w:rsidRDefault="00724028" w:rsidP="001679AB">
            <w:pPr>
              <w:spacing w:line="240" w:lineRule="auto"/>
              <w:jc w:val="center"/>
              <w:rPr>
                <w:rFonts w:cs="Arial"/>
                <w:color w:val="000000"/>
                <w:szCs w:val="20"/>
                <w:lang w:val="sl-SI" w:eastAsia="sl-SI"/>
              </w:rPr>
            </w:pP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7370A57E"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93-95</w:t>
            </w:r>
          </w:p>
        </w:tc>
        <w:tc>
          <w:tcPr>
            <w:tcW w:w="1399" w:type="dxa"/>
            <w:tcBorders>
              <w:top w:val="nil"/>
              <w:left w:val="nil"/>
              <w:bottom w:val="single" w:sz="4" w:space="0" w:color="auto"/>
              <w:right w:val="single" w:sz="4" w:space="0" w:color="auto"/>
            </w:tcBorders>
            <w:shd w:val="clear" w:color="auto" w:fill="auto"/>
            <w:noWrap/>
            <w:vAlign w:val="bottom"/>
            <w:hideMark/>
          </w:tcPr>
          <w:p w14:paraId="4389CBEF"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38</w:t>
            </w:r>
          </w:p>
        </w:tc>
        <w:tc>
          <w:tcPr>
            <w:tcW w:w="1522" w:type="dxa"/>
            <w:tcBorders>
              <w:top w:val="nil"/>
              <w:left w:val="nil"/>
              <w:bottom w:val="single" w:sz="4" w:space="0" w:color="auto"/>
              <w:right w:val="single" w:sz="8" w:space="0" w:color="auto"/>
            </w:tcBorders>
            <w:shd w:val="clear" w:color="auto" w:fill="auto"/>
            <w:noWrap/>
            <w:vAlign w:val="bottom"/>
            <w:hideMark/>
          </w:tcPr>
          <w:p w14:paraId="18615EBA"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19</w:t>
            </w:r>
          </w:p>
        </w:tc>
      </w:tr>
      <w:tr w:rsidR="00724028" w:rsidRPr="0020656B" w14:paraId="5EACE34B" w14:textId="77777777" w:rsidTr="001679AB">
        <w:trPr>
          <w:trHeight w:val="371"/>
        </w:trPr>
        <w:tc>
          <w:tcPr>
            <w:tcW w:w="5208" w:type="dxa"/>
            <w:gridSpan w:val="3"/>
            <w:vMerge/>
            <w:tcBorders>
              <w:left w:val="single" w:sz="6" w:space="0" w:color="auto"/>
              <w:right w:val="single" w:sz="6" w:space="0" w:color="auto"/>
            </w:tcBorders>
            <w:shd w:val="clear" w:color="auto" w:fill="auto"/>
            <w:noWrap/>
            <w:vAlign w:val="bottom"/>
            <w:hideMark/>
          </w:tcPr>
          <w:p w14:paraId="2900A151" w14:textId="77777777" w:rsidR="00724028" w:rsidRPr="0020656B" w:rsidRDefault="00724028" w:rsidP="001679AB">
            <w:pPr>
              <w:spacing w:line="240" w:lineRule="auto"/>
              <w:jc w:val="center"/>
              <w:rPr>
                <w:rFonts w:cs="Arial"/>
                <w:color w:val="000000"/>
                <w:szCs w:val="20"/>
                <w:lang w:val="sl-SI" w:eastAsia="sl-SI"/>
              </w:rPr>
            </w:pPr>
          </w:p>
        </w:tc>
        <w:tc>
          <w:tcPr>
            <w:tcW w:w="1738" w:type="dxa"/>
            <w:tcBorders>
              <w:top w:val="nil"/>
              <w:left w:val="single" w:sz="6" w:space="0" w:color="auto"/>
              <w:bottom w:val="single" w:sz="4" w:space="0" w:color="auto"/>
              <w:right w:val="single" w:sz="4" w:space="0" w:color="auto"/>
            </w:tcBorders>
            <w:shd w:val="clear" w:color="auto" w:fill="auto"/>
            <w:noWrap/>
            <w:vAlign w:val="bottom"/>
            <w:hideMark/>
          </w:tcPr>
          <w:p w14:paraId="18395E52"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96-98</w:t>
            </w:r>
          </w:p>
        </w:tc>
        <w:tc>
          <w:tcPr>
            <w:tcW w:w="1399" w:type="dxa"/>
            <w:tcBorders>
              <w:top w:val="nil"/>
              <w:left w:val="nil"/>
              <w:bottom w:val="single" w:sz="4" w:space="0" w:color="auto"/>
              <w:right w:val="single" w:sz="4" w:space="0" w:color="auto"/>
            </w:tcBorders>
            <w:shd w:val="clear" w:color="auto" w:fill="auto"/>
            <w:noWrap/>
            <w:vAlign w:val="bottom"/>
            <w:hideMark/>
          </w:tcPr>
          <w:p w14:paraId="6BE4249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39</w:t>
            </w:r>
          </w:p>
        </w:tc>
        <w:tc>
          <w:tcPr>
            <w:tcW w:w="1522" w:type="dxa"/>
            <w:tcBorders>
              <w:top w:val="nil"/>
              <w:left w:val="nil"/>
              <w:bottom w:val="single" w:sz="4" w:space="0" w:color="auto"/>
              <w:right w:val="single" w:sz="8" w:space="0" w:color="auto"/>
            </w:tcBorders>
            <w:shd w:val="clear" w:color="auto" w:fill="auto"/>
            <w:noWrap/>
            <w:vAlign w:val="bottom"/>
            <w:hideMark/>
          </w:tcPr>
          <w:p w14:paraId="2A5D770C"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20</w:t>
            </w:r>
          </w:p>
        </w:tc>
      </w:tr>
      <w:tr w:rsidR="00724028" w:rsidRPr="0020656B" w14:paraId="67A33699" w14:textId="77777777" w:rsidTr="001679AB">
        <w:trPr>
          <w:trHeight w:val="245"/>
        </w:trPr>
        <w:tc>
          <w:tcPr>
            <w:tcW w:w="5208" w:type="dxa"/>
            <w:gridSpan w:val="3"/>
            <w:vMerge/>
            <w:tcBorders>
              <w:left w:val="single" w:sz="6" w:space="0" w:color="auto"/>
              <w:bottom w:val="single" w:sz="6" w:space="0" w:color="auto"/>
              <w:right w:val="single" w:sz="6" w:space="0" w:color="auto"/>
            </w:tcBorders>
            <w:shd w:val="clear" w:color="auto" w:fill="auto"/>
            <w:noWrap/>
            <w:vAlign w:val="bottom"/>
            <w:hideMark/>
          </w:tcPr>
          <w:p w14:paraId="2998AF94" w14:textId="77777777" w:rsidR="00724028" w:rsidRPr="0020656B" w:rsidRDefault="00724028" w:rsidP="001679AB">
            <w:pPr>
              <w:spacing w:line="240" w:lineRule="auto"/>
              <w:jc w:val="center"/>
              <w:rPr>
                <w:rFonts w:cs="Arial"/>
                <w:color w:val="000000"/>
                <w:szCs w:val="20"/>
                <w:lang w:val="sl-SI" w:eastAsia="sl-SI"/>
              </w:rPr>
            </w:pPr>
          </w:p>
        </w:tc>
        <w:tc>
          <w:tcPr>
            <w:tcW w:w="1738" w:type="dxa"/>
            <w:tcBorders>
              <w:top w:val="nil"/>
              <w:left w:val="single" w:sz="6" w:space="0" w:color="auto"/>
              <w:bottom w:val="single" w:sz="8" w:space="0" w:color="auto"/>
              <w:right w:val="single" w:sz="4" w:space="0" w:color="auto"/>
            </w:tcBorders>
            <w:shd w:val="clear" w:color="auto" w:fill="auto"/>
            <w:noWrap/>
            <w:vAlign w:val="bottom"/>
            <w:hideMark/>
          </w:tcPr>
          <w:p w14:paraId="619499D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99-100</w:t>
            </w:r>
          </w:p>
        </w:tc>
        <w:tc>
          <w:tcPr>
            <w:tcW w:w="1399" w:type="dxa"/>
            <w:tcBorders>
              <w:top w:val="nil"/>
              <w:left w:val="nil"/>
              <w:bottom w:val="single" w:sz="8" w:space="0" w:color="auto"/>
              <w:right w:val="single" w:sz="4" w:space="0" w:color="auto"/>
            </w:tcBorders>
            <w:shd w:val="clear" w:color="auto" w:fill="auto"/>
            <w:noWrap/>
            <w:vAlign w:val="bottom"/>
            <w:hideMark/>
          </w:tcPr>
          <w:p w14:paraId="1CDF3F47"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40</w:t>
            </w:r>
          </w:p>
        </w:tc>
        <w:tc>
          <w:tcPr>
            <w:tcW w:w="1522" w:type="dxa"/>
            <w:tcBorders>
              <w:top w:val="nil"/>
              <w:left w:val="nil"/>
              <w:bottom w:val="single" w:sz="8" w:space="0" w:color="auto"/>
              <w:right w:val="single" w:sz="8" w:space="0" w:color="auto"/>
            </w:tcBorders>
            <w:shd w:val="clear" w:color="auto" w:fill="auto"/>
            <w:noWrap/>
            <w:vAlign w:val="bottom"/>
            <w:hideMark/>
          </w:tcPr>
          <w:p w14:paraId="3B8B3CAB" w14:textId="77777777" w:rsidR="00724028" w:rsidRPr="0020656B" w:rsidRDefault="00724028" w:rsidP="001679AB">
            <w:pPr>
              <w:spacing w:line="240" w:lineRule="auto"/>
              <w:jc w:val="center"/>
              <w:rPr>
                <w:rFonts w:cs="Arial"/>
                <w:color w:val="000000"/>
                <w:szCs w:val="20"/>
                <w:lang w:val="sl-SI" w:eastAsia="sl-SI"/>
              </w:rPr>
            </w:pPr>
            <w:r w:rsidRPr="0020656B">
              <w:rPr>
                <w:rFonts w:cs="Arial"/>
                <w:color w:val="000000"/>
                <w:szCs w:val="20"/>
                <w:lang w:val="sl-SI" w:eastAsia="sl-SI"/>
              </w:rPr>
              <w:t>20</w:t>
            </w:r>
          </w:p>
        </w:tc>
      </w:tr>
    </w:tbl>
    <w:p w14:paraId="7B727A8C" w14:textId="77777777" w:rsidR="00724028" w:rsidRPr="0020656B" w:rsidRDefault="00724028" w:rsidP="00724028">
      <w:pPr>
        <w:pStyle w:val="Odstavek"/>
        <w:spacing w:before="0" w:line="276" w:lineRule="auto"/>
        <w:ind w:firstLine="0"/>
        <w:jc w:val="left"/>
        <w:rPr>
          <w:rFonts w:cs="Arial"/>
          <w:i/>
          <w:sz w:val="20"/>
          <w:lang w:val="sl-SI"/>
        </w:rPr>
      </w:pPr>
    </w:p>
    <w:p w14:paraId="71D44D6F" w14:textId="77777777" w:rsidR="00724028" w:rsidRPr="0020656B" w:rsidRDefault="00724028" w:rsidP="00724028">
      <w:pPr>
        <w:pStyle w:val="Odstavek"/>
        <w:spacing w:before="0" w:line="276" w:lineRule="auto"/>
        <w:ind w:firstLine="0"/>
        <w:rPr>
          <w:rFonts w:cs="Arial"/>
          <w:i/>
          <w:sz w:val="20"/>
          <w:lang w:val="sl-SI"/>
        </w:rPr>
      </w:pPr>
      <w:r w:rsidRPr="0020656B">
        <w:rPr>
          <w:rFonts w:cs="Arial"/>
          <w:i/>
          <w:sz w:val="20"/>
          <w:lang w:val="sl-SI"/>
        </w:rPr>
        <w:t xml:space="preserve">Opombe k Tabeli 5: </w:t>
      </w:r>
    </w:p>
    <w:p w14:paraId="78AB8FD6" w14:textId="038C7F90" w:rsidR="00724028" w:rsidRPr="0020656B" w:rsidRDefault="00724028" w:rsidP="00724028">
      <w:pPr>
        <w:pStyle w:val="Odstavek"/>
        <w:spacing w:before="0" w:line="276" w:lineRule="auto"/>
        <w:ind w:firstLine="0"/>
        <w:rPr>
          <w:rFonts w:cs="Arial"/>
          <w:i/>
          <w:sz w:val="20"/>
          <w:lang w:val="sl-SI"/>
        </w:rPr>
      </w:pPr>
      <w:r w:rsidRPr="0020656B">
        <w:rPr>
          <w:rFonts w:cs="Arial"/>
          <w:i/>
          <w:sz w:val="20"/>
          <w:lang w:val="sl-SI"/>
        </w:rPr>
        <w:t>a) v obdobju od 2.8.2021 do 31.12.2025 se v primeru več kot 100 vozil upošteva delež vsaj 28 % čisti</w:t>
      </w:r>
      <w:r w:rsidR="00F813FD">
        <w:rPr>
          <w:rFonts w:cs="Arial"/>
          <w:i/>
          <w:sz w:val="20"/>
          <w:lang w:val="sl-SI"/>
        </w:rPr>
        <w:t>h</w:t>
      </w:r>
      <w:r w:rsidRPr="0020656B">
        <w:rPr>
          <w:rFonts w:cs="Arial"/>
          <w:i/>
          <w:sz w:val="20"/>
          <w:lang w:val="sl-SI"/>
        </w:rPr>
        <w:t xml:space="preserve"> vozil, tako da se število vseh vozil pomnoži z 0,28 ter zaokroži navzgor na višje celo število (v primeru </w:t>
      </w:r>
      <w:r w:rsidRPr="0020656B">
        <w:rPr>
          <w:rFonts w:cs="Arial"/>
          <w:i/>
          <w:sz w:val="20"/>
          <w:lang w:val="sl-SI"/>
        </w:rPr>
        <w:lastRenderedPageBreak/>
        <w:t xml:space="preserve">105 vozil je število čistih vozil 30). Izračun </w:t>
      </w:r>
      <w:proofErr w:type="spellStart"/>
      <w:r w:rsidRPr="0020656B">
        <w:rPr>
          <w:rFonts w:cs="Arial"/>
          <w:i/>
          <w:sz w:val="20"/>
          <w:lang w:val="sl-SI"/>
        </w:rPr>
        <w:t>brezemis</w:t>
      </w:r>
      <w:r>
        <w:rPr>
          <w:rFonts w:cs="Arial"/>
          <w:i/>
          <w:sz w:val="20"/>
          <w:lang w:val="sl-SI"/>
        </w:rPr>
        <w:t>i</w:t>
      </w:r>
      <w:r w:rsidRPr="0020656B">
        <w:rPr>
          <w:rFonts w:cs="Arial"/>
          <w:i/>
          <w:sz w:val="20"/>
          <w:lang w:val="sl-SI"/>
        </w:rPr>
        <w:t>js</w:t>
      </w:r>
      <w:r>
        <w:rPr>
          <w:rFonts w:cs="Arial"/>
          <w:i/>
          <w:sz w:val="20"/>
          <w:lang w:val="sl-SI"/>
        </w:rPr>
        <w:t>k</w:t>
      </w:r>
      <w:r w:rsidRPr="0020656B">
        <w:rPr>
          <w:rFonts w:cs="Arial"/>
          <w:i/>
          <w:sz w:val="20"/>
          <w:lang w:val="sl-SI"/>
        </w:rPr>
        <w:t>ih</w:t>
      </w:r>
      <w:proofErr w:type="spellEnd"/>
      <w:r w:rsidRPr="0020656B">
        <w:rPr>
          <w:rFonts w:cs="Arial"/>
          <w:i/>
          <w:sz w:val="20"/>
          <w:lang w:val="sl-SI"/>
        </w:rPr>
        <w:t xml:space="preserve"> vozil se naredi tako, da se čista vozila pomnožijo z 0,5 ter zaokroži navzgor na višje celo število (v primeru 30 čistih vozil je </w:t>
      </w:r>
      <w:proofErr w:type="spellStart"/>
      <w:r w:rsidRPr="0020656B">
        <w:rPr>
          <w:rFonts w:cs="Arial"/>
          <w:i/>
          <w:sz w:val="20"/>
          <w:lang w:val="sl-SI"/>
        </w:rPr>
        <w:t>brezemisijskih</w:t>
      </w:r>
      <w:proofErr w:type="spellEnd"/>
      <w:r w:rsidRPr="0020656B">
        <w:rPr>
          <w:rFonts w:cs="Arial"/>
          <w:i/>
          <w:sz w:val="20"/>
          <w:lang w:val="sl-SI"/>
        </w:rPr>
        <w:t xml:space="preserve"> 15). </w:t>
      </w:r>
    </w:p>
    <w:p w14:paraId="68B9EFF6" w14:textId="77777777" w:rsidR="00724028" w:rsidRPr="0020656B" w:rsidRDefault="00724028" w:rsidP="00724028">
      <w:pPr>
        <w:pStyle w:val="Odstavek"/>
        <w:spacing w:before="0" w:line="276" w:lineRule="auto"/>
        <w:ind w:firstLine="0"/>
        <w:rPr>
          <w:rFonts w:cs="Arial"/>
          <w:i/>
          <w:sz w:val="20"/>
          <w:lang w:val="sl-SI"/>
        </w:rPr>
      </w:pPr>
    </w:p>
    <w:p w14:paraId="4037ADDF" w14:textId="506CA25E" w:rsidR="00724028" w:rsidRPr="0020656B" w:rsidRDefault="00724028" w:rsidP="00724028">
      <w:pPr>
        <w:pStyle w:val="Odstavek"/>
        <w:spacing w:before="0" w:line="276" w:lineRule="auto"/>
        <w:ind w:firstLine="0"/>
        <w:rPr>
          <w:rFonts w:cs="Arial"/>
          <w:i/>
          <w:sz w:val="20"/>
          <w:lang w:val="sl-SI"/>
        </w:rPr>
      </w:pPr>
      <w:r w:rsidRPr="0020656B">
        <w:rPr>
          <w:rFonts w:cs="Arial"/>
          <w:i/>
          <w:sz w:val="20"/>
          <w:lang w:val="sl-SI"/>
        </w:rPr>
        <w:t>b) v obdobju od 1.1.2026 do 31.12.2030 se v primeru več kot 100 vozil upošteva delež vsaj 40 % čisti</w:t>
      </w:r>
      <w:r w:rsidR="00F813FD">
        <w:rPr>
          <w:rFonts w:cs="Arial"/>
          <w:i/>
          <w:sz w:val="20"/>
          <w:lang w:val="sl-SI"/>
        </w:rPr>
        <w:t>h</w:t>
      </w:r>
      <w:r w:rsidRPr="0020656B">
        <w:rPr>
          <w:rFonts w:cs="Arial"/>
          <w:i/>
          <w:sz w:val="20"/>
          <w:lang w:val="sl-SI"/>
        </w:rPr>
        <w:t xml:space="preserve"> vozil, tako da se število vseh vozil pomnoži z 0,40 ter zaokroži navzgor na višje celo število (v primeru 106 vozil je število čistih vozil 43). Izračun </w:t>
      </w:r>
      <w:proofErr w:type="spellStart"/>
      <w:r w:rsidRPr="0020656B">
        <w:rPr>
          <w:rFonts w:cs="Arial"/>
          <w:i/>
          <w:sz w:val="20"/>
          <w:lang w:val="sl-SI"/>
        </w:rPr>
        <w:t>brezemis</w:t>
      </w:r>
      <w:r>
        <w:rPr>
          <w:rFonts w:cs="Arial"/>
          <w:i/>
          <w:sz w:val="20"/>
          <w:lang w:val="sl-SI"/>
        </w:rPr>
        <w:t>i</w:t>
      </w:r>
      <w:r w:rsidRPr="0020656B">
        <w:rPr>
          <w:rFonts w:cs="Arial"/>
          <w:i/>
          <w:sz w:val="20"/>
          <w:lang w:val="sl-SI"/>
        </w:rPr>
        <w:t>js</w:t>
      </w:r>
      <w:r>
        <w:rPr>
          <w:rFonts w:cs="Arial"/>
          <w:i/>
          <w:sz w:val="20"/>
          <w:lang w:val="sl-SI"/>
        </w:rPr>
        <w:t>k</w:t>
      </w:r>
      <w:r w:rsidRPr="0020656B">
        <w:rPr>
          <w:rFonts w:cs="Arial"/>
          <w:i/>
          <w:sz w:val="20"/>
          <w:lang w:val="sl-SI"/>
        </w:rPr>
        <w:t>ih</w:t>
      </w:r>
      <w:proofErr w:type="spellEnd"/>
      <w:r w:rsidRPr="0020656B">
        <w:rPr>
          <w:rFonts w:cs="Arial"/>
          <w:i/>
          <w:sz w:val="20"/>
          <w:lang w:val="sl-SI"/>
        </w:rPr>
        <w:t xml:space="preserve"> vozil se naredi tako, da se čista vozila pomnožijo z 0,5 ter zaokroži navzgor na višje celo število (v primeru 43 čistih vozil je </w:t>
      </w:r>
      <w:proofErr w:type="spellStart"/>
      <w:r w:rsidRPr="0020656B">
        <w:rPr>
          <w:rFonts w:cs="Arial"/>
          <w:i/>
          <w:sz w:val="20"/>
          <w:lang w:val="sl-SI"/>
        </w:rPr>
        <w:t>brezemisijskih</w:t>
      </w:r>
      <w:proofErr w:type="spellEnd"/>
      <w:r w:rsidRPr="0020656B">
        <w:rPr>
          <w:rFonts w:cs="Arial"/>
          <w:i/>
          <w:sz w:val="20"/>
          <w:lang w:val="sl-SI"/>
        </w:rPr>
        <w:t xml:space="preserve"> 22). </w:t>
      </w:r>
    </w:p>
    <w:p w14:paraId="3316275E" w14:textId="77777777" w:rsidR="00724028" w:rsidRPr="0020656B" w:rsidRDefault="00724028" w:rsidP="00724028">
      <w:pPr>
        <w:pStyle w:val="Odstavek"/>
        <w:spacing w:before="0" w:line="276" w:lineRule="auto"/>
        <w:ind w:firstLine="0"/>
        <w:rPr>
          <w:rFonts w:cs="Arial"/>
          <w:i/>
          <w:sz w:val="20"/>
          <w:lang w:val="sl-SI"/>
        </w:rPr>
      </w:pPr>
    </w:p>
    <w:p w14:paraId="73F11571" w14:textId="77777777" w:rsidR="00724028" w:rsidRPr="0020656B" w:rsidRDefault="00724028" w:rsidP="00724028">
      <w:pPr>
        <w:pStyle w:val="Odstavek"/>
        <w:spacing w:before="0" w:line="276" w:lineRule="auto"/>
        <w:ind w:firstLine="0"/>
        <w:rPr>
          <w:rFonts w:cs="Arial"/>
          <w:i/>
          <w:sz w:val="20"/>
          <w:lang w:val="sl-SI"/>
        </w:rPr>
      </w:pPr>
      <w:r w:rsidRPr="0020656B">
        <w:rPr>
          <w:rFonts w:cs="Arial"/>
          <w:i/>
          <w:sz w:val="20"/>
          <w:lang w:val="sl-SI"/>
        </w:rPr>
        <w:t xml:space="preserve">c) v primeru, da naročnik naroči le eno vozilo mora le to biti čisto oz. </w:t>
      </w:r>
      <w:proofErr w:type="spellStart"/>
      <w:r w:rsidRPr="0020656B">
        <w:rPr>
          <w:rFonts w:cs="Arial"/>
          <w:i/>
          <w:sz w:val="20"/>
          <w:lang w:val="sl-SI"/>
        </w:rPr>
        <w:t>brezemisijsko</w:t>
      </w:r>
      <w:proofErr w:type="spellEnd"/>
      <w:r w:rsidRPr="0020656B">
        <w:rPr>
          <w:rFonts w:cs="Arial"/>
          <w:i/>
          <w:sz w:val="20"/>
          <w:lang w:val="sl-SI"/>
        </w:rPr>
        <w:t>.</w:t>
      </w:r>
    </w:p>
    <w:p w14:paraId="02D07728" w14:textId="77777777" w:rsidR="00724028" w:rsidRPr="0020656B" w:rsidRDefault="00724028" w:rsidP="00724028">
      <w:pPr>
        <w:rPr>
          <w:rFonts w:cs="Arial"/>
          <w:b/>
          <w:szCs w:val="20"/>
          <w:lang w:val="sl-SI"/>
        </w:rPr>
      </w:pPr>
    </w:p>
    <w:p w14:paraId="1277EA9D" w14:textId="77777777" w:rsidR="00724028" w:rsidRPr="0020656B" w:rsidRDefault="00724028" w:rsidP="00724028">
      <w:pPr>
        <w:ind w:left="1418"/>
        <w:jc w:val="center"/>
        <w:rPr>
          <w:rFonts w:cs="Arial"/>
          <w:b/>
          <w:szCs w:val="20"/>
          <w:lang w:val="sl-SI"/>
        </w:rPr>
      </w:pPr>
    </w:p>
    <w:p w14:paraId="1D703B8B" w14:textId="77777777" w:rsidR="00724028" w:rsidRPr="0020656B" w:rsidRDefault="00724028" w:rsidP="00724028">
      <w:pPr>
        <w:rPr>
          <w:rFonts w:cs="Arial"/>
          <w:b/>
          <w:szCs w:val="20"/>
          <w:lang w:val="sl-SI"/>
        </w:rPr>
      </w:pPr>
      <w:r w:rsidRPr="0020656B">
        <w:rPr>
          <w:rFonts w:cs="Arial"/>
          <w:b/>
          <w:szCs w:val="20"/>
          <w:lang w:val="sl-SI"/>
        </w:rPr>
        <w:br w:type="page"/>
      </w:r>
      <w:r w:rsidRPr="0020656B">
        <w:rPr>
          <w:rFonts w:cs="Arial"/>
          <w:b/>
          <w:szCs w:val="20"/>
          <w:lang w:val="sl-SI"/>
        </w:rPr>
        <w:lastRenderedPageBreak/>
        <w:t>Obrazložitev:</w:t>
      </w:r>
    </w:p>
    <w:p w14:paraId="75A8F7F1" w14:textId="77777777" w:rsidR="00724028" w:rsidRPr="0020656B" w:rsidRDefault="00724028" w:rsidP="00724028">
      <w:pPr>
        <w:tabs>
          <w:tab w:val="left" w:pos="1701"/>
        </w:tabs>
        <w:spacing w:line="276" w:lineRule="auto"/>
        <w:jc w:val="both"/>
        <w:rPr>
          <w:rFonts w:cs="Arial"/>
          <w:bCs/>
          <w:szCs w:val="20"/>
          <w:lang w:val="sl-SI"/>
        </w:rPr>
      </w:pPr>
    </w:p>
    <w:p w14:paraId="6E3CDE72" w14:textId="77777777" w:rsidR="00724028" w:rsidRDefault="00724028" w:rsidP="00724028">
      <w:pPr>
        <w:pStyle w:val="ZADEVA"/>
        <w:spacing w:line="276" w:lineRule="auto"/>
        <w:ind w:left="0" w:firstLine="0"/>
        <w:jc w:val="both"/>
        <w:rPr>
          <w:b w:val="0"/>
          <w:bCs/>
          <w:szCs w:val="20"/>
          <w:lang w:val="sl-SI"/>
        </w:rPr>
      </w:pPr>
      <w:r w:rsidRPr="0020656B">
        <w:rPr>
          <w:b w:val="0"/>
          <w:bCs/>
          <w:szCs w:val="20"/>
          <w:lang w:val="sl-SI"/>
        </w:rPr>
        <w:t xml:space="preserve">Uredba o zelenem javnem naročanju (Uradni list RS, št. 51/17 in 64/19; v nadaljnjem besedilu: uredba), ki je začela veljati 1. januarja 2018, ureja zeleno javno naročanje za 20 predmetov, pri naročanju katerih mora naročnik po Zakonu o javnem naročanju (Uradni list RS, št. 91/15 in 14/18; v nadaljnjem besedilu: ZJN-3) naročati blago, storitve ali gradnje, ki imajo v primerjavi z običajnim blagom, storitvami in gradnjami v celotni življenjski dobi manjši vpliv na okolje in zagotavljajo varčevanje z naravnimi viri, materiali in energijo ter imajo enake ali boljše funkcionalnosti, in sicer predvsem na način doseganja obveznih ciljev iz uredbe. </w:t>
      </w:r>
    </w:p>
    <w:p w14:paraId="302EAC08" w14:textId="77777777" w:rsidR="00724028" w:rsidRDefault="00724028" w:rsidP="00724028">
      <w:pPr>
        <w:pStyle w:val="ZADEVA"/>
        <w:spacing w:line="276" w:lineRule="auto"/>
        <w:ind w:left="0" w:firstLine="0"/>
        <w:jc w:val="both"/>
        <w:rPr>
          <w:b w:val="0"/>
          <w:bCs/>
          <w:szCs w:val="20"/>
          <w:lang w:val="sl-SI"/>
        </w:rPr>
      </w:pPr>
    </w:p>
    <w:p w14:paraId="098A890C" w14:textId="77777777" w:rsidR="00724028" w:rsidRPr="00A466B4" w:rsidRDefault="00724028" w:rsidP="00724028">
      <w:pPr>
        <w:pStyle w:val="ZADEVA"/>
        <w:spacing w:line="276" w:lineRule="auto"/>
        <w:ind w:left="0" w:firstLine="0"/>
        <w:jc w:val="both"/>
        <w:rPr>
          <w:b w:val="0"/>
          <w:bCs/>
          <w:szCs w:val="20"/>
          <w:lang w:val="sl-SI"/>
        </w:rPr>
      </w:pPr>
      <w:bookmarkStart w:id="1" w:name="_Hlk68003202"/>
      <w:r w:rsidRPr="00A466B4">
        <w:rPr>
          <w:b w:val="0"/>
          <w:bCs/>
          <w:szCs w:val="20"/>
          <w:lang w:val="sl-SI"/>
        </w:rPr>
        <w:t xml:space="preserve">S to </w:t>
      </w:r>
      <w:r>
        <w:rPr>
          <w:b w:val="0"/>
          <w:bCs/>
          <w:szCs w:val="20"/>
          <w:lang w:val="sl-SI"/>
        </w:rPr>
        <w:t>spremembo</w:t>
      </w:r>
      <w:r w:rsidRPr="00A466B4">
        <w:rPr>
          <w:b w:val="0"/>
          <w:bCs/>
          <w:szCs w:val="20"/>
          <w:lang w:val="sl-SI"/>
        </w:rPr>
        <w:t xml:space="preserve"> se v slovenski pravni red prenaša Direktiva o spodbujanju čistih in energetsko učinkovitih vozil za cestni prevoz (Direktiva (EU) 2019/1161) Evropskega parlamenta in Sveta z dne 20. junija 2019, ki je nadomestila predhodno Direktivo 2009/33/ES Evropskega parlamenta in Sveta z dne 23. aprila 2009 o spodbujanju čistih in energetsko učinkovitih vozil za cestni prevoz.</w:t>
      </w:r>
      <w:r>
        <w:rPr>
          <w:b w:val="0"/>
          <w:bCs/>
          <w:szCs w:val="20"/>
          <w:lang w:val="sl-SI"/>
        </w:rPr>
        <w:t xml:space="preserve"> </w:t>
      </w:r>
      <w:r w:rsidRPr="00A466B4">
        <w:rPr>
          <w:b w:val="0"/>
          <w:bCs/>
          <w:szCs w:val="20"/>
          <w:lang w:val="sl-SI"/>
        </w:rPr>
        <w:t xml:space="preserve">Direktiva nalaga državam članicam, da v dveh referenčnih obdobjih dosežejo nacionalne deleže čistih in </w:t>
      </w:r>
      <w:proofErr w:type="spellStart"/>
      <w:r w:rsidRPr="00A466B4">
        <w:rPr>
          <w:b w:val="0"/>
          <w:bCs/>
          <w:szCs w:val="20"/>
          <w:lang w:val="sl-SI"/>
        </w:rPr>
        <w:t>brezemisijskih</w:t>
      </w:r>
      <w:proofErr w:type="spellEnd"/>
      <w:r w:rsidRPr="00A466B4">
        <w:rPr>
          <w:b w:val="0"/>
          <w:bCs/>
          <w:szCs w:val="20"/>
          <w:lang w:val="sl-SI"/>
        </w:rPr>
        <w:t xml:space="preserve"> vozil v javnem naročanju prek:</w:t>
      </w:r>
    </w:p>
    <w:p w14:paraId="22B8588B" w14:textId="77777777" w:rsidR="00724028" w:rsidRPr="00A466B4" w:rsidRDefault="00724028" w:rsidP="00724028">
      <w:pPr>
        <w:pStyle w:val="ZADEVA"/>
        <w:spacing w:line="276" w:lineRule="auto"/>
        <w:ind w:left="0" w:firstLine="0"/>
        <w:jc w:val="both"/>
        <w:rPr>
          <w:b w:val="0"/>
          <w:bCs/>
          <w:szCs w:val="20"/>
          <w:lang w:val="sl-SI"/>
        </w:rPr>
      </w:pPr>
    </w:p>
    <w:p w14:paraId="15299567" w14:textId="77777777" w:rsidR="00724028" w:rsidRPr="001F09FD" w:rsidRDefault="00724028" w:rsidP="00724028">
      <w:pPr>
        <w:pStyle w:val="ZADEVA"/>
        <w:numPr>
          <w:ilvl w:val="0"/>
          <w:numId w:val="27"/>
        </w:numPr>
        <w:tabs>
          <w:tab w:val="clear" w:pos="1701"/>
          <w:tab w:val="left" w:pos="0"/>
        </w:tabs>
        <w:spacing w:line="276" w:lineRule="auto"/>
        <w:ind w:left="426" w:hanging="426"/>
        <w:jc w:val="both"/>
        <w:rPr>
          <w:b w:val="0"/>
          <w:bCs/>
          <w:szCs w:val="20"/>
          <w:lang w:val="sl-SI"/>
        </w:rPr>
      </w:pPr>
      <w:r w:rsidRPr="001F09FD">
        <w:rPr>
          <w:b w:val="0"/>
          <w:bCs/>
          <w:szCs w:val="20"/>
          <w:lang w:val="sl-SI"/>
        </w:rPr>
        <w:t>pogodb za nakup, zakup, najem ali nakup s pridržanim lastništvom vozil za cestni promet, ki jih oddajo javni naročniki ali naročniki, če so zavezani k uporabi postopkov javnega naročanja,</w:t>
      </w:r>
    </w:p>
    <w:p w14:paraId="77556023" w14:textId="77777777" w:rsidR="00724028" w:rsidRPr="001F09FD" w:rsidRDefault="00724028" w:rsidP="00724028">
      <w:pPr>
        <w:pStyle w:val="ZADEVA"/>
        <w:numPr>
          <w:ilvl w:val="0"/>
          <w:numId w:val="27"/>
        </w:numPr>
        <w:tabs>
          <w:tab w:val="clear" w:pos="1701"/>
          <w:tab w:val="left" w:pos="0"/>
        </w:tabs>
        <w:spacing w:line="276" w:lineRule="auto"/>
        <w:ind w:left="426" w:hanging="426"/>
        <w:jc w:val="both"/>
        <w:rPr>
          <w:b w:val="0"/>
          <w:bCs/>
          <w:szCs w:val="20"/>
          <w:lang w:val="sl-SI"/>
        </w:rPr>
      </w:pPr>
      <w:r w:rsidRPr="001F09FD">
        <w:rPr>
          <w:b w:val="0"/>
          <w:bCs/>
          <w:szCs w:val="20"/>
          <w:lang w:val="sl-SI"/>
        </w:rPr>
        <w:t>pogodb o izvajanju javne službe v smislu Uredbe (ES) št. 1370/2007 Evropskega parlamenta in Sveta, katerih predmet urejanja je zagotavljanje storitev potniškega cestnega prevoza nad mejno vrednostjo, ki jo določijo države članice in ki ne presega veljavne mejne vrednosti iz člena 5(4) navedene uredbe;</w:t>
      </w:r>
    </w:p>
    <w:p w14:paraId="2156291C" w14:textId="77777777" w:rsidR="00724028" w:rsidRPr="001F09FD" w:rsidRDefault="00724028" w:rsidP="00724028">
      <w:pPr>
        <w:pStyle w:val="ZADEVA"/>
        <w:numPr>
          <w:ilvl w:val="0"/>
          <w:numId w:val="27"/>
        </w:numPr>
        <w:tabs>
          <w:tab w:val="clear" w:pos="1701"/>
          <w:tab w:val="left" w:pos="0"/>
        </w:tabs>
        <w:spacing w:line="276" w:lineRule="auto"/>
        <w:ind w:left="426" w:hanging="426"/>
        <w:jc w:val="both"/>
        <w:rPr>
          <w:b w:val="0"/>
          <w:bCs/>
          <w:szCs w:val="20"/>
          <w:lang w:val="sl-SI"/>
        </w:rPr>
      </w:pPr>
      <w:r w:rsidRPr="001F09FD">
        <w:rPr>
          <w:b w:val="0"/>
          <w:bCs/>
          <w:szCs w:val="20"/>
          <w:lang w:val="sl-SI"/>
        </w:rPr>
        <w:t xml:space="preserve">naročil storitev prevoza, če za javne naročnike ali naročnike velja obveznost uporabe postopka javnega naročanja. </w:t>
      </w:r>
    </w:p>
    <w:bookmarkEnd w:id="1"/>
    <w:p w14:paraId="0173DD89" w14:textId="77777777" w:rsidR="00724028" w:rsidRPr="00A466B4" w:rsidRDefault="00724028" w:rsidP="00724028">
      <w:pPr>
        <w:pStyle w:val="ZADEVA"/>
        <w:spacing w:line="276" w:lineRule="auto"/>
        <w:ind w:left="0" w:firstLine="0"/>
        <w:jc w:val="both"/>
        <w:rPr>
          <w:b w:val="0"/>
          <w:bCs/>
          <w:szCs w:val="20"/>
          <w:lang w:val="sl-SI"/>
        </w:rPr>
      </w:pPr>
    </w:p>
    <w:p w14:paraId="55067363" w14:textId="77777777" w:rsidR="00724028" w:rsidRPr="00A466B4" w:rsidRDefault="00724028" w:rsidP="00724028">
      <w:pPr>
        <w:pStyle w:val="ZADEVA"/>
        <w:spacing w:line="276" w:lineRule="auto"/>
        <w:ind w:left="0" w:firstLine="0"/>
        <w:jc w:val="both"/>
        <w:rPr>
          <w:b w:val="0"/>
          <w:bCs/>
          <w:szCs w:val="20"/>
          <w:lang w:val="sl-SI"/>
        </w:rPr>
      </w:pPr>
      <w:r w:rsidRPr="00A466B4">
        <w:rPr>
          <w:b w:val="0"/>
          <w:bCs/>
          <w:szCs w:val="20"/>
          <w:lang w:val="sl-SI"/>
        </w:rPr>
        <w:t xml:space="preserve">Tabela 1: nacionalni minimalni cilji javnega naročanja za delež čistih in </w:t>
      </w:r>
      <w:proofErr w:type="spellStart"/>
      <w:r w:rsidRPr="00A466B4">
        <w:rPr>
          <w:b w:val="0"/>
          <w:bCs/>
          <w:szCs w:val="20"/>
          <w:lang w:val="sl-SI"/>
        </w:rPr>
        <w:t>brezemisijskih</w:t>
      </w:r>
      <w:proofErr w:type="spellEnd"/>
      <w:r w:rsidRPr="00A466B4">
        <w:rPr>
          <w:b w:val="0"/>
          <w:bCs/>
          <w:szCs w:val="20"/>
          <w:lang w:val="sl-SI"/>
        </w:rPr>
        <w:t xml:space="preserve"> vozil zajetih v pogodbah iz točk a, b in c </w:t>
      </w:r>
    </w:p>
    <w:tbl>
      <w:tblPr>
        <w:tblW w:w="8990"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2"/>
        <w:gridCol w:w="3497"/>
        <w:gridCol w:w="3501"/>
      </w:tblGrid>
      <w:tr w:rsidR="00724028" w:rsidRPr="00B70C01" w14:paraId="4DF67E40" w14:textId="77777777" w:rsidTr="001679AB">
        <w:trPr>
          <w:trHeight w:val="315"/>
        </w:trPr>
        <w:tc>
          <w:tcPr>
            <w:tcW w:w="1992" w:type="dxa"/>
            <w:tcBorders>
              <w:left w:val="nil"/>
            </w:tcBorders>
            <w:shd w:val="clear" w:color="auto" w:fill="auto"/>
          </w:tcPr>
          <w:p w14:paraId="738573A8" w14:textId="77777777" w:rsidR="00724028" w:rsidRPr="00A466B4" w:rsidRDefault="00724028" w:rsidP="001679AB">
            <w:pPr>
              <w:widowControl w:val="0"/>
              <w:autoSpaceDE w:val="0"/>
              <w:autoSpaceDN w:val="0"/>
              <w:spacing w:before="68" w:after="120" w:line="240" w:lineRule="auto"/>
              <w:ind w:left="532"/>
              <w:rPr>
                <w:rFonts w:eastAsia="Georgia" w:cs="Arial"/>
                <w:sz w:val="18"/>
                <w:szCs w:val="18"/>
              </w:rPr>
            </w:pPr>
            <w:proofErr w:type="spellStart"/>
            <w:r w:rsidRPr="00A466B4">
              <w:rPr>
                <w:rFonts w:eastAsia="Georgia" w:cs="Arial"/>
                <w:sz w:val="18"/>
                <w:szCs w:val="18"/>
              </w:rPr>
              <w:t>Kategorija</w:t>
            </w:r>
            <w:proofErr w:type="spellEnd"/>
            <w:r w:rsidRPr="00A466B4">
              <w:rPr>
                <w:rFonts w:eastAsia="Georgia" w:cs="Arial"/>
                <w:sz w:val="18"/>
                <w:szCs w:val="18"/>
              </w:rPr>
              <w:t xml:space="preserve"> </w:t>
            </w:r>
            <w:proofErr w:type="spellStart"/>
            <w:r w:rsidRPr="00A466B4">
              <w:rPr>
                <w:rFonts w:eastAsia="Georgia" w:cs="Arial"/>
                <w:sz w:val="18"/>
                <w:szCs w:val="18"/>
              </w:rPr>
              <w:t>vozila</w:t>
            </w:r>
            <w:proofErr w:type="spellEnd"/>
          </w:p>
        </w:tc>
        <w:tc>
          <w:tcPr>
            <w:tcW w:w="3497" w:type="dxa"/>
            <w:shd w:val="clear" w:color="auto" w:fill="auto"/>
          </w:tcPr>
          <w:p w14:paraId="61B2DF67" w14:textId="5793FD7A" w:rsidR="00724028" w:rsidRPr="004B7319" w:rsidRDefault="00724028" w:rsidP="001679AB">
            <w:pPr>
              <w:widowControl w:val="0"/>
              <w:autoSpaceDE w:val="0"/>
              <w:autoSpaceDN w:val="0"/>
              <w:spacing w:before="68" w:after="120" w:line="240" w:lineRule="auto"/>
              <w:ind w:left="209" w:right="201"/>
              <w:jc w:val="center"/>
              <w:rPr>
                <w:rFonts w:eastAsia="Georgia" w:cs="Arial"/>
                <w:sz w:val="18"/>
                <w:szCs w:val="18"/>
                <w:lang w:val="it-IT"/>
              </w:rPr>
            </w:pPr>
            <w:proofErr w:type="gramStart"/>
            <w:r w:rsidRPr="004B7319">
              <w:rPr>
                <w:rFonts w:eastAsia="Georgia" w:cs="Arial"/>
                <w:sz w:val="18"/>
                <w:szCs w:val="18"/>
                <w:lang w:val="it-IT"/>
              </w:rPr>
              <w:t>Od</w:t>
            </w:r>
            <w:proofErr w:type="gramEnd"/>
            <w:r w:rsidRPr="004B7319">
              <w:rPr>
                <w:rFonts w:eastAsia="Georgia" w:cs="Arial"/>
                <w:sz w:val="18"/>
                <w:szCs w:val="18"/>
                <w:lang w:val="it-IT"/>
              </w:rPr>
              <w:t xml:space="preserve"> 2. </w:t>
            </w:r>
            <w:proofErr w:type="spellStart"/>
            <w:r w:rsidRPr="004B7319">
              <w:rPr>
                <w:rFonts w:eastAsia="Georgia" w:cs="Arial"/>
                <w:sz w:val="18"/>
                <w:szCs w:val="18"/>
                <w:lang w:val="it-IT"/>
              </w:rPr>
              <w:t>avgusta</w:t>
            </w:r>
            <w:proofErr w:type="spellEnd"/>
            <w:r w:rsidRPr="004B7319">
              <w:rPr>
                <w:rFonts w:eastAsia="Georgia" w:cs="Arial"/>
                <w:sz w:val="18"/>
                <w:szCs w:val="18"/>
                <w:lang w:val="it-IT"/>
              </w:rPr>
              <w:t xml:space="preserve"> 2021 do 31. </w:t>
            </w:r>
            <w:proofErr w:type="spellStart"/>
            <w:r w:rsidRPr="004B7319">
              <w:rPr>
                <w:rFonts w:eastAsia="Georgia" w:cs="Arial"/>
                <w:sz w:val="18"/>
                <w:szCs w:val="18"/>
                <w:lang w:val="it-IT"/>
              </w:rPr>
              <w:t>decembra</w:t>
            </w:r>
            <w:proofErr w:type="spellEnd"/>
            <w:r w:rsidRPr="004B7319">
              <w:rPr>
                <w:rFonts w:eastAsia="Georgia" w:cs="Arial"/>
                <w:sz w:val="18"/>
                <w:szCs w:val="18"/>
                <w:lang w:val="it-IT"/>
              </w:rPr>
              <w:t xml:space="preserve"> 2025</w:t>
            </w:r>
            <w:r w:rsidR="00B70C01" w:rsidRPr="004B7319">
              <w:rPr>
                <w:rFonts w:eastAsia="Georgia" w:cs="Arial"/>
                <w:sz w:val="18"/>
                <w:szCs w:val="18"/>
                <w:lang w:val="it-IT"/>
              </w:rPr>
              <w:t xml:space="preserve"> (</w:t>
            </w:r>
            <w:proofErr w:type="spellStart"/>
            <w:r w:rsidR="00B70C01" w:rsidRPr="004B7319">
              <w:rPr>
                <w:rFonts w:eastAsia="Georgia" w:cs="Arial"/>
                <w:sz w:val="18"/>
                <w:szCs w:val="18"/>
                <w:lang w:val="it-IT"/>
              </w:rPr>
              <w:t>p</w:t>
            </w:r>
            <w:r w:rsidR="00B70C01">
              <w:rPr>
                <w:rFonts w:eastAsia="Georgia" w:cs="Arial"/>
                <w:sz w:val="18"/>
                <w:szCs w:val="18"/>
                <w:lang w:val="it-IT"/>
              </w:rPr>
              <w:t>rvo</w:t>
            </w:r>
            <w:proofErr w:type="spellEnd"/>
            <w:r w:rsidR="00B70C01">
              <w:rPr>
                <w:rFonts w:eastAsia="Georgia" w:cs="Arial"/>
                <w:sz w:val="18"/>
                <w:szCs w:val="18"/>
                <w:lang w:val="it-IT"/>
              </w:rPr>
              <w:t xml:space="preserve"> </w:t>
            </w:r>
            <w:proofErr w:type="spellStart"/>
            <w:r w:rsidR="00B70C01">
              <w:rPr>
                <w:rFonts w:eastAsia="Georgia" w:cs="Arial"/>
                <w:sz w:val="18"/>
                <w:szCs w:val="18"/>
                <w:lang w:val="it-IT"/>
              </w:rPr>
              <w:t>referenčno</w:t>
            </w:r>
            <w:proofErr w:type="spellEnd"/>
            <w:r w:rsidR="00B70C01">
              <w:rPr>
                <w:rFonts w:eastAsia="Georgia" w:cs="Arial"/>
                <w:sz w:val="18"/>
                <w:szCs w:val="18"/>
                <w:lang w:val="it-IT"/>
              </w:rPr>
              <w:t xml:space="preserve"> </w:t>
            </w:r>
            <w:proofErr w:type="spellStart"/>
            <w:r w:rsidR="00B70C01">
              <w:rPr>
                <w:rFonts w:eastAsia="Georgia" w:cs="Arial"/>
                <w:sz w:val="18"/>
                <w:szCs w:val="18"/>
                <w:lang w:val="it-IT"/>
              </w:rPr>
              <w:t>obdobje</w:t>
            </w:r>
            <w:proofErr w:type="spellEnd"/>
            <w:r w:rsidR="00B70C01">
              <w:rPr>
                <w:rFonts w:eastAsia="Georgia" w:cs="Arial"/>
                <w:sz w:val="18"/>
                <w:szCs w:val="18"/>
                <w:lang w:val="it-IT"/>
              </w:rPr>
              <w:t>)</w:t>
            </w:r>
          </w:p>
        </w:tc>
        <w:tc>
          <w:tcPr>
            <w:tcW w:w="3501" w:type="dxa"/>
            <w:tcBorders>
              <w:right w:val="nil"/>
            </w:tcBorders>
            <w:shd w:val="clear" w:color="auto" w:fill="auto"/>
          </w:tcPr>
          <w:p w14:paraId="26315780" w14:textId="14D82B0C" w:rsidR="00724028" w:rsidRPr="004B7319" w:rsidRDefault="00724028" w:rsidP="001679AB">
            <w:pPr>
              <w:widowControl w:val="0"/>
              <w:autoSpaceDE w:val="0"/>
              <w:autoSpaceDN w:val="0"/>
              <w:spacing w:before="68" w:after="120" w:line="240" w:lineRule="auto"/>
              <w:ind w:left="181" w:right="175"/>
              <w:jc w:val="center"/>
              <w:rPr>
                <w:rFonts w:eastAsia="Georgia" w:cs="Arial"/>
                <w:sz w:val="18"/>
                <w:szCs w:val="18"/>
                <w:lang w:val="it-IT"/>
              </w:rPr>
            </w:pPr>
            <w:r w:rsidRPr="004B7319">
              <w:rPr>
                <w:rFonts w:eastAsia="Georgia" w:cs="Arial"/>
                <w:sz w:val="18"/>
                <w:szCs w:val="18"/>
                <w:lang w:val="it-IT"/>
              </w:rPr>
              <w:t xml:space="preserve">Od 1. </w:t>
            </w:r>
            <w:proofErr w:type="spellStart"/>
            <w:r w:rsidRPr="004B7319">
              <w:rPr>
                <w:rFonts w:eastAsia="Georgia" w:cs="Arial"/>
                <w:sz w:val="18"/>
                <w:szCs w:val="18"/>
                <w:lang w:val="it-IT"/>
              </w:rPr>
              <w:t>januarja</w:t>
            </w:r>
            <w:proofErr w:type="spellEnd"/>
            <w:r w:rsidRPr="004B7319">
              <w:rPr>
                <w:rFonts w:eastAsia="Georgia" w:cs="Arial"/>
                <w:sz w:val="18"/>
                <w:szCs w:val="18"/>
                <w:lang w:val="it-IT"/>
              </w:rPr>
              <w:t xml:space="preserve"> 2026 do 31. </w:t>
            </w:r>
            <w:proofErr w:type="spellStart"/>
            <w:r w:rsidRPr="004B7319">
              <w:rPr>
                <w:rFonts w:eastAsia="Georgia" w:cs="Arial"/>
                <w:sz w:val="18"/>
                <w:szCs w:val="18"/>
                <w:lang w:val="it-IT"/>
              </w:rPr>
              <w:t>decembra</w:t>
            </w:r>
            <w:proofErr w:type="spellEnd"/>
            <w:r w:rsidRPr="004B7319">
              <w:rPr>
                <w:rFonts w:eastAsia="Georgia" w:cs="Arial"/>
                <w:sz w:val="18"/>
                <w:szCs w:val="18"/>
                <w:lang w:val="it-IT"/>
              </w:rPr>
              <w:t xml:space="preserve"> 2030</w:t>
            </w:r>
            <w:r w:rsidR="00B70C01" w:rsidRPr="004B7319">
              <w:rPr>
                <w:rFonts w:eastAsia="Georgia" w:cs="Arial"/>
                <w:sz w:val="18"/>
                <w:szCs w:val="18"/>
                <w:lang w:val="it-IT"/>
              </w:rPr>
              <w:t xml:space="preserve"> (</w:t>
            </w:r>
            <w:proofErr w:type="spellStart"/>
            <w:r w:rsidR="00B70C01" w:rsidRPr="004B7319">
              <w:rPr>
                <w:rFonts w:eastAsia="Georgia" w:cs="Arial"/>
                <w:sz w:val="18"/>
                <w:szCs w:val="18"/>
                <w:lang w:val="it-IT"/>
              </w:rPr>
              <w:t>drugo</w:t>
            </w:r>
            <w:proofErr w:type="spellEnd"/>
            <w:r w:rsidR="00B70C01" w:rsidRPr="004B7319">
              <w:rPr>
                <w:rFonts w:eastAsia="Georgia" w:cs="Arial"/>
                <w:sz w:val="18"/>
                <w:szCs w:val="18"/>
                <w:lang w:val="it-IT"/>
              </w:rPr>
              <w:t xml:space="preserve"> </w:t>
            </w:r>
            <w:proofErr w:type="spellStart"/>
            <w:r w:rsidR="00B70C01" w:rsidRPr="004B7319">
              <w:rPr>
                <w:rFonts w:eastAsia="Georgia" w:cs="Arial"/>
                <w:sz w:val="18"/>
                <w:szCs w:val="18"/>
                <w:lang w:val="it-IT"/>
              </w:rPr>
              <w:t>referenčno</w:t>
            </w:r>
            <w:proofErr w:type="spellEnd"/>
            <w:r w:rsidR="00B70C01" w:rsidRPr="004B7319">
              <w:rPr>
                <w:rFonts w:eastAsia="Georgia" w:cs="Arial"/>
                <w:sz w:val="18"/>
                <w:szCs w:val="18"/>
                <w:lang w:val="it-IT"/>
              </w:rPr>
              <w:t xml:space="preserve"> </w:t>
            </w:r>
            <w:proofErr w:type="spellStart"/>
            <w:r w:rsidR="00B70C01" w:rsidRPr="004B7319">
              <w:rPr>
                <w:rFonts w:eastAsia="Georgia" w:cs="Arial"/>
                <w:sz w:val="18"/>
                <w:szCs w:val="18"/>
                <w:lang w:val="it-IT"/>
              </w:rPr>
              <w:t>o</w:t>
            </w:r>
            <w:r w:rsidR="00B70C01">
              <w:rPr>
                <w:rFonts w:eastAsia="Georgia" w:cs="Arial"/>
                <w:sz w:val="18"/>
                <w:szCs w:val="18"/>
                <w:lang w:val="it-IT"/>
              </w:rPr>
              <w:t>bdobje</w:t>
            </w:r>
            <w:proofErr w:type="spellEnd"/>
            <w:r w:rsidR="00B70C01">
              <w:rPr>
                <w:rFonts w:eastAsia="Georgia" w:cs="Arial"/>
                <w:sz w:val="18"/>
                <w:szCs w:val="18"/>
                <w:lang w:val="it-IT"/>
              </w:rPr>
              <w:t>)</w:t>
            </w:r>
          </w:p>
        </w:tc>
      </w:tr>
      <w:tr w:rsidR="00724028" w:rsidRPr="00A466B4" w14:paraId="6FC73A25" w14:textId="77777777" w:rsidTr="001679AB">
        <w:trPr>
          <w:trHeight w:val="413"/>
        </w:trPr>
        <w:tc>
          <w:tcPr>
            <w:tcW w:w="1992" w:type="dxa"/>
            <w:tcBorders>
              <w:left w:val="nil"/>
            </w:tcBorders>
            <w:shd w:val="clear" w:color="auto" w:fill="auto"/>
          </w:tcPr>
          <w:p w14:paraId="0456324C" w14:textId="77777777" w:rsidR="00724028" w:rsidRPr="00A466B4" w:rsidRDefault="00724028" w:rsidP="001679AB">
            <w:pPr>
              <w:widowControl w:val="0"/>
              <w:autoSpaceDE w:val="0"/>
              <w:autoSpaceDN w:val="0"/>
              <w:spacing w:before="109" w:line="240" w:lineRule="auto"/>
              <w:ind w:left="5"/>
              <w:rPr>
                <w:rFonts w:eastAsia="Georgia" w:cs="Arial"/>
                <w:sz w:val="18"/>
                <w:szCs w:val="18"/>
                <w:lang w:val="it-IT"/>
              </w:rPr>
            </w:pPr>
            <w:proofErr w:type="spellStart"/>
            <w:r w:rsidRPr="00A466B4">
              <w:rPr>
                <w:rFonts w:eastAsia="Georgia" w:cs="Arial"/>
                <w:sz w:val="18"/>
                <w:szCs w:val="18"/>
                <w:lang w:val="it-IT"/>
              </w:rPr>
              <w:t>Čista</w:t>
            </w:r>
            <w:proofErr w:type="spellEnd"/>
            <w:r w:rsidRPr="00A466B4">
              <w:rPr>
                <w:rFonts w:eastAsia="Georgia" w:cs="Arial"/>
                <w:sz w:val="18"/>
                <w:szCs w:val="18"/>
                <w:lang w:val="it-IT"/>
              </w:rPr>
              <w:t xml:space="preserve"> </w:t>
            </w:r>
            <w:proofErr w:type="spellStart"/>
            <w:r w:rsidRPr="00A466B4">
              <w:rPr>
                <w:rFonts w:eastAsia="Georgia" w:cs="Arial"/>
                <w:sz w:val="18"/>
                <w:szCs w:val="18"/>
                <w:lang w:val="it-IT"/>
              </w:rPr>
              <w:t>lahka</w:t>
            </w:r>
            <w:proofErr w:type="spellEnd"/>
            <w:r w:rsidRPr="00A466B4">
              <w:rPr>
                <w:rFonts w:eastAsia="Georgia" w:cs="Arial"/>
                <w:sz w:val="18"/>
                <w:szCs w:val="18"/>
                <w:lang w:val="it-IT"/>
              </w:rPr>
              <w:t xml:space="preserve"> </w:t>
            </w:r>
            <w:proofErr w:type="spellStart"/>
            <w:r w:rsidRPr="00A466B4">
              <w:rPr>
                <w:rFonts w:eastAsia="Georgia" w:cs="Arial"/>
                <w:sz w:val="18"/>
                <w:szCs w:val="18"/>
                <w:lang w:val="it-IT"/>
              </w:rPr>
              <w:t>vozila</w:t>
            </w:r>
            <w:proofErr w:type="spellEnd"/>
            <w:r w:rsidRPr="00A466B4">
              <w:rPr>
                <w:rFonts w:eastAsia="Georgia" w:cs="Arial"/>
                <w:sz w:val="18"/>
                <w:szCs w:val="18"/>
                <w:lang w:val="it-IT"/>
              </w:rPr>
              <w:t xml:space="preserve"> (M1, M2 in N1)</w:t>
            </w:r>
          </w:p>
        </w:tc>
        <w:tc>
          <w:tcPr>
            <w:tcW w:w="3497" w:type="dxa"/>
            <w:shd w:val="clear" w:color="auto" w:fill="auto"/>
          </w:tcPr>
          <w:p w14:paraId="79D4474D" w14:textId="77777777" w:rsidR="00724028" w:rsidRPr="00A466B4" w:rsidRDefault="00724028" w:rsidP="001679AB">
            <w:pPr>
              <w:widowControl w:val="0"/>
              <w:autoSpaceDE w:val="0"/>
              <w:autoSpaceDN w:val="0"/>
              <w:spacing w:before="109" w:line="240" w:lineRule="auto"/>
              <w:ind w:left="209" w:right="199"/>
              <w:jc w:val="center"/>
              <w:rPr>
                <w:rFonts w:eastAsia="Georgia" w:cs="Arial"/>
                <w:sz w:val="18"/>
                <w:szCs w:val="18"/>
              </w:rPr>
            </w:pPr>
            <w:r w:rsidRPr="00A466B4">
              <w:rPr>
                <w:rFonts w:eastAsia="Georgia" w:cs="Arial"/>
                <w:sz w:val="18"/>
                <w:szCs w:val="18"/>
              </w:rPr>
              <w:t>22 %</w:t>
            </w:r>
          </w:p>
        </w:tc>
        <w:tc>
          <w:tcPr>
            <w:tcW w:w="3501" w:type="dxa"/>
            <w:tcBorders>
              <w:right w:val="nil"/>
            </w:tcBorders>
            <w:shd w:val="clear" w:color="auto" w:fill="auto"/>
          </w:tcPr>
          <w:p w14:paraId="5FC04FEE" w14:textId="77777777" w:rsidR="00724028" w:rsidRPr="00A466B4" w:rsidRDefault="00724028" w:rsidP="001679AB">
            <w:pPr>
              <w:widowControl w:val="0"/>
              <w:autoSpaceDE w:val="0"/>
              <w:autoSpaceDN w:val="0"/>
              <w:spacing w:before="109" w:line="240" w:lineRule="auto"/>
              <w:ind w:left="181" w:right="175"/>
              <w:jc w:val="center"/>
              <w:rPr>
                <w:rFonts w:eastAsia="Georgia" w:cs="Arial"/>
                <w:sz w:val="18"/>
                <w:szCs w:val="18"/>
              </w:rPr>
            </w:pPr>
            <w:r w:rsidRPr="00A466B4">
              <w:rPr>
                <w:rFonts w:eastAsia="Georgia" w:cs="Arial"/>
                <w:sz w:val="18"/>
                <w:szCs w:val="18"/>
              </w:rPr>
              <w:t>22 %</w:t>
            </w:r>
          </w:p>
        </w:tc>
      </w:tr>
      <w:tr w:rsidR="00724028" w:rsidRPr="00A466B4" w14:paraId="4D386795" w14:textId="77777777" w:rsidTr="001679AB">
        <w:trPr>
          <w:trHeight w:val="413"/>
        </w:trPr>
        <w:tc>
          <w:tcPr>
            <w:tcW w:w="1992" w:type="dxa"/>
            <w:tcBorders>
              <w:left w:val="nil"/>
            </w:tcBorders>
            <w:shd w:val="clear" w:color="auto" w:fill="auto"/>
          </w:tcPr>
          <w:p w14:paraId="490E91BB" w14:textId="77777777" w:rsidR="00724028" w:rsidRPr="00A466B4" w:rsidRDefault="00724028" w:rsidP="001679AB">
            <w:pPr>
              <w:widowControl w:val="0"/>
              <w:autoSpaceDE w:val="0"/>
              <w:autoSpaceDN w:val="0"/>
              <w:spacing w:before="109" w:line="240" w:lineRule="auto"/>
              <w:ind w:left="5"/>
              <w:rPr>
                <w:rFonts w:eastAsia="Georgia" w:cs="Arial"/>
                <w:sz w:val="18"/>
                <w:szCs w:val="18"/>
                <w:lang w:val="it-IT"/>
              </w:rPr>
            </w:pPr>
            <w:proofErr w:type="spellStart"/>
            <w:r w:rsidRPr="00A466B4">
              <w:rPr>
                <w:rFonts w:eastAsia="Georgia" w:cs="Arial"/>
                <w:sz w:val="18"/>
                <w:szCs w:val="18"/>
                <w:lang w:val="it-IT"/>
              </w:rPr>
              <w:t>Čista</w:t>
            </w:r>
            <w:proofErr w:type="spellEnd"/>
            <w:r w:rsidRPr="00A466B4">
              <w:rPr>
                <w:rFonts w:eastAsia="Georgia" w:cs="Arial"/>
                <w:sz w:val="18"/>
                <w:szCs w:val="18"/>
                <w:lang w:val="it-IT"/>
              </w:rPr>
              <w:t xml:space="preserve"> </w:t>
            </w:r>
            <w:proofErr w:type="spellStart"/>
            <w:r w:rsidRPr="00A466B4">
              <w:rPr>
                <w:rFonts w:eastAsia="Georgia" w:cs="Arial"/>
                <w:sz w:val="18"/>
                <w:szCs w:val="18"/>
                <w:lang w:val="it-IT"/>
              </w:rPr>
              <w:t>težka</w:t>
            </w:r>
            <w:proofErr w:type="spellEnd"/>
            <w:r w:rsidRPr="00A466B4">
              <w:rPr>
                <w:rFonts w:eastAsia="Georgia" w:cs="Arial"/>
                <w:sz w:val="18"/>
                <w:szCs w:val="18"/>
                <w:lang w:val="it-IT"/>
              </w:rPr>
              <w:t xml:space="preserve"> </w:t>
            </w:r>
            <w:proofErr w:type="spellStart"/>
            <w:r w:rsidRPr="00A466B4">
              <w:rPr>
                <w:rFonts w:eastAsia="Georgia" w:cs="Arial"/>
                <w:sz w:val="18"/>
                <w:szCs w:val="18"/>
                <w:lang w:val="it-IT"/>
              </w:rPr>
              <w:t>vozila</w:t>
            </w:r>
            <w:proofErr w:type="spellEnd"/>
            <w:r w:rsidRPr="00A466B4">
              <w:rPr>
                <w:rFonts w:eastAsia="Georgia" w:cs="Arial"/>
                <w:sz w:val="18"/>
                <w:szCs w:val="18"/>
                <w:lang w:val="it-IT"/>
              </w:rPr>
              <w:t xml:space="preserve"> (N2, N3)</w:t>
            </w:r>
          </w:p>
        </w:tc>
        <w:tc>
          <w:tcPr>
            <w:tcW w:w="3497" w:type="dxa"/>
            <w:shd w:val="clear" w:color="auto" w:fill="auto"/>
          </w:tcPr>
          <w:p w14:paraId="4EF9892D" w14:textId="77777777" w:rsidR="00724028" w:rsidRPr="00A466B4" w:rsidRDefault="00724028" w:rsidP="001679AB">
            <w:pPr>
              <w:widowControl w:val="0"/>
              <w:autoSpaceDE w:val="0"/>
              <w:autoSpaceDN w:val="0"/>
              <w:spacing w:before="109" w:line="240" w:lineRule="auto"/>
              <w:ind w:left="209" w:right="199"/>
              <w:jc w:val="center"/>
              <w:rPr>
                <w:rFonts w:eastAsia="Georgia" w:cs="Arial"/>
                <w:sz w:val="18"/>
                <w:szCs w:val="18"/>
              </w:rPr>
            </w:pPr>
            <w:r w:rsidRPr="00A466B4">
              <w:rPr>
                <w:rFonts w:eastAsia="Georgia" w:cs="Arial"/>
                <w:sz w:val="18"/>
                <w:szCs w:val="18"/>
              </w:rPr>
              <w:t>7 %</w:t>
            </w:r>
          </w:p>
        </w:tc>
        <w:tc>
          <w:tcPr>
            <w:tcW w:w="3501" w:type="dxa"/>
            <w:tcBorders>
              <w:right w:val="nil"/>
            </w:tcBorders>
            <w:shd w:val="clear" w:color="auto" w:fill="auto"/>
          </w:tcPr>
          <w:p w14:paraId="56105FCF" w14:textId="77777777" w:rsidR="00724028" w:rsidRPr="00A466B4" w:rsidRDefault="00724028" w:rsidP="001679AB">
            <w:pPr>
              <w:widowControl w:val="0"/>
              <w:autoSpaceDE w:val="0"/>
              <w:autoSpaceDN w:val="0"/>
              <w:spacing w:before="109" w:line="240" w:lineRule="auto"/>
              <w:ind w:left="181" w:right="175"/>
              <w:jc w:val="center"/>
              <w:rPr>
                <w:rFonts w:eastAsia="Georgia" w:cs="Arial"/>
                <w:sz w:val="18"/>
                <w:szCs w:val="18"/>
              </w:rPr>
            </w:pPr>
            <w:r w:rsidRPr="00A466B4">
              <w:rPr>
                <w:rFonts w:eastAsia="Georgia" w:cs="Arial"/>
                <w:sz w:val="18"/>
                <w:szCs w:val="18"/>
              </w:rPr>
              <w:t>9 %</w:t>
            </w:r>
          </w:p>
        </w:tc>
      </w:tr>
      <w:tr w:rsidR="00724028" w:rsidRPr="00A466B4" w14:paraId="7B8CA02A" w14:textId="77777777" w:rsidTr="001679AB">
        <w:trPr>
          <w:trHeight w:val="413"/>
        </w:trPr>
        <w:tc>
          <w:tcPr>
            <w:tcW w:w="1992" w:type="dxa"/>
            <w:tcBorders>
              <w:left w:val="nil"/>
            </w:tcBorders>
            <w:shd w:val="clear" w:color="auto" w:fill="FFFFFF"/>
          </w:tcPr>
          <w:p w14:paraId="07EAA1BD" w14:textId="77777777" w:rsidR="00724028" w:rsidRPr="00A466B4" w:rsidRDefault="00724028" w:rsidP="001679AB">
            <w:pPr>
              <w:widowControl w:val="0"/>
              <w:autoSpaceDE w:val="0"/>
              <w:autoSpaceDN w:val="0"/>
              <w:spacing w:before="110" w:line="240" w:lineRule="auto"/>
              <w:ind w:left="5"/>
              <w:rPr>
                <w:rFonts w:eastAsia="Georgia" w:cs="Arial"/>
                <w:sz w:val="18"/>
                <w:szCs w:val="18"/>
                <w:lang w:val="it-IT"/>
              </w:rPr>
            </w:pPr>
            <w:proofErr w:type="spellStart"/>
            <w:r w:rsidRPr="00A466B4">
              <w:rPr>
                <w:rFonts w:eastAsia="Georgia" w:cs="Arial"/>
                <w:sz w:val="18"/>
                <w:szCs w:val="18"/>
                <w:lang w:val="it-IT"/>
              </w:rPr>
              <w:t>Čisti</w:t>
            </w:r>
            <w:proofErr w:type="spellEnd"/>
            <w:r w:rsidRPr="00A466B4">
              <w:rPr>
                <w:rFonts w:eastAsia="Georgia" w:cs="Arial"/>
                <w:sz w:val="18"/>
                <w:szCs w:val="18"/>
                <w:lang w:val="it-IT"/>
              </w:rPr>
              <w:t xml:space="preserve"> </w:t>
            </w:r>
            <w:proofErr w:type="spellStart"/>
            <w:r w:rsidRPr="00A466B4">
              <w:rPr>
                <w:rFonts w:eastAsia="Georgia" w:cs="Arial"/>
                <w:sz w:val="18"/>
                <w:szCs w:val="18"/>
                <w:lang w:val="it-IT"/>
              </w:rPr>
              <w:t>avtobusi</w:t>
            </w:r>
            <w:proofErr w:type="spellEnd"/>
            <w:r w:rsidRPr="00A466B4">
              <w:rPr>
                <w:rFonts w:eastAsia="Georgia" w:cs="Arial"/>
                <w:sz w:val="18"/>
                <w:szCs w:val="18"/>
                <w:lang w:val="it-IT"/>
              </w:rPr>
              <w:t xml:space="preserve"> (M3, ‘</w:t>
            </w:r>
            <w:proofErr w:type="spellStart"/>
            <w:r w:rsidRPr="00A466B4">
              <w:rPr>
                <w:rFonts w:eastAsia="Georgia" w:cs="Arial"/>
                <w:sz w:val="18"/>
                <w:szCs w:val="18"/>
                <w:lang w:val="it-IT"/>
              </w:rPr>
              <w:t>mestni</w:t>
            </w:r>
            <w:proofErr w:type="spellEnd"/>
            <w:r w:rsidRPr="00A466B4">
              <w:rPr>
                <w:rFonts w:eastAsia="Georgia" w:cs="Arial"/>
                <w:sz w:val="18"/>
                <w:szCs w:val="18"/>
                <w:lang w:val="it-IT"/>
              </w:rPr>
              <w:t xml:space="preserve"> </w:t>
            </w:r>
            <w:proofErr w:type="spellStart"/>
            <w:r w:rsidRPr="00A466B4">
              <w:rPr>
                <w:rFonts w:eastAsia="Georgia" w:cs="Arial"/>
                <w:sz w:val="18"/>
                <w:szCs w:val="18"/>
                <w:lang w:val="it-IT"/>
              </w:rPr>
              <w:t>avtobusi</w:t>
            </w:r>
            <w:proofErr w:type="spellEnd"/>
            <w:r w:rsidRPr="00A466B4">
              <w:rPr>
                <w:rFonts w:eastAsia="Georgia" w:cs="Arial"/>
                <w:sz w:val="18"/>
                <w:szCs w:val="18"/>
                <w:lang w:val="it-IT"/>
              </w:rPr>
              <w:t>’)</w:t>
            </w:r>
          </w:p>
        </w:tc>
        <w:tc>
          <w:tcPr>
            <w:tcW w:w="3497" w:type="dxa"/>
            <w:shd w:val="clear" w:color="auto" w:fill="FFFFFF"/>
          </w:tcPr>
          <w:p w14:paraId="4F4B84A2" w14:textId="77777777" w:rsidR="00724028" w:rsidRPr="00A466B4" w:rsidRDefault="00724028" w:rsidP="001679AB">
            <w:pPr>
              <w:widowControl w:val="0"/>
              <w:autoSpaceDE w:val="0"/>
              <w:autoSpaceDN w:val="0"/>
              <w:spacing w:before="110" w:line="240" w:lineRule="auto"/>
              <w:ind w:left="209" w:right="199"/>
              <w:jc w:val="center"/>
              <w:rPr>
                <w:rFonts w:eastAsia="Georgia" w:cs="Arial"/>
                <w:sz w:val="18"/>
                <w:szCs w:val="18"/>
              </w:rPr>
            </w:pPr>
            <w:r w:rsidRPr="00A466B4">
              <w:rPr>
                <w:rFonts w:eastAsia="Georgia" w:cs="Arial"/>
                <w:sz w:val="18"/>
                <w:szCs w:val="18"/>
              </w:rPr>
              <w:t>28 %</w:t>
            </w:r>
          </w:p>
        </w:tc>
        <w:tc>
          <w:tcPr>
            <w:tcW w:w="3501" w:type="dxa"/>
            <w:tcBorders>
              <w:right w:val="nil"/>
            </w:tcBorders>
            <w:shd w:val="clear" w:color="auto" w:fill="FFFFFF"/>
          </w:tcPr>
          <w:p w14:paraId="1F2C24CD" w14:textId="77777777" w:rsidR="00724028" w:rsidRPr="00A466B4" w:rsidRDefault="00724028" w:rsidP="001679AB">
            <w:pPr>
              <w:widowControl w:val="0"/>
              <w:autoSpaceDE w:val="0"/>
              <w:autoSpaceDN w:val="0"/>
              <w:spacing w:before="110" w:line="240" w:lineRule="auto"/>
              <w:ind w:left="181" w:right="175"/>
              <w:jc w:val="center"/>
              <w:rPr>
                <w:rFonts w:eastAsia="Georgia" w:cs="Arial"/>
                <w:sz w:val="18"/>
                <w:szCs w:val="18"/>
              </w:rPr>
            </w:pPr>
            <w:r w:rsidRPr="00A466B4">
              <w:rPr>
                <w:rFonts w:eastAsia="Georgia" w:cs="Arial"/>
                <w:sz w:val="18"/>
                <w:szCs w:val="18"/>
              </w:rPr>
              <w:t>40 %</w:t>
            </w:r>
          </w:p>
        </w:tc>
      </w:tr>
      <w:tr w:rsidR="00724028" w:rsidRPr="004B7319" w14:paraId="4052859B" w14:textId="77777777" w:rsidTr="001679AB">
        <w:trPr>
          <w:trHeight w:val="413"/>
        </w:trPr>
        <w:tc>
          <w:tcPr>
            <w:tcW w:w="1992" w:type="dxa"/>
            <w:tcBorders>
              <w:left w:val="nil"/>
            </w:tcBorders>
            <w:shd w:val="clear" w:color="auto" w:fill="auto"/>
          </w:tcPr>
          <w:p w14:paraId="5CE96756" w14:textId="77777777" w:rsidR="00724028" w:rsidRPr="00A466B4" w:rsidRDefault="00724028" w:rsidP="001679AB">
            <w:pPr>
              <w:widowControl w:val="0"/>
              <w:autoSpaceDE w:val="0"/>
              <w:autoSpaceDN w:val="0"/>
              <w:spacing w:before="110" w:line="240" w:lineRule="auto"/>
              <w:ind w:left="5"/>
              <w:rPr>
                <w:rFonts w:eastAsia="Georgia" w:cs="Arial"/>
                <w:sz w:val="18"/>
                <w:szCs w:val="18"/>
                <w:lang w:val="sl-SI"/>
              </w:rPr>
            </w:pPr>
            <w:proofErr w:type="spellStart"/>
            <w:r w:rsidRPr="00A466B4">
              <w:rPr>
                <w:rFonts w:eastAsia="Georgia" w:cs="Arial"/>
                <w:sz w:val="18"/>
                <w:szCs w:val="18"/>
                <w:lang w:val="sl-SI"/>
              </w:rPr>
              <w:t>Brezemisijski</w:t>
            </w:r>
            <w:proofErr w:type="spellEnd"/>
            <w:r w:rsidRPr="00A466B4">
              <w:rPr>
                <w:rFonts w:eastAsia="Georgia" w:cs="Arial"/>
                <w:sz w:val="18"/>
                <w:szCs w:val="18"/>
                <w:lang w:val="sl-SI"/>
              </w:rPr>
              <w:t xml:space="preserve"> avtobusi (M3, ‘mestni avtobusi’) </w:t>
            </w:r>
          </w:p>
        </w:tc>
        <w:tc>
          <w:tcPr>
            <w:tcW w:w="3497" w:type="dxa"/>
            <w:shd w:val="clear" w:color="auto" w:fill="auto"/>
          </w:tcPr>
          <w:p w14:paraId="012E46A8" w14:textId="77777777" w:rsidR="00724028" w:rsidRPr="00A466B4" w:rsidRDefault="00724028" w:rsidP="001679AB">
            <w:pPr>
              <w:widowControl w:val="0"/>
              <w:autoSpaceDE w:val="0"/>
              <w:autoSpaceDN w:val="0"/>
              <w:spacing w:before="110" w:line="240" w:lineRule="auto"/>
              <w:ind w:left="209" w:right="199"/>
              <w:jc w:val="center"/>
              <w:rPr>
                <w:rFonts w:eastAsia="Georgia" w:cs="Arial"/>
                <w:sz w:val="18"/>
                <w:szCs w:val="18"/>
                <w:lang w:val="sl-SI"/>
              </w:rPr>
            </w:pPr>
            <w:r w:rsidRPr="00A466B4">
              <w:rPr>
                <w:rFonts w:eastAsia="Georgia" w:cs="Arial"/>
                <w:sz w:val="18"/>
                <w:szCs w:val="18"/>
                <w:lang w:val="sl-SI"/>
              </w:rPr>
              <w:t xml:space="preserve">14 % </w:t>
            </w:r>
          </w:p>
          <w:p w14:paraId="67594A89" w14:textId="77777777" w:rsidR="00724028" w:rsidRPr="00A466B4" w:rsidRDefault="00724028" w:rsidP="001679AB">
            <w:pPr>
              <w:widowControl w:val="0"/>
              <w:autoSpaceDE w:val="0"/>
              <w:autoSpaceDN w:val="0"/>
              <w:spacing w:before="110" w:line="240" w:lineRule="auto"/>
              <w:ind w:left="209" w:right="199"/>
              <w:jc w:val="center"/>
              <w:rPr>
                <w:rFonts w:eastAsia="Georgia" w:cs="Arial"/>
                <w:sz w:val="18"/>
                <w:szCs w:val="18"/>
                <w:lang w:val="sl-SI"/>
              </w:rPr>
            </w:pPr>
            <w:r w:rsidRPr="00A466B4">
              <w:rPr>
                <w:rFonts w:eastAsia="Georgia" w:cs="Arial"/>
                <w:sz w:val="18"/>
                <w:szCs w:val="18"/>
                <w:lang w:val="sl-SI"/>
              </w:rPr>
              <w:t>oz. polovica cilja čistih avtobusov</w:t>
            </w:r>
          </w:p>
        </w:tc>
        <w:tc>
          <w:tcPr>
            <w:tcW w:w="3501" w:type="dxa"/>
            <w:tcBorders>
              <w:right w:val="nil"/>
            </w:tcBorders>
            <w:shd w:val="clear" w:color="auto" w:fill="auto"/>
          </w:tcPr>
          <w:p w14:paraId="678D49C0" w14:textId="77777777" w:rsidR="00724028" w:rsidRPr="00A466B4" w:rsidRDefault="00724028" w:rsidP="001679AB">
            <w:pPr>
              <w:widowControl w:val="0"/>
              <w:autoSpaceDE w:val="0"/>
              <w:autoSpaceDN w:val="0"/>
              <w:spacing w:before="110" w:line="240" w:lineRule="auto"/>
              <w:ind w:left="181" w:right="175"/>
              <w:jc w:val="center"/>
              <w:rPr>
                <w:rFonts w:eastAsia="Georgia" w:cs="Arial"/>
                <w:sz w:val="18"/>
                <w:szCs w:val="18"/>
                <w:lang w:val="sl-SI"/>
              </w:rPr>
            </w:pPr>
            <w:r w:rsidRPr="00A466B4">
              <w:rPr>
                <w:rFonts w:eastAsia="Georgia" w:cs="Arial"/>
                <w:sz w:val="18"/>
                <w:szCs w:val="18"/>
                <w:lang w:val="sl-SI"/>
              </w:rPr>
              <w:t>20 %</w:t>
            </w:r>
          </w:p>
          <w:p w14:paraId="32534A34" w14:textId="77777777" w:rsidR="00724028" w:rsidRPr="00A466B4" w:rsidRDefault="00724028" w:rsidP="001679AB">
            <w:pPr>
              <w:widowControl w:val="0"/>
              <w:autoSpaceDE w:val="0"/>
              <w:autoSpaceDN w:val="0"/>
              <w:spacing w:before="110" w:line="240" w:lineRule="auto"/>
              <w:ind w:left="181" w:right="175"/>
              <w:jc w:val="center"/>
              <w:rPr>
                <w:rFonts w:eastAsia="Georgia" w:cs="Arial"/>
                <w:sz w:val="18"/>
                <w:szCs w:val="18"/>
                <w:lang w:val="sl-SI"/>
              </w:rPr>
            </w:pPr>
            <w:r w:rsidRPr="00A466B4">
              <w:rPr>
                <w:rFonts w:eastAsia="Georgia" w:cs="Arial"/>
                <w:sz w:val="18"/>
                <w:szCs w:val="18"/>
                <w:lang w:val="sl-SI"/>
              </w:rPr>
              <w:t>oz. polovica cilja čistih avtobusov</w:t>
            </w:r>
          </w:p>
        </w:tc>
      </w:tr>
    </w:tbl>
    <w:p w14:paraId="38DC678C" w14:textId="77777777" w:rsidR="00724028" w:rsidRPr="00A466B4" w:rsidRDefault="00724028" w:rsidP="00724028">
      <w:pPr>
        <w:pStyle w:val="ZADEVA"/>
        <w:spacing w:line="276" w:lineRule="auto"/>
        <w:ind w:left="0" w:firstLine="0"/>
        <w:jc w:val="both"/>
        <w:rPr>
          <w:b w:val="0"/>
          <w:bCs/>
          <w:szCs w:val="20"/>
          <w:lang w:val="sl-SI"/>
        </w:rPr>
      </w:pPr>
    </w:p>
    <w:p w14:paraId="7A7D3056" w14:textId="77777777" w:rsidR="00724028" w:rsidRPr="001F09FD" w:rsidRDefault="00724028" w:rsidP="00724028">
      <w:pPr>
        <w:pStyle w:val="ZADEVA"/>
        <w:spacing w:line="276" w:lineRule="auto"/>
        <w:ind w:left="0" w:firstLine="0"/>
        <w:jc w:val="both"/>
        <w:rPr>
          <w:b w:val="0"/>
          <w:bCs/>
          <w:szCs w:val="20"/>
          <w:lang w:val="sl-SI"/>
        </w:rPr>
      </w:pPr>
      <w:bookmarkStart w:id="2" w:name="_Hlk68003221"/>
      <w:r w:rsidRPr="001F09FD">
        <w:rPr>
          <w:b w:val="0"/>
          <w:bCs/>
          <w:szCs w:val="20"/>
          <w:lang w:val="sl-SI"/>
        </w:rPr>
        <w:t xml:space="preserve">Države članice </w:t>
      </w:r>
      <w:r>
        <w:rPr>
          <w:b w:val="0"/>
          <w:bCs/>
          <w:szCs w:val="20"/>
          <w:lang w:val="sl-SI"/>
        </w:rPr>
        <w:t xml:space="preserve">morajo </w:t>
      </w:r>
      <w:r w:rsidRPr="001F09FD">
        <w:rPr>
          <w:b w:val="0"/>
          <w:bCs/>
          <w:szCs w:val="20"/>
          <w:lang w:val="sl-SI"/>
        </w:rPr>
        <w:t>zakone in druge predpise, potrebne za uskladitev s to direktivo</w:t>
      </w:r>
      <w:r>
        <w:rPr>
          <w:b w:val="0"/>
          <w:bCs/>
          <w:szCs w:val="20"/>
          <w:lang w:val="sl-SI"/>
        </w:rPr>
        <w:t>, uveljaviti</w:t>
      </w:r>
      <w:r w:rsidRPr="001F09FD">
        <w:rPr>
          <w:b w:val="0"/>
          <w:bCs/>
          <w:szCs w:val="20"/>
          <w:lang w:val="sl-SI"/>
        </w:rPr>
        <w:t xml:space="preserve"> do 2. avgusta 2021. V </w:t>
      </w:r>
      <w:r>
        <w:rPr>
          <w:b w:val="0"/>
          <w:bCs/>
          <w:szCs w:val="20"/>
          <w:lang w:val="sl-SI"/>
        </w:rPr>
        <w:t>uredbo</w:t>
      </w:r>
      <w:r w:rsidRPr="001F09FD">
        <w:rPr>
          <w:b w:val="0"/>
          <w:bCs/>
          <w:szCs w:val="20"/>
          <w:lang w:val="sl-SI"/>
        </w:rPr>
        <w:t xml:space="preserve"> se tako prenašata točki a in c. </w:t>
      </w:r>
    </w:p>
    <w:p w14:paraId="2FB44236" w14:textId="77777777" w:rsidR="00724028" w:rsidRPr="001F09FD" w:rsidRDefault="00724028" w:rsidP="00724028">
      <w:pPr>
        <w:pStyle w:val="ZADEVA"/>
        <w:spacing w:line="276" w:lineRule="auto"/>
        <w:ind w:left="0" w:firstLine="0"/>
        <w:jc w:val="both"/>
        <w:rPr>
          <w:b w:val="0"/>
          <w:bCs/>
          <w:szCs w:val="20"/>
          <w:lang w:val="sl-SI"/>
        </w:rPr>
      </w:pPr>
    </w:p>
    <w:p w14:paraId="315CEBE8" w14:textId="77777777" w:rsidR="00724028" w:rsidRPr="001F09FD" w:rsidRDefault="00724028" w:rsidP="00724028">
      <w:pPr>
        <w:pStyle w:val="ZADEVA"/>
        <w:spacing w:line="276" w:lineRule="auto"/>
        <w:ind w:left="0" w:firstLine="0"/>
        <w:jc w:val="both"/>
        <w:rPr>
          <w:b w:val="0"/>
          <w:bCs/>
          <w:szCs w:val="20"/>
          <w:lang w:val="sl-SI"/>
        </w:rPr>
      </w:pPr>
      <w:r w:rsidRPr="001F09FD">
        <w:rPr>
          <w:b w:val="0"/>
          <w:bCs/>
          <w:szCs w:val="20"/>
          <w:lang w:val="sl-SI"/>
        </w:rPr>
        <w:t xml:space="preserve">Ministrstvo za javno upravo je v sodelovanju z Ministrstvom za infrastrukturo pripravilo predlog spremembe </w:t>
      </w:r>
      <w:r>
        <w:rPr>
          <w:b w:val="0"/>
          <w:bCs/>
          <w:szCs w:val="20"/>
          <w:lang w:val="sl-SI"/>
        </w:rPr>
        <w:t>uredbe</w:t>
      </w:r>
      <w:r w:rsidRPr="001F09FD">
        <w:rPr>
          <w:b w:val="0"/>
          <w:bCs/>
          <w:szCs w:val="20"/>
          <w:lang w:val="sl-SI"/>
        </w:rPr>
        <w:t xml:space="preserve">, ki bo zavezala javne naročnike k doseganju ciljev pri javnem naročanju vozil za cestni prevoz, ki bodo kupljena, zakupljena, najeta ali kupljena s pridržanim lastništvom ter </w:t>
      </w:r>
      <w:r>
        <w:rPr>
          <w:b w:val="0"/>
          <w:bCs/>
          <w:szCs w:val="20"/>
          <w:lang w:val="sl-SI"/>
        </w:rPr>
        <w:t>pri</w:t>
      </w:r>
      <w:r w:rsidRPr="001F09FD">
        <w:rPr>
          <w:b w:val="0"/>
          <w:bCs/>
          <w:szCs w:val="20"/>
          <w:lang w:val="sl-SI"/>
        </w:rPr>
        <w:t xml:space="preserve"> naročanj</w:t>
      </w:r>
      <w:r>
        <w:rPr>
          <w:b w:val="0"/>
          <w:bCs/>
          <w:szCs w:val="20"/>
          <w:lang w:val="sl-SI"/>
        </w:rPr>
        <w:t>u</w:t>
      </w:r>
      <w:r w:rsidRPr="001F09FD">
        <w:rPr>
          <w:b w:val="0"/>
          <w:bCs/>
          <w:szCs w:val="20"/>
          <w:lang w:val="sl-SI"/>
        </w:rPr>
        <w:t xml:space="preserve"> storitev kot so navedene v 6</w:t>
      </w:r>
      <w:r>
        <w:rPr>
          <w:b w:val="0"/>
          <w:bCs/>
          <w:szCs w:val="20"/>
          <w:lang w:val="sl-SI"/>
        </w:rPr>
        <w:t>0a</w:t>
      </w:r>
      <w:r w:rsidRPr="001F09FD">
        <w:rPr>
          <w:b w:val="0"/>
          <w:bCs/>
          <w:szCs w:val="20"/>
          <w:lang w:val="sl-SI"/>
        </w:rPr>
        <w:t xml:space="preserve">. točki Priloge 1 </w:t>
      </w:r>
      <w:r>
        <w:rPr>
          <w:b w:val="0"/>
          <w:bCs/>
          <w:szCs w:val="20"/>
          <w:lang w:val="sl-SI"/>
        </w:rPr>
        <w:t>uredbe</w:t>
      </w:r>
      <w:r w:rsidRPr="001F09FD">
        <w:rPr>
          <w:b w:val="0"/>
          <w:bCs/>
          <w:szCs w:val="20"/>
          <w:lang w:val="sl-SI"/>
        </w:rPr>
        <w:t xml:space="preserve">, katerih postopek javnega naročila se bo začel po 2. avgustu 2021. Pri naročilu storitev cilji veljajo za vozila, ki se bodo uporabljala za zagotavljanje storitev, zajetih v posameznih pogodbah. Podrobno so cilji za posamezne kategorije vozil opredeljeni v Prilogi 2 </w:t>
      </w:r>
      <w:r w:rsidRPr="00EC6D60">
        <w:rPr>
          <w:b w:val="0"/>
          <w:bCs/>
          <w:szCs w:val="20"/>
          <w:lang w:val="sl-SI"/>
        </w:rPr>
        <w:t xml:space="preserve">te </w:t>
      </w:r>
      <w:r w:rsidRPr="00C330AB">
        <w:rPr>
          <w:b w:val="0"/>
          <w:bCs/>
          <w:szCs w:val="20"/>
          <w:lang w:val="sl-SI"/>
        </w:rPr>
        <w:t>spremembe uredbe</w:t>
      </w:r>
      <w:r w:rsidRPr="001F09FD">
        <w:rPr>
          <w:b w:val="0"/>
          <w:bCs/>
          <w:szCs w:val="20"/>
          <w:lang w:val="sl-SI"/>
        </w:rPr>
        <w:t>.</w:t>
      </w:r>
    </w:p>
    <w:bookmarkEnd w:id="2"/>
    <w:p w14:paraId="54D2F866" w14:textId="77777777" w:rsidR="00724028" w:rsidRDefault="00724028" w:rsidP="00724028">
      <w:pPr>
        <w:pStyle w:val="ZADEVA"/>
        <w:spacing w:line="276" w:lineRule="auto"/>
        <w:ind w:left="0" w:firstLine="0"/>
        <w:jc w:val="both"/>
        <w:rPr>
          <w:b w:val="0"/>
          <w:bCs/>
          <w:szCs w:val="20"/>
          <w:lang w:val="sl-SI"/>
        </w:rPr>
      </w:pPr>
    </w:p>
    <w:p w14:paraId="3C904815" w14:textId="77777777" w:rsidR="00724028" w:rsidRPr="001F09FD" w:rsidRDefault="00724028" w:rsidP="00724028">
      <w:pPr>
        <w:pStyle w:val="ZADEVA"/>
        <w:spacing w:line="276" w:lineRule="auto"/>
        <w:ind w:left="0" w:firstLine="0"/>
        <w:jc w:val="both"/>
        <w:rPr>
          <w:b w:val="0"/>
          <w:bCs/>
          <w:szCs w:val="20"/>
          <w:lang w:val="sl-SI"/>
        </w:rPr>
      </w:pPr>
      <w:r w:rsidRPr="001F09FD">
        <w:rPr>
          <w:b w:val="0"/>
          <w:bCs/>
          <w:szCs w:val="20"/>
          <w:lang w:val="sl-SI"/>
        </w:rPr>
        <w:t xml:space="preserve">Bistvene spremembe </w:t>
      </w:r>
      <w:r>
        <w:rPr>
          <w:b w:val="0"/>
          <w:bCs/>
          <w:szCs w:val="20"/>
          <w:lang w:val="sl-SI"/>
        </w:rPr>
        <w:t>uredbe,</w:t>
      </w:r>
      <w:r w:rsidRPr="001F09FD">
        <w:rPr>
          <w:b w:val="0"/>
          <w:bCs/>
          <w:szCs w:val="20"/>
          <w:lang w:val="sl-SI"/>
        </w:rPr>
        <w:t xml:space="preserve"> vezane na vozila</w:t>
      </w:r>
      <w:r>
        <w:rPr>
          <w:b w:val="0"/>
          <w:bCs/>
          <w:szCs w:val="20"/>
          <w:lang w:val="sl-SI"/>
        </w:rPr>
        <w:t>,</w:t>
      </w:r>
      <w:r w:rsidRPr="001F09FD">
        <w:rPr>
          <w:b w:val="0"/>
          <w:bCs/>
          <w:szCs w:val="20"/>
          <w:lang w:val="sl-SI"/>
        </w:rPr>
        <w:t xml:space="preserve"> se nanašajo na spremenjene tehnične pogoje pri naročanju vozil, ki se skladno z direktivo imenujejo »čista vozila« ter »</w:t>
      </w:r>
      <w:proofErr w:type="spellStart"/>
      <w:r w:rsidRPr="001F09FD">
        <w:rPr>
          <w:b w:val="0"/>
          <w:bCs/>
          <w:szCs w:val="20"/>
          <w:lang w:val="sl-SI"/>
        </w:rPr>
        <w:t>brezemisijska</w:t>
      </w:r>
      <w:proofErr w:type="spellEnd"/>
      <w:r w:rsidRPr="001F09FD">
        <w:rPr>
          <w:b w:val="0"/>
          <w:bCs/>
          <w:szCs w:val="20"/>
          <w:lang w:val="sl-SI"/>
        </w:rPr>
        <w:t xml:space="preserve"> vozila«</w:t>
      </w:r>
      <w:r>
        <w:rPr>
          <w:b w:val="0"/>
          <w:bCs/>
          <w:szCs w:val="20"/>
          <w:lang w:val="sl-SI"/>
        </w:rPr>
        <w:t>.</w:t>
      </w:r>
    </w:p>
    <w:p w14:paraId="062A1E1B" w14:textId="77777777" w:rsidR="00724028" w:rsidRPr="001F09FD" w:rsidRDefault="00724028" w:rsidP="00724028">
      <w:pPr>
        <w:pStyle w:val="ZADEVA"/>
        <w:spacing w:line="276" w:lineRule="auto"/>
        <w:ind w:left="0" w:firstLine="0"/>
        <w:jc w:val="both"/>
        <w:rPr>
          <w:b w:val="0"/>
          <w:bCs/>
          <w:szCs w:val="20"/>
          <w:lang w:val="sl-SI"/>
        </w:rPr>
      </w:pPr>
    </w:p>
    <w:p w14:paraId="18D1A86F" w14:textId="77777777" w:rsidR="00724028" w:rsidRPr="001F09FD" w:rsidRDefault="00724028" w:rsidP="00724028">
      <w:pPr>
        <w:pStyle w:val="ZADEVA"/>
        <w:spacing w:line="276" w:lineRule="auto"/>
        <w:ind w:left="0" w:firstLine="0"/>
        <w:jc w:val="both"/>
        <w:rPr>
          <w:b w:val="0"/>
          <w:bCs/>
          <w:szCs w:val="20"/>
          <w:lang w:val="sl-SI"/>
        </w:rPr>
      </w:pPr>
      <w:r w:rsidRPr="001F09FD">
        <w:rPr>
          <w:b w:val="0"/>
          <w:bCs/>
          <w:szCs w:val="20"/>
          <w:lang w:val="sl-SI"/>
        </w:rPr>
        <w:t>Kot čista vozila se bodo tako štela vozila, ki bodo v kategoriji lahkih vozil (M1, M2, N1) dosegla izpuste CO</w:t>
      </w:r>
      <w:r w:rsidRPr="003F1C74">
        <w:rPr>
          <w:b w:val="0"/>
          <w:bCs/>
          <w:szCs w:val="20"/>
          <w:vertAlign w:val="subscript"/>
          <w:lang w:val="sl-SI"/>
        </w:rPr>
        <w:t>2</w:t>
      </w:r>
      <w:r w:rsidRPr="001F09FD">
        <w:rPr>
          <w:b w:val="0"/>
          <w:bCs/>
          <w:szCs w:val="20"/>
          <w:lang w:val="sl-SI"/>
        </w:rPr>
        <w:t xml:space="preserve"> do maksimalno 50 g na prevoženi kilometer. Za čista težka tovorna vozila pa vozila na stisnjen ali utekočinjen zemeljski plin, utekočinjen naftni plin ali vodik. Direktiva zajema tudi mestne avtobuse</w:t>
      </w:r>
      <w:r>
        <w:rPr>
          <w:b w:val="0"/>
          <w:bCs/>
          <w:szCs w:val="20"/>
          <w:lang w:val="sl-SI"/>
        </w:rPr>
        <w:t>,</w:t>
      </w:r>
      <w:r w:rsidRPr="001F09FD">
        <w:rPr>
          <w:b w:val="0"/>
          <w:bCs/>
          <w:szCs w:val="20"/>
          <w:lang w:val="sl-SI"/>
        </w:rPr>
        <w:t xml:space="preserve"> ti bodo veljali za čiste, če bodo na električni pogon, stisnjen ali utekočinjen zemeljski plin ali vodik. Definicijo čistih vozil za težka tovorna vozila in mestne avtobuse določa D</w:t>
      </w:r>
      <w:r>
        <w:rPr>
          <w:b w:val="0"/>
          <w:bCs/>
          <w:szCs w:val="20"/>
          <w:lang w:val="sl-SI"/>
        </w:rPr>
        <w:t>irektiva</w:t>
      </w:r>
      <w:r w:rsidRPr="001F09FD">
        <w:rPr>
          <w:b w:val="0"/>
          <w:bCs/>
          <w:szCs w:val="20"/>
          <w:lang w:val="sl-SI"/>
        </w:rPr>
        <w:t xml:space="preserve"> 2014/94/EU o vzpostavitvi infrastrukture za alternativna goriva. </w:t>
      </w:r>
    </w:p>
    <w:p w14:paraId="3E376DC3" w14:textId="77777777" w:rsidR="00724028" w:rsidRPr="001F09FD" w:rsidRDefault="00724028" w:rsidP="00724028">
      <w:pPr>
        <w:pStyle w:val="ZADEVA"/>
        <w:spacing w:line="276" w:lineRule="auto"/>
        <w:ind w:left="0" w:firstLine="0"/>
        <w:jc w:val="both"/>
        <w:rPr>
          <w:b w:val="0"/>
          <w:bCs/>
          <w:szCs w:val="20"/>
          <w:lang w:val="sl-SI"/>
        </w:rPr>
      </w:pPr>
    </w:p>
    <w:p w14:paraId="6F7A9798" w14:textId="77777777" w:rsidR="00724028" w:rsidRPr="001F09FD" w:rsidRDefault="00724028" w:rsidP="00724028">
      <w:pPr>
        <w:pStyle w:val="ZADEVA"/>
        <w:spacing w:line="276" w:lineRule="auto"/>
        <w:ind w:left="0" w:firstLine="0"/>
        <w:jc w:val="both"/>
        <w:rPr>
          <w:b w:val="0"/>
          <w:bCs/>
          <w:szCs w:val="20"/>
          <w:lang w:val="sl-SI"/>
        </w:rPr>
      </w:pPr>
      <w:r w:rsidRPr="001F09FD">
        <w:rPr>
          <w:b w:val="0"/>
          <w:bCs/>
          <w:szCs w:val="20"/>
          <w:lang w:val="sl-SI"/>
        </w:rPr>
        <w:t>Kot »</w:t>
      </w:r>
      <w:proofErr w:type="spellStart"/>
      <w:r w:rsidRPr="001F09FD">
        <w:rPr>
          <w:b w:val="0"/>
          <w:bCs/>
          <w:szCs w:val="20"/>
          <w:lang w:val="sl-SI"/>
        </w:rPr>
        <w:t>brezemisijsko</w:t>
      </w:r>
      <w:proofErr w:type="spellEnd"/>
      <w:r w:rsidRPr="001F09FD">
        <w:rPr>
          <w:b w:val="0"/>
          <w:bCs/>
          <w:szCs w:val="20"/>
          <w:lang w:val="sl-SI"/>
        </w:rPr>
        <w:t xml:space="preserve"> vozilo</w:t>
      </w:r>
      <w:r>
        <w:rPr>
          <w:b w:val="0"/>
          <w:bCs/>
          <w:szCs w:val="20"/>
          <w:lang w:val="sl-SI"/>
        </w:rPr>
        <w:t>«</w:t>
      </w:r>
      <w:r w:rsidRPr="001F09FD">
        <w:rPr>
          <w:b w:val="0"/>
          <w:bCs/>
          <w:szCs w:val="20"/>
          <w:lang w:val="sl-SI"/>
        </w:rPr>
        <w:t xml:space="preserve"> se bo štelo vozilo, ki bo oddajalo manj kot 1 g/CO</w:t>
      </w:r>
      <w:r w:rsidRPr="003F1C74">
        <w:rPr>
          <w:b w:val="0"/>
          <w:bCs/>
          <w:szCs w:val="20"/>
          <w:vertAlign w:val="subscript"/>
          <w:lang w:val="sl-SI"/>
        </w:rPr>
        <w:t>2</w:t>
      </w:r>
      <w:r w:rsidRPr="001F09FD">
        <w:rPr>
          <w:b w:val="0"/>
          <w:bCs/>
          <w:szCs w:val="20"/>
          <w:lang w:val="sl-SI"/>
        </w:rPr>
        <w:t xml:space="preserve">/kWh. Podrobneje so čista in </w:t>
      </w:r>
      <w:proofErr w:type="spellStart"/>
      <w:r w:rsidRPr="001F09FD">
        <w:rPr>
          <w:b w:val="0"/>
          <w:bCs/>
          <w:szCs w:val="20"/>
          <w:lang w:val="sl-SI"/>
        </w:rPr>
        <w:t>brezemisijska</w:t>
      </w:r>
      <w:proofErr w:type="spellEnd"/>
      <w:r w:rsidRPr="001F09FD">
        <w:rPr>
          <w:b w:val="0"/>
          <w:bCs/>
          <w:szCs w:val="20"/>
          <w:lang w:val="sl-SI"/>
        </w:rPr>
        <w:t xml:space="preserve"> vozila opredeljena v Prilogi 2 uredb</w:t>
      </w:r>
      <w:r>
        <w:rPr>
          <w:b w:val="0"/>
          <w:bCs/>
          <w:szCs w:val="20"/>
          <w:lang w:val="sl-SI"/>
        </w:rPr>
        <w:t>e</w:t>
      </w:r>
      <w:r w:rsidRPr="001F09FD">
        <w:rPr>
          <w:b w:val="0"/>
          <w:bCs/>
          <w:szCs w:val="20"/>
          <w:lang w:val="sl-SI"/>
        </w:rPr>
        <w:t>.</w:t>
      </w:r>
    </w:p>
    <w:p w14:paraId="4D16A68B" w14:textId="77777777" w:rsidR="00724028" w:rsidRPr="00A466B4" w:rsidRDefault="00724028" w:rsidP="00724028">
      <w:pPr>
        <w:pStyle w:val="ZADEVA"/>
        <w:spacing w:line="276" w:lineRule="auto"/>
        <w:ind w:left="0" w:firstLine="0"/>
        <w:jc w:val="both"/>
        <w:rPr>
          <w:b w:val="0"/>
          <w:bCs/>
          <w:szCs w:val="20"/>
          <w:lang w:val="sl-SI"/>
        </w:rPr>
      </w:pPr>
    </w:p>
    <w:p w14:paraId="78FFF3F1" w14:textId="77777777" w:rsidR="00724028" w:rsidRPr="001F09FD" w:rsidRDefault="00724028" w:rsidP="00724028">
      <w:pPr>
        <w:pStyle w:val="ZADEVA"/>
        <w:spacing w:line="276" w:lineRule="auto"/>
        <w:ind w:left="0" w:firstLine="0"/>
        <w:jc w:val="both"/>
        <w:rPr>
          <w:b w:val="0"/>
          <w:bCs/>
          <w:szCs w:val="20"/>
          <w:lang w:val="sl-SI"/>
        </w:rPr>
      </w:pPr>
      <w:r w:rsidRPr="001F09FD">
        <w:rPr>
          <w:b w:val="0"/>
          <w:bCs/>
          <w:szCs w:val="20"/>
          <w:lang w:val="sl-SI"/>
        </w:rPr>
        <w:t>Novost, ki se uvaja pri javnem naročanju</w:t>
      </w:r>
      <w:r>
        <w:rPr>
          <w:b w:val="0"/>
          <w:bCs/>
          <w:szCs w:val="20"/>
          <w:lang w:val="sl-SI"/>
        </w:rPr>
        <w:t>,</w:t>
      </w:r>
      <w:r w:rsidRPr="001F09FD">
        <w:rPr>
          <w:b w:val="0"/>
          <w:bCs/>
          <w:szCs w:val="20"/>
          <w:lang w:val="sl-SI"/>
        </w:rPr>
        <w:t xml:space="preserve"> vezanem na vozila</w:t>
      </w:r>
      <w:r>
        <w:rPr>
          <w:b w:val="0"/>
          <w:bCs/>
          <w:szCs w:val="20"/>
          <w:lang w:val="sl-SI"/>
        </w:rPr>
        <w:t xml:space="preserve"> za cestni prevoz</w:t>
      </w:r>
      <w:r w:rsidRPr="001F09FD">
        <w:rPr>
          <w:b w:val="0"/>
          <w:bCs/>
          <w:szCs w:val="20"/>
          <w:lang w:val="sl-SI"/>
        </w:rPr>
        <w:t xml:space="preserve"> v spreme</w:t>
      </w:r>
      <w:r>
        <w:rPr>
          <w:b w:val="0"/>
          <w:bCs/>
          <w:szCs w:val="20"/>
          <w:lang w:val="sl-SI"/>
        </w:rPr>
        <w:t>mbi</w:t>
      </w:r>
      <w:r w:rsidRPr="001F09FD">
        <w:rPr>
          <w:b w:val="0"/>
          <w:bCs/>
          <w:szCs w:val="20"/>
          <w:lang w:val="sl-SI"/>
        </w:rPr>
        <w:t xml:space="preserve"> </w:t>
      </w:r>
      <w:r>
        <w:rPr>
          <w:b w:val="0"/>
          <w:bCs/>
          <w:szCs w:val="20"/>
          <w:lang w:val="sl-SI"/>
        </w:rPr>
        <w:t>uredbe,</w:t>
      </w:r>
      <w:r w:rsidRPr="001F09FD">
        <w:rPr>
          <w:b w:val="0"/>
          <w:bCs/>
          <w:szCs w:val="20"/>
          <w:lang w:val="sl-SI"/>
        </w:rPr>
        <w:t xml:space="preserve"> je upoštevanje deležev čistih in </w:t>
      </w:r>
      <w:proofErr w:type="spellStart"/>
      <w:r w:rsidRPr="001F09FD">
        <w:rPr>
          <w:b w:val="0"/>
          <w:bCs/>
          <w:szCs w:val="20"/>
          <w:lang w:val="sl-SI"/>
        </w:rPr>
        <w:t>brezemisijskih</w:t>
      </w:r>
      <w:proofErr w:type="spellEnd"/>
      <w:r w:rsidRPr="001F09FD">
        <w:rPr>
          <w:b w:val="0"/>
          <w:bCs/>
          <w:szCs w:val="20"/>
          <w:lang w:val="sl-SI"/>
        </w:rPr>
        <w:t xml:space="preserve"> vozil tudi pri naročilu nekaterih storitev prevoza:</w:t>
      </w:r>
    </w:p>
    <w:p w14:paraId="0E3E4F67" w14:textId="77777777" w:rsidR="00724028" w:rsidRPr="001F09FD" w:rsidRDefault="00724028" w:rsidP="00724028">
      <w:pPr>
        <w:pStyle w:val="ZADEVA"/>
        <w:spacing w:line="276" w:lineRule="auto"/>
        <w:ind w:left="0" w:firstLine="0"/>
        <w:jc w:val="both"/>
        <w:rPr>
          <w:b w:val="0"/>
          <w:bCs/>
          <w:szCs w:val="20"/>
          <w:lang w:val="sl-SI"/>
        </w:rPr>
      </w:pPr>
      <w:r w:rsidRPr="001F09FD">
        <w:rPr>
          <w:b w:val="0"/>
          <w:bCs/>
          <w:szCs w:val="20"/>
          <w:lang w:val="sl-SI"/>
        </w:rPr>
        <w:t>- poštne in kurirske dejavnosti (prevoz pošte po cesti, poštna dostava, prevoz paketov, dostava paketov),</w:t>
      </w:r>
    </w:p>
    <w:p w14:paraId="0778D6CC" w14:textId="77777777" w:rsidR="00724028" w:rsidRPr="001F09FD" w:rsidRDefault="00724028" w:rsidP="00724028">
      <w:pPr>
        <w:pStyle w:val="ZADEVA"/>
        <w:spacing w:line="276" w:lineRule="auto"/>
        <w:ind w:left="0" w:firstLine="0"/>
        <w:jc w:val="both"/>
        <w:rPr>
          <w:b w:val="0"/>
          <w:bCs/>
          <w:szCs w:val="20"/>
          <w:lang w:val="sl-SI"/>
        </w:rPr>
      </w:pPr>
      <w:r w:rsidRPr="001F09FD">
        <w:rPr>
          <w:b w:val="0"/>
          <w:bCs/>
          <w:szCs w:val="20"/>
          <w:lang w:val="sl-SI"/>
        </w:rPr>
        <w:t>- komunalne dejavnosti (storitve zbiranja odpadkov),</w:t>
      </w:r>
    </w:p>
    <w:p w14:paraId="41D50250" w14:textId="77777777" w:rsidR="00724028" w:rsidRPr="001F09FD" w:rsidRDefault="00724028" w:rsidP="00724028">
      <w:pPr>
        <w:pStyle w:val="ZADEVA"/>
        <w:spacing w:line="276" w:lineRule="auto"/>
        <w:ind w:left="0" w:firstLine="0"/>
        <w:jc w:val="both"/>
        <w:rPr>
          <w:b w:val="0"/>
          <w:bCs/>
          <w:szCs w:val="20"/>
          <w:lang w:val="sl-SI"/>
        </w:rPr>
      </w:pPr>
      <w:r w:rsidRPr="001F09FD">
        <w:rPr>
          <w:b w:val="0"/>
          <w:bCs/>
          <w:szCs w:val="20"/>
          <w:lang w:val="sl-SI"/>
        </w:rPr>
        <w:t>- storitve javnega cestnega prevoza (javni prevoz, ki se ne izvajajo kot gospodarska javna služba</w:t>
      </w:r>
      <w:r>
        <w:rPr>
          <w:b w:val="0"/>
          <w:bCs/>
          <w:szCs w:val="20"/>
          <w:lang w:val="sl-SI"/>
        </w:rPr>
        <w:t>)</w:t>
      </w:r>
      <w:r w:rsidRPr="001F09FD">
        <w:rPr>
          <w:b w:val="0"/>
          <w:bCs/>
          <w:szCs w:val="20"/>
          <w:lang w:val="sl-SI"/>
        </w:rPr>
        <w:t xml:space="preserve">, </w:t>
      </w:r>
    </w:p>
    <w:p w14:paraId="23C6855D" w14:textId="77777777" w:rsidR="00724028" w:rsidRPr="001F09FD" w:rsidRDefault="00724028" w:rsidP="00724028">
      <w:pPr>
        <w:pStyle w:val="ZADEVA"/>
        <w:spacing w:line="276" w:lineRule="auto"/>
        <w:ind w:left="0" w:firstLine="0"/>
        <w:jc w:val="both"/>
        <w:rPr>
          <w:b w:val="0"/>
          <w:bCs/>
          <w:szCs w:val="20"/>
          <w:lang w:val="sl-SI"/>
        </w:rPr>
      </w:pPr>
      <w:r>
        <w:rPr>
          <w:b w:val="0"/>
          <w:bCs/>
          <w:szCs w:val="20"/>
          <w:lang w:val="sl-SI"/>
        </w:rPr>
        <w:t xml:space="preserve">- </w:t>
      </w:r>
      <w:r w:rsidRPr="001F09FD">
        <w:rPr>
          <w:b w:val="0"/>
          <w:bCs/>
          <w:szCs w:val="20"/>
          <w:lang w:val="sl-SI"/>
        </w:rPr>
        <w:t>cestni potniški prevoz za posebne namene, izredni potniški prevoz.</w:t>
      </w:r>
    </w:p>
    <w:p w14:paraId="11F71382" w14:textId="77777777" w:rsidR="00724028" w:rsidRPr="0020656B" w:rsidRDefault="00724028" w:rsidP="00724028">
      <w:pPr>
        <w:pStyle w:val="ZADEVA"/>
        <w:spacing w:line="276" w:lineRule="auto"/>
        <w:ind w:left="0" w:firstLine="0"/>
        <w:jc w:val="both"/>
        <w:rPr>
          <w:b w:val="0"/>
          <w:bCs/>
          <w:szCs w:val="20"/>
          <w:lang w:val="sl-SI"/>
        </w:rPr>
      </w:pPr>
    </w:p>
    <w:p w14:paraId="4EB42A15" w14:textId="77777777" w:rsidR="00724028" w:rsidRDefault="00724028" w:rsidP="00724028">
      <w:pPr>
        <w:pStyle w:val="ZADEVA"/>
        <w:spacing w:line="276" w:lineRule="auto"/>
        <w:ind w:left="0" w:firstLine="0"/>
        <w:jc w:val="both"/>
        <w:rPr>
          <w:b w:val="0"/>
          <w:bCs/>
          <w:szCs w:val="20"/>
          <w:lang w:val="sl-SI"/>
        </w:rPr>
      </w:pPr>
      <w:r>
        <w:rPr>
          <w:b w:val="0"/>
          <w:bCs/>
          <w:szCs w:val="20"/>
          <w:lang w:val="sl-SI"/>
        </w:rPr>
        <w:t>Nadalje pa se s</w:t>
      </w:r>
      <w:r w:rsidRPr="0020656B">
        <w:rPr>
          <w:b w:val="0"/>
          <w:bCs/>
          <w:szCs w:val="20"/>
          <w:lang w:val="sl-SI"/>
        </w:rPr>
        <w:t xml:space="preserve"> to </w:t>
      </w:r>
      <w:r>
        <w:rPr>
          <w:b w:val="0"/>
          <w:bCs/>
          <w:szCs w:val="20"/>
          <w:lang w:val="sl-SI"/>
        </w:rPr>
        <w:t xml:space="preserve">spremembo </w:t>
      </w:r>
      <w:r w:rsidRPr="0020656B">
        <w:rPr>
          <w:b w:val="0"/>
          <w:bCs/>
          <w:szCs w:val="20"/>
          <w:lang w:val="sl-SI"/>
        </w:rPr>
        <w:t>uredb</w:t>
      </w:r>
      <w:r>
        <w:rPr>
          <w:b w:val="0"/>
          <w:bCs/>
          <w:szCs w:val="20"/>
          <w:lang w:val="sl-SI"/>
        </w:rPr>
        <w:t>e</w:t>
      </w:r>
      <w:r w:rsidRPr="0020656B">
        <w:rPr>
          <w:b w:val="0"/>
          <w:bCs/>
          <w:szCs w:val="20"/>
          <w:lang w:val="sl-SI"/>
        </w:rPr>
        <w:t xml:space="preserve"> razširja tudi nabor stavb, ki so zajete v obstoječem predmetu </w:t>
      </w:r>
      <w:r>
        <w:rPr>
          <w:b w:val="0"/>
          <w:bCs/>
          <w:szCs w:val="20"/>
          <w:lang w:val="sl-SI"/>
        </w:rPr>
        <w:t>»</w:t>
      </w:r>
      <w:r w:rsidRPr="0020656B">
        <w:rPr>
          <w:b w:val="0"/>
          <w:bCs/>
          <w:szCs w:val="20"/>
          <w:lang w:val="sl-SI"/>
        </w:rPr>
        <w:t>Projektiranje in izvedba gradnje stavb</w:t>
      </w:r>
      <w:r>
        <w:rPr>
          <w:b w:val="0"/>
          <w:bCs/>
          <w:szCs w:val="20"/>
          <w:lang w:val="sl-SI"/>
        </w:rPr>
        <w:t>«. »</w:t>
      </w:r>
      <w:r w:rsidRPr="00627D3F">
        <w:rPr>
          <w:b w:val="0"/>
          <w:bCs/>
          <w:szCs w:val="20"/>
          <w:lang w:val="sl-SI"/>
        </w:rPr>
        <w:t>Stavba</w:t>
      </w:r>
      <w:r>
        <w:rPr>
          <w:b w:val="0"/>
          <w:bCs/>
          <w:szCs w:val="20"/>
          <w:lang w:val="sl-SI"/>
        </w:rPr>
        <w:t>«</w:t>
      </w:r>
      <w:r w:rsidRPr="00627D3F">
        <w:rPr>
          <w:b w:val="0"/>
          <w:bCs/>
          <w:szCs w:val="20"/>
          <w:lang w:val="sl-SI"/>
        </w:rPr>
        <w:t xml:space="preserve"> pomeni objekt, ki je v skladu s Prilogo 1 Uredbe o klasifikaciji vrst objektov in objektih</w:t>
      </w:r>
      <w:r>
        <w:rPr>
          <w:b w:val="0"/>
          <w:bCs/>
          <w:szCs w:val="20"/>
          <w:lang w:val="sl-SI"/>
        </w:rPr>
        <w:t xml:space="preserve"> </w:t>
      </w:r>
      <w:r w:rsidRPr="00627D3F">
        <w:rPr>
          <w:b w:val="0"/>
          <w:bCs/>
          <w:szCs w:val="20"/>
          <w:lang w:val="sl-SI"/>
        </w:rPr>
        <w:t>državnega pomena (Uradni list RS, št. 109/11 in 61/17 – GZ) klasificiran kot poslovna in</w:t>
      </w:r>
      <w:r>
        <w:rPr>
          <w:b w:val="0"/>
          <w:bCs/>
          <w:szCs w:val="20"/>
          <w:lang w:val="sl-SI"/>
        </w:rPr>
        <w:t xml:space="preserve"> </w:t>
      </w:r>
      <w:r w:rsidRPr="00627D3F">
        <w:rPr>
          <w:b w:val="0"/>
          <w:bCs/>
          <w:szCs w:val="20"/>
          <w:lang w:val="sl-SI"/>
        </w:rPr>
        <w:t>upravna stavba (CC-SI 122), stavba splošnega družbenega pomena (CC-SI 126) ali</w:t>
      </w:r>
      <w:r>
        <w:rPr>
          <w:b w:val="0"/>
          <w:bCs/>
          <w:szCs w:val="20"/>
          <w:lang w:val="sl-SI"/>
        </w:rPr>
        <w:t xml:space="preserve"> </w:t>
      </w:r>
      <w:r w:rsidRPr="00627D3F">
        <w:rPr>
          <w:b w:val="0"/>
          <w:bCs/>
          <w:szCs w:val="20"/>
          <w:lang w:val="sl-SI"/>
        </w:rPr>
        <w:t>stanovanjska stavba za posebne družbene skupine (CC-SI 113).</w:t>
      </w:r>
      <w:r>
        <w:rPr>
          <w:b w:val="0"/>
          <w:bCs/>
          <w:szCs w:val="20"/>
          <w:lang w:val="sl-SI"/>
        </w:rPr>
        <w:t xml:space="preserve"> Z</w:t>
      </w:r>
      <w:r w:rsidRPr="0020656B">
        <w:rPr>
          <w:b w:val="0"/>
          <w:bCs/>
          <w:szCs w:val="20"/>
          <w:lang w:val="sl-SI"/>
        </w:rPr>
        <w:t xml:space="preserve"> namenom hitrejšega prehoda v nizko</w:t>
      </w:r>
      <w:r>
        <w:rPr>
          <w:b w:val="0"/>
          <w:bCs/>
          <w:szCs w:val="20"/>
          <w:lang w:val="sl-SI"/>
        </w:rPr>
        <w:t xml:space="preserve"> </w:t>
      </w:r>
      <w:proofErr w:type="spellStart"/>
      <w:r w:rsidRPr="0020656B">
        <w:rPr>
          <w:b w:val="0"/>
          <w:bCs/>
          <w:szCs w:val="20"/>
          <w:lang w:val="sl-SI"/>
        </w:rPr>
        <w:t>ogljično</w:t>
      </w:r>
      <w:proofErr w:type="spellEnd"/>
      <w:r w:rsidRPr="0020656B">
        <w:rPr>
          <w:b w:val="0"/>
          <w:bCs/>
          <w:szCs w:val="20"/>
          <w:lang w:val="sl-SI"/>
        </w:rPr>
        <w:t xml:space="preserve"> družbo in spodbujanjem krožnega gospodarstva ter zmanjšanjem vplivov na okolje je potrebno povečati rabo lesa, ki je priznano eden od najbolj </w:t>
      </w:r>
      <w:proofErr w:type="spellStart"/>
      <w:r w:rsidRPr="0020656B">
        <w:rPr>
          <w:b w:val="0"/>
          <w:bCs/>
          <w:szCs w:val="20"/>
          <w:lang w:val="sl-SI"/>
        </w:rPr>
        <w:t>okoljsko</w:t>
      </w:r>
      <w:proofErr w:type="spellEnd"/>
      <w:r w:rsidRPr="0020656B">
        <w:rPr>
          <w:b w:val="0"/>
          <w:bCs/>
          <w:szCs w:val="20"/>
          <w:lang w:val="sl-SI"/>
        </w:rPr>
        <w:t xml:space="preserve"> prijaznih naravnih materialov. Z vključitvijo stavb splošnega družbenega pomena in stanovanjskih stavb za posebne družbene namene se bo dodatno spodbudila večja raba lesa pri gradnji stavb, kar bo imelo zaradi povečane rabe lesa in lesnih tvoriv pozitiven vpliv tako na hitrejši razvoj gozdno lesnih verig, kot tudi na domačo lesno predelovalno industrijo. Uporabo lesa v stavbah pa je potrebno povečati tudi v skladu z usmeritvami Vlade Republike Slovenije, ki je v Akcijskem načrtu za povečanje konkurenčnosti gozdno lesne verige v Sloveniji do leta 2020 les opredelila kot našo strateško surovino, lesno predelovalno industrijo pa uvrstila med strateško pomembne gospodarske panoge. </w:t>
      </w:r>
    </w:p>
    <w:p w14:paraId="70BF48E2" w14:textId="77777777" w:rsidR="00724028" w:rsidRDefault="00724028" w:rsidP="00724028">
      <w:pPr>
        <w:pStyle w:val="ZADEVA"/>
        <w:spacing w:line="276" w:lineRule="auto"/>
        <w:ind w:left="0" w:firstLine="0"/>
        <w:jc w:val="both"/>
        <w:rPr>
          <w:b w:val="0"/>
          <w:bCs/>
          <w:szCs w:val="20"/>
          <w:lang w:val="sl-SI"/>
        </w:rPr>
      </w:pPr>
    </w:p>
    <w:p w14:paraId="755BFD76" w14:textId="77777777" w:rsidR="00724028" w:rsidRDefault="00724028" w:rsidP="00724028">
      <w:pPr>
        <w:pStyle w:val="ZADEVA"/>
        <w:spacing w:line="276" w:lineRule="auto"/>
        <w:ind w:left="0" w:firstLine="0"/>
        <w:jc w:val="both"/>
        <w:rPr>
          <w:b w:val="0"/>
          <w:bCs/>
          <w:szCs w:val="20"/>
          <w:lang w:val="sl-SI"/>
        </w:rPr>
      </w:pPr>
      <w:r>
        <w:rPr>
          <w:b w:val="0"/>
          <w:bCs/>
          <w:szCs w:val="20"/>
          <w:lang w:val="sl-SI"/>
        </w:rPr>
        <w:t xml:space="preserve">S spremembo uredbe se razširja tudi nabor </w:t>
      </w:r>
      <w:proofErr w:type="spellStart"/>
      <w:r>
        <w:rPr>
          <w:b w:val="0"/>
          <w:bCs/>
          <w:szCs w:val="20"/>
          <w:lang w:val="sl-SI"/>
        </w:rPr>
        <w:t>okoljskih</w:t>
      </w:r>
      <w:proofErr w:type="spellEnd"/>
      <w:r>
        <w:rPr>
          <w:b w:val="0"/>
          <w:bCs/>
          <w:szCs w:val="20"/>
          <w:lang w:val="sl-SI"/>
        </w:rPr>
        <w:t xml:space="preserve"> vidikov, ki jih je potrebno upoštevati pri oddaji javnih naročil. </w:t>
      </w:r>
      <w:r w:rsidRPr="00702A04">
        <w:rPr>
          <w:b w:val="0"/>
          <w:bCs/>
          <w:szCs w:val="20"/>
          <w:lang w:val="sl-SI"/>
        </w:rPr>
        <w:t>Zaradi precejšnjega negativnega vpliva nekaterih, predvsem plastičnih proizvodov za enkratno uporabo</w:t>
      </w:r>
      <w:r>
        <w:rPr>
          <w:b w:val="0"/>
          <w:bCs/>
          <w:szCs w:val="20"/>
          <w:lang w:val="sl-SI"/>
        </w:rPr>
        <w:t>,</w:t>
      </w:r>
      <w:r w:rsidRPr="00702A04">
        <w:rPr>
          <w:b w:val="0"/>
          <w:bCs/>
          <w:szCs w:val="20"/>
          <w:lang w:val="sl-SI"/>
        </w:rPr>
        <w:t xml:space="preserve"> na okolje, je potrebno pri zelenem javnem naročanju dati prednost bolj trajnostnim proizvodom, bodisi proizvodom, ki ne vsebujejo plastike ali proizvodom, ki so trajnejše zasnovani in jih je možno večkrat uporabiti. S takšnimi ukrepi prispevamo k uveljavljanju hie</w:t>
      </w:r>
      <w:r>
        <w:rPr>
          <w:b w:val="0"/>
          <w:bCs/>
          <w:szCs w:val="20"/>
          <w:lang w:val="sl-SI"/>
        </w:rPr>
        <w:t>r</w:t>
      </w:r>
      <w:r w:rsidRPr="00702A04">
        <w:rPr>
          <w:b w:val="0"/>
          <w:bCs/>
          <w:szCs w:val="20"/>
          <w:lang w:val="sl-SI"/>
        </w:rPr>
        <w:t>arhije ravnanja z odpadki s poudarkom na preprečevanju odpadkov in zmanjšanju smetenja okolja. V E</w:t>
      </w:r>
      <w:r>
        <w:rPr>
          <w:b w:val="0"/>
          <w:bCs/>
          <w:szCs w:val="20"/>
          <w:lang w:val="sl-SI"/>
        </w:rPr>
        <w:t>vropski uniji</w:t>
      </w:r>
      <w:r w:rsidRPr="00702A04">
        <w:rPr>
          <w:b w:val="0"/>
          <w:bCs/>
          <w:szCs w:val="20"/>
          <w:lang w:val="sl-SI"/>
        </w:rPr>
        <w:t xml:space="preserve"> vsako leto v morjih in oceanih konča 150</w:t>
      </w:r>
      <w:r>
        <w:rPr>
          <w:b w:val="0"/>
          <w:bCs/>
          <w:szCs w:val="20"/>
          <w:lang w:val="sl-SI"/>
        </w:rPr>
        <w:t>.</w:t>
      </w:r>
      <w:r w:rsidRPr="00702A04">
        <w:rPr>
          <w:b w:val="0"/>
          <w:bCs/>
          <w:szCs w:val="20"/>
          <w:lang w:val="sl-SI"/>
        </w:rPr>
        <w:t>000 do 500</w:t>
      </w:r>
      <w:r>
        <w:rPr>
          <w:b w:val="0"/>
          <w:bCs/>
          <w:szCs w:val="20"/>
          <w:lang w:val="sl-SI"/>
        </w:rPr>
        <w:t>.</w:t>
      </w:r>
      <w:r w:rsidRPr="00702A04">
        <w:rPr>
          <w:b w:val="0"/>
          <w:bCs/>
          <w:szCs w:val="20"/>
          <w:lang w:val="sl-SI"/>
        </w:rPr>
        <w:t>000 ton plastičnih odpadkov, pri čemer plastični proizvodi za enkratno uporabo predstavljajo 50 %. Med plastične proizvode za enkratno uporabo spadajo različni pogosto uporabljeni izdelki široke potrošnje, ki se po enkratni uporabi za namen, za katerega so bili predvideni, zavržejo, redko reciklirajo in hitro smetijo okolje.</w:t>
      </w:r>
      <w:r>
        <w:rPr>
          <w:b w:val="0"/>
          <w:bCs/>
          <w:szCs w:val="20"/>
          <w:lang w:val="sl-SI"/>
        </w:rPr>
        <w:t xml:space="preserve"> </w:t>
      </w:r>
      <w:r w:rsidRPr="00702A04">
        <w:rPr>
          <w:b w:val="0"/>
          <w:bCs/>
          <w:szCs w:val="20"/>
          <w:lang w:val="sl-SI"/>
        </w:rPr>
        <w:t>Zato je potrebno trend preobrniti v uporabo bolj trajnostnih proizvodov</w:t>
      </w:r>
      <w:r>
        <w:rPr>
          <w:b w:val="0"/>
          <w:bCs/>
          <w:szCs w:val="20"/>
          <w:lang w:val="sl-SI"/>
        </w:rPr>
        <w:t>.</w:t>
      </w:r>
    </w:p>
    <w:p w14:paraId="65177F57" w14:textId="77777777" w:rsidR="00724028" w:rsidRDefault="00724028" w:rsidP="00724028">
      <w:pPr>
        <w:pStyle w:val="ZADEVA"/>
        <w:spacing w:line="276" w:lineRule="auto"/>
        <w:ind w:left="0" w:firstLine="0"/>
        <w:jc w:val="both"/>
        <w:rPr>
          <w:b w:val="0"/>
          <w:bCs/>
          <w:szCs w:val="20"/>
          <w:lang w:val="sl-SI"/>
        </w:rPr>
      </w:pPr>
    </w:p>
    <w:p w14:paraId="517D26F6" w14:textId="77777777" w:rsidR="00724028" w:rsidRPr="0020656B" w:rsidRDefault="00724028" w:rsidP="00724028">
      <w:pPr>
        <w:pStyle w:val="ZADEVA"/>
        <w:spacing w:line="276" w:lineRule="auto"/>
        <w:ind w:left="0" w:firstLine="0"/>
        <w:jc w:val="both"/>
        <w:rPr>
          <w:b w:val="0"/>
          <w:bCs/>
          <w:szCs w:val="20"/>
          <w:lang w:val="sl-SI"/>
        </w:rPr>
      </w:pPr>
      <w:r>
        <w:rPr>
          <w:b w:val="0"/>
          <w:bCs/>
          <w:szCs w:val="20"/>
          <w:lang w:val="sl-SI"/>
        </w:rPr>
        <w:t>Dodatno se v uredbi popravlja tudi besedilo pri cilju zelenega javnega naročanja čistil.</w:t>
      </w:r>
    </w:p>
    <w:p w14:paraId="16894451" w14:textId="77777777" w:rsidR="009E3643" w:rsidRPr="00724028" w:rsidRDefault="00FD4866">
      <w:pPr>
        <w:rPr>
          <w:lang w:val="sl-SI"/>
        </w:rPr>
      </w:pPr>
    </w:p>
    <w:sectPr w:rsidR="009E3643" w:rsidRPr="00724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0BBB"/>
    <w:multiLevelType w:val="hybridMultilevel"/>
    <w:tmpl w:val="E426273C"/>
    <w:lvl w:ilvl="0" w:tplc="B10C97B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 w15:restartNumberingAfterBreak="0">
    <w:nsid w:val="138C049C"/>
    <w:multiLevelType w:val="hybridMultilevel"/>
    <w:tmpl w:val="8C8A11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2747B2"/>
    <w:multiLevelType w:val="hybridMultilevel"/>
    <w:tmpl w:val="7578F1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CF3FC9"/>
    <w:multiLevelType w:val="hybridMultilevel"/>
    <w:tmpl w:val="86E45AA0"/>
    <w:lvl w:ilvl="0" w:tplc="0734D7BC">
      <w:start w:val="1"/>
      <w:numFmt w:val="lowerLetter"/>
      <w:lvlText w:val="(%1)"/>
      <w:lvlJc w:val="left"/>
      <w:pPr>
        <w:ind w:left="805" w:hanging="295"/>
      </w:pPr>
      <w:rPr>
        <w:rFonts w:ascii="Georgia" w:eastAsia="Georgia" w:hAnsi="Georgia" w:cs="Georgia" w:hint="default"/>
        <w:w w:val="76"/>
        <w:sz w:val="19"/>
        <w:szCs w:val="19"/>
        <w:lang w:val="sl-SI" w:eastAsia="en-US" w:bidi="ar-SA"/>
      </w:rPr>
    </w:lvl>
    <w:lvl w:ilvl="1" w:tplc="DF10ECDE">
      <w:numFmt w:val="bullet"/>
      <w:lvlText w:val="•"/>
      <w:lvlJc w:val="left"/>
      <w:pPr>
        <w:ind w:left="1664" w:hanging="295"/>
      </w:pPr>
      <w:rPr>
        <w:rFonts w:hint="default"/>
        <w:lang w:val="sl-SI" w:eastAsia="en-US" w:bidi="ar-SA"/>
      </w:rPr>
    </w:lvl>
    <w:lvl w:ilvl="2" w:tplc="A560CE80">
      <w:numFmt w:val="bullet"/>
      <w:lvlText w:val="•"/>
      <w:lvlJc w:val="left"/>
      <w:pPr>
        <w:ind w:left="2529" w:hanging="295"/>
      </w:pPr>
      <w:rPr>
        <w:rFonts w:hint="default"/>
        <w:lang w:val="sl-SI" w:eastAsia="en-US" w:bidi="ar-SA"/>
      </w:rPr>
    </w:lvl>
    <w:lvl w:ilvl="3" w:tplc="98CC7644">
      <w:numFmt w:val="bullet"/>
      <w:lvlText w:val="•"/>
      <w:lvlJc w:val="left"/>
      <w:pPr>
        <w:ind w:left="3393" w:hanging="295"/>
      </w:pPr>
      <w:rPr>
        <w:rFonts w:hint="default"/>
        <w:lang w:val="sl-SI" w:eastAsia="en-US" w:bidi="ar-SA"/>
      </w:rPr>
    </w:lvl>
    <w:lvl w:ilvl="4" w:tplc="9206684C">
      <w:numFmt w:val="bullet"/>
      <w:lvlText w:val="•"/>
      <w:lvlJc w:val="left"/>
      <w:pPr>
        <w:ind w:left="4258" w:hanging="295"/>
      </w:pPr>
      <w:rPr>
        <w:rFonts w:hint="default"/>
        <w:lang w:val="sl-SI" w:eastAsia="en-US" w:bidi="ar-SA"/>
      </w:rPr>
    </w:lvl>
    <w:lvl w:ilvl="5" w:tplc="8938C438">
      <w:numFmt w:val="bullet"/>
      <w:lvlText w:val="•"/>
      <w:lvlJc w:val="left"/>
      <w:pPr>
        <w:ind w:left="5122" w:hanging="295"/>
      </w:pPr>
      <w:rPr>
        <w:rFonts w:hint="default"/>
        <w:lang w:val="sl-SI" w:eastAsia="en-US" w:bidi="ar-SA"/>
      </w:rPr>
    </w:lvl>
    <w:lvl w:ilvl="6" w:tplc="109EDAAC">
      <w:numFmt w:val="bullet"/>
      <w:lvlText w:val="•"/>
      <w:lvlJc w:val="left"/>
      <w:pPr>
        <w:ind w:left="5987" w:hanging="295"/>
      </w:pPr>
      <w:rPr>
        <w:rFonts w:hint="default"/>
        <w:lang w:val="sl-SI" w:eastAsia="en-US" w:bidi="ar-SA"/>
      </w:rPr>
    </w:lvl>
    <w:lvl w:ilvl="7" w:tplc="88D271DE">
      <w:numFmt w:val="bullet"/>
      <w:lvlText w:val="•"/>
      <w:lvlJc w:val="left"/>
      <w:pPr>
        <w:ind w:left="6851" w:hanging="295"/>
      </w:pPr>
      <w:rPr>
        <w:rFonts w:hint="default"/>
        <w:lang w:val="sl-SI" w:eastAsia="en-US" w:bidi="ar-SA"/>
      </w:rPr>
    </w:lvl>
    <w:lvl w:ilvl="8" w:tplc="BC3A934E">
      <w:numFmt w:val="bullet"/>
      <w:lvlText w:val="•"/>
      <w:lvlJc w:val="left"/>
      <w:pPr>
        <w:ind w:left="7716" w:hanging="295"/>
      </w:pPr>
      <w:rPr>
        <w:rFonts w:hint="default"/>
        <w:lang w:val="sl-SI" w:eastAsia="en-US" w:bidi="ar-SA"/>
      </w:rPr>
    </w:lvl>
  </w:abstractNum>
  <w:abstractNum w:abstractNumId="5" w15:restartNumberingAfterBreak="0">
    <w:nsid w:val="241E3EF5"/>
    <w:multiLevelType w:val="hybridMultilevel"/>
    <w:tmpl w:val="8C8A11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5C4694"/>
    <w:multiLevelType w:val="hybridMultilevel"/>
    <w:tmpl w:val="FE50D924"/>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F398F"/>
    <w:multiLevelType w:val="hybridMultilevel"/>
    <w:tmpl w:val="05F8485E"/>
    <w:lvl w:ilvl="0" w:tplc="B10C97B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8" w15:restartNumberingAfterBreak="0">
    <w:nsid w:val="2DA30316"/>
    <w:multiLevelType w:val="hybridMultilevel"/>
    <w:tmpl w:val="40D8E98E"/>
    <w:lvl w:ilvl="0" w:tplc="FCBEAC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33307FF5"/>
    <w:multiLevelType w:val="hybridMultilevel"/>
    <w:tmpl w:val="50ECBC54"/>
    <w:lvl w:ilvl="0" w:tplc="7F4CFAAA">
      <w:start w:val="1"/>
      <w:numFmt w:val="decimal"/>
      <w:lvlText w:val="(%1)"/>
      <w:lvlJc w:val="left"/>
      <w:pPr>
        <w:ind w:left="374" w:hanging="268"/>
      </w:pPr>
      <w:rPr>
        <w:rFonts w:ascii="Georgia" w:eastAsia="Georgia" w:hAnsi="Georgia" w:cs="Georgia" w:hint="default"/>
        <w:spacing w:val="-1"/>
        <w:w w:val="69"/>
        <w:sz w:val="17"/>
        <w:szCs w:val="17"/>
        <w:lang w:val="sl-SI" w:eastAsia="en-US" w:bidi="ar-SA"/>
      </w:rPr>
    </w:lvl>
    <w:lvl w:ilvl="1" w:tplc="FBA6DD50">
      <w:numFmt w:val="bullet"/>
      <w:lvlText w:val="•"/>
      <w:lvlJc w:val="left"/>
      <w:pPr>
        <w:ind w:left="1286" w:hanging="268"/>
      </w:pPr>
      <w:rPr>
        <w:rFonts w:hint="default"/>
        <w:lang w:val="sl-SI" w:eastAsia="en-US" w:bidi="ar-SA"/>
      </w:rPr>
    </w:lvl>
    <w:lvl w:ilvl="2" w:tplc="F1807598">
      <w:numFmt w:val="bullet"/>
      <w:lvlText w:val="•"/>
      <w:lvlJc w:val="left"/>
      <w:pPr>
        <w:ind w:left="2193" w:hanging="268"/>
      </w:pPr>
      <w:rPr>
        <w:rFonts w:hint="default"/>
        <w:lang w:val="sl-SI" w:eastAsia="en-US" w:bidi="ar-SA"/>
      </w:rPr>
    </w:lvl>
    <w:lvl w:ilvl="3" w:tplc="EB4436B0">
      <w:numFmt w:val="bullet"/>
      <w:lvlText w:val="•"/>
      <w:lvlJc w:val="left"/>
      <w:pPr>
        <w:ind w:left="3099" w:hanging="268"/>
      </w:pPr>
      <w:rPr>
        <w:rFonts w:hint="default"/>
        <w:lang w:val="sl-SI" w:eastAsia="en-US" w:bidi="ar-SA"/>
      </w:rPr>
    </w:lvl>
    <w:lvl w:ilvl="4" w:tplc="5FACC0D4">
      <w:numFmt w:val="bullet"/>
      <w:lvlText w:val="•"/>
      <w:lvlJc w:val="left"/>
      <w:pPr>
        <w:ind w:left="4006" w:hanging="268"/>
      </w:pPr>
      <w:rPr>
        <w:rFonts w:hint="default"/>
        <w:lang w:val="sl-SI" w:eastAsia="en-US" w:bidi="ar-SA"/>
      </w:rPr>
    </w:lvl>
    <w:lvl w:ilvl="5" w:tplc="2B3880B8">
      <w:numFmt w:val="bullet"/>
      <w:lvlText w:val="•"/>
      <w:lvlJc w:val="left"/>
      <w:pPr>
        <w:ind w:left="4912" w:hanging="268"/>
      </w:pPr>
      <w:rPr>
        <w:rFonts w:hint="default"/>
        <w:lang w:val="sl-SI" w:eastAsia="en-US" w:bidi="ar-SA"/>
      </w:rPr>
    </w:lvl>
    <w:lvl w:ilvl="6" w:tplc="B8621BBC">
      <w:numFmt w:val="bullet"/>
      <w:lvlText w:val="•"/>
      <w:lvlJc w:val="left"/>
      <w:pPr>
        <w:ind w:left="5819" w:hanging="268"/>
      </w:pPr>
      <w:rPr>
        <w:rFonts w:hint="default"/>
        <w:lang w:val="sl-SI" w:eastAsia="en-US" w:bidi="ar-SA"/>
      </w:rPr>
    </w:lvl>
    <w:lvl w:ilvl="7" w:tplc="501CC27A">
      <w:numFmt w:val="bullet"/>
      <w:lvlText w:val="•"/>
      <w:lvlJc w:val="left"/>
      <w:pPr>
        <w:ind w:left="6725" w:hanging="268"/>
      </w:pPr>
      <w:rPr>
        <w:rFonts w:hint="default"/>
        <w:lang w:val="sl-SI" w:eastAsia="en-US" w:bidi="ar-SA"/>
      </w:rPr>
    </w:lvl>
    <w:lvl w:ilvl="8" w:tplc="5C9C3AD0">
      <w:numFmt w:val="bullet"/>
      <w:lvlText w:val="•"/>
      <w:lvlJc w:val="left"/>
      <w:pPr>
        <w:ind w:left="7632" w:hanging="268"/>
      </w:pPr>
      <w:rPr>
        <w:rFonts w:hint="default"/>
        <w:lang w:val="sl-SI" w:eastAsia="en-US" w:bidi="ar-SA"/>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8C15380"/>
    <w:multiLevelType w:val="hybridMultilevel"/>
    <w:tmpl w:val="CE3A1C4E"/>
    <w:lvl w:ilvl="0" w:tplc="BE88223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AE2167"/>
    <w:multiLevelType w:val="multilevel"/>
    <w:tmpl w:val="B70E31DE"/>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6C6424F"/>
    <w:multiLevelType w:val="hybridMultilevel"/>
    <w:tmpl w:val="4B5A4880"/>
    <w:lvl w:ilvl="0" w:tplc="4790F672">
      <w:start w:val="31"/>
      <w:numFmt w:val="bullet"/>
      <w:lvlText w:val="–"/>
      <w:lvlJc w:val="left"/>
      <w:pPr>
        <w:tabs>
          <w:tab w:val="num" w:pos="0"/>
        </w:tabs>
        <w:ind w:left="0" w:hanging="360"/>
      </w:pPr>
      <w:rPr>
        <w:rFonts w:ascii="Century Gothic" w:eastAsia="Calibri" w:hAnsi="Century Gothic" w:cs="Times New Roman"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7B878C9"/>
    <w:multiLevelType w:val="hybridMultilevel"/>
    <w:tmpl w:val="1AAA3768"/>
    <w:lvl w:ilvl="0" w:tplc="9F70FD42">
      <w:numFmt w:val="bullet"/>
      <w:lvlText w:val="–"/>
      <w:lvlJc w:val="left"/>
      <w:pPr>
        <w:tabs>
          <w:tab w:val="num" w:pos="1080"/>
        </w:tabs>
        <w:ind w:left="1080" w:hanging="360"/>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C216AC1"/>
    <w:multiLevelType w:val="hybridMultilevel"/>
    <w:tmpl w:val="54AA54D8"/>
    <w:lvl w:ilvl="0" w:tplc="76AC1A70">
      <w:start w:val="49"/>
      <w:numFmt w:val="bullet"/>
      <w:lvlText w:val=""/>
      <w:lvlJc w:val="left"/>
      <w:pPr>
        <w:ind w:left="360" w:hanging="360"/>
      </w:pPr>
      <w:rPr>
        <w:rFonts w:ascii="Symbol" w:eastAsia="Times New Roman" w:hAnsi="Symbol" w:cs="Times New Roman" w:hint="default"/>
      </w:rPr>
    </w:lvl>
    <w:lvl w:ilvl="1" w:tplc="9F70FD42">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F1A1184"/>
    <w:multiLevelType w:val="hybridMultilevel"/>
    <w:tmpl w:val="66BA5810"/>
    <w:lvl w:ilvl="0" w:tplc="B10C97B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4" w15:restartNumberingAfterBreak="0">
    <w:nsid w:val="73C63FDD"/>
    <w:multiLevelType w:val="hybridMultilevel"/>
    <w:tmpl w:val="8C8A11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5591C49"/>
    <w:multiLevelType w:val="hybridMultilevel"/>
    <w:tmpl w:val="951A89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82C75AB"/>
    <w:multiLevelType w:val="hybridMultilevel"/>
    <w:tmpl w:val="C2221D0C"/>
    <w:lvl w:ilvl="0" w:tplc="BA0C14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C36C4E"/>
    <w:multiLevelType w:val="hybridMultilevel"/>
    <w:tmpl w:val="6C6CFB76"/>
    <w:lvl w:ilvl="0" w:tplc="02BC5AB6">
      <w:start w:val="1"/>
      <w:numFmt w:val="upperLetter"/>
      <w:pStyle w:val="rkovnatokazatevilnotokoA"/>
      <w:lvlText w:val="(%1)"/>
      <w:lvlJc w:val="left"/>
      <w:pPr>
        <w:ind w:left="785"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8" w15:restartNumberingAfterBreak="0">
    <w:nsid w:val="7C6A5077"/>
    <w:multiLevelType w:val="hybridMultilevel"/>
    <w:tmpl w:val="55B692D8"/>
    <w:lvl w:ilvl="0" w:tplc="ABEAAD78">
      <w:numFmt w:val="bullet"/>
      <w:pStyle w:val="Alineazaodstavkom"/>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0"/>
  </w:num>
  <w:num w:numId="4">
    <w:abstractNumId w:val="3"/>
  </w:num>
  <w:num w:numId="5">
    <w:abstractNumId w:val="21"/>
  </w:num>
  <w:num w:numId="6">
    <w:abstractNumId w:val="29"/>
  </w:num>
  <w:num w:numId="7">
    <w:abstractNumId w:val="13"/>
  </w:num>
  <w:num w:numId="8">
    <w:abstractNumId w:val="12"/>
    <w:lvlOverride w:ilvl="0">
      <w:startOverride w:val="1"/>
    </w:lvlOverride>
  </w:num>
  <w:num w:numId="9">
    <w:abstractNumId w:val="6"/>
  </w:num>
  <w:num w:numId="10">
    <w:abstractNumId w:val="28"/>
  </w:num>
  <w:num w:numId="11">
    <w:abstractNumId w:val="9"/>
  </w:num>
  <w:num w:numId="12">
    <w:abstractNumId w:val="19"/>
  </w:num>
  <w:num w:numId="13">
    <w:abstractNumId w:val="16"/>
  </w:num>
  <w:num w:numId="14">
    <w:abstractNumId w:val="27"/>
  </w:num>
  <w:num w:numId="15">
    <w:abstractNumId w:val="17"/>
  </w:num>
  <w:num w:numId="16">
    <w:abstractNumId w:val="18"/>
  </w:num>
  <w:num w:numId="17">
    <w:abstractNumId w:val="22"/>
  </w:num>
  <w:num w:numId="18">
    <w:abstractNumId w:val="26"/>
  </w:num>
  <w:num w:numId="19">
    <w:abstractNumId w:val="8"/>
  </w:num>
  <w:num w:numId="20">
    <w:abstractNumId w:val="18"/>
  </w:num>
  <w:num w:numId="21">
    <w:abstractNumId w:val="23"/>
  </w:num>
  <w:num w:numId="22">
    <w:abstractNumId w:val="7"/>
  </w:num>
  <w:num w:numId="23">
    <w:abstractNumId w:val="0"/>
  </w:num>
  <w:num w:numId="24">
    <w:abstractNumId w:val="10"/>
  </w:num>
  <w:num w:numId="25">
    <w:abstractNumId w:val="25"/>
  </w:num>
  <w:num w:numId="26">
    <w:abstractNumId w:val="4"/>
  </w:num>
  <w:num w:numId="27">
    <w:abstractNumId w:val="2"/>
  </w:num>
  <w:num w:numId="28">
    <w:abstractNumId w:val="11"/>
  </w:num>
  <w:num w:numId="29">
    <w:abstractNumId w:val="5"/>
  </w:num>
  <w:num w:numId="30">
    <w:abstractNumId w:val="1"/>
  </w:num>
  <w:num w:numId="31">
    <w:abstractNumId w:val="2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28"/>
    <w:rsid w:val="001168C8"/>
    <w:rsid w:val="001C251D"/>
    <w:rsid w:val="00311686"/>
    <w:rsid w:val="004B7319"/>
    <w:rsid w:val="00724028"/>
    <w:rsid w:val="00AD4E17"/>
    <w:rsid w:val="00B70C01"/>
    <w:rsid w:val="00F813FD"/>
    <w:rsid w:val="00FD48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DB37"/>
  <w15:chartTrackingRefBased/>
  <w15:docId w15:val="{4DBD49D6-C868-4470-B5DA-39D8E7AD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24028"/>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724028"/>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724028"/>
    <w:pPr>
      <w:keepNext/>
      <w:spacing w:before="240" w:after="60"/>
      <w:outlineLvl w:val="2"/>
    </w:pPr>
    <w:rPr>
      <w:rFonts w:ascii="Calibri Light" w:hAnsi="Calibri Light"/>
      <w:b/>
      <w:bCs/>
      <w:sz w:val="26"/>
      <w:szCs w:val="26"/>
    </w:rPr>
  </w:style>
  <w:style w:type="paragraph" w:styleId="Naslov8">
    <w:name w:val="heading 8"/>
    <w:basedOn w:val="Navaden"/>
    <w:next w:val="Navaden"/>
    <w:link w:val="Naslov8Znak"/>
    <w:unhideWhenUsed/>
    <w:qFormat/>
    <w:rsid w:val="00724028"/>
    <w:pPr>
      <w:spacing w:before="240" w:after="60" w:line="260" w:lineRule="exact"/>
      <w:outlineLvl w:val="7"/>
    </w:pPr>
    <w:rPr>
      <w:rFonts w:ascii="Calibri" w:hAnsi="Calibri"/>
      <w:i/>
      <w:i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nhideWhenUsed/>
    <w:rsid w:val="0072402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724028"/>
    <w:rPr>
      <w:rFonts w:ascii="Segoe UI" w:hAnsi="Segoe UI" w:cs="Segoe UI"/>
      <w:sz w:val="18"/>
      <w:szCs w:val="18"/>
    </w:rPr>
  </w:style>
  <w:style w:type="character" w:customStyle="1" w:styleId="Naslov1Znak">
    <w:name w:val="Naslov 1 Znak"/>
    <w:aliases w:val="NASLOV Znak"/>
    <w:basedOn w:val="Privzetapisavaodstavka"/>
    <w:link w:val="Naslov1"/>
    <w:rsid w:val="00724028"/>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semiHidden/>
    <w:rsid w:val="00724028"/>
    <w:rPr>
      <w:rFonts w:ascii="Calibri Light" w:eastAsia="Times New Roman" w:hAnsi="Calibri Light" w:cs="Times New Roman"/>
      <w:b/>
      <w:bCs/>
      <w:sz w:val="26"/>
      <w:szCs w:val="26"/>
      <w:lang w:val="en-US"/>
    </w:rPr>
  </w:style>
  <w:style w:type="character" w:customStyle="1" w:styleId="Naslov8Znak">
    <w:name w:val="Naslov 8 Znak"/>
    <w:basedOn w:val="Privzetapisavaodstavka"/>
    <w:link w:val="Naslov8"/>
    <w:rsid w:val="00724028"/>
    <w:rPr>
      <w:rFonts w:ascii="Calibri" w:eastAsia="Times New Roman" w:hAnsi="Calibri" w:cs="Times New Roman"/>
      <w:i/>
      <w:iCs/>
      <w:sz w:val="24"/>
      <w:szCs w:val="24"/>
      <w:lang w:val="en-US"/>
    </w:rPr>
  </w:style>
  <w:style w:type="paragraph" w:styleId="Glava">
    <w:name w:val="header"/>
    <w:basedOn w:val="Navaden"/>
    <w:link w:val="GlavaZnak"/>
    <w:uiPriority w:val="99"/>
    <w:rsid w:val="00724028"/>
    <w:pPr>
      <w:tabs>
        <w:tab w:val="center" w:pos="4320"/>
        <w:tab w:val="right" w:pos="8640"/>
      </w:tabs>
    </w:pPr>
  </w:style>
  <w:style w:type="character" w:customStyle="1" w:styleId="GlavaZnak">
    <w:name w:val="Glava Znak"/>
    <w:basedOn w:val="Privzetapisavaodstavka"/>
    <w:link w:val="Glava"/>
    <w:uiPriority w:val="99"/>
    <w:rsid w:val="00724028"/>
    <w:rPr>
      <w:rFonts w:ascii="Arial" w:eastAsia="Times New Roman" w:hAnsi="Arial" w:cs="Times New Roman"/>
      <w:sz w:val="20"/>
      <w:szCs w:val="24"/>
      <w:lang w:val="en-US"/>
    </w:rPr>
  </w:style>
  <w:style w:type="paragraph" w:styleId="Noga">
    <w:name w:val="footer"/>
    <w:basedOn w:val="Navaden"/>
    <w:link w:val="NogaZnak"/>
    <w:semiHidden/>
    <w:rsid w:val="00724028"/>
    <w:pPr>
      <w:tabs>
        <w:tab w:val="center" w:pos="4320"/>
        <w:tab w:val="right" w:pos="8640"/>
      </w:tabs>
    </w:pPr>
  </w:style>
  <w:style w:type="character" w:customStyle="1" w:styleId="NogaZnak">
    <w:name w:val="Noga Znak"/>
    <w:basedOn w:val="Privzetapisavaodstavka"/>
    <w:link w:val="Noga"/>
    <w:semiHidden/>
    <w:rsid w:val="00724028"/>
    <w:rPr>
      <w:rFonts w:ascii="Arial" w:eastAsia="Times New Roman" w:hAnsi="Arial" w:cs="Times New Roman"/>
      <w:sz w:val="20"/>
      <w:szCs w:val="24"/>
      <w:lang w:val="en-US"/>
    </w:rPr>
  </w:style>
  <w:style w:type="paragraph" w:styleId="Zgradbadokumenta">
    <w:name w:val="Document Map"/>
    <w:basedOn w:val="Navaden"/>
    <w:link w:val="ZgradbadokumentaZnak"/>
    <w:rsid w:val="00724028"/>
    <w:rPr>
      <w:rFonts w:ascii="Tahoma" w:hAnsi="Tahoma"/>
      <w:sz w:val="16"/>
      <w:szCs w:val="16"/>
    </w:rPr>
  </w:style>
  <w:style w:type="character" w:customStyle="1" w:styleId="ZgradbadokumentaZnak">
    <w:name w:val="Zgradba dokumenta Znak"/>
    <w:basedOn w:val="Privzetapisavaodstavka"/>
    <w:link w:val="Zgradbadokumenta"/>
    <w:rsid w:val="00724028"/>
    <w:rPr>
      <w:rFonts w:ascii="Tahoma" w:eastAsia="Times New Roman" w:hAnsi="Tahoma" w:cs="Times New Roman"/>
      <w:sz w:val="16"/>
      <w:szCs w:val="16"/>
      <w:lang w:val="en-US"/>
    </w:rPr>
  </w:style>
  <w:style w:type="table" w:styleId="Tabelamrea">
    <w:name w:val="Table Grid"/>
    <w:basedOn w:val="Navadnatabela"/>
    <w:uiPriority w:val="39"/>
    <w:rsid w:val="007240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24028"/>
    <w:pPr>
      <w:tabs>
        <w:tab w:val="left" w:pos="1701"/>
      </w:tabs>
    </w:pPr>
    <w:rPr>
      <w:szCs w:val="20"/>
      <w:lang w:val="sl-SI" w:eastAsia="sl-SI"/>
    </w:rPr>
  </w:style>
  <w:style w:type="paragraph" w:customStyle="1" w:styleId="ZADEVA">
    <w:name w:val="ZADEVA"/>
    <w:basedOn w:val="Navaden"/>
    <w:qFormat/>
    <w:rsid w:val="00724028"/>
    <w:pPr>
      <w:tabs>
        <w:tab w:val="left" w:pos="1701"/>
      </w:tabs>
      <w:ind w:left="1701" w:hanging="1701"/>
    </w:pPr>
    <w:rPr>
      <w:b/>
      <w:lang w:val="it-IT"/>
    </w:rPr>
  </w:style>
  <w:style w:type="character" w:styleId="Hiperpovezava">
    <w:name w:val="Hyperlink"/>
    <w:rsid w:val="00724028"/>
    <w:rPr>
      <w:color w:val="0000FF"/>
      <w:u w:val="single"/>
    </w:rPr>
  </w:style>
  <w:style w:type="paragraph" w:customStyle="1" w:styleId="podpisi">
    <w:name w:val="podpisi"/>
    <w:basedOn w:val="Navaden"/>
    <w:qFormat/>
    <w:rsid w:val="00724028"/>
    <w:pPr>
      <w:tabs>
        <w:tab w:val="left" w:pos="3402"/>
      </w:tabs>
    </w:pPr>
    <w:rPr>
      <w:lang w:val="it-IT"/>
    </w:rPr>
  </w:style>
  <w:style w:type="paragraph" w:styleId="Navadensplet">
    <w:name w:val="Normal (Web)"/>
    <w:basedOn w:val="Navaden"/>
    <w:uiPriority w:val="99"/>
    <w:rsid w:val="00724028"/>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_predpisa"/>
    <w:basedOn w:val="Navaden"/>
    <w:link w:val="NaslovpredpisaZnak"/>
    <w:qFormat/>
    <w:rsid w:val="00724028"/>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724028"/>
    <w:rPr>
      <w:rFonts w:ascii="Arial" w:eastAsia="Times New Roman" w:hAnsi="Arial" w:cs="Arial"/>
      <w:b/>
      <w:lang w:eastAsia="sl-SI"/>
    </w:rPr>
  </w:style>
  <w:style w:type="paragraph" w:customStyle="1" w:styleId="Poglavje">
    <w:name w:val="Poglavje"/>
    <w:basedOn w:val="Navaden"/>
    <w:qFormat/>
    <w:rsid w:val="0072402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72402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724028"/>
    <w:rPr>
      <w:rFonts w:ascii="Arial" w:eastAsia="Times New Roman" w:hAnsi="Arial" w:cs="Arial"/>
      <w:lang w:eastAsia="sl-SI"/>
    </w:rPr>
  </w:style>
  <w:style w:type="paragraph" w:customStyle="1" w:styleId="Oddelek">
    <w:name w:val="Oddelek"/>
    <w:basedOn w:val="Navaden"/>
    <w:link w:val="OddelekZnak1"/>
    <w:qFormat/>
    <w:rsid w:val="00724028"/>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724028"/>
    <w:rPr>
      <w:rFonts w:ascii="Arial" w:eastAsia="Times New Roman" w:hAnsi="Arial" w:cs="Times New Roman"/>
      <w:b/>
      <w:lang w:val="x-none" w:eastAsia="x-none"/>
    </w:rPr>
  </w:style>
  <w:style w:type="paragraph" w:customStyle="1" w:styleId="Vrstapredpisa">
    <w:name w:val="Vrsta predpisa"/>
    <w:basedOn w:val="Navaden"/>
    <w:link w:val="VrstapredpisaZnak"/>
    <w:qFormat/>
    <w:rsid w:val="0072402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724028"/>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724028"/>
    <w:pPr>
      <w:numPr>
        <w:numId w:val="10"/>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724028"/>
    <w:rPr>
      <w:rFonts w:ascii="Arial" w:eastAsia="Times New Roman" w:hAnsi="Arial" w:cs="Times New Roman"/>
      <w:lang w:val="x-none" w:eastAsia="x-none"/>
    </w:rPr>
  </w:style>
  <w:style w:type="paragraph" w:customStyle="1" w:styleId="Odstavekseznama1">
    <w:name w:val="Odstavek seznama1"/>
    <w:basedOn w:val="Navaden"/>
    <w:qFormat/>
    <w:rsid w:val="00724028"/>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724028"/>
    <w:pPr>
      <w:tabs>
        <w:tab w:val="num" w:pos="360"/>
      </w:tabs>
      <w:overflowPunct w:val="0"/>
      <w:autoSpaceDE w:val="0"/>
      <w:autoSpaceDN w:val="0"/>
      <w:adjustRightInd w:val="0"/>
      <w:spacing w:line="200" w:lineRule="exact"/>
      <w:ind w:left="360" w:hanging="360"/>
      <w:jc w:val="both"/>
      <w:textAlignment w:val="baseline"/>
    </w:pPr>
    <w:rPr>
      <w:sz w:val="22"/>
      <w:szCs w:val="22"/>
      <w:lang w:val="x-none" w:eastAsia="x-none"/>
    </w:rPr>
  </w:style>
  <w:style w:type="character" w:customStyle="1" w:styleId="AlineazatokoZnak">
    <w:name w:val="Alinea za točko Znak"/>
    <w:link w:val="Alineazatoko"/>
    <w:rsid w:val="00724028"/>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724028"/>
    <w:rPr>
      <w:rFonts w:ascii="Arial" w:hAnsi="Arial"/>
      <w:lang w:val="sl-SI" w:eastAsia="x-none"/>
    </w:rPr>
  </w:style>
  <w:style w:type="paragraph" w:customStyle="1" w:styleId="rkovnatokazaodstavkom">
    <w:name w:val="Črkovna točka_za odstavkom"/>
    <w:basedOn w:val="Navaden"/>
    <w:link w:val="rkovnatokazaodstavkomZnak"/>
    <w:qFormat/>
    <w:rsid w:val="00724028"/>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eastAsia="x-none"/>
    </w:rPr>
  </w:style>
  <w:style w:type="paragraph" w:customStyle="1" w:styleId="Odsek">
    <w:name w:val="Odsek"/>
    <w:basedOn w:val="Oddelek"/>
    <w:link w:val="OdsekZnak"/>
    <w:qFormat/>
    <w:rsid w:val="00724028"/>
    <w:pPr>
      <w:numPr>
        <w:numId w:val="1"/>
      </w:numPr>
      <w:ind w:left="0" w:firstLine="0"/>
    </w:pPr>
  </w:style>
  <w:style w:type="character" w:customStyle="1" w:styleId="OdsekZnak">
    <w:name w:val="Odsek Znak"/>
    <w:basedOn w:val="OddelekZnak1"/>
    <w:link w:val="Odsek"/>
    <w:rsid w:val="00724028"/>
    <w:rPr>
      <w:rFonts w:ascii="Arial" w:eastAsia="Times New Roman" w:hAnsi="Arial" w:cs="Times New Roman"/>
      <w:b/>
      <w:lang w:val="x-none" w:eastAsia="x-none"/>
    </w:rPr>
  </w:style>
  <w:style w:type="paragraph" w:customStyle="1" w:styleId="Odstavekseznama2">
    <w:name w:val="Odstavek seznama2"/>
    <w:basedOn w:val="Navaden"/>
    <w:rsid w:val="00724028"/>
    <w:pPr>
      <w:spacing w:after="200" w:line="276" w:lineRule="auto"/>
      <w:ind w:left="720"/>
      <w:contextualSpacing/>
    </w:pPr>
    <w:rPr>
      <w:rFonts w:ascii="Calibri" w:hAnsi="Calibri"/>
      <w:sz w:val="22"/>
      <w:szCs w:val="22"/>
      <w:lang w:val="sl-SI"/>
    </w:rPr>
  </w:style>
  <w:style w:type="paragraph" w:styleId="Odstavekseznama">
    <w:name w:val="List Paragraph"/>
    <w:basedOn w:val="Navaden"/>
    <w:uiPriority w:val="1"/>
    <w:qFormat/>
    <w:rsid w:val="00724028"/>
    <w:pPr>
      <w:spacing w:line="240" w:lineRule="auto"/>
      <w:ind w:left="720"/>
      <w:contextualSpacing/>
      <w:jc w:val="both"/>
    </w:pPr>
    <w:rPr>
      <w:rFonts w:ascii="Times New Roman" w:hAnsi="Times New Roman"/>
      <w:sz w:val="22"/>
      <w:szCs w:val="20"/>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fn"/>
    <w:basedOn w:val="Navaden"/>
    <w:link w:val="Sprotnaopomba-besediloZnak"/>
    <w:uiPriority w:val="99"/>
    <w:unhideWhenUsed/>
    <w:qFormat/>
    <w:rsid w:val="00724028"/>
    <w:pPr>
      <w:spacing w:line="240" w:lineRule="auto"/>
    </w:pPr>
    <w:rPr>
      <w:rFonts w:ascii="Calibri" w:eastAsia="Calibri" w:hAnsi="Calibri"/>
      <w:szCs w:val="20"/>
      <w:lang w:val="x-none"/>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724028"/>
    <w:rPr>
      <w:rFonts w:ascii="Calibri" w:eastAsia="Calibri" w:hAnsi="Calibri" w:cs="Times New Roman"/>
      <w:sz w:val="20"/>
      <w:szCs w:val="20"/>
      <w:lang w:val="x-none"/>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link w:val="FootnotesymbolCarZchn"/>
    <w:uiPriority w:val="99"/>
    <w:unhideWhenUsed/>
    <w:qFormat/>
    <w:rsid w:val="00724028"/>
    <w:rPr>
      <w:vertAlign w:val="superscript"/>
    </w:rPr>
  </w:style>
  <w:style w:type="paragraph" w:customStyle="1" w:styleId="Point0number">
    <w:name w:val="Point 0 (number)"/>
    <w:basedOn w:val="Navaden"/>
    <w:rsid w:val="00724028"/>
    <w:pPr>
      <w:numPr>
        <w:numId w:val="11"/>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724028"/>
    <w:pPr>
      <w:numPr>
        <w:ilvl w:val="2"/>
        <w:numId w:val="11"/>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724028"/>
    <w:pPr>
      <w:numPr>
        <w:ilvl w:val="4"/>
        <w:numId w:val="11"/>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724028"/>
    <w:pPr>
      <w:numPr>
        <w:ilvl w:val="6"/>
        <w:numId w:val="11"/>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724028"/>
    <w:pPr>
      <w:numPr>
        <w:ilvl w:val="1"/>
        <w:numId w:val="11"/>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724028"/>
    <w:pPr>
      <w:numPr>
        <w:ilvl w:val="3"/>
        <w:numId w:val="11"/>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724028"/>
    <w:pPr>
      <w:numPr>
        <w:ilvl w:val="5"/>
        <w:numId w:val="11"/>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724028"/>
    <w:pPr>
      <w:numPr>
        <w:ilvl w:val="7"/>
        <w:numId w:val="11"/>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724028"/>
    <w:pPr>
      <w:numPr>
        <w:ilvl w:val="8"/>
        <w:numId w:val="11"/>
      </w:numPr>
      <w:spacing w:before="120" w:after="120" w:line="240" w:lineRule="auto"/>
      <w:jc w:val="both"/>
    </w:pPr>
    <w:rPr>
      <w:rFonts w:ascii="Times New Roman" w:hAnsi="Times New Roman"/>
      <w:sz w:val="24"/>
      <w:lang w:val="sl-SI"/>
    </w:rPr>
  </w:style>
  <w:style w:type="paragraph" w:styleId="Revizija">
    <w:name w:val="Revision"/>
    <w:hidden/>
    <w:uiPriority w:val="99"/>
    <w:semiHidden/>
    <w:rsid w:val="00724028"/>
    <w:pPr>
      <w:spacing w:after="0" w:line="240" w:lineRule="auto"/>
    </w:pPr>
    <w:rPr>
      <w:rFonts w:ascii="Arial" w:eastAsia="Times New Roman" w:hAnsi="Arial" w:cs="Times New Roman"/>
      <w:sz w:val="20"/>
      <w:szCs w:val="24"/>
    </w:rPr>
  </w:style>
  <w:style w:type="paragraph" w:customStyle="1" w:styleId="len">
    <w:name w:val="Člen"/>
    <w:basedOn w:val="Navaden"/>
    <w:link w:val="lenZnak"/>
    <w:qFormat/>
    <w:rsid w:val="00724028"/>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paragraph" w:customStyle="1" w:styleId="tevilnatoka111">
    <w:name w:val="Številčna točka 1.1.1"/>
    <w:basedOn w:val="Navaden"/>
    <w:qFormat/>
    <w:rsid w:val="00724028"/>
    <w:pPr>
      <w:widowControl w:val="0"/>
      <w:numPr>
        <w:ilvl w:val="2"/>
        <w:numId w:val="15"/>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
    <w:rsid w:val="00724028"/>
    <w:rPr>
      <w:rFonts w:ascii="Arial" w:eastAsia="Times New Roman" w:hAnsi="Arial" w:cs="Times New Roman"/>
      <w:b/>
      <w:lang w:val="x-none" w:eastAsia="x-none"/>
    </w:rPr>
  </w:style>
  <w:style w:type="paragraph" w:customStyle="1" w:styleId="Odstavek">
    <w:name w:val="Odstavek"/>
    <w:basedOn w:val="Navaden"/>
    <w:link w:val="OdstavekZnak"/>
    <w:qFormat/>
    <w:rsid w:val="00724028"/>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24028"/>
    <w:rPr>
      <w:rFonts w:ascii="Arial" w:eastAsia="Times New Roman" w:hAnsi="Arial" w:cs="Times New Roman"/>
      <w:lang w:val="x-none" w:eastAsia="x-none"/>
    </w:rPr>
  </w:style>
  <w:style w:type="paragraph" w:customStyle="1" w:styleId="Prehodneinkoncnedolocbe">
    <w:name w:val="Prehodne in koncne dolocbe"/>
    <w:basedOn w:val="Navaden"/>
    <w:rsid w:val="00724028"/>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tevilnatoka">
    <w:name w:val="Številčna točka"/>
    <w:basedOn w:val="Navaden"/>
    <w:link w:val="tevilnatokaZnak"/>
    <w:qFormat/>
    <w:rsid w:val="00724028"/>
    <w:pPr>
      <w:numPr>
        <w:numId w:val="15"/>
      </w:numPr>
      <w:spacing w:line="240" w:lineRule="auto"/>
      <w:jc w:val="both"/>
    </w:pPr>
    <w:rPr>
      <w:sz w:val="22"/>
      <w:szCs w:val="22"/>
      <w:lang w:val="x-none" w:eastAsia="x-none"/>
    </w:rPr>
  </w:style>
  <w:style w:type="character" w:customStyle="1" w:styleId="tevilnatokaZnak">
    <w:name w:val="Številčna točka Znak"/>
    <w:link w:val="tevilnatoka"/>
    <w:rsid w:val="00724028"/>
    <w:rPr>
      <w:rFonts w:ascii="Arial" w:eastAsia="Times New Roman" w:hAnsi="Arial" w:cs="Times New Roman"/>
      <w:lang w:val="x-none" w:eastAsia="x-none"/>
    </w:rPr>
  </w:style>
  <w:style w:type="paragraph" w:customStyle="1" w:styleId="lennaslov">
    <w:name w:val="Člen_naslov"/>
    <w:basedOn w:val="len"/>
    <w:qFormat/>
    <w:rsid w:val="00724028"/>
    <w:pPr>
      <w:spacing w:before="0"/>
    </w:pPr>
  </w:style>
  <w:style w:type="paragraph" w:customStyle="1" w:styleId="tevilnatoka11Nova">
    <w:name w:val="Številčna točka 1.1 Nova"/>
    <w:basedOn w:val="tevilnatoka"/>
    <w:qFormat/>
    <w:rsid w:val="00724028"/>
    <w:pPr>
      <w:numPr>
        <w:ilvl w:val="1"/>
      </w:numPr>
    </w:pPr>
  </w:style>
  <w:style w:type="paragraph" w:customStyle="1" w:styleId="rkovnatokazatevilnotokoi">
    <w:name w:val="Črkovna točka za številčno točko (i)"/>
    <w:rsid w:val="00724028"/>
    <w:pPr>
      <w:numPr>
        <w:numId w:val="13"/>
      </w:numPr>
      <w:spacing w:after="0" w:line="240" w:lineRule="auto"/>
    </w:pPr>
    <w:rPr>
      <w:rFonts w:ascii="Arial" w:eastAsia="Times New Roman" w:hAnsi="Arial" w:cs="Arial"/>
      <w:lang w:eastAsia="sl-SI"/>
    </w:rPr>
  </w:style>
  <w:style w:type="paragraph" w:customStyle="1" w:styleId="rkovnatokazatevilnotokoA">
    <w:name w:val="Črkovna točka za številčno točko (A)"/>
    <w:qFormat/>
    <w:rsid w:val="00724028"/>
    <w:pPr>
      <w:numPr>
        <w:numId w:val="14"/>
      </w:numPr>
      <w:spacing w:after="0" w:line="240" w:lineRule="auto"/>
      <w:jc w:val="both"/>
    </w:pPr>
    <w:rPr>
      <w:rFonts w:ascii="Arial" w:eastAsia="Times New Roman" w:hAnsi="Arial" w:cs="Times New Roman"/>
      <w:szCs w:val="16"/>
      <w:lang w:eastAsia="sl-SI"/>
    </w:rPr>
  </w:style>
  <w:style w:type="paragraph" w:customStyle="1" w:styleId="odstavek1">
    <w:name w:val="odstavek1"/>
    <w:basedOn w:val="Navaden"/>
    <w:rsid w:val="00724028"/>
    <w:pPr>
      <w:spacing w:before="240" w:line="240" w:lineRule="auto"/>
      <w:ind w:firstLine="1021"/>
      <w:jc w:val="both"/>
    </w:pPr>
    <w:rPr>
      <w:rFonts w:cs="Arial"/>
      <w:sz w:val="22"/>
      <w:szCs w:val="22"/>
      <w:lang w:val="sl-SI" w:eastAsia="sl-SI"/>
    </w:rPr>
  </w:style>
  <w:style w:type="paragraph" w:customStyle="1" w:styleId="len0">
    <w:name w:val="len"/>
    <w:basedOn w:val="Navaden"/>
    <w:rsid w:val="00724028"/>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724028"/>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724028"/>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724028"/>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724028"/>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724028"/>
    <w:pPr>
      <w:spacing w:after="160" w:line="240" w:lineRule="exact"/>
    </w:pPr>
    <w:rPr>
      <w:rFonts w:ascii="Tahoma" w:hAnsi="Tahoma"/>
      <w:szCs w:val="20"/>
      <w:lang w:val="sl-SI"/>
    </w:rPr>
  </w:style>
  <w:style w:type="paragraph" w:styleId="Golobesedilo">
    <w:name w:val="Plain Text"/>
    <w:basedOn w:val="Navaden"/>
    <w:link w:val="GolobesediloZnak"/>
    <w:rsid w:val="00724028"/>
    <w:pPr>
      <w:spacing w:line="240" w:lineRule="auto"/>
    </w:pPr>
    <w:rPr>
      <w:rFonts w:ascii="Courier New" w:hAnsi="Courier New"/>
      <w:szCs w:val="20"/>
      <w:lang w:val="x-none" w:eastAsia="x-none"/>
    </w:rPr>
  </w:style>
  <w:style w:type="character" w:customStyle="1" w:styleId="GolobesediloZnak">
    <w:name w:val="Golo besedilo Znak"/>
    <w:basedOn w:val="Privzetapisavaodstavka"/>
    <w:link w:val="Golobesedilo"/>
    <w:rsid w:val="00724028"/>
    <w:rPr>
      <w:rFonts w:ascii="Courier New" w:eastAsia="Times New Roman" w:hAnsi="Courier New" w:cs="Times New Roman"/>
      <w:sz w:val="20"/>
      <w:szCs w:val="20"/>
      <w:lang w:val="x-none" w:eastAsia="x-none"/>
    </w:rPr>
  </w:style>
  <w:style w:type="paragraph" w:customStyle="1" w:styleId="normal1">
    <w:name w:val="normal1"/>
    <w:basedOn w:val="Navaden"/>
    <w:rsid w:val="00724028"/>
    <w:pPr>
      <w:spacing w:line="240" w:lineRule="auto"/>
      <w:jc w:val="both"/>
    </w:pPr>
    <w:rPr>
      <w:rFonts w:ascii="Times New Roman" w:hAnsi="Times New Roman"/>
      <w:sz w:val="24"/>
      <w:lang w:val="sl-SI" w:eastAsia="sl-SI"/>
    </w:rPr>
  </w:style>
  <w:style w:type="character" w:customStyle="1" w:styleId="footnotereference">
    <w:name w:val="footnotereference"/>
    <w:rsid w:val="00724028"/>
  </w:style>
  <w:style w:type="character" w:customStyle="1" w:styleId="num">
    <w:name w:val="num"/>
    <w:rsid w:val="00724028"/>
  </w:style>
  <w:style w:type="paragraph" w:customStyle="1" w:styleId="typedudocumentcp2">
    <w:name w:val="typedudocument_cp2"/>
    <w:basedOn w:val="Navaden"/>
    <w:rsid w:val="00724028"/>
    <w:pPr>
      <w:spacing w:line="240" w:lineRule="auto"/>
      <w:jc w:val="center"/>
    </w:pPr>
    <w:rPr>
      <w:rFonts w:ascii="Times New Roman" w:hAnsi="Times New Roman"/>
      <w:b/>
      <w:bCs/>
      <w:sz w:val="24"/>
      <w:lang w:val="sl-SI" w:eastAsia="sl-SI"/>
    </w:rPr>
  </w:style>
  <w:style w:type="paragraph" w:customStyle="1" w:styleId="titreobjetcp2">
    <w:name w:val="titreobjet_cp2"/>
    <w:basedOn w:val="Navaden"/>
    <w:rsid w:val="00724028"/>
    <w:pPr>
      <w:spacing w:line="240" w:lineRule="auto"/>
      <w:jc w:val="center"/>
    </w:pPr>
    <w:rPr>
      <w:rFonts w:ascii="Times New Roman" w:hAnsi="Times New Roman"/>
      <w:b/>
      <w:bCs/>
      <w:sz w:val="24"/>
      <w:lang w:val="sl-SI" w:eastAsia="sl-SI"/>
    </w:rPr>
  </w:style>
  <w:style w:type="paragraph" w:customStyle="1" w:styleId="Alineazatevilnotoko">
    <w:name w:val="Alinea za številčno točko"/>
    <w:basedOn w:val="Alineazaodstavkom"/>
    <w:link w:val="AlineazatevilnotokoZnak"/>
    <w:qFormat/>
    <w:rsid w:val="00724028"/>
    <w:pPr>
      <w:numPr>
        <w:numId w:val="0"/>
      </w:numPr>
      <w:tabs>
        <w:tab w:val="left" w:pos="567"/>
      </w:tabs>
      <w:overflowPunct/>
      <w:autoSpaceDE/>
      <w:autoSpaceDN/>
      <w:adjustRightInd/>
      <w:spacing w:line="240" w:lineRule="auto"/>
      <w:ind w:left="567" w:hanging="142"/>
      <w:textAlignment w:val="auto"/>
    </w:pPr>
    <w:rPr>
      <w:lang w:val="sl-SI"/>
    </w:rPr>
  </w:style>
  <w:style w:type="character" w:customStyle="1" w:styleId="AlineazatevilnotokoZnak">
    <w:name w:val="Alinea za številčno točko Znak"/>
    <w:link w:val="Alineazatevilnotoko"/>
    <w:rsid w:val="00724028"/>
    <w:rPr>
      <w:rFonts w:ascii="Arial" w:eastAsia="Times New Roman" w:hAnsi="Arial" w:cs="Times New Roman"/>
      <w:lang w:val="sl-SI" w:eastAsia="x-none"/>
    </w:rPr>
  </w:style>
  <w:style w:type="paragraph" w:customStyle="1" w:styleId="Zamaknjenadolobaprvinivo">
    <w:name w:val="Zamaknjena določba_prvi nivo"/>
    <w:basedOn w:val="Alineazaodstavkom"/>
    <w:link w:val="ZamaknjenadolobaprvinivoZnak"/>
    <w:qFormat/>
    <w:rsid w:val="00724028"/>
    <w:pPr>
      <w:numPr>
        <w:numId w:val="0"/>
      </w:numPr>
      <w:overflowPunct/>
      <w:autoSpaceDE/>
      <w:autoSpaceDN/>
      <w:adjustRightInd/>
      <w:spacing w:line="240" w:lineRule="auto"/>
      <w:textAlignment w:val="auto"/>
    </w:pPr>
  </w:style>
  <w:style w:type="character" w:customStyle="1" w:styleId="ZamaknjenadolobaprvinivoZnak">
    <w:name w:val="Zamaknjena določba_prvi nivo Znak"/>
    <w:link w:val="Zamaknjenadolobaprvinivo"/>
    <w:rsid w:val="00724028"/>
    <w:rPr>
      <w:rFonts w:ascii="Arial" w:eastAsia="Times New Roman" w:hAnsi="Arial" w:cs="Times New Roman"/>
      <w:lang w:val="x-none" w:eastAsia="x-none"/>
    </w:rPr>
  </w:style>
  <w:style w:type="paragraph" w:styleId="HTML-oblikovano">
    <w:name w:val="HTML Preformatted"/>
    <w:basedOn w:val="Navaden"/>
    <w:link w:val="HTML-oblikovanoZnak"/>
    <w:rsid w:val="0072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olor w:val="000000"/>
      <w:sz w:val="18"/>
      <w:szCs w:val="18"/>
      <w:lang w:val="en-GB"/>
    </w:rPr>
  </w:style>
  <w:style w:type="character" w:customStyle="1" w:styleId="HTML-oblikovanoZnak">
    <w:name w:val="HTML-oblikovano Znak"/>
    <w:basedOn w:val="Privzetapisavaodstavka"/>
    <w:link w:val="HTML-oblikovano"/>
    <w:rsid w:val="00724028"/>
    <w:rPr>
      <w:rFonts w:ascii="Courier New" w:eastAsia="Arial Unicode MS" w:hAnsi="Courier New" w:cs="Times New Roman"/>
      <w:color w:val="000000"/>
      <w:sz w:val="18"/>
      <w:szCs w:val="18"/>
      <w:lang w:val="en-GB"/>
    </w:rPr>
  </w:style>
  <w:style w:type="paragraph" w:customStyle="1" w:styleId="c36centre">
    <w:name w:val="c36centre"/>
    <w:basedOn w:val="Navaden"/>
    <w:rsid w:val="00724028"/>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uiPriority w:val="99"/>
    <w:rsid w:val="00724028"/>
    <w:rPr>
      <w:sz w:val="16"/>
      <w:szCs w:val="16"/>
    </w:rPr>
  </w:style>
  <w:style w:type="paragraph" w:styleId="Pripombabesedilo">
    <w:name w:val="annotation text"/>
    <w:basedOn w:val="Navaden"/>
    <w:link w:val="PripombabesediloZnak"/>
    <w:uiPriority w:val="99"/>
    <w:rsid w:val="00724028"/>
    <w:rPr>
      <w:szCs w:val="20"/>
    </w:rPr>
  </w:style>
  <w:style w:type="character" w:customStyle="1" w:styleId="PripombabesediloZnak">
    <w:name w:val="Pripomba – besedilo Znak"/>
    <w:basedOn w:val="Privzetapisavaodstavka"/>
    <w:link w:val="Pripombabesedilo"/>
    <w:uiPriority w:val="99"/>
    <w:rsid w:val="00724028"/>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rsid w:val="00724028"/>
    <w:rPr>
      <w:b/>
      <w:bCs/>
    </w:rPr>
  </w:style>
  <w:style w:type="character" w:customStyle="1" w:styleId="ZadevapripombeZnak">
    <w:name w:val="Zadeva pripombe Znak"/>
    <w:basedOn w:val="PripombabesediloZnak"/>
    <w:link w:val="Zadevapripombe"/>
    <w:rsid w:val="00724028"/>
    <w:rPr>
      <w:rFonts w:ascii="Arial" w:eastAsia="Times New Roman" w:hAnsi="Arial" w:cs="Times New Roman"/>
      <w:b/>
      <w:bCs/>
      <w:sz w:val="20"/>
      <w:szCs w:val="20"/>
      <w:lang w:val="en-US"/>
    </w:rPr>
  </w:style>
  <w:style w:type="paragraph" w:customStyle="1" w:styleId="alineazaodstavkom1">
    <w:name w:val="alineazaodstavkom1"/>
    <w:basedOn w:val="Navaden"/>
    <w:rsid w:val="00724028"/>
    <w:pPr>
      <w:spacing w:line="240" w:lineRule="auto"/>
      <w:ind w:left="425" w:hanging="425"/>
      <w:jc w:val="both"/>
    </w:pPr>
    <w:rPr>
      <w:rFonts w:cs="Arial"/>
      <w:sz w:val="22"/>
      <w:szCs w:val="22"/>
      <w:lang w:val="sl-SI" w:eastAsia="sl-SI"/>
    </w:rPr>
  </w:style>
  <w:style w:type="paragraph" w:customStyle="1" w:styleId="lennaslov1">
    <w:name w:val="lennaslov1"/>
    <w:basedOn w:val="Navaden"/>
    <w:rsid w:val="00724028"/>
    <w:pPr>
      <w:spacing w:line="240" w:lineRule="auto"/>
      <w:jc w:val="center"/>
    </w:pPr>
    <w:rPr>
      <w:rFonts w:cs="Arial"/>
      <w:b/>
      <w:bCs/>
      <w:sz w:val="22"/>
      <w:szCs w:val="22"/>
      <w:lang w:val="sl-SI" w:eastAsia="sl-SI"/>
    </w:rPr>
  </w:style>
  <w:style w:type="paragraph" w:customStyle="1" w:styleId="lennovele">
    <w:name w:val="Člen_novele"/>
    <w:basedOn w:val="len"/>
    <w:link w:val="lennoveleZnak"/>
    <w:qFormat/>
    <w:rsid w:val="00724028"/>
    <w:rPr>
      <w:b w:val="0"/>
    </w:rPr>
  </w:style>
  <w:style w:type="character" w:customStyle="1" w:styleId="lennoveleZnak">
    <w:name w:val="Člen_novele Znak"/>
    <w:link w:val="lennovele"/>
    <w:rsid w:val="00724028"/>
    <w:rPr>
      <w:rFonts w:ascii="Arial" w:eastAsia="Times New Roman" w:hAnsi="Arial" w:cs="Times New Roman"/>
      <w:lang w:val="x-none" w:eastAsia="x-none"/>
    </w:rPr>
  </w:style>
  <w:style w:type="paragraph" w:customStyle="1" w:styleId="Navaden1">
    <w:name w:val="Navaden1"/>
    <w:rsid w:val="00724028"/>
    <w:pPr>
      <w:spacing w:after="0" w:line="240" w:lineRule="auto"/>
    </w:pPr>
    <w:rPr>
      <w:rFonts w:ascii="Times New Roman" w:eastAsia="Times New Roman" w:hAnsi="Times New Roman" w:cs="Times New Roman"/>
      <w:color w:val="000000"/>
      <w:sz w:val="24"/>
      <w:szCs w:val="24"/>
      <w:lang w:eastAsia="sl-SI"/>
    </w:rPr>
  </w:style>
  <w:style w:type="paragraph" w:customStyle="1" w:styleId="len1">
    <w:name w:val="len1"/>
    <w:basedOn w:val="Navaden"/>
    <w:rsid w:val="00724028"/>
    <w:pPr>
      <w:spacing w:before="480" w:line="240" w:lineRule="auto"/>
      <w:jc w:val="center"/>
    </w:pPr>
    <w:rPr>
      <w:rFonts w:cs="Arial"/>
      <w:b/>
      <w:bCs/>
      <w:sz w:val="22"/>
      <w:szCs w:val="22"/>
      <w:lang w:val="sl-SI" w:eastAsia="sl-SI"/>
    </w:rPr>
  </w:style>
  <w:style w:type="paragraph" w:customStyle="1" w:styleId="alineazatevilnotoko1">
    <w:name w:val="alineazatevilnotoko1"/>
    <w:basedOn w:val="Navaden"/>
    <w:rsid w:val="00724028"/>
    <w:pPr>
      <w:spacing w:line="240" w:lineRule="auto"/>
      <w:ind w:left="567" w:hanging="142"/>
      <w:jc w:val="both"/>
    </w:pPr>
    <w:rPr>
      <w:rFonts w:cs="Arial"/>
      <w:sz w:val="22"/>
      <w:szCs w:val="22"/>
      <w:lang w:val="sl-SI" w:eastAsia="sl-SI"/>
    </w:rPr>
  </w:style>
  <w:style w:type="paragraph" w:customStyle="1" w:styleId="tevilnatoka1">
    <w:name w:val="tevilnatoka1"/>
    <w:basedOn w:val="Navaden"/>
    <w:rsid w:val="00724028"/>
    <w:pPr>
      <w:spacing w:line="240" w:lineRule="auto"/>
      <w:ind w:left="425" w:hanging="425"/>
      <w:jc w:val="both"/>
    </w:pPr>
    <w:rPr>
      <w:rFonts w:cs="Arial"/>
      <w:sz w:val="22"/>
      <w:szCs w:val="22"/>
      <w:lang w:val="sl-SI" w:eastAsia="sl-SI"/>
    </w:rPr>
  </w:style>
  <w:style w:type="character" w:styleId="Nerazreenaomemba">
    <w:name w:val="Unresolved Mention"/>
    <w:uiPriority w:val="99"/>
    <w:semiHidden/>
    <w:unhideWhenUsed/>
    <w:rsid w:val="00724028"/>
    <w:rPr>
      <w:color w:val="605E5C"/>
      <w:shd w:val="clear" w:color="auto" w:fill="E1DFDD"/>
    </w:rPr>
  </w:style>
  <w:style w:type="character" w:customStyle="1" w:styleId="tlid-translation">
    <w:name w:val="tlid-translation"/>
    <w:rsid w:val="0072402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724028"/>
    <w:pPr>
      <w:spacing w:after="160" w:line="240" w:lineRule="exact"/>
      <w:jc w:val="both"/>
    </w:pPr>
    <w:rPr>
      <w:rFonts w:asciiTheme="minorHAnsi" w:eastAsiaTheme="minorHAnsi" w:hAnsiTheme="minorHAnsi" w:cstheme="minorBidi"/>
      <w:sz w:val="22"/>
      <w:szCs w:val="22"/>
      <w:vertAlign w:val="superscript"/>
      <w:lang w:val="sl-SI"/>
    </w:rPr>
  </w:style>
  <w:style w:type="character" w:styleId="SledenaHiperpovezava">
    <w:name w:val="FollowedHyperlink"/>
    <w:rsid w:val="00724028"/>
    <w:rPr>
      <w:color w:val="954F72"/>
      <w:u w:val="single"/>
    </w:rPr>
  </w:style>
  <w:style w:type="paragraph" w:customStyle="1" w:styleId="Podpisnik">
    <w:name w:val="Podpisnik"/>
    <w:basedOn w:val="Navaden"/>
    <w:link w:val="PodpisnikZnak"/>
    <w:qFormat/>
    <w:rsid w:val="00724028"/>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PodpisnikZnak">
    <w:name w:val="Podpisnik Znak"/>
    <w:link w:val="Podpisnik"/>
    <w:rsid w:val="00724028"/>
    <w:rPr>
      <w:rFonts w:ascii="Arial" w:eastAsia="Times New Roman" w:hAnsi="Arial" w:cs="Times New Roman"/>
      <w:lang w:val="x-none" w:eastAsia="x-none"/>
    </w:rPr>
  </w:style>
  <w:style w:type="paragraph" w:customStyle="1" w:styleId="Default">
    <w:name w:val="Default"/>
    <w:rsid w:val="00724028"/>
    <w:pPr>
      <w:autoSpaceDE w:val="0"/>
      <w:autoSpaceDN w:val="0"/>
      <w:adjustRightInd w:val="0"/>
      <w:spacing w:after="0" w:line="240" w:lineRule="auto"/>
    </w:pPr>
    <w:rPr>
      <w:rFonts w:ascii="Arial" w:eastAsia="Times New Roman" w:hAnsi="Arial" w:cs="Arial"/>
      <w:color w:val="000000"/>
      <w:sz w:val="24"/>
      <w:szCs w:val="24"/>
      <w:lang w:eastAsia="sl-SI"/>
    </w:rPr>
  </w:style>
  <w:style w:type="table" w:customStyle="1" w:styleId="TableNormal">
    <w:name w:val="Table Normal"/>
    <w:uiPriority w:val="2"/>
    <w:semiHidden/>
    <w:unhideWhenUsed/>
    <w:qFormat/>
    <w:rsid w:val="0072402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724028"/>
    <w:pPr>
      <w:widowControl w:val="0"/>
      <w:autoSpaceDE w:val="0"/>
      <w:autoSpaceDN w:val="0"/>
      <w:spacing w:before="116" w:line="240" w:lineRule="auto"/>
      <w:ind w:left="5"/>
    </w:pPr>
    <w:rPr>
      <w:rFonts w:ascii="Georgia" w:eastAsia="Georgia" w:hAnsi="Georgia" w:cs="Georgia"/>
      <w:sz w:val="22"/>
      <w:szCs w:val="22"/>
      <w:lang w:val="sl-SI"/>
    </w:rPr>
  </w:style>
  <w:style w:type="character" w:styleId="Poudarek">
    <w:name w:val="Emphasis"/>
    <w:uiPriority w:val="20"/>
    <w:qFormat/>
    <w:rsid w:val="007240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E47B39-18E7-47BE-9D16-DEC78081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3541</Words>
  <Characters>20184</Characters>
  <Application>Microsoft Office Word</Application>
  <DocSecurity>0</DocSecurity>
  <Lines>168</Lines>
  <Paragraphs>47</Paragraphs>
  <ScaleCrop>false</ScaleCrop>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Nuša Peperko</dc:creator>
  <cp:keywords/>
  <dc:description/>
  <cp:lastModifiedBy>Nuša Peperko</cp:lastModifiedBy>
  <cp:revision>7</cp:revision>
  <dcterms:created xsi:type="dcterms:W3CDTF">2021-04-12T08:34:00Z</dcterms:created>
  <dcterms:modified xsi:type="dcterms:W3CDTF">2021-04-13T12:07:00Z</dcterms:modified>
</cp:coreProperties>
</file>