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EA" w:rsidRDefault="007135EA" w:rsidP="007135EA">
      <w:pPr>
        <w:spacing w:line="240" w:lineRule="auto"/>
        <w:ind w:left="6372" w:firstLine="708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ind w:left="6372" w:firstLine="708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ind w:left="6372" w:firstLine="708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ind w:left="6372" w:firstLine="708"/>
        <w:rPr>
          <w:rFonts w:cs="Arial"/>
          <w:b/>
          <w:lang w:eastAsia="sl-SI"/>
        </w:rPr>
      </w:pPr>
    </w:p>
    <w:p w:rsidR="007135EA" w:rsidRPr="00F73057" w:rsidRDefault="007135EA" w:rsidP="007135EA">
      <w:pPr>
        <w:spacing w:line="240" w:lineRule="auto"/>
        <w:jc w:val="center"/>
        <w:rPr>
          <w:rFonts w:cs="Arial"/>
          <w:b/>
          <w:sz w:val="24"/>
          <w:lang w:eastAsia="sl-SI"/>
        </w:rPr>
      </w:pPr>
      <w:r w:rsidRPr="00F73057">
        <w:rPr>
          <w:rFonts w:cs="Arial"/>
          <w:b/>
          <w:sz w:val="24"/>
          <w:lang w:eastAsia="sl-SI"/>
        </w:rPr>
        <w:t xml:space="preserve">Predlog za javno obravnavo – </w:t>
      </w:r>
      <w:r w:rsidR="00512C9B">
        <w:rPr>
          <w:rFonts w:cs="Arial"/>
          <w:b/>
          <w:sz w:val="24"/>
          <w:lang w:eastAsia="sl-SI"/>
        </w:rPr>
        <w:t>8</w:t>
      </w:r>
      <w:r w:rsidRPr="00F73057">
        <w:rPr>
          <w:rFonts w:cs="Arial"/>
          <w:b/>
          <w:sz w:val="24"/>
          <w:lang w:eastAsia="sl-SI"/>
        </w:rPr>
        <w:t>.1.2021</w:t>
      </w:r>
    </w:p>
    <w:p w:rsidR="007135EA" w:rsidRDefault="007135EA" w:rsidP="007135EA">
      <w:pPr>
        <w:spacing w:line="240" w:lineRule="auto"/>
        <w:ind w:left="6372" w:firstLine="708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ind w:left="6372" w:firstLine="708"/>
        <w:rPr>
          <w:rFonts w:cs="Arial"/>
          <w:b/>
          <w:lang w:eastAsia="sl-SI"/>
        </w:rPr>
      </w:pPr>
    </w:p>
    <w:p w:rsidR="007135EA" w:rsidRPr="00CD6BAA" w:rsidRDefault="007135EA" w:rsidP="007135EA">
      <w:pPr>
        <w:spacing w:line="240" w:lineRule="auto"/>
        <w:ind w:left="6372" w:firstLine="708"/>
        <w:rPr>
          <w:rFonts w:cs="Arial"/>
          <w:lang w:eastAsia="sl-SI"/>
        </w:rPr>
      </w:pPr>
      <w:r w:rsidRPr="00CD6BAA">
        <w:rPr>
          <w:rFonts w:cs="Arial"/>
          <w:b/>
          <w:lang w:eastAsia="sl-SI"/>
        </w:rPr>
        <w:t>PREDLOG</w:t>
      </w:r>
    </w:p>
    <w:p w:rsidR="007135EA" w:rsidRDefault="007135EA" w:rsidP="007135EA">
      <w:pPr>
        <w:spacing w:line="240" w:lineRule="auto"/>
        <w:rPr>
          <w:rFonts w:cs="Arial"/>
          <w:b/>
          <w:lang w:eastAsia="sl-SI"/>
        </w:rPr>
      </w:pPr>
      <w:r>
        <w:rPr>
          <w:rFonts w:cs="Arial"/>
          <w:lang w:eastAsia="sl-SI"/>
        </w:rPr>
        <w:tab/>
      </w:r>
      <w:r>
        <w:rPr>
          <w:rFonts w:cs="Arial"/>
          <w:lang w:eastAsia="sl-SI"/>
        </w:rPr>
        <w:tab/>
      </w:r>
      <w:r>
        <w:rPr>
          <w:rFonts w:cs="Arial"/>
          <w:lang w:eastAsia="sl-SI"/>
        </w:rPr>
        <w:tab/>
      </w:r>
      <w:r>
        <w:rPr>
          <w:rFonts w:cs="Arial"/>
          <w:lang w:eastAsia="sl-SI"/>
        </w:rPr>
        <w:tab/>
      </w:r>
      <w:r>
        <w:rPr>
          <w:rFonts w:cs="Arial"/>
          <w:lang w:eastAsia="sl-SI"/>
        </w:rPr>
        <w:tab/>
      </w:r>
      <w:r>
        <w:rPr>
          <w:rFonts w:cs="Arial"/>
          <w:lang w:eastAsia="sl-SI"/>
        </w:rPr>
        <w:tab/>
      </w:r>
      <w:r>
        <w:rPr>
          <w:rFonts w:cs="Arial"/>
          <w:lang w:eastAsia="sl-SI"/>
        </w:rPr>
        <w:tab/>
      </w:r>
      <w:r>
        <w:rPr>
          <w:rFonts w:cs="Arial"/>
          <w:lang w:eastAsia="sl-SI"/>
        </w:rPr>
        <w:tab/>
      </w:r>
      <w:r>
        <w:rPr>
          <w:rFonts w:cs="Arial"/>
          <w:lang w:eastAsia="sl-SI"/>
        </w:rPr>
        <w:tab/>
      </w:r>
      <w:r>
        <w:rPr>
          <w:rFonts w:cs="Arial"/>
          <w:b/>
          <w:lang w:eastAsia="sl-SI"/>
        </w:rPr>
        <w:t>(EVA 2021-2430-0005 )</w:t>
      </w:r>
    </w:p>
    <w:p w:rsidR="007135EA" w:rsidRDefault="007135EA" w:rsidP="007135EA">
      <w:pPr>
        <w:spacing w:line="240" w:lineRule="auto"/>
        <w:jc w:val="both"/>
        <w:rPr>
          <w:rFonts w:cs="Arial"/>
          <w:lang w:eastAsia="sl-SI"/>
        </w:rPr>
      </w:pPr>
    </w:p>
    <w:p w:rsidR="007135EA" w:rsidRDefault="007135EA" w:rsidP="007135EA">
      <w:pPr>
        <w:spacing w:line="240" w:lineRule="auto"/>
        <w:jc w:val="both"/>
        <w:rPr>
          <w:rFonts w:cs="Arial"/>
          <w:lang w:eastAsia="sl-SI"/>
        </w:rPr>
      </w:pPr>
    </w:p>
    <w:p w:rsidR="007135EA" w:rsidRDefault="007135EA" w:rsidP="007135EA">
      <w:pPr>
        <w:spacing w:line="240" w:lineRule="auto"/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 xml:space="preserve">Na podlagi drugega odstavka 380. člena Energetskega zakona </w:t>
      </w:r>
      <w:r>
        <w:rPr>
          <w:rFonts w:eastAsia="Calibri" w:cs="Arial"/>
          <w:szCs w:val="20"/>
        </w:rPr>
        <w:t>(Uradni list RS, št. 60/19 – uradno prečiščeno besedilo, 65/20 in 158/20 – ZURE)</w:t>
      </w:r>
      <w:r>
        <w:rPr>
          <w:rFonts w:cs="Arial"/>
          <w:lang w:eastAsia="sl-SI"/>
        </w:rPr>
        <w:t xml:space="preserve"> Vlada Republike Slovenije izdaja</w:t>
      </w:r>
    </w:p>
    <w:p w:rsidR="007135EA" w:rsidRDefault="007135EA" w:rsidP="007135EA">
      <w:pPr>
        <w:spacing w:line="240" w:lineRule="auto"/>
        <w:jc w:val="both"/>
        <w:rPr>
          <w:rFonts w:cs="Arial"/>
          <w:lang w:eastAsia="sl-SI"/>
        </w:rPr>
      </w:pPr>
    </w:p>
    <w:p w:rsidR="007135EA" w:rsidRDefault="007135EA" w:rsidP="007135EA">
      <w:pPr>
        <w:spacing w:line="240" w:lineRule="auto"/>
        <w:jc w:val="both"/>
        <w:rPr>
          <w:rFonts w:cs="Arial"/>
          <w:lang w:eastAsia="sl-SI"/>
        </w:rPr>
      </w:pPr>
    </w:p>
    <w:p w:rsidR="007135EA" w:rsidRDefault="007135EA" w:rsidP="007135EA">
      <w:pPr>
        <w:spacing w:line="240" w:lineRule="auto"/>
        <w:jc w:val="both"/>
        <w:rPr>
          <w:rFonts w:cs="Arial"/>
          <w:lang w:eastAsia="sl-SI"/>
        </w:rPr>
      </w:pPr>
    </w:p>
    <w:p w:rsidR="007135EA" w:rsidRDefault="007135EA" w:rsidP="007135EA">
      <w:pPr>
        <w:spacing w:line="240" w:lineRule="auto"/>
        <w:jc w:val="center"/>
        <w:rPr>
          <w:rFonts w:cs="Arial"/>
          <w:b/>
          <w:lang w:eastAsia="sl-SI"/>
        </w:rPr>
      </w:pPr>
      <w:r>
        <w:rPr>
          <w:rFonts w:cs="Arial"/>
          <w:b/>
          <w:lang w:eastAsia="sl-SI"/>
        </w:rPr>
        <w:t>U R E D B O</w:t>
      </w:r>
    </w:p>
    <w:p w:rsidR="007135EA" w:rsidRDefault="007135EA" w:rsidP="007135EA">
      <w:pPr>
        <w:spacing w:line="240" w:lineRule="auto"/>
        <w:jc w:val="center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jc w:val="center"/>
        <w:rPr>
          <w:rFonts w:cs="Arial"/>
          <w:lang w:eastAsia="sl-SI"/>
        </w:rPr>
      </w:pPr>
      <w:r>
        <w:rPr>
          <w:rFonts w:cs="Arial"/>
          <w:b/>
          <w:lang w:eastAsia="sl-SI"/>
        </w:rPr>
        <w:t>o dopolnitvi Uredbe o obnovljivih virih energije v prometu</w:t>
      </w:r>
    </w:p>
    <w:p w:rsidR="007135EA" w:rsidRDefault="007135EA" w:rsidP="007135EA">
      <w:pPr>
        <w:spacing w:line="240" w:lineRule="auto"/>
        <w:jc w:val="both"/>
        <w:rPr>
          <w:rFonts w:cs="Arial"/>
          <w:lang w:eastAsia="sl-SI"/>
        </w:rPr>
      </w:pPr>
    </w:p>
    <w:p w:rsidR="007135EA" w:rsidRDefault="007135EA" w:rsidP="007135EA">
      <w:pPr>
        <w:spacing w:line="240" w:lineRule="auto"/>
        <w:jc w:val="center"/>
        <w:rPr>
          <w:rFonts w:cs="Arial"/>
          <w:lang w:eastAsia="sl-SI"/>
        </w:rPr>
      </w:pPr>
      <w:r>
        <w:rPr>
          <w:rFonts w:cs="Arial"/>
          <w:lang w:eastAsia="sl-SI"/>
        </w:rPr>
        <w:t>1. člen</w:t>
      </w:r>
    </w:p>
    <w:p w:rsidR="007135EA" w:rsidRDefault="007135EA" w:rsidP="007135EA">
      <w:pPr>
        <w:spacing w:line="240" w:lineRule="auto"/>
        <w:jc w:val="both"/>
        <w:rPr>
          <w:rFonts w:cs="Arial"/>
          <w:lang w:eastAsia="sl-SI"/>
        </w:rPr>
      </w:pPr>
    </w:p>
    <w:p w:rsidR="007135EA" w:rsidRDefault="007135EA" w:rsidP="007135EA">
      <w:pPr>
        <w:spacing w:line="240" w:lineRule="auto"/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 xml:space="preserve">V Uredbi o obnovljivih virih energije </w:t>
      </w:r>
      <w:r>
        <w:rPr>
          <w:rFonts w:cs="Arial"/>
          <w:b/>
          <w:bCs/>
          <w:color w:val="626060"/>
          <w:sz w:val="18"/>
          <w:szCs w:val="18"/>
          <w:shd w:val="clear" w:color="auto" w:fill="FFFFFF"/>
        </w:rPr>
        <w:t>(</w:t>
      </w:r>
      <w:r>
        <w:rPr>
          <w:rFonts w:cs="Arial"/>
          <w:lang w:eastAsia="sl-SI"/>
        </w:rPr>
        <w:t>Uradni list RS, št. </w:t>
      </w:r>
      <w:hyperlink r:id="rId6" w:tgtFrame="_blank" w:tooltip="Uredba o obnovljivih virih energije v prometu" w:history="1">
        <w:r>
          <w:rPr>
            <w:rStyle w:val="Hiperpovezava"/>
            <w:lang w:eastAsia="sl-SI"/>
          </w:rPr>
          <w:t>64/16</w:t>
        </w:r>
      </w:hyperlink>
      <w:r>
        <w:rPr>
          <w:rFonts w:cs="Arial"/>
          <w:lang w:eastAsia="sl-SI"/>
        </w:rPr>
        <w:t>) se v 4. členu v četrti alineji pika nadomesti z vejico in se doda nova peta alineja, ki se glasi: »- v letu 2021 – najmanj 10,00%.«.</w:t>
      </w:r>
    </w:p>
    <w:p w:rsidR="007135EA" w:rsidRDefault="007135EA" w:rsidP="007135EA">
      <w:pPr>
        <w:spacing w:line="240" w:lineRule="auto"/>
        <w:jc w:val="both"/>
        <w:rPr>
          <w:rFonts w:cs="Arial"/>
          <w:lang w:eastAsia="sl-SI"/>
        </w:rPr>
      </w:pPr>
    </w:p>
    <w:p w:rsidR="007135EA" w:rsidRDefault="007135EA" w:rsidP="007135EA">
      <w:pPr>
        <w:spacing w:line="240" w:lineRule="auto"/>
        <w:jc w:val="both"/>
        <w:rPr>
          <w:rFonts w:cs="Arial"/>
          <w:lang w:eastAsia="sl-SI"/>
        </w:rPr>
      </w:pPr>
    </w:p>
    <w:p w:rsidR="007135EA" w:rsidRDefault="007135EA" w:rsidP="007135EA">
      <w:pPr>
        <w:spacing w:line="240" w:lineRule="auto"/>
        <w:jc w:val="center"/>
        <w:rPr>
          <w:rFonts w:cs="Arial"/>
          <w:lang w:eastAsia="sl-SI"/>
        </w:rPr>
      </w:pPr>
      <w:r>
        <w:rPr>
          <w:rFonts w:cs="Arial"/>
          <w:lang w:eastAsia="sl-SI"/>
        </w:rPr>
        <w:t>2. člen</w:t>
      </w:r>
    </w:p>
    <w:p w:rsidR="007135EA" w:rsidRDefault="007135EA" w:rsidP="007135EA">
      <w:pPr>
        <w:spacing w:line="240" w:lineRule="auto"/>
        <w:jc w:val="center"/>
        <w:rPr>
          <w:rFonts w:cs="Arial"/>
          <w:bCs/>
          <w:lang w:eastAsia="sl-SI"/>
        </w:rPr>
      </w:pPr>
      <w:r>
        <w:rPr>
          <w:rFonts w:cs="Arial"/>
          <w:bCs/>
          <w:lang w:eastAsia="sl-SI"/>
        </w:rPr>
        <w:t>(začetek veljavnosti)</w:t>
      </w:r>
    </w:p>
    <w:p w:rsidR="007135EA" w:rsidRDefault="007135EA" w:rsidP="007135EA">
      <w:pPr>
        <w:spacing w:line="240" w:lineRule="auto"/>
        <w:jc w:val="center"/>
        <w:rPr>
          <w:rFonts w:cs="Arial"/>
          <w:bCs/>
          <w:lang w:eastAsia="sl-SI"/>
        </w:rPr>
      </w:pPr>
    </w:p>
    <w:p w:rsidR="007135EA" w:rsidRDefault="007135EA" w:rsidP="007135EA">
      <w:pPr>
        <w:spacing w:line="288" w:lineRule="auto"/>
        <w:jc w:val="both"/>
        <w:rPr>
          <w:rFonts w:cs="Arial"/>
          <w:bCs/>
          <w:lang w:eastAsia="sl-SI"/>
        </w:rPr>
      </w:pPr>
      <w:r>
        <w:rPr>
          <w:rFonts w:cs="Arial"/>
          <w:bCs/>
          <w:lang w:eastAsia="sl-SI"/>
        </w:rPr>
        <w:t>Ta uredba začne veljati naslednji dan po objavi v Uradnem listu Republike Slovenije.</w:t>
      </w:r>
    </w:p>
    <w:p w:rsidR="007135EA" w:rsidRDefault="007135EA" w:rsidP="007135EA">
      <w:pPr>
        <w:spacing w:line="288" w:lineRule="auto"/>
        <w:jc w:val="both"/>
        <w:rPr>
          <w:rFonts w:cs="Arial"/>
          <w:bCs/>
          <w:lang w:eastAsia="sl-SI"/>
        </w:rPr>
      </w:pPr>
    </w:p>
    <w:p w:rsidR="007135EA" w:rsidRDefault="007135EA" w:rsidP="007135EA">
      <w:pPr>
        <w:spacing w:line="240" w:lineRule="auto"/>
        <w:jc w:val="both"/>
        <w:rPr>
          <w:rFonts w:cs="Arial"/>
          <w:bCs/>
          <w:lang w:eastAsia="sl-SI"/>
        </w:rPr>
      </w:pPr>
    </w:p>
    <w:p w:rsidR="007135EA" w:rsidRDefault="007135EA" w:rsidP="007135EA">
      <w:pPr>
        <w:autoSpaceDE w:val="0"/>
        <w:autoSpaceDN w:val="0"/>
        <w:adjustRightInd w:val="0"/>
        <w:spacing w:line="288" w:lineRule="auto"/>
        <w:rPr>
          <w:rFonts w:cs="Arial"/>
          <w:color w:val="000000"/>
          <w:lang w:eastAsia="sl-SI"/>
        </w:rPr>
      </w:pPr>
      <w:r>
        <w:rPr>
          <w:rFonts w:cs="Arial"/>
          <w:lang w:eastAsia="ar-SA"/>
        </w:rPr>
        <w:t xml:space="preserve">Št. </w:t>
      </w:r>
    </w:p>
    <w:p w:rsidR="007135EA" w:rsidRDefault="007135EA" w:rsidP="007135EA">
      <w:pPr>
        <w:suppressAutoHyphens/>
        <w:autoSpaceDE w:val="0"/>
        <w:autoSpaceDN w:val="0"/>
        <w:adjustRightInd w:val="0"/>
        <w:spacing w:line="288" w:lineRule="auto"/>
        <w:rPr>
          <w:rFonts w:cs="Arial"/>
          <w:lang w:eastAsia="ar-SA"/>
        </w:rPr>
      </w:pPr>
      <w:r>
        <w:rPr>
          <w:rFonts w:cs="Arial"/>
          <w:lang w:eastAsia="ar-SA"/>
        </w:rPr>
        <w:t xml:space="preserve">Ljubljana, </w:t>
      </w:r>
    </w:p>
    <w:p w:rsidR="007135EA" w:rsidRDefault="007135EA" w:rsidP="007135EA">
      <w:pPr>
        <w:suppressAutoHyphens/>
        <w:spacing w:line="288" w:lineRule="auto"/>
        <w:rPr>
          <w:rFonts w:cs="Arial"/>
          <w:color w:val="000000"/>
          <w:lang w:eastAsia="sl-SI"/>
        </w:rPr>
      </w:pPr>
      <w:r>
        <w:rPr>
          <w:rFonts w:cs="Arial"/>
          <w:lang w:eastAsia="ar-SA"/>
        </w:rPr>
        <w:t>EVA 2021-2430-0005</w:t>
      </w:r>
    </w:p>
    <w:p w:rsidR="007135EA" w:rsidRDefault="007135EA" w:rsidP="007135EA">
      <w:pPr>
        <w:suppressAutoHyphens/>
        <w:spacing w:line="240" w:lineRule="auto"/>
        <w:rPr>
          <w:rFonts w:cs="Arial"/>
          <w:lang w:eastAsia="ar-SA"/>
        </w:rPr>
      </w:pPr>
    </w:p>
    <w:p w:rsidR="007135EA" w:rsidRDefault="007135EA" w:rsidP="007135EA">
      <w:pPr>
        <w:suppressAutoHyphens/>
        <w:spacing w:line="240" w:lineRule="auto"/>
        <w:rPr>
          <w:rFonts w:cs="Arial"/>
          <w:lang w:eastAsia="ar-SA"/>
        </w:rPr>
      </w:pPr>
    </w:p>
    <w:p w:rsidR="007135EA" w:rsidRPr="00CD6BAA" w:rsidRDefault="007135EA" w:rsidP="007135EA">
      <w:pPr>
        <w:suppressAutoHyphens/>
        <w:spacing w:line="240" w:lineRule="auto"/>
        <w:rPr>
          <w:rFonts w:cs="Arial"/>
          <w:lang w:eastAsia="ar-SA"/>
        </w:rPr>
      </w:pPr>
    </w:p>
    <w:p w:rsidR="007135EA" w:rsidRPr="00CD6BAA" w:rsidRDefault="007135EA" w:rsidP="007135EA">
      <w:pPr>
        <w:suppressAutoHyphens/>
        <w:autoSpaceDE w:val="0"/>
        <w:autoSpaceDN w:val="0"/>
        <w:adjustRightInd w:val="0"/>
        <w:spacing w:line="288" w:lineRule="auto"/>
        <w:ind w:left="5664"/>
        <w:jc w:val="center"/>
        <w:rPr>
          <w:rFonts w:cs="Arial"/>
          <w:lang w:eastAsia="ar-SA"/>
        </w:rPr>
      </w:pPr>
      <w:r w:rsidRPr="00CD6BAA">
        <w:rPr>
          <w:rFonts w:cs="Arial"/>
          <w:lang w:eastAsia="ar-SA"/>
        </w:rPr>
        <w:t>Vlada Republike Slovenije</w:t>
      </w:r>
    </w:p>
    <w:p w:rsidR="007135EA" w:rsidRPr="00CD6BAA" w:rsidRDefault="007135EA" w:rsidP="007135EA">
      <w:pPr>
        <w:suppressAutoHyphens/>
        <w:autoSpaceDE w:val="0"/>
        <w:autoSpaceDN w:val="0"/>
        <w:adjustRightInd w:val="0"/>
        <w:spacing w:line="288" w:lineRule="auto"/>
        <w:ind w:left="5664"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>Janez Janša</w:t>
      </w:r>
    </w:p>
    <w:p w:rsidR="007135EA" w:rsidRPr="00CD6BAA" w:rsidRDefault="007135EA" w:rsidP="007135EA">
      <w:pPr>
        <w:suppressAutoHyphens/>
        <w:autoSpaceDE w:val="0"/>
        <w:autoSpaceDN w:val="0"/>
        <w:adjustRightInd w:val="0"/>
        <w:spacing w:line="288" w:lineRule="auto"/>
        <w:ind w:left="5664"/>
        <w:jc w:val="center"/>
        <w:rPr>
          <w:rFonts w:cs="Arial"/>
          <w:lang w:eastAsia="ar-SA"/>
        </w:rPr>
      </w:pPr>
      <w:r w:rsidRPr="00CD6BAA">
        <w:rPr>
          <w:rFonts w:cs="Arial"/>
          <w:lang w:eastAsia="ar-SA"/>
        </w:rPr>
        <w:t>Predsednik</w:t>
      </w: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0" w:lineRule="auto"/>
        <w:outlineLvl w:val="0"/>
        <w:rPr>
          <w:rFonts w:cs="Arial"/>
          <w:b/>
          <w:lang w:eastAsia="sl-SI"/>
        </w:rPr>
      </w:pPr>
    </w:p>
    <w:p w:rsidR="007135EA" w:rsidRDefault="007135EA" w:rsidP="007135EA">
      <w:pPr>
        <w:spacing w:line="24" w:lineRule="atLeast"/>
        <w:jc w:val="both"/>
        <w:rPr>
          <w:rFonts w:cs="Arial"/>
          <w:b/>
          <w:lang w:eastAsia="sl-SI"/>
        </w:rPr>
      </w:pPr>
      <w:r w:rsidRPr="003427A5">
        <w:rPr>
          <w:rFonts w:cs="Arial"/>
          <w:b/>
          <w:lang w:eastAsia="sl-SI"/>
        </w:rPr>
        <w:t>OBRAZLO</w:t>
      </w:r>
      <w:r>
        <w:rPr>
          <w:rFonts w:cs="Arial"/>
          <w:b/>
          <w:lang w:eastAsia="sl-SI"/>
        </w:rPr>
        <w:t>Ž</w:t>
      </w:r>
      <w:r w:rsidRPr="003427A5">
        <w:rPr>
          <w:rFonts w:cs="Arial"/>
          <w:b/>
          <w:lang w:eastAsia="sl-SI"/>
        </w:rPr>
        <w:t>ITEV</w:t>
      </w:r>
    </w:p>
    <w:p w:rsidR="007135EA" w:rsidRDefault="007135EA" w:rsidP="007135EA">
      <w:pPr>
        <w:spacing w:line="24" w:lineRule="atLeast"/>
        <w:jc w:val="both"/>
        <w:rPr>
          <w:rFonts w:cs="Arial"/>
          <w:lang w:eastAsia="sl-SI"/>
        </w:rPr>
      </w:pPr>
    </w:p>
    <w:p w:rsidR="007135EA" w:rsidRDefault="007135EA" w:rsidP="007135EA">
      <w:pPr>
        <w:spacing w:line="24" w:lineRule="atLeast"/>
        <w:jc w:val="both"/>
        <w:rPr>
          <w:rFonts w:cs="Arial"/>
          <w:lang w:eastAsia="sl-SI"/>
        </w:rPr>
      </w:pPr>
    </w:p>
    <w:p w:rsidR="007135EA" w:rsidRPr="001C6E9A" w:rsidRDefault="007135EA" w:rsidP="007135EA">
      <w:pPr>
        <w:spacing w:line="24" w:lineRule="atLeast"/>
        <w:jc w:val="both"/>
        <w:rPr>
          <w:rFonts w:cs="Arial"/>
          <w:b/>
          <w:lang w:eastAsia="sl-SI"/>
        </w:rPr>
      </w:pPr>
      <w:r w:rsidRPr="001C6E9A">
        <w:rPr>
          <w:rFonts w:cs="Arial"/>
          <w:b/>
          <w:lang w:eastAsia="sl-SI"/>
        </w:rPr>
        <w:t>I.</w:t>
      </w:r>
      <w:r w:rsidRPr="001C6E9A">
        <w:rPr>
          <w:rFonts w:cs="Arial"/>
          <w:b/>
          <w:lang w:eastAsia="sl-SI"/>
        </w:rPr>
        <w:tab/>
        <w:t>UVOD</w:t>
      </w:r>
    </w:p>
    <w:p w:rsidR="007135EA" w:rsidRPr="0081154F" w:rsidRDefault="007135EA" w:rsidP="007135EA">
      <w:pPr>
        <w:spacing w:line="24" w:lineRule="atLeast"/>
        <w:jc w:val="both"/>
        <w:rPr>
          <w:rFonts w:cs="Arial"/>
          <w:lang w:eastAsia="sl-SI"/>
        </w:rPr>
      </w:pPr>
    </w:p>
    <w:p w:rsidR="007135EA" w:rsidRPr="001C6E9A" w:rsidRDefault="007135EA" w:rsidP="007135EA">
      <w:pPr>
        <w:spacing w:line="24" w:lineRule="atLeast"/>
        <w:jc w:val="both"/>
        <w:rPr>
          <w:rFonts w:cs="Arial"/>
          <w:b/>
          <w:lang w:eastAsia="sl-SI"/>
        </w:rPr>
      </w:pPr>
      <w:r w:rsidRPr="001C6E9A">
        <w:rPr>
          <w:rFonts w:cs="Arial"/>
          <w:b/>
          <w:lang w:eastAsia="sl-SI"/>
        </w:rPr>
        <w:t xml:space="preserve">1. Pravna podlaga </w:t>
      </w:r>
    </w:p>
    <w:p w:rsidR="007135EA" w:rsidRPr="0081154F" w:rsidRDefault="007135EA" w:rsidP="007135EA">
      <w:pPr>
        <w:spacing w:line="24" w:lineRule="atLeast"/>
        <w:jc w:val="both"/>
        <w:rPr>
          <w:rFonts w:cs="Arial"/>
          <w:lang w:eastAsia="sl-SI"/>
        </w:rPr>
      </w:pPr>
    </w:p>
    <w:p w:rsidR="007135EA" w:rsidRDefault="007135EA" w:rsidP="007135EA">
      <w:pPr>
        <w:spacing w:line="276" w:lineRule="auto"/>
        <w:contextualSpacing/>
        <w:jc w:val="both"/>
        <w:rPr>
          <w:highlight w:val="yellow"/>
        </w:rPr>
      </w:pPr>
      <w:r>
        <w:rPr>
          <w:rFonts w:cs="Arial"/>
          <w:lang w:eastAsia="sl-SI"/>
        </w:rPr>
        <w:t xml:space="preserve">Energetski zakon </w:t>
      </w:r>
      <w:r w:rsidRPr="0081154F">
        <w:rPr>
          <w:rFonts w:cs="Arial"/>
          <w:lang w:eastAsia="sl-SI"/>
        </w:rPr>
        <w:t xml:space="preserve"> </w:t>
      </w:r>
      <w:r w:rsidRPr="009B703A">
        <w:t>Energetski zakon (</w:t>
      </w:r>
      <w:r w:rsidRPr="009B703A">
        <w:rPr>
          <w:rFonts w:eastAsia="Calibri" w:cs="Arial"/>
          <w:szCs w:val="20"/>
        </w:rPr>
        <w:t>Uradni</w:t>
      </w:r>
      <w:r w:rsidRPr="00E82141">
        <w:rPr>
          <w:rFonts w:eastAsia="Calibri" w:cs="Arial"/>
          <w:szCs w:val="20"/>
        </w:rPr>
        <w:t xml:space="preserve"> list RS, št. 60/19 – uradno prečiščeno besedilo, 65/20 in 158/20 – ZURE)</w:t>
      </w:r>
      <w:r>
        <w:rPr>
          <w:rFonts w:eastAsia="Calibri" w:cs="Arial"/>
          <w:szCs w:val="20"/>
        </w:rPr>
        <w:t xml:space="preserve"> v 380. členu določa, da morajo distributerji plinastih in tekočih goriv za promet dati v posameznem letu na trg </w:t>
      </w:r>
      <w:proofErr w:type="spellStart"/>
      <w:r>
        <w:rPr>
          <w:rFonts w:eastAsia="Calibri" w:cs="Arial"/>
          <w:szCs w:val="20"/>
        </w:rPr>
        <w:t>biogoriva</w:t>
      </w:r>
      <w:proofErr w:type="spellEnd"/>
      <w:r>
        <w:rPr>
          <w:rFonts w:eastAsia="Calibri" w:cs="Arial"/>
          <w:szCs w:val="20"/>
        </w:rPr>
        <w:t xml:space="preserve"> ali druge obnovljive vire energije za promet v predpisanem deležu. </w:t>
      </w:r>
      <w:r w:rsidR="001D70FC">
        <w:rPr>
          <w:rFonts w:eastAsia="Calibri" w:cs="Arial"/>
          <w:szCs w:val="20"/>
        </w:rPr>
        <w:t>Drugi odstavek</w:t>
      </w:r>
      <w:r>
        <w:rPr>
          <w:rFonts w:eastAsia="Calibri" w:cs="Arial"/>
          <w:szCs w:val="20"/>
        </w:rPr>
        <w:t xml:space="preserve"> 380. člena Energetskega zakona določa, da Vlada z uredbo določi mehanizme in obveznosti za izpolnjevanje te zahteve. </w:t>
      </w:r>
    </w:p>
    <w:p w:rsidR="007135EA" w:rsidRDefault="007135EA" w:rsidP="007135EA">
      <w:pPr>
        <w:spacing w:line="276" w:lineRule="auto"/>
        <w:contextualSpacing/>
        <w:jc w:val="both"/>
        <w:rPr>
          <w:highlight w:val="yellow"/>
        </w:rPr>
      </w:pPr>
    </w:p>
    <w:p w:rsidR="007135EA" w:rsidRPr="0081154F" w:rsidRDefault="007135EA" w:rsidP="007135EA">
      <w:pPr>
        <w:spacing w:line="276" w:lineRule="auto"/>
        <w:jc w:val="both"/>
        <w:rPr>
          <w:rFonts w:cs="Arial"/>
          <w:lang w:eastAsia="sl-SI"/>
        </w:rPr>
      </w:pPr>
    </w:p>
    <w:p w:rsidR="007135EA" w:rsidRPr="001C6E9A" w:rsidRDefault="007135EA" w:rsidP="007135EA">
      <w:pPr>
        <w:spacing w:line="24" w:lineRule="atLeast"/>
        <w:jc w:val="both"/>
        <w:rPr>
          <w:rFonts w:cs="Arial"/>
          <w:b/>
          <w:lang w:eastAsia="sl-SI"/>
        </w:rPr>
      </w:pPr>
      <w:r w:rsidRPr="001C6E9A">
        <w:rPr>
          <w:rFonts w:cs="Arial"/>
          <w:b/>
          <w:lang w:eastAsia="sl-SI"/>
        </w:rPr>
        <w:t>2. Rok za izdajo uredbe</w:t>
      </w:r>
    </w:p>
    <w:p w:rsidR="007135EA" w:rsidRPr="0081154F" w:rsidRDefault="007135EA" w:rsidP="007135EA">
      <w:pPr>
        <w:spacing w:line="24" w:lineRule="atLeast"/>
        <w:jc w:val="both"/>
        <w:rPr>
          <w:rFonts w:cs="Arial"/>
          <w:lang w:eastAsia="sl-SI"/>
        </w:rPr>
      </w:pPr>
    </w:p>
    <w:p w:rsidR="007135EA" w:rsidRPr="0081154F" w:rsidRDefault="007135EA" w:rsidP="007135EA">
      <w:pPr>
        <w:spacing w:line="24" w:lineRule="atLeast"/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 xml:space="preserve">Za izdajo uredbe ni bil predpisan rok. </w:t>
      </w:r>
    </w:p>
    <w:p w:rsidR="007135EA" w:rsidRPr="0081154F" w:rsidRDefault="007135EA" w:rsidP="007135EA">
      <w:pPr>
        <w:spacing w:line="24" w:lineRule="atLeast"/>
        <w:jc w:val="both"/>
        <w:rPr>
          <w:rFonts w:cs="Arial"/>
          <w:lang w:eastAsia="sl-SI"/>
        </w:rPr>
      </w:pPr>
    </w:p>
    <w:p w:rsidR="007135EA" w:rsidRPr="001C6E9A" w:rsidRDefault="007135EA" w:rsidP="007135EA">
      <w:pPr>
        <w:spacing w:line="24" w:lineRule="atLeast"/>
        <w:jc w:val="both"/>
        <w:rPr>
          <w:rFonts w:cs="Arial"/>
          <w:b/>
          <w:lang w:eastAsia="sl-SI"/>
        </w:rPr>
      </w:pPr>
      <w:r w:rsidRPr="001C6E9A">
        <w:rPr>
          <w:rFonts w:cs="Arial"/>
          <w:b/>
          <w:lang w:eastAsia="sl-SI"/>
        </w:rPr>
        <w:t>3. Splošna obrazložitev</w:t>
      </w:r>
    </w:p>
    <w:p w:rsidR="007135EA" w:rsidRPr="0081154F" w:rsidRDefault="007135EA" w:rsidP="007135EA">
      <w:pPr>
        <w:spacing w:line="24" w:lineRule="atLeast"/>
        <w:jc w:val="both"/>
        <w:rPr>
          <w:rFonts w:cs="Arial"/>
          <w:lang w:eastAsia="sl-SI"/>
        </w:rPr>
      </w:pPr>
    </w:p>
    <w:p w:rsidR="007135EA" w:rsidRPr="00C744E6" w:rsidRDefault="007135EA" w:rsidP="007135EA">
      <w:pPr>
        <w:spacing w:line="276" w:lineRule="auto"/>
        <w:contextualSpacing/>
        <w:jc w:val="both"/>
        <w:rPr>
          <w:rFonts w:eastAsia="Calibri" w:cs="Arial"/>
          <w:szCs w:val="20"/>
        </w:rPr>
      </w:pPr>
      <w:r w:rsidRPr="00D06F99">
        <w:rPr>
          <w:rFonts w:eastAsia="Calibri" w:cs="Arial"/>
          <w:szCs w:val="20"/>
        </w:rPr>
        <w:t xml:space="preserve">Obveznost dajanja na trg biogoriv ali druge obnovljive vire energije za promet v predpisanem deležu </w:t>
      </w:r>
      <w:r w:rsidRPr="00C744E6">
        <w:rPr>
          <w:rFonts w:eastAsia="Calibri" w:cs="Arial"/>
          <w:szCs w:val="20"/>
        </w:rPr>
        <w:t>ureja veljavna Uredba o obnovljivih virih energije v prometu (Uradni list RS, št. </w:t>
      </w:r>
      <w:hyperlink r:id="rId7" w:tgtFrame="_blank" w:tooltip="Uredba o obnovljivih virih energije v prometu" w:history="1">
        <w:r w:rsidRPr="00D06F99">
          <w:rPr>
            <w:rFonts w:eastAsia="Calibri" w:cs="Arial"/>
            <w:szCs w:val="20"/>
          </w:rPr>
          <w:t>64/16</w:t>
        </w:r>
      </w:hyperlink>
      <w:r w:rsidRPr="00C744E6">
        <w:rPr>
          <w:rFonts w:eastAsia="Calibri" w:cs="Arial"/>
          <w:szCs w:val="20"/>
        </w:rPr>
        <w:t xml:space="preserve">), ki v 4. členu določa, da morajo distributerji goriv dosegati predpisan energijski delež obnovljivih virov energije v </w:t>
      </w:r>
      <w:bookmarkStart w:id="0" w:name="_GoBack"/>
      <w:bookmarkEnd w:id="0"/>
      <w:r w:rsidRPr="00C744E6">
        <w:rPr>
          <w:rFonts w:eastAsia="Calibri" w:cs="Arial"/>
          <w:szCs w:val="20"/>
        </w:rPr>
        <w:t xml:space="preserve">prometu v posamičnih letih 2017, 2018, 2019 ter 2020.  </w:t>
      </w:r>
    </w:p>
    <w:p w:rsidR="007135EA" w:rsidRPr="00C744E6" w:rsidRDefault="007135EA" w:rsidP="007135EA">
      <w:pPr>
        <w:spacing w:line="276" w:lineRule="auto"/>
        <w:contextualSpacing/>
        <w:jc w:val="both"/>
        <w:rPr>
          <w:rFonts w:eastAsia="Calibri" w:cs="Arial"/>
          <w:szCs w:val="20"/>
        </w:rPr>
      </w:pPr>
    </w:p>
    <w:p w:rsidR="007135EA" w:rsidRDefault="007135EA" w:rsidP="007135EA">
      <w:pPr>
        <w:spacing w:line="276" w:lineRule="auto"/>
        <w:contextualSpacing/>
        <w:jc w:val="both"/>
      </w:pPr>
      <w:r w:rsidRPr="00C744E6">
        <w:rPr>
          <w:rFonts w:eastAsia="Calibri" w:cs="Arial"/>
          <w:szCs w:val="20"/>
        </w:rPr>
        <w:t xml:space="preserve">Direktiva (EU) 2018/2001 Evropskega parlamenta in Sveta z dne 11. decembra 2018 o spodbujanju uporabe energije iz obnovljivih virov </w:t>
      </w:r>
      <w:r>
        <w:rPr>
          <w:rFonts w:eastAsia="Calibri" w:cs="Arial"/>
          <w:szCs w:val="20"/>
        </w:rPr>
        <w:t xml:space="preserve"> v 25. členu določa, da morajo države članice zagotoviti, da delež</w:t>
      </w:r>
      <w:r>
        <w:t xml:space="preserve"> energije iz obnovljivih virov v okviru končne porabe energije v prometnem sektorju, do leta 2030 doseže vsaj 14 %.</w:t>
      </w:r>
    </w:p>
    <w:p w:rsidR="007135EA" w:rsidRDefault="007135EA" w:rsidP="007135EA">
      <w:pPr>
        <w:spacing w:line="240" w:lineRule="exact"/>
        <w:contextualSpacing/>
        <w:jc w:val="both"/>
      </w:pPr>
    </w:p>
    <w:p w:rsidR="007135EA" w:rsidRPr="00C744E6" w:rsidRDefault="007135EA" w:rsidP="007135EA">
      <w:pPr>
        <w:spacing w:line="276" w:lineRule="auto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Predmetna direktiva je v postopku prenosa v nacionalni pravni red. Ker bo prišlo v obdobju do sprejetja nove zakonodaje na področju obnovljivih virov energije, ki bo prenovila mehanizme za doseganje deležev obnovljivih virov energije v prometu, do pravne praznine, je nujno zagotoviti kontinuiteto obveznosti doseganja predpisanega energetskega deleža obnovljivih virov energije tudi po letu 2020 in posledično dodati v okvir  4. člena Uredbe o obnovljivih virih energije obveznost namešavanja v letu 2021. </w:t>
      </w:r>
    </w:p>
    <w:p w:rsidR="007135EA" w:rsidRDefault="007135EA" w:rsidP="007135EA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lang w:eastAsia="sl-SI"/>
        </w:rPr>
      </w:pPr>
    </w:p>
    <w:p w:rsidR="007135EA" w:rsidRPr="00CD6BAA" w:rsidRDefault="007135EA" w:rsidP="007135EA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lang w:eastAsia="sl-SI"/>
        </w:rPr>
      </w:pPr>
    </w:p>
    <w:p w:rsidR="007135EA" w:rsidRPr="001C6E9A" w:rsidRDefault="007135EA" w:rsidP="007135EA">
      <w:pPr>
        <w:autoSpaceDE w:val="0"/>
        <w:autoSpaceDN w:val="0"/>
        <w:adjustRightInd w:val="0"/>
        <w:spacing w:line="288" w:lineRule="auto"/>
        <w:ind w:left="360" w:hanging="360"/>
        <w:jc w:val="both"/>
        <w:rPr>
          <w:rFonts w:cs="Arial"/>
          <w:b/>
          <w:bCs/>
          <w:color w:val="000000"/>
          <w:lang w:eastAsia="sl-SI"/>
        </w:rPr>
      </w:pPr>
      <w:r w:rsidRPr="001C6E9A">
        <w:rPr>
          <w:rFonts w:cs="Arial"/>
          <w:b/>
          <w:color w:val="000000"/>
          <w:lang w:eastAsia="sl-SI"/>
        </w:rPr>
        <w:t>4.</w:t>
      </w:r>
      <w:r w:rsidRPr="001C6E9A">
        <w:rPr>
          <w:rFonts w:cs="Arial"/>
          <w:b/>
          <w:color w:val="000000"/>
          <w:lang w:eastAsia="sl-SI"/>
        </w:rPr>
        <w:tab/>
      </w:r>
      <w:r w:rsidRPr="001C6E9A">
        <w:rPr>
          <w:rFonts w:cs="Arial"/>
          <w:b/>
          <w:bCs/>
          <w:color w:val="000000"/>
          <w:lang w:eastAsia="sl-SI"/>
        </w:rPr>
        <w:t>Predstavitev presoje posledic na posameznem področju</w:t>
      </w:r>
    </w:p>
    <w:p w:rsidR="007135EA" w:rsidRPr="00CD6BAA" w:rsidRDefault="007135EA" w:rsidP="007135EA">
      <w:pPr>
        <w:autoSpaceDE w:val="0"/>
        <w:autoSpaceDN w:val="0"/>
        <w:adjustRightInd w:val="0"/>
        <w:spacing w:line="120" w:lineRule="auto"/>
        <w:ind w:left="357" w:hanging="357"/>
        <w:jc w:val="both"/>
        <w:rPr>
          <w:rFonts w:cs="Arial"/>
          <w:bCs/>
          <w:color w:val="000000"/>
          <w:u w:val="single"/>
          <w:lang w:eastAsia="sl-SI"/>
        </w:rPr>
      </w:pPr>
    </w:p>
    <w:p w:rsidR="007135EA" w:rsidRDefault="007135EA" w:rsidP="007135EA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eastAsia="sl-SI"/>
        </w:rPr>
      </w:pPr>
      <w:r>
        <w:rPr>
          <w:rFonts w:cs="Arial"/>
          <w:color w:val="000000"/>
          <w:lang w:eastAsia="sl-SI"/>
        </w:rPr>
        <w:t>Predlagana sprememba preprečuje pravno praznino, ki nastala na področju obveznosti doseganja deležev obnovljivih virov energije v prometu v letu 2021, ki bo nastala do sprejetja nove zakonodaje na področju obnovljivih virov energije. Rok za prenos direktive v slovenski pravni red je junij 2021.</w:t>
      </w:r>
    </w:p>
    <w:p w:rsidR="007135EA" w:rsidRDefault="007135EA" w:rsidP="007135EA">
      <w:pPr>
        <w:autoSpaceDE w:val="0"/>
        <w:autoSpaceDN w:val="0"/>
        <w:adjustRightInd w:val="0"/>
        <w:spacing w:line="288" w:lineRule="auto"/>
        <w:rPr>
          <w:rFonts w:cs="Arial"/>
          <w:color w:val="000000"/>
          <w:lang w:eastAsia="sl-SI"/>
        </w:rPr>
      </w:pPr>
    </w:p>
    <w:p w:rsidR="007135EA" w:rsidRDefault="007135EA" w:rsidP="007135EA">
      <w:pPr>
        <w:autoSpaceDE w:val="0"/>
        <w:autoSpaceDN w:val="0"/>
        <w:adjustRightInd w:val="0"/>
        <w:spacing w:line="288" w:lineRule="auto"/>
        <w:rPr>
          <w:rFonts w:cs="Arial"/>
          <w:color w:val="000000"/>
          <w:lang w:eastAsia="sl-SI"/>
        </w:rPr>
      </w:pPr>
    </w:p>
    <w:p w:rsidR="007135EA" w:rsidRPr="001C6E9A" w:rsidRDefault="007135EA" w:rsidP="007135EA">
      <w:pPr>
        <w:autoSpaceDE w:val="0"/>
        <w:autoSpaceDN w:val="0"/>
        <w:adjustRightInd w:val="0"/>
        <w:spacing w:line="288" w:lineRule="auto"/>
        <w:rPr>
          <w:rFonts w:cs="Arial"/>
          <w:b/>
          <w:bCs/>
          <w:color w:val="000000"/>
          <w:lang w:eastAsia="sl-SI"/>
        </w:rPr>
      </w:pPr>
      <w:r w:rsidRPr="001C6E9A">
        <w:rPr>
          <w:rFonts w:cs="Arial"/>
          <w:b/>
          <w:color w:val="000000"/>
          <w:lang w:eastAsia="sl-SI"/>
        </w:rPr>
        <w:t xml:space="preserve">5. </w:t>
      </w:r>
      <w:r w:rsidRPr="001C6E9A">
        <w:rPr>
          <w:rFonts w:cs="Arial"/>
          <w:b/>
          <w:bCs/>
          <w:color w:val="000000"/>
          <w:lang w:eastAsia="sl-SI"/>
        </w:rPr>
        <w:t>Izjava o skladnosti predloga predpisa s pravnimi akti EU in korelacijska tabela</w:t>
      </w:r>
    </w:p>
    <w:p w:rsidR="007135EA" w:rsidRPr="00CD6BAA" w:rsidRDefault="007135EA" w:rsidP="007135EA">
      <w:pPr>
        <w:autoSpaceDE w:val="0"/>
        <w:autoSpaceDN w:val="0"/>
        <w:adjustRightInd w:val="0"/>
        <w:spacing w:line="120" w:lineRule="auto"/>
        <w:rPr>
          <w:rFonts w:cs="Arial"/>
          <w:bCs/>
          <w:color w:val="000000"/>
          <w:u w:val="single"/>
          <w:lang w:eastAsia="sl-SI"/>
        </w:rPr>
      </w:pPr>
    </w:p>
    <w:p w:rsidR="007135EA" w:rsidRPr="00CD6BAA" w:rsidRDefault="007135EA" w:rsidP="007135EA">
      <w:pPr>
        <w:autoSpaceDE w:val="0"/>
        <w:autoSpaceDN w:val="0"/>
        <w:adjustRightInd w:val="0"/>
        <w:spacing w:line="288" w:lineRule="auto"/>
        <w:rPr>
          <w:rFonts w:cs="Arial"/>
          <w:color w:val="000000"/>
          <w:lang w:eastAsia="sl-SI"/>
        </w:rPr>
      </w:pPr>
      <w:r w:rsidRPr="00CD6BAA">
        <w:rPr>
          <w:rFonts w:cs="Arial"/>
          <w:color w:val="000000"/>
          <w:lang w:eastAsia="sl-SI"/>
        </w:rPr>
        <w:t>S to uredbo se ne prenaša nobena direktiva EU.</w:t>
      </w:r>
    </w:p>
    <w:p w:rsidR="007135EA" w:rsidRPr="00CD6BAA" w:rsidRDefault="007135EA" w:rsidP="007135EA">
      <w:pPr>
        <w:spacing w:line="288" w:lineRule="auto"/>
        <w:rPr>
          <w:rFonts w:cs="Arial"/>
        </w:rPr>
      </w:pP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:rsidR="007135EA" w:rsidRPr="00AD6508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b/>
          <w:szCs w:val="20"/>
        </w:rPr>
      </w:pPr>
      <w:r w:rsidRPr="00AD6508">
        <w:rPr>
          <w:rFonts w:eastAsia="Calibri" w:cs="Arial"/>
          <w:b/>
          <w:szCs w:val="20"/>
        </w:rPr>
        <w:t>II. VSEBINSKA OBRAZLOŽITEV PREDLAGANIH REŠITEV</w:t>
      </w: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:rsidR="007135EA" w:rsidRDefault="007135EA" w:rsidP="007135EA">
      <w:pPr>
        <w:spacing w:line="240" w:lineRule="exact"/>
        <w:ind w:right="-574"/>
        <w:contextualSpacing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1. člen</w:t>
      </w: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Člen opredeljuje predpisane deleže obnovljivih virov energije v prometu v letih 2017, 2018, 2019, 2020 ter 2021.  </w:t>
      </w: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:rsidR="007135EA" w:rsidRDefault="007135EA" w:rsidP="007135EA">
      <w:pPr>
        <w:spacing w:line="240" w:lineRule="exact"/>
        <w:ind w:right="-574"/>
        <w:contextualSpacing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2. člen</w:t>
      </w: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:rsidR="007135EA" w:rsidRDefault="007135EA" w:rsidP="007135EA">
      <w:pPr>
        <w:spacing w:line="240" w:lineRule="exact"/>
        <w:ind w:right="-574"/>
        <w:contextualSpacing/>
        <w:jc w:val="both"/>
        <w:rPr>
          <w:rFonts w:eastAsia="Calibri" w:cs="Arial"/>
          <w:iCs/>
          <w:szCs w:val="20"/>
        </w:rPr>
      </w:pPr>
      <w:r>
        <w:rPr>
          <w:rFonts w:eastAsia="Calibri" w:cs="Arial"/>
          <w:szCs w:val="20"/>
        </w:rPr>
        <w:t>Člen ureja začetek veljavnosti predmetne uredbe.</w:t>
      </w:r>
    </w:p>
    <w:p w:rsidR="00D12BA1" w:rsidRDefault="00D12BA1"/>
    <w:sectPr w:rsidR="00D12BA1" w:rsidSect="003A3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992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13" w:rsidRDefault="00635313">
      <w:pPr>
        <w:spacing w:line="240" w:lineRule="auto"/>
      </w:pPr>
      <w:r>
        <w:separator/>
      </w:r>
    </w:p>
  </w:endnote>
  <w:endnote w:type="continuationSeparator" w:id="0">
    <w:p w:rsidR="00635313" w:rsidRDefault="00635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E4" w:rsidRDefault="006353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DF" w:rsidRDefault="007135EA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A63">
      <w:rPr>
        <w:noProof/>
      </w:rPr>
      <w:t>3</w:t>
    </w:r>
    <w:r>
      <w:rPr>
        <w:noProof/>
      </w:rPr>
      <w:fldChar w:fldCharType="end"/>
    </w:r>
  </w:p>
  <w:p w:rsidR="001264DF" w:rsidRDefault="00635313">
    <w:pPr>
      <w:pStyle w:val="Noga"/>
    </w:pPr>
  </w:p>
  <w:p w:rsidR="001264DF" w:rsidRDefault="006353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E4" w:rsidRDefault="006353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13" w:rsidRDefault="00635313">
      <w:pPr>
        <w:spacing w:line="240" w:lineRule="auto"/>
      </w:pPr>
      <w:r>
        <w:separator/>
      </w:r>
    </w:p>
  </w:footnote>
  <w:footnote w:type="continuationSeparator" w:id="0">
    <w:p w:rsidR="00635313" w:rsidRDefault="00635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E4" w:rsidRDefault="006353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DF" w:rsidRPr="00110CBD" w:rsidRDefault="00635313" w:rsidP="00E0566E">
    <w:pPr>
      <w:pStyle w:val="Glava"/>
      <w:spacing w:line="240" w:lineRule="exact"/>
      <w:rPr>
        <w:rFonts w:ascii="Republika" w:hAnsi="Republika"/>
        <w:sz w:val="16"/>
      </w:rPr>
    </w:pPr>
  </w:p>
  <w:p w:rsidR="001264DF" w:rsidRDefault="006353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264DF" w:rsidRPr="008F3500">
      <w:trPr>
        <w:cantSplit/>
        <w:trHeight w:hRule="exact" w:val="847"/>
      </w:trPr>
      <w:tc>
        <w:tcPr>
          <w:tcW w:w="567" w:type="dxa"/>
        </w:tcPr>
        <w:p w:rsidR="001264DF" w:rsidRPr="008F3500" w:rsidRDefault="007135EA" w:rsidP="00E0566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Raven puščični povezovalni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EAC85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1264DF" w:rsidRDefault="00635313" w:rsidP="00E0566E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EA"/>
    <w:rsid w:val="001D70FC"/>
    <w:rsid w:val="00512C9B"/>
    <w:rsid w:val="00635313"/>
    <w:rsid w:val="006D4A63"/>
    <w:rsid w:val="007135EA"/>
    <w:rsid w:val="00B916B3"/>
    <w:rsid w:val="00D1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D7418"/>
  <w15:chartTrackingRefBased/>
  <w15:docId w15:val="{C10A3F63-9D6D-436E-8FBE-BBE7E3A8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35EA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135E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35EA"/>
    <w:rPr>
      <w:rFonts w:ascii="Arial" w:eastAsia="Times New Roman" w:hAnsi="Arial" w:cs="Times New Roman"/>
      <w:sz w:val="20"/>
      <w:szCs w:val="24"/>
    </w:rPr>
  </w:style>
  <w:style w:type="paragraph" w:styleId="Glava">
    <w:name w:val="header"/>
    <w:basedOn w:val="Navaden"/>
    <w:link w:val="GlavaZnak"/>
    <w:rsid w:val="007135E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135EA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713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6-01-279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6-01-279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Gračner</dc:creator>
  <cp:keywords/>
  <dc:description/>
  <cp:lastModifiedBy>Martina Gračner</cp:lastModifiedBy>
  <cp:revision>5</cp:revision>
  <dcterms:created xsi:type="dcterms:W3CDTF">2021-01-08T09:59:00Z</dcterms:created>
  <dcterms:modified xsi:type="dcterms:W3CDTF">2021-01-08T10:10:00Z</dcterms:modified>
</cp:coreProperties>
</file>