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52" w:rsidRPr="00A91852" w:rsidRDefault="003C7A76" w:rsidP="00A91852">
      <w:pPr>
        <w:spacing w:before="100" w:beforeAutospacing="1" w:after="100" w:afterAutospacing="1"/>
        <w:rPr>
          <w:rFonts w:eastAsia="Times New Roman"/>
          <w:b/>
        </w:rPr>
      </w:pPr>
      <w:r>
        <w:br/>
      </w:r>
      <w:r w:rsidR="00A91852" w:rsidRPr="00A91852">
        <w:rPr>
          <w:rFonts w:eastAsia="Times New Roman"/>
          <w:b/>
        </w:rPr>
        <w:t>Letni program statističnih raziskovanj 2021 – RAZVOJNI DEL</w:t>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t>Priloga 2</w:t>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r>
      <w:r w:rsidR="00A91852" w:rsidRPr="00A91852">
        <w:rPr>
          <w:rFonts w:eastAsia="Times New Roman"/>
          <w:b/>
        </w:rPr>
        <w:tab/>
      </w:r>
    </w:p>
    <w:p w:rsidR="00A91852" w:rsidRPr="00A91852" w:rsidRDefault="00A91852" w:rsidP="00A91852">
      <w:pPr>
        <w:spacing w:before="100" w:beforeAutospacing="1" w:after="100" w:afterAutospacing="1"/>
        <w:rPr>
          <w:rFonts w:eastAsia="Times New Roman"/>
        </w:rPr>
      </w:pPr>
    </w:p>
    <w:p w:rsidR="00A91852" w:rsidRPr="00A91852" w:rsidRDefault="00A91852" w:rsidP="00A91852">
      <w:pPr>
        <w:spacing w:before="100" w:beforeAutospacing="1" w:after="100" w:afterAutospacing="1"/>
        <w:rPr>
          <w:rFonts w:eastAsia="Times New Roman"/>
          <w:b/>
        </w:rPr>
      </w:pPr>
      <w:r w:rsidRPr="00A91852">
        <w:rPr>
          <w:rFonts w:eastAsia="Times New Roman"/>
        </w:rPr>
        <w:br/>
      </w:r>
      <w:r w:rsidRPr="00A91852">
        <w:rPr>
          <w:rFonts w:eastAsia="Times New Roman"/>
          <w:b/>
        </w:rPr>
        <w:t xml:space="preserve">Kazalo </w:t>
      </w:r>
    </w:p>
    <w:tbl>
      <w:tblPr>
        <w:tblW w:w="12474" w:type="dxa"/>
        <w:tblInd w:w="70" w:type="dxa"/>
        <w:tblCellMar>
          <w:left w:w="70" w:type="dxa"/>
          <w:right w:w="70" w:type="dxa"/>
        </w:tblCellMar>
        <w:tblLook w:val="04A0" w:firstRow="1" w:lastRow="0" w:firstColumn="1" w:lastColumn="0" w:noHBand="0" w:noVBand="1"/>
      </w:tblPr>
      <w:tblGrid>
        <w:gridCol w:w="6631"/>
        <w:gridCol w:w="5843"/>
      </w:tblGrid>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01 Nacionalni računi</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16 Gradbeništvo</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03 Cene</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18 Finančno posredništvo</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05 Trg dela</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19 Turizem</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06 Življenjska raven</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20 Transport in komunikacije</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07 Izobraževanje</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21 Kmetijstvo, gozdarstvo in ribištvo</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08 Kultura</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22 Okolje</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09 Zdravje in socialna varnost</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23 Medpodročni sistemi kazalnikov</w:t>
            </w:r>
          </w:p>
        </w:tc>
      </w:tr>
      <w:tr w:rsidR="00A91852" w:rsidRPr="00A91852" w:rsidTr="00A91852">
        <w:trPr>
          <w:trHeight w:val="414"/>
        </w:trPr>
        <w:tc>
          <w:tcPr>
            <w:tcW w:w="6631" w:type="dxa"/>
            <w:noWrap/>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15 Energetika</w:t>
            </w:r>
          </w:p>
        </w:tc>
        <w:tc>
          <w:tcPr>
            <w:tcW w:w="5843" w:type="dxa"/>
            <w:vAlign w:val="bottom"/>
            <w:hideMark/>
          </w:tcPr>
          <w:p w:rsidR="00A91852" w:rsidRPr="00A91852" w:rsidRDefault="00A91852" w:rsidP="00A91852">
            <w:pPr>
              <w:spacing w:before="100" w:beforeAutospacing="1" w:after="100" w:afterAutospacing="1"/>
              <w:rPr>
                <w:rFonts w:eastAsia="Times New Roman"/>
              </w:rPr>
            </w:pPr>
            <w:r w:rsidRPr="00A91852">
              <w:rPr>
                <w:rFonts w:eastAsia="Times New Roman"/>
              </w:rPr>
              <w:t>25 Drugo</w:t>
            </w:r>
          </w:p>
        </w:tc>
      </w:tr>
      <w:tr w:rsidR="00A91852" w:rsidRPr="00A91852" w:rsidTr="00A91852">
        <w:trPr>
          <w:trHeight w:val="414"/>
        </w:trPr>
        <w:tc>
          <w:tcPr>
            <w:tcW w:w="6631" w:type="dxa"/>
            <w:noWrap/>
            <w:vAlign w:val="bottom"/>
            <w:hideMark/>
          </w:tcPr>
          <w:p w:rsidR="00A91852" w:rsidRPr="00A91852" w:rsidRDefault="00A91852" w:rsidP="00A91852">
            <w:pPr>
              <w:rPr>
                <w:rFonts w:eastAsia="Times New Roman"/>
              </w:rPr>
            </w:pPr>
          </w:p>
        </w:tc>
        <w:tc>
          <w:tcPr>
            <w:tcW w:w="5843" w:type="dxa"/>
            <w:vAlign w:val="bottom"/>
            <w:hideMark/>
          </w:tcPr>
          <w:p w:rsidR="00A91852" w:rsidRPr="00A91852" w:rsidRDefault="00A91852" w:rsidP="00A91852">
            <w:pPr>
              <w:rPr>
                <w:rFonts w:eastAsia="Times New Roman"/>
                <w:sz w:val="20"/>
                <w:szCs w:val="20"/>
              </w:rPr>
            </w:pPr>
          </w:p>
        </w:tc>
      </w:tr>
    </w:tbl>
    <w:p w:rsidR="00000000" w:rsidRDefault="003C7A76">
      <w:pPr>
        <w:spacing w:before="100" w:beforeAutospacing="1" w:after="100" w:afterAutospacing="1"/>
        <w:sectPr w:rsidR="00000000">
          <w:footerReference w:type="default" r:id="rId6"/>
          <w:pgSz w:w="16840" w:h="11907" w:orient="landscape"/>
          <w:pgMar w:top="816" w:right="816" w:bottom="816" w:left="816" w:header="340" w:footer="340" w:gutter="0"/>
          <w:cols w:space="708"/>
          <w:rtlGutter/>
          <w:docGrid w:linePitch="360"/>
        </w:sectPr>
      </w:pPr>
    </w:p>
    <w:tbl>
      <w:tblPr>
        <w:tblW w:w="1564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7" w:firstRow="1" w:lastRow="0" w:firstColumn="1" w:lastColumn="0" w:noHBand="0" w:noVBand="0"/>
      </w:tblPr>
      <w:tblGrid>
        <w:gridCol w:w="1011"/>
        <w:gridCol w:w="1511"/>
        <w:gridCol w:w="1990"/>
        <w:gridCol w:w="2307"/>
        <w:gridCol w:w="2307"/>
        <w:gridCol w:w="1990"/>
        <w:gridCol w:w="1511"/>
        <w:gridCol w:w="1511"/>
        <w:gridCol w:w="1511"/>
      </w:tblGrid>
      <w:tr w:rsidR="00000000" w:rsidTr="00A91852">
        <w:tc>
          <w:tcPr>
            <w:tcW w:w="10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R01</w:t>
            </w:r>
          </w:p>
        </w:tc>
        <w:tc>
          <w:tcPr>
            <w:tcW w:w="1990"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Nacionalni računi</w:t>
            </w:r>
          </w:p>
        </w:tc>
        <w:tc>
          <w:tcPr>
            <w:tcW w:w="2307"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R.01.01</w:t>
            </w:r>
          </w:p>
        </w:tc>
        <w:tc>
          <w:tcPr>
            <w:tcW w:w="1990"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Analiza večnacionalnih podjetij za izračune bruto domačega proizvoda in bruto nacionalnega dohodka</w:t>
            </w:r>
            <w:r>
              <w:rPr>
                <w:rFonts w:eastAsia="Times New Roman"/>
                <w:sz w:val="16"/>
                <w:szCs w:val="16"/>
              </w:rPr>
              <w:br/>
              <w:t>NR-BND-MNE</w:t>
            </w:r>
          </w:p>
        </w:tc>
        <w:tc>
          <w:tcPr>
            <w:tcW w:w="2307"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Podrobna analiza izbranih večnacionalnih podjetij za namen zagotavljanja ustreznega zajema z njimi povezanih transakcij v okviru izračunov bruto domačega proizvoda in bruto nacionalnega dohodka. </w:t>
            </w:r>
          </w:p>
        </w:tc>
        <w:tc>
          <w:tcPr>
            <w:tcW w:w="2307"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Identifikacija enot večnacionalnih podjetij, podatki o zapos</w:t>
            </w:r>
            <w:r>
              <w:rPr>
                <w:rFonts w:eastAsia="Times New Roman"/>
                <w:sz w:val="16"/>
                <w:szCs w:val="16"/>
              </w:rPr>
              <w:t xml:space="preserve">lenih, prihodkih, odhodkih, dodani vrednosti, izdatkih za raziskave in razvoj in drugih proizvodih intelektualne lastnine ter o njihovi uporabi, transakcijah med povezanimi podjetji znotraj skupine, čezmejnih transakcijah in ureditvah poslovanja ter s tem </w:t>
            </w:r>
            <w:r>
              <w:rPr>
                <w:rFonts w:eastAsia="Times New Roman"/>
                <w:sz w:val="16"/>
                <w:szCs w:val="16"/>
              </w:rPr>
              <w:t>povezani podatki.</w:t>
            </w:r>
          </w:p>
        </w:tc>
        <w:tc>
          <w:tcPr>
            <w:tcW w:w="1990"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viri: AJPES, FURS (DDPO CbC), BS. Enote izbranih večnacionalnih podjetij (podatki po državah, enotah v tujini). Statistični viri. </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Leto, 2018-2021</w:t>
            </w:r>
          </w:p>
        </w:tc>
        <w:tc>
          <w:tcPr>
            <w:tcW w:w="1511" w:type="dxa"/>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R.01.02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Vplivi na makroekonomske agregate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Analiza vplivov različnih dejavnikov na makroekonomske agregate.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osebi: Podatki o tujcih, ki delajo v Sloveniji in sicer EMŠO, datum prijave, država porekla in SKD delodajalca. EMŠO, DŠ, registrska številka vozila, zavarovalna podlaga, število za</w:t>
            </w:r>
            <w:r>
              <w:rPr>
                <w:rFonts w:eastAsia="Times New Roman"/>
                <w:sz w:val="16"/>
                <w:szCs w:val="16"/>
              </w:rPr>
              <w:t>poslenih. Podatki poslovnega registra Slovenije, podatki davčnih in carinskih evidenc, plačilna bilanca, javnofinančni podatki, podatki o poslovanju zavarovalnic in bank, podatki iz avtomatskega štetja prometa. Podatki iz izkaza poslovnega izida in bilance</w:t>
            </w:r>
            <w:r>
              <w:rPr>
                <w:rFonts w:eastAsia="Times New Roman"/>
                <w:sz w:val="16"/>
                <w:szCs w:val="16"/>
              </w:rPr>
              <w:t xml:space="preserve"> stanja gospodarskih družb, zadrug, samostojnih podjetnikov in drugih pravnih enot, podatki iz prirejanja iger na srečo, zakupnine za kmetijska zemljišča, bilance investicijskih skladov, podatki o izplačanih dividendah po sektorjih prejemnikov dividend (ne</w:t>
            </w:r>
            <w:r>
              <w:rPr>
                <w:rFonts w:eastAsia="Times New Roman"/>
                <w:sz w:val="16"/>
                <w:szCs w:val="16"/>
              </w:rPr>
              <w:t xml:space="preserve">finančne družbe, finančne družbe, država, gospodinjstva, nepridobitne institucije, ki opravljajo storitve za gospodinjstva, tujina), podatki statističnih raziskovanj,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AJPES, BS, MF, FURS, UJP, ZZZS, ZPIZ, AZN in DRSI - 50 dni po konc</w:t>
            </w:r>
            <w:r>
              <w:rPr>
                <w:rFonts w:eastAsia="Times New Roman"/>
                <w:sz w:val="16"/>
                <w:szCs w:val="16"/>
              </w:rPr>
              <w:t xml:space="preserve">u četrtletja. MNZ (CRP), AJPES, BS, MF, MNZ, MZI-MRVL, FURS, UJP, AZN, ZZZS, MKGP, ZPIZ, Sklad kmetijskih zemljišč, ATVP, KDD, do 31. 5. Statistični viri (DAK, SPRS, SPR-RSP, statistična raziskovanja).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Različno razpoložljive časovne vrste podatkov</w:t>
            </w:r>
            <w:r>
              <w:rPr>
                <w:rFonts w:eastAsia="Times New Roman"/>
                <w:sz w:val="16"/>
                <w:szCs w:val="16"/>
              </w:rPr>
              <w:t>.</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Cene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R.03.01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Cene proizvajalcev v gradbeništvu</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Izračun indeksov cen proizvajalcev v gradbeništvu.</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Cene in specifikacije proizvodov in storitev pri proizvajalcih v gradbeništvu.</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Gradbena podjetja in drugi posl. subjekti, ki razpolagajo s podatki o cenah in drugimi informacijami v gradbeništvu, 20 dni po koncu četrtletja.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Četrtletje</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R05</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Trg dela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R.05.01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Možnost uporabe obrazca za obračun davčnih odtegljajev od dohodkov iz delovnega razmerja v obstoječih raziskovanjih</w:t>
            </w:r>
            <w:r>
              <w:rPr>
                <w:rFonts w:eastAsia="Times New Roman"/>
                <w:sz w:val="16"/>
                <w:szCs w:val="16"/>
              </w:rPr>
              <w:br/>
              <w:t>iREK</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Preučitev možnosti uporabe podatkov, zbranih z obrazcem v obstoječih statističnih raziskovanjih.</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z zbirnega dela obrazca (REK-1</w:t>
            </w:r>
            <w:r>
              <w:rPr>
                <w:rFonts w:eastAsia="Times New Roman"/>
                <w:sz w:val="16"/>
                <w:szCs w:val="16"/>
              </w:rPr>
              <w:t xml:space="preserve">): podatki o podjetju (izplačevalcu), vključno z davčno številko in matično številko, podatki o dokumentu, podatki o vrsti dohodka, zbirni podatki o izplačanih dohodkih, osnovah za prispevke, davčnem odtegljaju in prispevkih za socialno varnost. Podatki z </w:t>
            </w:r>
            <w:r>
              <w:rPr>
                <w:rFonts w:eastAsia="Times New Roman"/>
                <w:sz w:val="16"/>
                <w:szCs w:val="16"/>
              </w:rPr>
              <w:t>individualnega dela obrazca (iREK): podatki o davčnem zavezancu, vključno z EMŠO in rezidentstvom (sklop A), podatki o dohodninski vrsti dohodka, osnovah za prispevke po vrstah osnov, davčnem odtegljaju in prispevkih za socialno varnost (sklop A oz. P), po</w:t>
            </w:r>
            <w:r>
              <w:rPr>
                <w:rFonts w:eastAsia="Times New Roman"/>
                <w:sz w:val="16"/>
                <w:szCs w:val="16"/>
              </w:rPr>
              <w:t>datki, potrebni za oblikovanje prijave o osnovah ter sprememb teh podatkov za osebe v delovnem razmerju (sklop M), dodatni podatki o dohodkih iz delovnega razmerja (sklop B). Podatki iz NIJZ 3: EMŠO, prvi dan zadržanosti, zadnji dan za plačnika, obdobje za</w:t>
            </w:r>
            <w:r>
              <w:rPr>
                <w:rFonts w:eastAsia="Times New Roman"/>
                <w:sz w:val="16"/>
                <w:szCs w:val="16"/>
              </w:rPr>
              <w:t>držanosti (od – do) za polni del. čas, obdobje zadržanosti (od – do) za skrajšani del. čas, razlog zadržanosti, zadnji dan za razlog. Podatki iz ISPAP: šifra proračunskega uporabnika (Z350), davčna številka zaposlenega v javnem sektorju (Z360), EMŠO, matič</w:t>
            </w:r>
            <w:r>
              <w:rPr>
                <w:rFonts w:eastAsia="Times New Roman"/>
                <w:sz w:val="16"/>
                <w:szCs w:val="16"/>
              </w:rPr>
              <w:t xml:space="preserve">na številka dela poslovnega subjekta (Z630), šifra funkcije ali delovnega mesta (Z370), delež zaposlitve na delovnem mestu </w:t>
            </w:r>
            <w:r>
              <w:rPr>
                <w:rFonts w:eastAsia="Times New Roman"/>
                <w:sz w:val="16"/>
                <w:szCs w:val="16"/>
              </w:rPr>
              <w:lastRenderedPageBreak/>
              <w:t>(Z550); bruto in neto znesek izplačila ter število ur za vrste izplačil po tipih izplačil.</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Administrativni viri: MNZ (CRP) mesečno, F</w:t>
            </w:r>
            <w:r>
              <w:rPr>
                <w:rFonts w:eastAsia="Times New Roman"/>
                <w:sz w:val="16"/>
                <w:szCs w:val="16"/>
              </w:rPr>
              <w:t>URS (REK-1 in iREK) do 5. v mesecu za predprejšnji mesec. NIJZ (NIJZ 3), do 30. v mesecu za prejšnji mesec. MJU, AJPES (ISPAP), do 5. delovnega dne v mesecu za predprejšnji mesec. Statistični viri: ZAP/M, ZAP-RFO, DAK, SPRS.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Mesec, 2009-2021</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R.05.02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Analiza spletnih oglasov prostih delovnih mest</w:t>
            </w:r>
            <w:r>
              <w:rPr>
                <w:rFonts w:eastAsia="Times New Roman"/>
                <w:sz w:val="16"/>
                <w:szCs w:val="16"/>
              </w:rPr>
              <w:br/>
              <w:t>ASOPDM</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Preučitev možnosti uporabe podatkov, pridobljenih iz spletnih oglasov prostih delovnih mest.</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s spletnih strani: število PDM, naziv poslovnega subjekta, opis delovnega mesta in pogoji za prijavo, potrebna znanja in veščine, kontaktni podatki osebe, ki je zadolžena za razpisano delovno mesto, rok za prijavo, datum objave oglasa. Podatki Euro</w:t>
            </w:r>
            <w:r>
              <w:rPr>
                <w:rFonts w:eastAsia="Times New Roman"/>
                <w:sz w:val="16"/>
                <w:szCs w:val="16"/>
              </w:rPr>
              <w:t>stata o prostih delovnih mestih, ki jih je postrgal s spletnih strani. Vprašalnik PDM: matična številka poslovnega subjekta, ali so pri poslovnem subjektu iskali nove kandidate, število PDM. Statistična vira: število PDM ter število enakih PDM, matična šte</w:t>
            </w:r>
            <w:r>
              <w:rPr>
                <w:rFonts w:eastAsia="Times New Roman"/>
                <w:sz w:val="16"/>
                <w:szCs w:val="16"/>
              </w:rPr>
              <w:t>vilka poslovnega subjekta, SIR_LEU poslovnega subjekta, teritorialni podatki poslovnega subjekta, dejavnost, poklic, izobrazba (raven in področje), ID vrste delovnega razmerja in delovnega časa, datum objave PDM, rok za prijavo, indikator veljavnosti, štev</w:t>
            </w:r>
            <w:r>
              <w:rPr>
                <w:rFonts w:eastAsia="Times New Roman"/>
                <w:sz w:val="16"/>
                <w:szCs w:val="16"/>
              </w:rPr>
              <w:t>ilo zaposlenih oseb pri poslovnem subjektu, število zaposlenih s krajšim delovnim časom, število odsotnih pri poslovnem subjektu, število detaširanih, število zaposlenih prek javnih del, število oseb z drugimi (istočasnimi zaposlitvami), institucionalni se</w:t>
            </w:r>
            <w:r>
              <w:rPr>
                <w:rFonts w:eastAsia="Times New Roman"/>
                <w:sz w:val="16"/>
                <w:szCs w:val="16"/>
              </w:rPr>
              <w:t>ktor.</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Spletne strani poslovnih subjektov (mesečno) in zaposlitvenih portalov (tedensko); Eurostat: podatki o prostih delovnih mestih, ki so jih postrgali s spleta, do konca leta 2021. Statistična vira: PDM, SPRS.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Mesec, 2020-2024</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2024</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R06</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Življenjska raven</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R.06.01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Porazdelitev dohodka, potrošnje in premoženja</w:t>
            </w:r>
            <w:r>
              <w:rPr>
                <w:rFonts w:eastAsia="Times New Roman"/>
                <w:sz w:val="16"/>
                <w:szCs w:val="16"/>
              </w:rPr>
              <w:br/>
              <w:t>ICW</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Prikaz porazdelitve dohodka, potrošnje in premoženja glede na tip gospodinjstva.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Podatki o osebi (EMŠO, ime in priimek, datum rojstva, naslov do ravni MID številke, vključno s številko stanovanja, starost, spol, izobrazba, državljanstvo, prvo prebivališče, status aktivnosti, </w:t>
            </w:r>
            <w:r>
              <w:rPr>
                <w:rFonts w:eastAsia="Times New Roman"/>
                <w:sz w:val="16"/>
                <w:szCs w:val="16"/>
              </w:rPr>
              <w:lastRenderedPageBreak/>
              <w:t>poklic, dejavnost, velikost in tip gospodinjstva) in njenih s</w:t>
            </w:r>
            <w:r>
              <w:rPr>
                <w:rFonts w:eastAsia="Times New Roman"/>
                <w:sz w:val="16"/>
                <w:szCs w:val="16"/>
              </w:rPr>
              <w:t>tanovanjskih pogojih, podatki o dohodkih, potrošnji, lastništvu in vrednosti nepremičnin in vozil, finančnem premoženju.</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Administrativni viri: MNZ (CRP), GURS (REN, EVN), MZI (MRVL – Register vozil in prometnih listin). Statistični viri: HFCS - Raziskava o</w:t>
            </w:r>
            <w:r>
              <w:rPr>
                <w:rFonts w:eastAsia="Times New Roman"/>
                <w:sz w:val="16"/>
                <w:szCs w:val="16"/>
              </w:rPr>
              <w:t xml:space="preserve"> finančnih </w:t>
            </w:r>
            <w:r>
              <w:rPr>
                <w:rFonts w:eastAsia="Times New Roman"/>
                <w:sz w:val="16"/>
                <w:szCs w:val="16"/>
              </w:rPr>
              <w:lastRenderedPageBreak/>
              <w:t>sredstvih in porabi gospodinjstev, EU-SILC, APG, DEM-PREB/ČL, SEL-SOC, REGISTRSKI POPIS.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n.s.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2012-2018</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R.06.02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Poraba v gospodinjstvih</w:t>
            </w:r>
            <w:r>
              <w:rPr>
                <w:rFonts w:eastAsia="Times New Roman"/>
                <w:sz w:val="16"/>
                <w:szCs w:val="16"/>
              </w:rPr>
              <w:br/>
              <w:t>APG</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Testiranje novih inovativnih načinov zbiranja podatkov o izdatkih gospodinjstev.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Vprašalnik: d</w:t>
            </w:r>
            <w:r>
              <w:rPr>
                <w:rFonts w:eastAsia="Times New Roman"/>
                <w:sz w:val="16"/>
                <w:szCs w:val="16"/>
              </w:rPr>
              <w:t>atum rojstva, spol, ime in priimek, naslov vključno s številko stanovanja, stanovanjsko razmerje, razmerje do nosilca gosp., vključenost v izobraževanje, status aktivnosti, višina porabljenih sredstev po namenu porabe (COICOP klasifikacija), količine porab</w:t>
            </w:r>
            <w:r>
              <w:rPr>
                <w:rFonts w:eastAsia="Times New Roman"/>
                <w:sz w:val="16"/>
                <w:szCs w:val="16"/>
              </w:rPr>
              <w:t>ljenih izdelkov osebne porabe: kupljene količine in količine iz lastne proizvodnje, lastnosti in lastništvo stanovanja, drugo stanovanje, opremljenost s trajnejšimi potrošnimi dobrinami, denarni prenosi med gospodinjstvi, finančni položaj gospodinjstva, me</w:t>
            </w:r>
            <w:r>
              <w:rPr>
                <w:rFonts w:eastAsia="Times New Roman"/>
                <w:sz w:val="16"/>
                <w:szCs w:val="16"/>
              </w:rPr>
              <w:t>sečni neto dohodek, nadomestila iz zaposlitve, dohodek iz kmetijske dejavnosti, obdelovalna zemljišča v uporabi, spletni nakupi, sodelovanje v raziskovanju. Administrativni/statistični viri: EMŠO, datum rojstva, spol, ime in priimek, naslov vključno s štev</w:t>
            </w:r>
            <w:r>
              <w:rPr>
                <w:rFonts w:eastAsia="Times New Roman"/>
                <w:sz w:val="16"/>
                <w:szCs w:val="16"/>
              </w:rPr>
              <w:t>ilko stanovanja.</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Izbrana gospodinjstva – v letu 2021. Administrativni viri: MNZ (CRP) - mesečno. Statistični viri: DEM-PREB/ČL.</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 za admin. vire; prostovoljno za gospodinjstva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Tekoče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31. 12. 2021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R.06.03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Delo in izobraževanju v času COVID-</w:t>
            </w:r>
            <w:r>
              <w:rPr>
                <w:rFonts w:eastAsia="Times New Roman"/>
                <w:sz w:val="16"/>
                <w:szCs w:val="16"/>
              </w:rPr>
              <w:t>19</w:t>
            </w:r>
            <w:r>
              <w:rPr>
                <w:rFonts w:eastAsia="Times New Roman"/>
                <w:sz w:val="16"/>
                <w:szCs w:val="16"/>
              </w:rPr>
              <w:br/>
              <w:t>COVID</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Spremljanje vpliva COVID-19 na delovno aktivnost, izobraževanje, porabo časa, družinsko življenje ter porabo gospodinjstev.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Vprašalnik: leto rojstva, sestava gospodinjstva, status aktivnosti, spremembe na trgu dela in pri samozaposlitvi, študentsko delo, vključenost v izobraževanje, oblike izobraževanja, varstvo predšolskih otrok, poraba časa za posamezne aktivnosti, opremljeno</w:t>
            </w:r>
            <w:r>
              <w:rPr>
                <w:rFonts w:eastAsia="Times New Roman"/>
                <w:sz w:val="16"/>
                <w:szCs w:val="16"/>
              </w:rPr>
              <w:t xml:space="preserve">st gospodinjstev z računalniki, poraba gospodinjstev, sodelovanje v raziskovanju. Administrativni/statistični viri: EMŠO, ime in priimek, spol, datum rojstva, naslov do ravni </w:t>
            </w:r>
            <w:r>
              <w:rPr>
                <w:rFonts w:eastAsia="Times New Roman"/>
                <w:sz w:val="16"/>
                <w:szCs w:val="16"/>
              </w:rPr>
              <w:lastRenderedPageBreak/>
              <w:t>MID številke vključno s številko stanovanja, izobrazba, status aktivnosti, dejavn</w:t>
            </w:r>
            <w:r>
              <w:rPr>
                <w:rFonts w:eastAsia="Times New Roman"/>
                <w:sz w:val="16"/>
                <w:szCs w:val="16"/>
              </w:rPr>
              <w:t xml:space="preserve">ost, poklic, državljanstvo, dohodek.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Izbrana gospodinjstva – do konca 14-dnevnega obdobja zbiranja. Administrativni viri: MNZ (CRP), mesečno. Statistični viri: DEM-PREB/ČL, SEL-SOC, DAK, RAVEN-DOH.</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 za admin. vire; prostovoljno za gospodinjstva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Dva</w:t>
            </w:r>
            <w:r>
              <w:rPr>
                <w:rFonts w:eastAsia="Times New Roman"/>
                <w:sz w:val="16"/>
                <w:szCs w:val="16"/>
              </w:rPr>
              <w:t xml:space="preserve"> tedna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R.06.04</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Integracija statističnih podatkov z demografskega in socialnega področja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Ažurno spremljanje ekonomskega in socialnega stanja v državi.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osebi in članih gospodinjstva - EMŠO, DŠ, ime in priimek, spol, starost, tip prebiva</w:t>
            </w:r>
            <w:r>
              <w:rPr>
                <w:rFonts w:eastAsia="Times New Roman"/>
                <w:sz w:val="16"/>
                <w:szCs w:val="16"/>
              </w:rPr>
              <w:t>lca, državljanjstvo, kraj/država rojstva, država in leto priselitve, razlogi za priselitev, datum in ura rojstva, zakonski stan, stalno/začasno/običajno prebivališče (do MID hišne številke vključno s številko stanovanja), izobrazba (raven in področje), dat</w:t>
            </w:r>
            <w:r>
              <w:rPr>
                <w:rFonts w:eastAsia="Times New Roman"/>
                <w:sz w:val="16"/>
                <w:szCs w:val="16"/>
              </w:rPr>
              <w:t>um zaključka izobraževanja, vključenost v izobraževanje, dejavnost, poklic, sodelovanje v raziskovanju, telefonska številka, tip nastanitve, status aktivnosti, zaposlitveni status, delovni čas in opravljene ure, nadurno delo, zavarovalna podlaga, delovna d</w:t>
            </w:r>
            <w:r>
              <w:rPr>
                <w:rFonts w:eastAsia="Times New Roman"/>
                <w:sz w:val="16"/>
                <w:szCs w:val="16"/>
              </w:rPr>
              <w:t>oba, prvič zaposlen v Sloveniji, število vseh aktivnih zaposlitev, vrsta invalidnosti, razmerje do referenčne osebe gospodinjstva, sorodstveno razmerje, generalni status, status prebivališča, datum spremembe zakonskega stanu, prebivanje v tujini, datum vel</w:t>
            </w:r>
            <w:r>
              <w:rPr>
                <w:rFonts w:eastAsia="Times New Roman"/>
                <w:sz w:val="16"/>
                <w:szCs w:val="16"/>
              </w:rPr>
              <w:t>javnosti prebivališč, vrsta gospodinjstva, število oseb, ki živi v gospodinjstvu, mesečni neto dohodek gospodinjstva, kontaktni podatki osebe, ki izpolnjuje vprašalnik. Podatki o podjetju (izplačevalcu): davčna in matična številka, matična številka dela po</w:t>
            </w:r>
            <w:r>
              <w:rPr>
                <w:rFonts w:eastAsia="Times New Roman"/>
                <w:sz w:val="16"/>
                <w:szCs w:val="16"/>
              </w:rPr>
              <w:t>slovnega subjekta, podatki o dokumentu, podatki o vrsti dohodka, zbirni podatki o izplačanih dohodkih, osnovah za prispevke, davčnem odtegljaju in prispevkih za socialno varnost. Podatki o davčnem zavezancu: rezidentstvo (sklop A), podatki o dohodninski vr</w:t>
            </w:r>
            <w:r>
              <w:rPr>
                <w:rFonts w:eastAsia="Times New Roman"/>
                <w:sz w:val="16"/>
                <w:szCs w:val="16"/>
              </w:rPr>
              <w:t xml:space="preserve">sti dohodka, </w:t>
            </w:r>
            <w:r>
              <w:rPr>
                <w:rFonts w:eastAsia="Times New Roman"/>
                <w:sz w:val="16"/>
                <w:szCs w:val="16"/>
              </w:rPr>
              <w:lastRenderedPageBreak/>
              <w:t xml:space="preserve">osnovah za prispevke po vrstah osnov, davčnem odtegljaju in prispevkih za socialno varnost (sklop A oz. P), podatki, potrebni za oblikovanje prijave o osnovah ter sprememb teh podatkov za osebe v delovnem razmerju (sklop M), dodatni podatki o </w:t>
            </w:r>
            <w:r>
              <w:rPr>
                <w:rFonts w:eastAsia="Times New Roman"/>
                <w:sz w:val="16"/>
                <w:szCs w:val="16"/>
              </w:rPr>
              <w:t>dohodkih iz delovnega razmerja (sklop B), šifra proračunskega uporabnika (Z350), davčna številka zaposlenega v javnem sektorju (Z360), matična številka dela poslovnega subjekta (Z630), šifra funkcije ali delovnega mesta (Z370), delež zaposlitve na delovnem</w:t>
            </w:r>
            <w:r>
              <w:rPr>
                <w:rFonts w:eastAsia="Times New Roman"/>
                <w:sz w:val="16"/>
                <w:szCs w:val="16"/>
              </w:rPr>
              <w:t xml:space="preserve"> mestu (Z550); bruto in neto znesek izplačila ter število ur za vrste izplačil po tipih izplačil, prvi dan zadržanosti, zadnji dan za plačnika, obdobje zadržanosti (od – do) za polni del. čas, obdobje zadržanosti (od – do) za skrajšani del. čas, razlog zad</w:t>
            </w:r>
            <w:r>
              <w:rPr>
                <w:rFonts w:eastAsia="Times New Roman"/>
                <w:sz w:val="16"/>
                <w:szCs w:val="16"/>
              </w:rPr>
              <w:t>ržanosti, zadnji dan za razlog. Podatki raziskovanja o izobraževanju odraslih (AIO), podatki raziskovanja o aktivnem in neaktivnem prebivalstvu (ANP), podatki raziskovanja o porabi v gospodinjstvih (APG), podatki raziskovanja o delovno aktivnem prebivalstv</w:t>
            </w:r>
            <w:r>
              <w:rPr>
                <w:rFonts w:eastAsia="Times New Roman"/>
                <w:sz w:val="16"/>
                <w:szCs w:val="16"/>
              </w:rPr>
              <w:t>u (DAK), podatki raziskovanja o sestavi prebivalstva (DEM-PREB/ČL), podatki raziskovanja o življenjskih pogojih (EU-SILC), podatki razvojnega raziskovanja o možnosti uporabe obrazca za obračun davčnih odtegljajev od dohodkov iz delovnega razmerja v obstoje</w:t>
            </w:r>
            <w:r>
              <w:rPr>
                <w:rFonts w:eastAsia="Times New Roman"/>
                <w:sz w:val="16"/>
                <w:szCs w:val="16"/>
              </w:rPr>
              <w:t xml:space="preserve">čih raziskovanjih (iREK), podatki raziskovanja o mnenju potrošnikov (MP), podatki evidence o začasni/trajni odsotnosti z dela zaradi bolezni, poškodb, nege, spremstva in drugih vzrokov (NIJZ 3), podatki raziskovanja o prostih delovnih </w:t>
            </w:r>
            <w:r>
              <w:rPr>
                <w:rFonts w:eastAsia="Times New Roman"/>
                <w:sz w:val="16"/>
                <w:szCs w:val="16"/>
              </w:rPr>
              <w:lastRenderedPageBreak/>
              <w:t>mestih (PDM), podatki</w:t>
            </w:r>
            <w:r>
              <w:rPr>
                <w:rFonts w:eastAsia="Times New Roman"/>
                <w:sz w:val="16"/>
                <w:szCs w:val="16"/>
              </w:rPr>
              <w:t xml:space="preserve"> registrskega popisa (POPIS), podatki raziskovanja o poslovnih tendencah (PT), podatki raziskovanja o dohodkih prebivalstva (RAVEN-DOH), podatki registra nepremičnin (REN), podatki raziskovanja o socioekonomskih značilnostih prebivalstva in selivcev (SEL-S</w:t>
            </w:r>
            <w:r>
              <w:rPr>
                <w:rFonts w:eastAsia="Times New Roman"/>
                <w:sz w:val="16"/>
                <w:szCs w:val="16"/>
              </w:rPr>
              <w:t>OC), podatki razvojnega raziskovanja o spremembah v družbi v obdobju COVID-19, podatki statističnega registra delovno aktivnega prebivalstva (SRDAP).</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Administrativni viri: AJPES (ISPAP) do 5. delovnega dne v mesecu za predprejšnji mesec, MNZ (CRP), mesečno</w:t>
            </w:r>
            <w:r>
              <w:rPr>
                <w:rFonts w:eastAsia="Times New Roman"/>
                <w:sz w:val="16"/>
                <w:szCs w:val="16"/>
              </w:rPr>
              <w:t>. Statistični viri: AIO, ANP, APG, DAK, DEM-PREB/ČL, EU- SILC, iREK, MP, NIJZ 3, PDM, POPIS, PT, RAVEN-DOH, REN, SEL-SOC, COVID, SRDAP.</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 za admin. vire; prostovoljno za gospodinjstva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Mesec</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R07</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Izobraževanje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R.07.01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Satelitski računi za izobraževanje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Zagotavljanje celovite informacije o prispevku izobraževalnega sektorja k nacionalni ekonomiji (set računov in tabel, ocena ključnih makro ekonomskih kazalnikov).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iz evidenc relevantnih resornih inst</w:t>
            </w:r>
            <w:r>
              <w:rPr>
                <w:rFonts w:eastAsia="Times New Roman"/>
                <w:sz w:val="16"/>
                <w:szCs w:val="16"/>
              </w:rPr>
              <w:t xml:space="preserve">itucij, zaključni računi in bilance gospodarskih družb in drugih pravnih enot, podatki iz Poslovnega registra Slovenije, davčne evidence, plačilna bilanca, bilance javnega financiranja, bilance posebnega dela proračuna RS in občin ter drugi javno-finančni </w:t>
            </w:r>
            <w:r>
              <w:rPr>
                <w:rFonts w:eastAsia="Times New Roman"/>
                <w:sz w:val="16"/>
                <w:szCs w:val="16"/>
              </w:rPr>
              <w:t>podatki, podatki statističnih raziskovanj.</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MIZŠ, MF, MDDSZ, MZI, ACS, CPI, PI, CMEPIUS , AJPES, BS, FURS, ZZZS, UJP, ZPIZ in druge relevantne institucije s področja izobraževanja (do decembra 2021). Statistični viri.</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Predprejš</w:t>
            </w:r>
            <w:r>
              <w:rPr>
                <w:rFonts w:eastAsia="Times New Roman"/>
                <w:sz w:val="16"/>
                <w:szCs w:val="16"/>
              </w:rPr>
              <w:t>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R08</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Kultura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R.08.01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Satelitski računi za kulturo</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Zagotavljanje celovite informacije o prispevku kulturnega sektorja k nacionalni ekonomiji (set računov in tabel, ocena ključnih makro ekonomskih kazalnikov).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iz evidenc relevantnih resornih institucij, zaključni računi in bilance gospodarskih druž</w:t>
            </w:r>
            <w:r>
              <w:rPr>
                <w:rFonts w:eastAsia="Times New Roman"/>
                <w:sz w:val="16"/>
                <w:szCs w:val="16"/>
              </w:rPr>
              <w:t>b ter organizacij, davčne evidence, finančna statistika, plačilna bilanca; nacionalni računi.</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viri: MK, MF, MIZŠ, JSKD, NUK, SFC, JAK, AKOS, AJPES, BS, FURS (do decembra 2021).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2017</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R09</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Zdravje in socialna varnost</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NIJZ</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R.09.01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Neenakosti v zdravju</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Prikaz neenakosti v zdravju glede na različne sociodemografske značilnosti, socioekonomske kazalnike in teritorialni vidik.</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EMŠO, spol, starost, stopnja dosežene izobrazbe, aktivnost, dejavnost zaposlitve, država prvega prebivališča, državljanstvo, poklic, stopnja urbanizacije bruto dohodek na člana gospodinjstva, zakonski stan, regija prebivališča, tip družine, velikost gospod</w:t>
            </w:r>
            <w:r>
              <w:rPr>
                <w:rFonts w:eastAsia="Times New Roman"/>
                <w:sz w:val="16"/>
                <w:szCs w:val="16"/>
              </w:rPr>
              <w:t>injstva, doseganje praga revščine, kvintilni razred gospodinjstva, število elementov, za katere je gospodinjstvo prikrajšano, podatki o splošnem zdravstvenem stanju, obsegu dolgotrajnih zdravstvenih težav in oviranosti pri vsakodnevnih aktivnostih zaradi z</w:t>
            </w:r>
            <w:r>
              <w:rPr>
                <w:rFonts w:eastAsia="Times New Roman"/>
                <w:sz w:val="16"/>
                <w:szCs w:val="16"/>
              </w:rPr>
              <w:t>dravstvenih težav, podatki o stiku zdravstveno in zobozdravstveno službo, podatki o blaginji, podatki o bolniški odsotnosti, državljanstvo in leto priselitve, Medgeneracijski prenos prikrajšanosti, lastnosti stavbe in stanovanja, finančni položaj gospodinj</w:t>
            </w:r>
            <w:r>
              <w:rPr>
                <w:rFonts w:eastAsia="Times New Roman"/>
                <w:sz w:val="16"/>
                <w:szCs w:val="16"/>
              </w:rPr>
              <w:t>stva, EMŠO staršev, HS MID običajnega prebivališča, respondent, ki je odgovarjal v imenu izbrane osebe. Podatki o zdravju, zdravstvenem stanju in uporabi zdravstvenega sistema: absentizem (trajanje in vzrok), hospitalizacija (trajanje, glavna in spremljajo</w:t>
            </w:r>
            <w:r>
              <w:rPr>
                <w:rFonts w:eastAsia="Times New Roman"/>
                <w:sz w:val="16"/>
                <w:szCs w:val="16"/>
              </w:rPr>
              <w:t>če diagnoze, opravljene storitve), umrljivost (starost v času smrti, glavni vzrok smrti, zunanji vzrok smrti), perinatalni podatki (število otrok, način poroda, spremstvo očeta), podatki o presejanosti v programu SVIT (vključitev osebe, izid presejanja), p</w:t>
            </w:r>
            <w:r>
              <w:rPr>
                <w:rFonts w:eastAsia="Times New Roman"/>
                <w:sz w:val="16"/>
                <w:szCs w:val="16"/>
              </w:rPr>
              <w:t xml:space="preserve">odatki o izdanih zdravilih (ATC koda zdravila, količina, leto izdaje zdravila).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viri: MNZ (CRP) do 30.6. Statistični viri: DEM-PREB/ČL, SEL-SOC,EU-SILC, UMRLI, SBO, SZBO, ABSENTIZEM, ZDRAVILA, SVIT, EHIS.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Prejšnje leto in predpret</w:t>
            </w:r>
            <w:r>
              <w:rPr>
                <w:rFonts w:eastAsia="Times New Roman"/>
                <w:sz w:val="16"/>
                <w:szCs w:val="16"/>
              </w:rPr>
              <w:t>eklo leto za dohodek</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NIJZ</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R.09.02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Kohortna študija zdravstvenega stanja prebivalcev glede na okoljska tveganja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Prikaz zdravstvenega stanja in zdravstvenega varstva prebivalcev Slovenije glede na okoljska tveganja. Validacijska </w:t>
            </w:r>
            <w:r>
              <w:rPr>
                <w:rFonts w:eastAsia="Times New Roman"/>
                <w:sz w:val="16"/>
                <w:szCs w:val="16"/>
              </w:rPr>
              <w:lastRenderedPageBreak/>
              <w:t>študija – primerjava a</w:t>
            </w:r>
            <w:r>
              <w:rPr>
                <w:rFonts w:eastAsia="Times New Roman"/>
                <w:sz w:val="16"/>
                <w:szCs w:val="16"/>
              </w:rPr>
              <w:t xml:space="preserve">nketnih in administrativnih virov podatkov.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EMŠO, spol, starost, zak. stan, izobrazba, poklic, del. aktivnost, dejavnost zaposlitve, dohodki, država rojstva osebe, matere in </w:t>
            </w:r>
            <w:r>
              <w:rPr>
                <w:rFonts w:eastAsia="Times New Roman"/>
                <w:sz w:val="16"/>
                <w:szCs w:val="16"/>
              </w:rPr>
              <w:lastRenderedPageBreak/>
              <w:t>očeta, člani gospodinjstva, podatki o splošnem zdrav. stanju in dolgotrajnih zdra</w:t>
            </w:r>
            <w:r>
              <w:rPr>
                <w:rFonts w:eastAsia="Times New Roman"/>
                <w:sz w:val="16"/>
                <w:szCs w:val="16"/>
              </w:rPr>
              <w:t>v. težavah, boleznih in bolezenskih stanjih, nezgodnih poškodbah, boleznih in delu, odsotnosti z dela, gibalnih in čutilnih funkcijah, skrbi zase, gospodinjskih aktivnostih, telesnih bolečinah, duševnem zdravju, sprejemih v bolnišnico, obiskih pri zdravnik</w:t>
            </w:r>
            <w:r>
              <w:rPr>
                <w:rFonts w:eastAsia="Times New Roman"/>
                <w:sz w:val="16"/>
                <w:szCs w:val="16"/>
              </w:rPr>
              <w:t>ih in drugih zdravstvenih strokovnjakih, jemanju zdravil, cepljenju, krvnem tlaku, holesterolu, krvnemu sladkorju, mamografiji, brisu materničnega vratu, prisotnosti krvi v blatu, dejavnikih tveganja socialni opori, okoljskih dejavnikih, podatki o bolnišni</w:t>
            </w:r>
            <w:r>
              <w:rPr>
                <w:rFonts w:eastAsia="Times New Roman"/>
                <w:sz w:val="16"/>
                <w:szCs w:val="16"/>
              </w:rPr>
              <w:t>čnih obravnavah, podatki o bolniškem staležu, podatki o izdanih zdravilih, podatki o udeležbi v programu SVIT, podatki o datumu smrti in osnovnem vzroku smrti.</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Administrativni viri. MNZ(CRP) do 30.9. Statistični viri: DEM-PREB/ČL, SEL-SOC, </w:t>
            </w:r>
            <w:r>
              <w:rPr>
                <w:rFonts w:eastAsia="Times New Roman"/>
                <w:sz w:val="16"/>
                <w:szCs w:val="16"/>
              </w:rPr>
              <w:lastRenderedPageBreak/>
              <w:t>UMRLI, SBO, SZBO</w:t>
            </w:r>
            <w:r>
              <w:rPr>
                <w:rFonts w:eastAsia="Times New Roman"/>
                <w:sz w:val="16"/>
                <w:szCs w:val="16"/>
              </w:rPr>
              <w:t xml:space="preserve">, ABSENTIZEM, ZDRAVILA, SVIT, EHIS.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2014-2020</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NIJZ</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R.09.03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Ocena problematične uporabe drog</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Ocena pojava problematične uporabe drog, spremljanje pojava v okolju, ocena potreb za različne ciljne skupine.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EMŠO, ime in priimek, SOUNDEX, STIGMA</w:t>
            </w:r>
            <w:r>
              <w:rPr>
                <w:rFonts w:eastAsia="Times New Roman"/>
                <w:sz w:val="16"/>
                <w:szCs w:val="16"/>
              </w:rPr>
              <w:t xml:space="preserve"> šifra, spol, državljanstvo, vrste uporabljenih drog, način uporabe drog, vrsta stika, vključenost v druge programe, obravnave, podatki o zdravljenju v CPZOPD, podatki o tveganih vedenjih. Podatki o izdanih zdravilih, datum smrti, osnovni in zunanji vzrok </w:t>
            </w:r>
            <w:r>
              <w:rPr>
                <w:rFonts w:eastAsia="Times New Roman"/>
                <w:sz w:val="16"/>
                <w:szCs w:val="16"/>
              </w:rPr>
              <w:t xml:space="preserve">smrti.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viri: Programi zmanjševanja škode (nizkopražni programi): podatki o frekvenci in vrsti stika uporabnikov drog, vrsta stika, uporabi drog, NIJZ 14, MNZ (CRP) do 30.6. Statistični viri: UMRLI, RECEPTI.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2015-2020</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NIJZ</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R.09.04</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Zdravstveno varstvo otrok in mladostnikov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Razvoj, nadgradnja in zagotavljanje kazalnikov zdravstvenega varstva otrok in mladostnikov obravnav s poudarkom na razlikah glede na območje, izvajalce, socialnoekonomski položaj.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izvajalcih. Po</w:t>
            </w:r>
            <w:r>
              <w:rPr>
                <w:rFonts w:eastAsia="Times New Roman"/>
                <w:sz w:val="16"/>
                <w:szCs w:val="16"/>
              </w:rPr>
              <w:t>datki o kadrovskih virih v zdravstvenem varstvu otrok in mladostnikov (zaposleni po izobrazbi, zdravniki specialisti in specializanti po vrsti specializacije, DMS, psihologi, klinični psihologi, logopedi…) po izvajalcu in lokaciji. Podatki o številu in sta</w:t>
            </w:r>
            <w:r>
              <w:rPr>
                <w:rFonts w:eastAsia="Times New Roman"/>
                <w:sz w:val="16"/>
                <w:szCs w:val="16"/>
              </w:rPr>
              <w:t xml:space="preserve">rostni strukturi opredeljenih oseb in glavarinskih količnikov po izbranem zdravniku. Podatki o številu </w:t>
            </w:r>
            <w:r>
              <w:rPr>
                <w:rFonts w:eastAsia="Times New Roman"/>
                <w:sz w:val="16"/>
                <w:szCs w:val="16"/>
              </w:rPr>
              <w:lastRenderedPageBreak/>
              <w:t>pogodbenih timov po zdravstvenim dejavnostih po izvajalcu in UE. Podatki o imenovanih zdravnikih vrtcev in šol, izvajanju zdravstvene vzgoje, programih P</w:t>
            </w:r>
            <w:r>
              <w:rPr>
                <w:rFonts w:eastAsia="Times New Roman"/>
                <w:sz w:val="16"/>
                <w:szCs w:val="16"/>
              </w:rPr>
              <w:t>UMO, drugi podatki vezani na lokalno skupnost s poudarkom na spremljanju po sociodemografskih in socioekonomskih spremenljivkah.</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Administrativni viri: ZZZS, ZZS, MDDZS, MIZŠ, Fakulteta za šport UL (športnovzgojni kartoni), Inštitut RS za socialno varstvo, </w:t>
            </w:r>
            <w:r>
              <w:rPr>
                <w:rFonts w:eastAsia="Times New Roman"/>
                <w:sz w:val="16"/>
                <w:szCs w:val="16"/>
              </w:rPr>
              <w:t xml:space="preserve">MF (kazalniki razvitosti občin), NIJZ (NIJZ 16), do 31. 8.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Prejšnje leto. Fakulteta za šport; šolsko leto 2019/20</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R15</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Energetika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R.15.01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Raba energije v storitvenem sektorju</w:t>
            </w:r>
            <w:r>
              <w:rPr>
                <w:rFonts w:eastAsia="Times New Roman"/>
                <w:sz w:val="16"/>
                <w:szCs w:val="16"/>
              </w:rPr>
              <w:br/>
              <w:t>E-RES</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Vzpostavitev spremljanja rabe energije v storitvenem sektorju z možnostjo uporabe podatkov pametnih števcev.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rabi energije v storitvenem sektorju po energentih in po namenih rabe, podatki pametnih števcev za elektriko.</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Vprašalnik: poslovni subjek</w:t>
            </w:r>
            <w:r>
              <w:rPr>
                <w:rFonts w:eastAsia="Times New Roman"/>
                <w:sz w:val="16"/>
                <w:szCs w:val="16"/>
              </w:rPr>
              <w:t>ti s področij G–U po SKD 2008, do 31. 12. 2021. Administrativni viri: MZI, Geološki zavod, Eko sklad, MOP, SODO, do 30. 6. 2021. Informa Echo, distributerji električne energije ter drugi viri in zbirke, ki razpolagajo s podatki o rabi energije, do 30. 4. 2</w:t>
            </w:r>
            <w:r>
              <w:rPr>
                <w:rFonts w:eastAsia="Times New Roman"/>
                <w:sz w:val="16"/>
                <w:szCs w:val="16"/>
              </w:rPr>
              <w:t xml:space="preserve">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Prejšnje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2023</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R.15.02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Nadgradnja energetskih statistik</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Nadgradnja energetskih statistik z dopolnitvijo spremljanja rabe električne energije v prometu in z vzpostavitvijo spremljanja rabe odvečne toplote iz proizv</w:t>
            </w:r>
            <w:r>
              <w:rPr>
                <w:rFonts w:eastAsia="Times New Roman"/>
                <w:sz w:val="16"/>
                <w:szCs w:val="16"/>
              </w:rPr>
              <w:t>odnih procesov.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rabi električne energije v prometu; podatki o rabi odvečne toplote iz proizvodnih procesov.</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Vprašalnik: poslovni subjekti izbranih področij SKD 2008, do 31. 12. 2021. Administrativni vir: MZI, do 30. 6. 2021.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Prejšnje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2023</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R16</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Gradbeništvo</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R.16.01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Začetek in dokončanje gradnje stavb</w:t>
            </w:r>
            <w:r>
              <w:rPr>
                <w:rFonts w:eastAsia="Times New Roman"/>
                <w:sz w:val="16"/>
                <w:szCs w:val="16"/>
              </w:rPr>
              <w:br/>
              <w:t>GRAD-ZK/M</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Razvoj kazalnikov o začetku in dokončanju gradnje stavb.</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številu in površini stavb, ki so se pričela graditi in podatki o številu in površini dokončanih stavb, po vrsti investitorja, vrsti gradbenih del in klasifikaciji vrst objektov (CC-SI).</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 MOP (Prostorski informacijski sistem (P</w:t>
            </w:r>
            <w:r>
              <w:rPr>
                <w:rFonts w:eastAsia="Times New Roman"/>
                <w:sz w:val="16"/>
                <w:szCs w:val="16"/>
              </w:rPr>
              <w:t>IS)), do 5. v mesecu.</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Mesec</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R18</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Finančno posredništvo</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BS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R.18.01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Finančno posredništvo nedenarnih finančnih posrednikov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Zagotavljanje podatkov o finančnem posredništvu nedenarnih finančnih posrednikov.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iz bilance stanja drugih (nedenarnih) finančnih posrednikov (OFI) iz institucionalnih sektorjev S.123, S.124 in S.125.</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Statistični viri.</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Četrtletje</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BS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R.18.02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Vrednostni papirji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Zagotavljaje podatkov o vrednostnih papirjih.</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iz</w:t>
            </w:r>
            <w:r>
              <w:rPr>
                <w:rFonts w:eastAsia="Times New Roman"/>
                <w:sz w:val="16"/>
                <w:szCs w:val="16"/>
              </w:rPr>
              <w:t>dajateljih, imetjih in trgovanju z vrednostnimi papirji.</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KDD do petega dne v naslednjem mesecu. Statistični viri.</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Mesec</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R19</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Turizem</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R.19.01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Tuji turisti</w:t>
            </w:r>
            <w:r>
              <w:rPr>
                <w:rFonts w:eastAsia="Times New Roman"/>
                <w:sz w:val="16"/>
                <w:szCs w:val="16"/>
              </w:rPr>
              <w:br/>
              <w:t>TU-TURISTI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Analiza novih podatkovnih virov za prikaz osnovnih podatkov o tujih turistih v Republiki Sloveniji ter njihovih izdatkih.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Anonimizirani in agregirani podatki o mobilnih klicih, prejetih/poslanih SMS-ih ter trajanju podatkovnih sej tujih potnikov, turistov</w:t>
            </w:r>
            <w:r>
              <w:rPr>
                <w:rFonts w:eastAsia="Times New Roman"/>
                <w:sz w:val="16"/>
                <w:szCs w:val="16"/>
              </w:rPr>
              <w:t xml:space="preserve"> in izletnikov). Podatki transakcij bančnih kartic nerezidentov (število in vrednost plačil nerezidentov v Republiki Sloveniji).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 AKOS (podatki mobilnih operaterjev, ki zagotavljajo javna komunikacijska omrežja in/ali izvajajo javne ko</w:t>
            </w:r>
            <w:r>
              <w:rPr>
                <w:rFonts w:eastAsia="Times New Roman"/>
                <w:sz w:val="16"/>
                <w:szCs w:val="16"/>
              </w:rPr>
              <w:t>munikacijske storitve – najkasneje 2 meseca po referenčnem mesecu). Statistični vir: statistika plačil.</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Obvezno za administrativni vir.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R.19.02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Tuji potniki</w:t>
            </w:r>
            <w:r>
              <w:rPr>
                <w:rFonts w:eastAsia="Times New Roman"/>
                <w:sz w:val="16"/>
                <w:szCs w:val="16"/>
              </w:rPr>
              <w:br/>
              <w:t>TU-POTNIKI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Analiza novih podatkovnih virov za prikaz osnovnih podatkov o tujih pot</w:t>
            </w:r>
            <w:r>
              <w:rPr>
                <w:rFonts w:eastAsia="Times New Roman"/>
                <w:sz w:val="16"/>
                <w:szCs w:val="16"/>
              </w:rPr>
              <w:t xml:space="preserve">nikih v Republiki Sloveniji ter njihovih izdatkih.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prometu vozil iz avtomatskega štetja prometa (števno mesto, datum štetja časovni interval štetja, vrsta vozila glede na vstop/izstop); anonimizirani in agregirani podatki o mobilnih klicih, prej</w:t>
            </w:r>
            <w:r>
              <w:rPr>
                <w:rFonts w:eastAsia="Times New Roman"/>
                <w:sz w:val="16"/>
                <w:szCs w:val="16"/>
              </w:rPr>
              <w:t xml:space="preserve">etih/poslanih SMS-ih ter trajanju podatkovnih sej tujih potnikov, turistov in izletnikov. Podatki transakcij bančnih kartic nerezidentov (število in vrednost plačil nerezidentov v Republiki Sloveniji), število potniških vozil po vrstah in število potnikov </w:t>
            </w:r>
            <w:r>
              <w:rPr>
                <w:rFonts w:eastAsia="Times New Roman"/>
                <w:sz w:val="16"/>
                <w:szCs w:val="16"/>
              </w:rPr>
              <w:t xml:space="preserve">preko cestnih mejnih prehodov na meji s Hrvaško.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Administrativna vira: MZI (DRSI) (podatki števcev prometa) – 1 mesec po referenčnem mesecu); AKOS (podatki mobilnih operaterjev, ki zagotavljajo javna komunikacijska omrežja in/ali izvajajo javne komunikaci</w:t>
            </w:r>
            <w:r>
              <w:rPr>
                <w:rFonts w:eastAsia="Times New Roman"/>
                <w:sz w:val="16"/>
                <w:szCs w:val="16"/>
              </w:rPr>
              <w:t>jske storitve – najkasneje 2 meseca po referenčnem mesecu). Statistična vira: statistika plačil, TR-MEJ/M.</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 za administrativna vira.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R.19.03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Prihodi in prenočitve turistov </w:t>
            </w:r>
            <w:r>
              <w:rPr>
                <w:rFonts w:eastAsia="Times New Roman"/>
                <w:sz w:val="16"/>
                <w:szCs w:val="16"/>
              </w:rPr>
              <w:br/>
              <w:t>TU/M</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Prikaz stanja prihodov gostov in njihovih prijav v nast</w:t>
            </w:r>
            <w:r>
              <w:rPr>
                <w:rFonts w:eastAsia="Times New Roman"/>
                <w:sz w:val="16"/>
                <w:szCs w:val="16"/>
              </w:rPr>
              <w:t>anitvenih obratih.</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nastanitvenih obratih (NO), njihovih značilnostih in njihovih nastanitvenih zmogljivostih ter izvajalcih nastanitvene dejavnosti (matična številka izvajalca, davčna številka izvajalca, naziv izvajalca, sedež in naslov izvajalca</w:t>
            </w:r>
            <w:r>
              <w:rPr>
                <w:rFonts w:eastAsia="Times New Roman"/>
                <w:sz w:val="16"/>
                <w:szCs w:val="16"/>
              </w:rPr>
              <w:t xml:space="preserve">, kontaktni </w:t>
            </w:r>
            <w:r>
              <w:rPr>
                <w:rFonts w:eastAsia="Times New Roman"/>
                <w:sz w:val="16"/>
                <w:szCs w:val="16"/>
              </w:rPr>
              <w:lastRenderedPageBreak/>
              <w:t>podatki izvajalca, ID nastanitvenega obrata, naziv NO, datum vpisa v register, naslov NO, status poročanja, vrsta in kategorija obrata); podatki o statusu NO; podatki o zmogljivosti NO (število nedeljivih enot, število prodanih nedeljivih nasta</w:t>
            </w:r>
            <w:r>
              <w:rPr>
                <w:rFonts w:eastAsia="Times New Roman"/>
                <w:sz w:val="16"/>
                <w:szCs w:val="16"/>
              </w:rPr>
              <w:t>nitvenih enot, število ležišč skupaj, število stalnih in pomožnih ležišč, ali obrat omogoča dostop in nastanitev za gibalno ovirane osebe ter koliko dni v mesecu je bil nastanitveni obrat odprt za nastanitev turistov); kontaktni podatki NO, dodatna ponudba</w:t>
            </w:r>
            <w:r>
              <w:rPr>
                <w:rFonts w:eastAsia="Times New Roman"/>
                <w:sz w:val="16"/>
                <w:szCs w:val="16"/>
              </w:rPr>
              <w:t xml:space="preserve"> in druga ponudba nastanitvenega obrata. Spremljanje prihodov in prenočitev turistov (števila in značilnosti) v nastanitvenih obratih. Značilnosti turista: zaporedna številka prijave gosta v nastanitvenem obratu, državljanstvo, spol, datum rojstva, datum i</w:t>
            </w:r>
            <w:r>
              <w:rPr>
                <w:rFonts w:eastAsia="Times New Roman"/>
                <w:sz w:val="16"/>
                <w:szCs w:val="16"/>
              </w:rPr>
              <w:t>n ura prihoda, datum in ura odhoda, višina polne turistične takse, razlog oprostitve ali delnega plačila turistične takse.</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Administrativna vira: AJPES – RNO (polni zajem), stanje na dan (omogočen dnevni prevzem). AJPES – eTurizem (dnevni podatki o prijavah</w:t>
            </w:r>
            <w:r>
              <w:rPr>
                <w:rFonts w:eastAsia="Times New Roman"/>
                <w:sz w:val="16"/>
                <w:szCs w:val="16"/>
              </w:rPr>
              <w:t xml:space="preserve"> gostov, polni zajem – omogočen dnevni prevzem) in mesečni podatki </w:t>
            </w:r>
            <w:r>
              <w:rPr>
                <w:rFonts w:eastAsia="Times New Roman"/>
                <w:sz w:val="16"/>
                <w:szCs w:val="16"/>
              </w:rPr>
              <w:lastRenderedPageBreak/>
              <w:t>o nastanitvenih obratih), do 15. v mesecu – polni zajem.</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Kritični (presečni) čas.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R.19.04</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Obseg sodelovalnega gospodarstva na področju kratkoročnega oddajanja turističnih nastanitev</w:t>
            </w:r>
            <w:r>
              <w:rPr>
                <w:rFonts w:eastAsia="Times New Roman"/>
                <w:sz w:val="16"/>
                <w:szCs w:val="16"/>
              </w:rPr>
              <w:br/>
              <w:t>TU-SODEL</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Analiza novih podatkovnih virov za prikaz obsega sodelovalnega gospodarstva na področju kratkoročnega oddajanja turističnih nastanitev v Republiki Slovenij</w:t>
            </w:r>
            <w:r>
              <w:rPr>
                <w:rFonts w:eastAsia="Times New Roman"/>
                <w:sz w:val="16"/>
                <w:szCs w:val="16"/>
              </w:rPr>
              <w:t>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Podatki o obsegu sodelovalnega gospodarstva: o ponudbi kratkoročnih turističnih nastanitvenih zmogljivosti in turističnem prometu (prihodi in prenočitve).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Administrativna vira: AJPES – RNO (polni zajem), stanje na dan (omogočen dnevni prevzem). AJPES –</w:t>
            </w:r>
            <w:r>
              <w:rPr>
                <w:rFonts w:eastAsia="Times New Roman"/>
                <w:sz w:val="16"/>
                <w:szCs w:val="16"/>
              </w:rPr>
              <w:t xml:space="preserve"> eTurizem (dnevni podatki o prijavah gostov in mesečni podatki o nastanitvenih obratih), do 15. v mesecu – polni zajem. FURS, do 30. 6. 2022 (finančni podatki o poslovanju pravnih in fizičnih oseb s spletnimi platformami za nudenje kratkoročnih nastanitev)</w:t>
            </w:r>
            <w:r>
              <w:rPr>
                <w:rFonts w:eastAsia="Times New Roman"/>
                <w:sz w:val="16"/>
                <w:szCs w:val="16"/>
              </w:rPr>
              <w:t xml:space="preserve">. EUROSTAT (podatki pridobljeni od spletnih platform za kratkoročni najem turističnih nastanitvenih obratov), do </w:t>
            </w:r>
            <w:r>
              <w:rPr>
                <w:rFonts w:eastAsia="Times New Roman"/>
                <w:sz w:val="16"/>
                <w:szCs w:val="16"/>
              </w:rPr>
              <w:lastRenderedPageBreak/>
              <w:t>konca leta 2020 za podatke 2018 in 2019, do konca leta 2021 za leto 2020. Nacionalne spletne platforme za kratkoročni najem turističnih nastani</w:t>
            </w:r>
            <w:r>
              <w:rPr>
                <w:rFonts w:eastAsia="Times New Roman"/>
                <w:sz w:val="16"/>
                <w:szCs w:val="16"/>
              </w:rPr>
              <w:t xml:space="preserve">tvenih obratov, do 31. 12. 2021.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Obvezno za administrativna vira.</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Leto 2018, 2019 in 2020.</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R20</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Transport in komunikacije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R.20.01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Intermodalni transport </w:t>
            </w:r>
            <w:r>
              <w:rPr>
                <w:rFonts w:eastAsia="Times New Roman"/>
                <w:sz w:val="16"/>
                <w:szCs w:val="16"/>
              </w:rPr>
              <w:br/>
              <w:t>TR-IMT</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Spremljanje obsega intermodalnega transporta v cestnem, železniškem in pomorskem prevozu ter prometu.</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intermodalnem transportu, prevozu po železnici, cestah in morju – glede na vrsto in velikost transportne enote, prevožen tovor (tone, tonski kil</w:t>
            </w:r>
            <w:r>
              <w:rPr>
                <w:rFonts w:eastAsia="Times New Roman"/>
                <w:sz w:val="16"/>
                <w:szCs w:val="16"/>
              </w:rPr>
              <w:t xml:space="preserve">ometri), po kohezijskih regijah in državah.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Intermodalni logistični terminali, poslovni subjekti, ki izvajajo cestni, železniški in pomorski prevoz ter promet blaga – do 30. 6. 2021. Administrativna vira: MZI (MRVL) – do 10. v mesecu za prejšnji mesec. St</w:t>
            </w:r>
            <w:r>
              <w:rPr>
                <w:rFonts w:eastAsia="Times New Roman"/>
                <w:sz w:val="16"/>
                <w:szCs w:val="16"/>
              </w:rPr>
              <w:t>atistični viri: TR-PRI/M, TR-POM/M, TR-LET/M, TR-LET/L, TR-CES-B/T, TR-ŽEL/ČL, TR-ŽEL/L.</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Leto 2019 in 2020.</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R.20.02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Cestni promet</w:t>
            </w:r>
            <w:r>
              <w:rPr>
                <w:rFonts w:eastAsia="Times New Roman"/>
                <w:sz w:val="16"/>
                <w:szCs w:val="16"/>
              </w:rPr>
              <w:br/>
              <w:t>TR-AŠP</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Spremljanje obsega transporta v cestnem prevozu ter prometu.</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prometu vozil iz avtomatskega</w:t>
            </w:r>
            <w:r>
              <w:rPr>
                <w:rFonts w:eastAsia="Times New Roman"/>
                <w:sz w:val="16"/>
                <w:szCs w:val="16"/>
              </w:rPr>
              <w:t xml:space="preserve"> štetja prometa (števno mesto, datum štetja časovni interval štetja, vrsta vozila glede na vstop/izstop).</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vir: MZI (DRSI) do 15. v mesecu za pretekli mesec, drugo (kritični dan).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Leto 2019, 2020 in 2021.</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R.20.03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Avtocestni promet</w:t>
            </w:r>
            <w:r>
              <w:rPr>
                <w:rFonts w:eastAsia="Times New Roman"/>
                <w:sz w:val="16"/>
                <w:szCs w:val="16"/>
              </w:rPr>
              <w:br/>
              <w:t>TR-AC</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Spremljanje obsega prometa na avtocestah.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Podatki o prometu vozil iz elektronskega cestninskega sistema v prostem prometnem toku, ki velja za vozila z največjo dovoljeno maso nad 3,5 tone.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 DARS (podatki DarsGo</w:t>
            </w:r>
            <w:r>
              <w:rPr>
                <w:rFonts w:eastAsia="Times New Roman"/>
                <w:sz w:val="16"/>
                <w:szCs w:val="16"/>
              </w:rPr>
              <w:t xml:space="preserve">) – do 30. 11. 2021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Leto 2019, 2020 in 2021.</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R.20.04</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Dnevna mobilnost potnikov </w:t>
            </w:r>
            <w:r>
              <w:rPr>
                <w:rFonts w:eastAsia="Times New Roman"/>
                <w:sz w:val="16"/>
                <w:szCs w:val="16"/>
              </w:rPr>
              <w:br/>
              <w:t>TR-MOB</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Prikaz dnevne mobilnosti prebivalcev (starih od 15 do 84 let). Prikaz podatkov o poteh do 300 km. Pridobitev vhodnih podatkov za izračune prometnih m</w:t>
            </w:r>
            <w:r>
              <w:rPr>
                <w:rFonts w:eastAsia="Times New Roman"/>
                <w:sz w:val="16"/>
                <w:szCs w:val="16"/>
              </w:rPr>
              <w:t xml:space="preserve">odelov in ugotavljanje obremenitev okolja.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Mobilna aplikacija MOJE POTI: prebivalci, ki so ali niso opravili vsaj eno pot na izbrani dan. Značilnosti dnevnih poti: čas začetka, namen način prevoza/premikanja, cilj/zaključek poti (na koordinato natančno), </w:t>
            </w:r>
            <w:r>
              <w:rPr>
                <w:rFonts w:eastAsia="Times New Roman"/>
                <w:sz w:val="16"/>
                <w:szCs w:val="16"/>
              </w:rPr>
              <w:t xml:space="preserve">trajanje, dolžina, vrsta goriva uporabljenega avtomobila. Osnovni podatki o izbranem posamezniku (spol, leto rojstva). Administrativni/statistični viri: EMŠO, ime in priimek, datum </w:t>
            </w:r>
            <w:r>
              <w:rPr>
                <w:rFonts w:eastAsia="Times New Roman"/>
                <w:sz w:val="16"/>
                <w:szCs w:val="16"/>
              </w:rPr>
              <w:lastRenderedPageBreak/>
              <w:t>rojstva, naslov do ravni MID hišne številke, spol, starost, dosežena izobra</w:t>
            </w:r>
            <w:r>
              <w:rPr>
                <w:rFonts w:eastAsia="Times New Roman"/>
                <w:sz w:val="16"/>
                <w:szCs w:val="16"/>
              </w:rPr>
              <w:t xml:space="preserve">zba, status aktivnosti, dohodki prebivalstva.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Izbrani posameznik, star 15 do 84 let, med letom. Administrativni vir: MNZ (CRP), po potrebi. Statistični viri: DEM-PREB/ČL, DAK, SEL-SOC, RAVEN-DOH .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Prostovoljno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Tekoče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R21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Kmetijstvo, gozdarstvo in ribištvo</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R.21.01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Uporaba podatkov daljinskega zaznavanja</w:t>
            </w:r>
            <w:r>
              <w:rPr>
                <w:rFonts w:eastAsia="Times New Roman"/>
                <w:sz w:val="16"/>
                <w:szCs w:val="16"/>
              </w:rPr>
              <w:br/>
              <w:t>GEOS</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Preučitev možnosti za dopolnitev obstoječih statistik ali prihodnje zagotavljanje novih statistik na podlagi podatkov daljinskega zaznavanja in kombin</w:t>
            </w:r>
            <w:r>
              <w:rPr>
                <w:rFonts w:eastAsia="Times New Roman"/>
                <w:sz w:val="16"/>
                <w:szCs w:val="16"/>
              </w:rPr>
              <w:t xml:space="preserve">iranja teh podatkov z drugimi dostopnimi viri.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in podatki daljinskega zaznavanja: posnetki površja, podatki o lastnostih prostora, lastništvu in coniranju površin in upravni prostorski podatki; podatki o lastništvu zemljišč. Statistič</w:t>
            </w:r>
            <w:r>
              <w:rPr>
                <w:rFonts w:eastAsia="Times New Roman"/>
                <w:sz w:val="16"/>
                <w:szCs w:val="16"/>
              </w:rPr>
              <w:t xml:space="preserve">ni viri: podatki o rabi in strukturi zemljišč, namakanju in nepremičninah. Osebni podatki : KMG_MID administrativni identifikator kmetijskega gospodarstva, podatki o lastniku parcele (EMŠO, ime in priimek, naslov).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in podatki daljinsk</w:t>
            </w:r>
            <w:r>
              <w:rPr>
                <w:rFonts w:eastAsia="Times New Roman"/>
                <w:sz w:val="16"/>
                <w:szCs w:val="16"/>
              </w:rPr>
              <w:t>ega zaznavanja: MKGP (RKG, Evidenca dejanske rabe kmetijskih in gozdnih zemljišč, Evidenca melioracijskih sistemov in naprav, Evidenca OMD, Blok/GERK, pedološka karta Slovenije, KMRS), GURS (RPE, REN, Kataster nepremičnin, ciklično aerofotografiranje Slove</w:t>
            </w:r>
            <w:r>
              <w:rPr>
                <w:rFonts w:eastAsia="Times New Roman"/>
                <w:sz w:val="16"/>
                <w:szCs w:val="16"/>
              </w:rPr>
              <w:t xml:space="preserve">nije ter Ortofoto, Digitalni model višin, Zbirka podatkov daljinskega zaznavanja, DTM, Zemljiški kataster), ARSO (ekološko pomembna območja, NATURA 2000, poligoni zavarovanih območij), MOP (podatki o geografski opredelitvi vodnega vira-Koncesije, Namenska </w:t>
            </w:r>
            <w:r>
              <w:rPr>
                <w:rFonts w:eastAsia="Times New Roman"/>
                <w:sz w:val="16"/>
                <w:szCs w:val="16"/>
              </w:rPr>
              <w:t>raba prostora, INSPIRE metapodatkovni sistem), Direkcija RS za vode (vodna dovoljenja, vodovarstvena območja), MNZ (CRP), ZGS (Kataster varovalnih gozdov). Podatki Landsat in Sentinel. Vsi podatki v različnih obdobjih, večkrat v letu. Statistični viri: KME</w:t>
            </w:r>
            <w:r>
              <w:rPr>
                <w:rFonts w:eastAsia="Times New Roman"/>
                <w:sz w:val="16"/>
                <w:szCs w:val="16"/>
              </w:rPr>
              <w:t xml:space="preserve">-JUN, KME-JUNSTRK/3L, POPIS-KME/10L, VOD-N, SREN.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2023</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R22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Okolje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R.22.01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Vodni računi</w:t>
            </w:r>
            <w:r>
              <w:rPr>
                <w:rFonts w:eastAsia="Times New Roman"/>
                <w:sz w:val="16"/>
                <w:szCs w:val="16"/>
              </w:rPr>
              <w:br/>
              <w:t>VOD-RAČ</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Vzpostavitev sistema vodnih računov za Slovenijo, skladno z mednarodnimi priporočili.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Podatki za dopolnitev tabel ponudbe in porabe (voda v prsti, evapotranspiracija načrpane vode, načrpana voda za dejavnost kmetijstvo – za akvakulturo) ter podatki za pripravo fizičnih računov sredstev za vodne vire.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ARSO, Direkcija z</w:t>
            </w:r>
            <w:r>
              <w:rPr>
                <w:rFonts w:eastAsia="Times New Roman"/>
                <w:sz w:val="16"/>
                <w:szCs w:val="16"/>
              </w:rPr>
              <w:t>a vode, do 30. 6. 2021. Statistični viri.</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Predprejšnje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R.22.02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Tok sekundarnih surovin ter uvoz in izvoz odpadkov</w:t>
            </w:r>
            <w:r>
              <w:rPr>
                <w:rFonts w:eastAsia="Times New Roman"/>
                <w:sz w:val="16"/>
                <w:szCs w:val="16"/>
              </w:rPr>
              <w:br/>
              <w:t>ODP-sekundarni</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Spremljanje toka sekundarnih surovin in odpadkov v okviru krožnega gospodarstva.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Vprašalnik Tok sekund</w:t>
            </w:r>
            <w:r>
              <w:rPr>
                <w:rFonts w:eastAsia="Times New Roman"/>
                <w:sz w:val="16"/>
                <w:szCs w:val="16"/>
              </w:rPr>
              <w:t xml:space="preserve">arnih surovin: nastale količine, uvoz, izvoz in predelava (ponovna uporaba, reciklaža, zasipanje ipd.) sekundarnih surovin ter odpadkov.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Poslovni subjekti, ki proizvajajo sekundarne surovine in poslovni subjekti, ki uporabljajo sekundarne surovine, do 31.</w:t>
            </w:r>
            <w:r>
              <w:rPr>
                <w:rFonts w:eastAsia="Times New Roman"/>
                <w:sz w:val="16"/>
                <w:szCs w:val="16"/>
              </w:rPr>
              <w:t xml:space="preserve">12. 2021. Administrativni viri: IRSOP, ARSO (baza IS-Odpadki), do 31. 5. 2021.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Prejšnje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R.22.03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Nadgradnja rezidenčnega principa pri okoljskih računih</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Spremljanje podatkov o porabi goriv v prometu in podatkov o d</w:t>
            </w:r>
            <w:r>
              <w:rPr>
                <w:rFonts w:eastAsia="Times New Roman"/>
                <w:sz w:val="16"/>
                <w:szCs w:val="16"/>
              </w:rPr>
              <w:t xml:space="preserve">eležu plačil okoljskih davkov v Sloveniji glede na rezidenčni princip.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Podatki o registriranih vozilih in povprečno prevoženih kilometrih ter porabi goriv in prodani količin goriv v Sloveniji.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viri: MZI (Matični register vozil in listin),</w:t>
            </w:r>
            <w:r>
              <w:rPr>
                <w:rFonts w:eastAsia="Times New Roman"/>
                <w:sz w:val="16"/>
                <w:szCs w:val="16"/>
              </w:rPr>
              <w:t xml:space="preserve"> AJPES, do 31.12. 2021.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Predprejšnje in prejšnje leto.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pStyle w:val="modul"/>
            </w:pPr>
            <w:r>
              <w:t>R23</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Medpodročni sistemi kazalnikov</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R.23.01</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Kazalniki krožnega gospodarstva</w:t>
            </w:r>
            <w:r>
              <w:rPr>
                <w:rFonts w:eastAsia="Times New Roman"/>
                <w:sz w:val="16"/>
                <w:szCs w:val="16"/>
              </w:rPr>
              <w:br/>
              <w:t>KKG</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Spremljanje napredka pri prehodu v krožno gospodarstvo.</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nastalih količinah odpadkov in ravnanje z njimi, trgovanje s sekundarnimi surovinami, uvoz, izvoz, dodana vrednost v faktorskih stroških, število zaposlenih in število patentov povezanih z r</w:t>
            </w:r>
            <w:r>
              <w:rPr>
                <w:rFonts w:eastAsia="Times New Roman"/>
                <w:sz w:val="16"/>
                <w:szCs w:val="16"/>
              </w:rPr>
              <w:t xml:space="preserve">eciklažo in sekundarnimi surovinami ter investicije v omenjene dobrine. </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Administrativni in drugi viri, do 10. 3. 2021. Statistični viri (ODP-nastajanje, ODP-obdelava, RST, Aktivno in neaktivno prebivalstvo, INV, statistika zunanje trgovine), do 10. 3. 202</w:t>
            </w:r>
            <w:r>
              <w:rPr>
                <w:rFonts w:eastAsia="Times New Roman"/>
                <w:sz w:val="16"/>
                <w:szCs w:val="16"/>
              </w:rPr>
              <w:t xml:space="preserve">1.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Različno razpoložljive časovne vrste podatkov.</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2021</w:t>
            </w:r>
          </w:p>
        </w:tc>
      </w:tr>
      <w:tr w:rsidR="00000000" w:rsidTr="00A91852">
        <w:tc>
          <w:tcPr>
            <w:tcW w:w="10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R.23.02</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Nadgradnja kazalnikov ciljev trajnostnega razvoja</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Dopolnitev nabora kazalnikov za spremljanje napredka pri doseganju ciljev trajnostnega razvoja na ravni Slovenije.</w:t>
            </w:r>
          </w:p>
        </w:tc>
        <w:tc>
          <w:tcPr>
            <w:tcW w:w="230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Podatki o ze</w:t>
            </w:r>
            <w:r>
              <w:rPr>
                <w:rFonts w:eastAsia="Times New Roman"/>
                <w:sz w:val="16"/>
                <w:szCs w:val="16"/>
              </w:rPr>
              <w:t>lenih površinah v mestih ter drugi podatki, potrebni za izračun novih kazalnikov.</w:t>
            </w:r>
          </w:p>
        </w:tc>
        <w:tc>
          <w:tcPr>
            <w:tcW w:w="199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Administrativni in drugi viri ter zbirke podatkov, ki razpolagajo z relevantnimi podatki za trajnostni razvoj, do 30. 6. 2021. Statistični viri. </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Obvezno</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Različno razpoložlji</w:t>
            </w:r>
            <w:r>
              <w:rPr>
                <w:rFonts w:eastAsia="Times New Roman"/>
                <w:sz w:val="16"/>
                <w:szCs w:val="16"/>
              </w:rPr>
              <w:t>ve časovne vrste podatkov.</w:t>
            </w:r>
          </w:p>
        </w:tc>
        <w:tc>
          <w:tcPr>
            <w:tcW w:w="151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r w:rsidR="00000000" w:rsidTr="00A91852">
        <w:tc>
          <w:tcPr>
            <w:tcW w:w="10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spacing w:before="100" w:beforeAutospacing="1" w:after="100" w:afterAutospacing="1"/>
              <w:rPr>
                <w:sz w:val="16"/>
                <w:szCs w:val="16"/>
              </w:rPr>
            </w:pPr>
            <w:r>
              <w:rPr>
                <w:b/>
                <w:bCs/>
                <w:sz w:val="16"/>
                <w:szCs w:val="16"/>
              </w:rPr>
              <w:t> </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 </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pStyle w:val="modul"/>
            </w:pPr>
            <w:r>
              <w:t>R25</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b/>
                <w:bCs/>
                <w:sz w:val="16"/>
                <w:szCs w:val="16"/>
              </w:rPr>
              <w:t>Drugo</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w:t>
            </w:r>
          </w:p>
        </w:tc>
      </w:tr>
      <w:tr w:rsidR="00000000" w:rsidTr="00A91852">
        <w:tc>
          <w:tcPr>
            <w:tcW w:w="10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SURS</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R.25.01</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Mobilne statistike</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 xml:space="preserve">Vključitev podatkov operaterjev, ki zagotavljajo javna </w:t>
            </w:r>
            <w:r>
              <w:rPr>
                <w:rFonts w:eastAsia="Times New Roman"/>
                <w:sz w:val="16"/>
                <w:szCs w:val="16"/>
              </w:rPr>
              <w:lastRenderedPageBreak/>
              <w:t xml:space="preserve">komunikacijska omrežja in/ali izvajajo javne komunikacijske storitve, kot novega vira v uradni statistični proces z vidika natančnejše umestitve obstoječih statističnih podatkov v prostor in čas ter z </w:t>
            </w:r>
            <w:r>
              <w:rPr>
                <w:rFonts w:eastAsia="Times New Roman"/>
                <w:sz w:val="16"/>
                <w:szCs w:val="16"/>
              </w:rPr>
              <w:t>vidika dodajanja novih statističnih vsebin.</w:t>
            </w:r>
          </w:p>
        </w:tc>
        <w:tc>
          <w:tcPr>
            <w:tcW w:w="2307"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Podatki o opravljenem prometu naročnikov in predplačnikov ter </w:t>
            </w:r>
            <w:r>
              <w:rPr>
                <w:rFonts w:eastAsia="Times New Roman"/>
                <w:sz w:val="16"/>
                <w:szCs w:val="16"/>
              </w:rPr>
              <w:lastRenderedPageBreak/>
              <w:t>razporeditvi njihovih mobilnih naprav v prostoru in času, s katerimi razpolagajo operaterji, ki zagotavljajo javna komunikacijska omrežja in/ali izvaj</w:t>
            </w:r>
            <w:r>
              <w:rPr>
                <w:rFonts w:eastAsia="Times New Roman"/>
                <w:sz w:val="16"/>
                <w:szCs w:val="16"/>
              </w:rPr>
              <w:t>ajo javne komunikacijske storitve.</w:t>
            </w:r>
          </w:p>
        </w:tc>
        <w:tc>
          <w:tcPr>
            <w:tcW w:w="1990"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 xml:space="preserve">Operaterji, ki zagotavljajo javna komunikacijska </w:t>
            </w:r>
            <w:r>
              <w:rPr>
                <w:rFonts w:eastAsia="Times New Roman"/>
                <w:sz w:val="16"/>
                <w:szCs w:val="16"/>
              </w:rPr>
              <w:lastRenderedPageBreak/>
              <w:t>omrežja in/ali izvajajo javne komunikacijske storitve (A1 Slovenija, d. d., Telekom Slovenije, d. d., Telekom Slovenije, d. d. – IZI, Hot Mobil, telekomunikacije in storitv</w:t>
            </w:r>
            <w:r>
              <w:rPr>
                <w:rFonts w:eastAsia="Times New Roman"/>
                <w:sz w:val="16"/>
                <w:szCs w:val="16"/>
              </w:rPr>
              <w:t>e d. o. o., Mega M d. o. o., SoftNET informacijske infrastrukture d. o. o., T-2 d. o. o., Telemach, širokopasovne komunikacije, d. o. o.).</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lastRenderedPageBreak/>
              <w:t>Prostovoljno</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2020–2022</w:t>
            </w:r>
          </w:p>
        </w:tc>
        <w:tc>
          <w:tcPr>
            <w:tcW w:w="1511" w:type="dxa"/>
            <w:tcBorders>
              <w:top w:val="single" w:sz="6"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rPr>
                <w:rFonts w:eastAsia="Times New Roman"/>
                <w:sz w:val="16"/>
                <w:szCs w:val="16"/>
              </w:rPr>
            </w:pPr>
            <w:r>
              <w:rPr>
                <w:rFonts w:eastAsia="Times New Roman"/>
                <w:sz w:val="16"/>
                <w:szCs w:val="16"/>
              </w:rPr>
              <w:t>2022</w:t>
            </w:r>
          </w:p>
        </w:tc>
      </w:tr>
    </w:tbl>
    <w:p w:rsidR="00000000" w:rsidRDefault="00A91852" w:rsidP="00A91852">
      <w:pPr>
        <w:spacing w:after="240"/>
        <w:rPr>
          <w:rFonts w:eastAsia="Times New Roman"/>
          <w:sz w:val="15"/>
          <w:szCs w:val="15"/>
        </w:rPr>
      </w:pPr>
      <w:bookmarkStart w:id="0" w:name="_GoBack"/>
      <w:bookmarkEnd w:id="0"/>
      <w:r>
        <w:rPr>
          <w:rFonts w:eastAsia="Times New Roman"/>
          <w:sz w:val="15"/>
          <w:szCs w:val="15"/>
        </w:rPr>
        <w:t xml:space="preserve"> </w:t>
      </w:r>
    </w:p>
    <w:p w:rsidR="003C7A76" w:rsidRDefault="003C7A76">
      <w:pPr>
        <w:jc w:val="right"/>
        <w:rPr>
          <w:rFonts w:eastAsia="Times New Roman"/>
          <w:sz w:val="20"/>
          <w:szCs w:val="20"/>
        </w:rPr>
      </w:pPr>
      <w:r>
        <w:rPr>
          <w:rFonts w:eastAsia="Times New Roman"/>
          <w:sz w:val="20"/>
          <w:szCs w:val="20"/>
        </w:rPr>
        <w:fldChar w:fldCharType="begin"/>
      </w:r>
      <w:r>
        <w:rPr>
          <w:rFonts w:eastAsia="Times New Roman"/>
          <w:sz w:val="20"/>
          <w:szCs w:val="20"/>
        </w:rPr>
        <w:instrText xml:space="preserve"> PAGE </w:instrText>
      </w:r>
      <w:r>
        <w:rPr>
          <w:rFonts w:eastAsia="Times New Roman"/>
          <w:sz w:val="20"/>
          <w:szCs w:val="20"/>
        </w:rPr>
        <w:fldChar w:fldCharType="separate"/>
      </w:r>
      <w:r>
        <w:rPr>
          <w:rFonts w:eastAsia="Times New Roman"/>
          <w:sz w:val="20"/>
          <w:szCs w:val="20"/>
        </w:rPr>
        <w:fldChar w:fldCharType="end"/>
      </w:r>
      <w:r>
        <w:rPr>
          <w:rFonts w:eastAsia="Times New Roman"/>
          <w:sz w:val="20"/>
          <w:szCs w:val="20"/>
        </w:rPr>
        <w:t xml:space="preserve"> </w:t>
      </w:r>
    </w:p>
    <w:sectPr w:rsidR="003C7A76">
      <w:headerReference w:type="default" r:id="rId7"/>
      <w:footerReference w:type="default" r:id="rId8"/>
      <w:pgSz w:w="16840" w:h="11907" w:orient="landscape"/>
      <w:pgMar w:top="816" w:right="816" w:bottom="816" w:left="816" w:header="340" w:footer="340"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76" w:rsidRDefault="003C7A76">
      <w:r>
        <w:separator/>
      </w:r>
    </w:p>
  </w:endnote>
  <w:endnote w:type="continuationSeparator" w:id="0">
    <w:p w:rsidR="003C7A76" w:rsidRDefault="003C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7A76">
    <w:pPr>
      <w:jc w:val="right"/>
      <w:rPr>
        <w:rFonts w:eastAsia="Times New Roman"/>
        <w:sz w:val="20"/>
        <w:szCs w:val="20"/>
      </w:rPr>
    </w:pPr>
    <w:r>
      <w:rPr>
        <w:rFonts w:eastAsia="Times New Roman"/>
        <w:sz w:val="20"/>
        <w:szCs w:val="20"/>
      </w:rPr>
      <w:fldChar w:fldCharType="begin"/>
    </w:r>
    <w:r>
      <w:rPr>
        <w:rFonts w:eastAsia="Times New Roman"/>
        <w:sz w:val="20"/>
        <w:szCs w:val="20"/>
      </w:rPr>
      <w:instrText xml:space="preserve"> PAGE </w:instrText>
    </w:r>
    <w:r>
      <w:rPr>
        <w:rFonts w:eastAsia="Times New Roman"/>
        <w:sz w:val="20"/>
        <w:szCs w:val="20"/>
      </w:rPr>
      <w:fldChar w:fldCharType="separate"/>
    </w:r>
    <w:r w:rsidR="00A91852">
      <w:rPr>
        <w:rFonts w:eastAsia="Times New Roman"/>
        <w:noProof/>
        <w:sz w:val="20"/>
        <w:szCs w:val="20"/>
      </w:rPr>
      <w:t>1</w:t>
    </w:r>
    <w:r>
      <w:rPr>
        <w:rFonts w:eastAsia="Times New Roman"/>
        <w:sz w:val="20"/>
        <w:szCs w:val="20"/>
      </w:rPr>
      <w:fldChar w:fldCharType="end"/>
    </w:r>
    <w:r>
      <w:rPr>
        <w:rFonts w:eastAsia="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7A76">
    <w:pPr>
      <w:jc w:val="right"/>
      <w:rPr>
        <w:rFonts w:eastAsia="Times New Roman"/>
        <w:sz w:val="20"/>
        <w:szCs w:val="20"/>
      </w:rPr>
    </w:pPr>
    <w:r>
      <w:rPr>
        <w:rFonts w:eastAsia="Times New Roman"/>
        <w:sz w:val="20"/>
        <w:szCs w:val="20"/>
      </w:rPr>
      <w:fldChar w:fldCharType="begin"/>
    </w:r>
    <w:r>
      <w:rPr>
        <w:rFonts w:eastAsia="Times New Roman"/>
        <w:sz w:val="20"/>
        <w:szCs w:val="20"/>
      </w:rPr>
      <w:instrText xml:space="preserve"> PAGE </w:instrText>
    </w:r>
    <w:r>
      <w:rPr>
        <w:rFonts w:eastAsia="Times New Roman"/>
        <w:sz w:val="20"/>
        <w:szCs w:val="20"/>
      </w:rPr>
      <w:fldChar w:fldCharType="separate"/>
    </w:r>
    <w:r w:rsidR="00A91852">
      <w:rPr>
        <w:rFonts w:eastAsia="Times New Roman"/>
        <w:noProof/>
        <w:sz w:val="20"/>
        <w:szCs w:val="20"/>
      </w:rPr>
      <w:t>2</w:t>
    </w:r>
    <w:r>
      <w:rPr>
        <w:rFonts w:eastAsia="Times New Roman"/>
        <w:sz w:val="20"/>
        <w:szCs w:val="20"/>
      </w:rPr>
      <w:fldChar w:fldCharType="end"/>
    </w:r>
    <w:r>
      <w:rPr>
        <w:rFonts w:eastAsia="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76" w:rsidRDefault="003C7A76">
      <w:r>
        <w:separator/>
      </w:r>
    </w:p>
  </w:footnote>
  <w:footnote w:type="continuationSeparator" w:id="0">
    <w:p w:rsidR="003C7A76" w:rsidRDefault="003C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C7A76">
    <w:pPr>
      <w:spacing w:after="240"/>
      <w:rPr>
        <w:rFonts w:eastAsia="Times New Roman"/>
        <w:sz w:val="15"/>
        <w:szCs w:val="15"/>
      </w:rPr>
    </w:pPr>
    <w:r>
      <w:rPr>
        <w:rFonts w:eastAsia="Times New Roman"/>
        <w:b/>
        <w:bCs/>
        <w:sz w:val="15"/>
        <w:szCs w:val="15"/>
      </w:rPr>
      <w:t>RAZVOJNA RAZISKOVANJA</w:t>
    </w:r>
  </w:p>
  <w:tbl>
    <w:tblPr>
      <w:tblW w:w="1566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7" w:firstRow="1" w:lastRow="0" w:firstColumn="1" w:lastColumn="0" w:noHBand="0" w:noVBand="0"/>
    </w:tblPr>
    <w:tblGrid>
      <w:gridCol w:w="1012"/>
      <w:gridCol w:w="1513"/>
      <w:gridCol w:w="1991"/>
      <w:gridCol w:w="2309"/>
      <w:gridCol w:w="2309"/>
      <w:gridCol w:w="1991"/>
      <w:gridCol w:w="1512"/>
      <w:gridCol w:w="1512"/>
      <w:gridCol w:w="1512"/>
    </w:tblGrid>
    <w:tr w:rsidR="00000000">
      <w:trPr>
        <w:cantSplit/>
      </w:trPr>
      <w:tc>
        <w:tcPr>
          <w:tcW w:w="720"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Izvajalec</w:t>
          </w:r>
        </w:p>
      </w:tc>
      <w:tc>
        <w:tcPr>
          <w:tcW w:w="1077"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Zap.št.</w:t>
          </w:r>
        </w:p>
      </w:tc>
      <w:tc>
        <w:tcPr>
          <w:tcW w:w="1418"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Naziv</w:t>
          </w:r>
        </w:p>
      </w:tc>
      <w:tc>
        <w:tcPr>
          <w:tcW w:w="1644"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Namen</w:t>
          </w:r>
        </w:p>
      </w:tc>
      <w:tc>
        <w:tcPr>
          <w:tcW w:w="5216" w:type="dxa"/>
          <w:gridSpan w:val="4"/>
          <w:tcBorders>
            <w:top w:val="single" w:sz="12"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Podatkovni viri</w:t>
          </w:r>
        </w:p>
      </w:tc>
      <w:tc>
        <w:tcPr>
          <w:tcW w:w="1077" w:type="dxa"/>
          <w:vMerge w:val="restart"/>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Predviden zaključek</w:t>
          </w:r>
        </w:p>
      </w:tc>
    </w:tr>
    <w:tr w:rsidR="00000000">
      <w:trPr>
        <w:cantSplit/>
      </w:trPr>
      <w:tc>
        <w:tcPr>
          <w:tcW w:w="720" w:type="dxa"/>
          <w:vMerge/>
          <w:tcBorders>
            <w:top w:val="single" w:sz="12" w:space="0" w:color="000000"/>
            <w:left w:val="single" w:sz="6" w:space="0" w:color="000000"/>
            <w:bottom w:val="single" w:sz="12" w:space="0" w:color="000000"/>
            <w:right w:val="single" w:sz="6" w:space="0" w:color="000000"/>
          </w:tcBorders>
          <w:vAlign w:val="center"/>
          <w:hideMark/>
        </w:tcPr>
        <w:p w:rsidR="00000000" w:rsidRDefault="003C7A76">
          <w:pPr>
            <w:rPr>
              <w:rFonts w:eastAsia="Times New Roman"/>
              <w:sz w:val="16"/>
              <w:szCs w:val="16"/>
            </w:rPr>
          </w:pPr>
        </w:p>
      </w:tc>
      <w:tc>
        <w:tcPr>
          <w:tcW w:w="1077" w:type="dxa"/>
          <w:vMerge/>
          <w:tcBorders>
            <w:top w:val="single" w:sz="12" w:space="0" w:color="000000"/>
            <w:left w:val="single" w:sz="6" w:space="0" w:color="000000"/>
            <w:bottom w:val="single" w:sz="12" w:space="0" w:color="000000"/>
            <w:right w:val="single" w:sz="6" w:space="0" w:color="000000"/>
          </w:tcBorders>
          <w:vAlign w:val="center"/>
          <w:hideMark/>
        </w:tcPr>
        <w:p w:rsidR="00000000" w:rsidRDefault="003C7A76">
          <w:pPr>
            <w:rPr>
              <w:rFonts w:eastAsia="Times New Roman"/>
              <w:sz w:val="16"/>
              <w:szCs w:val="16"/>
            </w:rPr>
          </w:pPr>
        </w:p>
      </w:tc>
      <w:tc>
        <w:tcPr>
          <w:tcW w:w="1418" w:type="dxa"/>
          <w:vMerge/>
          <w:tcBorders>
            <w:top w:val="single" w:sz="12" w:space="0" w:color="000000"/>
            <w:left w:val="single" w:sz="6" w:space="0" w:color="000000"/>
            <w:bottom w:val="single" w:sz="12" w:space="0" w:color="000000"/>
            <w:right w:val="single" w:sz="6" w:space="0" w:color="000000"/>
          </w:tcBorders>
          <w:vAlign w:val="center"/>
          <w:hideMark/>
        </w:tcPr>
        <w:p w:rsidR="00000000" w:rsidRDefault="003C7A76">
          <w:pPr>
            <w:rPr>
              <w:rFonts w:eastAsia="Times New Roman"/>
              <w:sz w:val="16"/>
              <w:szCs w:val="16"/>
            </w:rPr>
          </w:pPr>
        </w:p>
      </w:tc>
      <w:tc>
        <w:tcPr>
          <w:tcW w:w="1644" w:type="dxa"/>
          <w:vMerge/>
          <w:tcBorders>
            <w:top w:val="single" w:sz="12" w:space="0" w:color="000000"/>
            <w:left w:val="single" w:sz="6" w:space="0" w:color="000000"/>
            <w:bottom w:val="single" w:sz="12" w:space="0" w:color="000000"/>
            <w:right w:val="single" w:sz="6" w:space="0" w:color="000000"/>
          </w:tcBorders>
          <w:vAlign w:val="center"/>
          <w:hideMark/>
        </w:tcPr>
        <w:p w:rsidR="00000000" w:rsidRDefault="003C7A76">
          <w:pPr>
            <w:rPr>
              <w:rFonts w:eastAsia="Times New Roman"/>
              <w:sz w:val="16"/>
              <w:szCs w:val="16"/>
            </w:rPr>
          </w:pPr>
        </w:p>
      </w:tc>
      <w:tc>
        <w:tcPr>
          <w:tcW w:w="1644"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Vsebina</w:t>
          </w:r>
        </w:p>
      </w:tc>
      <w:tc>
        <w:tcPr>
          <w:tcW w:w="1418"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Kdo mora dati podatke in do kdaj</w:t>
          </w:r>
        </w:p>
      </w:tc>
      <w:tc>
        <w:tcPr>
          <w:tcW w:w="1077"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Obveznost poročanja</w:t>
          </w:r>
        </w:p>
      </w:tc>
      <w:tc>
        <w:tcPr>
          <w:tcW w:w="1077" w:type="dxa"/>
          <w:tcBorders>
            <w:top w:val="single" w:sz="12" w:space="0" w:color="000000"/>
            <w:left w:val="single" w:sz="6" w:space="0" w:color="000000"/>
            <w:bottom w:val="single" w:sz="12" w:space="0" w:color="000000"/>
            <w:right w:val="single" w:sz="6" w:space="0" w:color="000000"/>
          </w:tcBorders>
          <w:tcMar>
            <w:top w:w="57" w:type="dxa"/>
            <w:left w:w="57" w:type="dxa"/>
            <w:bottom w:w="57" w:type="dxa"/>
            <w:right w:w="57" w:type="dxa"/>
          </w:tcMar>
          <w:hideMark/>
        </w:tcPr>
        <w:p w:rsidR="00000000" w:rsidRDefault="003C7A76">
          <w:pPr>
            <w:jc w:val="center"/>
            <w:rPr>
              <w:rFonts w:eastAsia="Times New Roman"/>
              <w:sz w:val="16"/>
              <w:szCs w:val="16"/>
            </w:rPr>
          </w:pPr>
          <w:r>
            <w:rPr>
              <w:rFonts w:eastAsia="Times New Roman"/>
              <w:sz w:val="16"/>
              <w:szCs w:val="16"/>
            </w:rPr>
            <w:t>Obdobje opazovanja</w:t>
          </w:r>
        </w:p>
      </w:tc>
      <w:tc>
        <w:tcPr>
          <w:tcW w:w="1077" w:type="dxa"/>
          <w:vMerge/>
          <w:tcBorders>
            <w:top w:val="single" w:sz="12" w:space="0" w:color="000000"/>
            <w:left w:val="single" w:sz="6" w:space="0" w:color="000000"/>
            <w:bottom w:val="single" w:sz="12" w:space="0" w:color="000000"/>
            <w:right w:val="single" w:sz="6" w:space="0" w:color="000000"/>
          </w:tcBorders>
          <w:vAlign w:val="center"/>
          <w:hideMark/>
        </w:tcPr>
        <w:p w:rsidR="00000000" w:rsidRDefault="003C7A76">
          <w:pPr>
            <w:rPr>
              <w:rFonts w:eastAsia="Times New Roman"/>
              <w:sz w:val="16"/>
              <w:szCs w:val="16"/>
            </w:rPr>
          </w:pPr>
        </w:p>
      </w:tc>
    </w:tr>
  </w:tbl>
  <w:p w:rsidR="00000000" w:rsidRDefault="003C7A76">
    <w:pPr>
      <w:rPr>
        <w:rFonts w:eastAsia="Times New Roman"/>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gutterAtTop/>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1852"/>
    <w:rsid w:val="003C7A76"/>
    <w:rsid w:val="00A91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76CFD"/>
  <w15:chartTrackingRefBased/>
  <w15:docId w15:val="{1B1D6792-146F-4B11-A625-60AF4899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poglavje">
    <w:name w:val="poglavje"/>
    <w:basedOn w:val="Normal"/>
    <w:rPr>
      <w:rFonts w:eastAsia="Times New Roman"/>
      <w:b/>
      <w:bCs/>
      <w:sz w:val="20"/>
      <w:szCs w:val="20"/>
    </w:rPr>
  </w:style>
  <w:style w:type="paragraph" w:customStyle="1" w:styleId="podroje">
    <w:name w:val="podroÄŤje"/>
    <w:basedOn w:val="Normal"/>
    <w:rPr>
      <w:rFonts w:eastAsia="Times New Roman"/>
      <w:b/>
      <w:bCs/>
      <w:sz w:val="20"/>
      <w:szCs w:val="20"/>
    </w:rPr>
  </w:style>
  <w:style w:type="paragraph" w:customStyle="1" w:styleId="modul">
    <w:name w:val="modul"/>
    <w:basedOn w:val="Normal"/>
    <w:rPr>
      <w:rFonts w:eastAsia="Times New Roman"/>
      <w:b/>
      <w:bCs/>
      <w:sz w:val="20"/>
      <w:szCs w:val="20"/>
    </w:rPr>
  </w:style>
  <w:style w:type="paragraph" w:styleId="TOC1">
    <w:name w:val="toc 1"/>
    <w:basedOn w:val="Normal"/>
    <w:next w:val="Normal"/>
    <w:autoRedefine/>
    <w:uiPriority w:val="39"/>
    <w:semiHidden/>
    <w:unhideWhenUsed/>
    <w:pPr>
      <w:tabs>
        <w:tab w:val="right" w:leader="dot" w:pos="15194"/>
      </w:tabs>
      <w:jc w:val="center"/>
    </w:pPr>
    <w:rPr>
      <w:rFonts w:eastAsia="Times New Roman"/>
      <w:b/>
    </w:rPr>
  </w:style>
  <w:style w:type="paragraph" w:styleId="TOC2">
    <w:name w:val="toc 2"/>
    <w:basedOn w:val="Normal"/>
    <w:next w:val="Normal"/>
    <w:autoRedefine/>
    <w:uiPriority w:val="39"/>
    <w:semiHidden/>
    <w:unhideWhenUsed/>
    <w:pPr>
      <w:ind w:left="240"/>
    </w:pPr>
    <w:rPr>
      <w:rFonts w:eastAsia="Times New Roman"/>
    </w:rPr>
  </w:style>
  <w:style w:type="paragraph" w:styleId="TOC3">
    <w:name w:val="toc 3"/>
    <w:basedOn w:val="Normal"/>
    <w:next w:val="Normal"/>
    <w:autoRedefine/>
    <w:uiPriority w:val="39"/>
    <w:semiHidden/>
    <w:unhideWhenUsed/>
    <w:pPr>
      <w:ind w:left="480"/>
    </w:pPr>
    <w:rPr>
      <w:rFonts w:eastAsia="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Znidarsic</dc:creator>
  <cp:keywords/>
  <dc:description/>
  <cp:lastModifiedBy>Erika Znidarsic</cp:lastModifiedBy>
  <cp:revision>2</cp:revision>
  <dcterms:created xsi:type="dcterms:W3CDTF">2020-10-19T07:25:00Z</dcterms:created>
  <dcterms:modified xsi:type="dcterms:W3CDTF">2020-10-19T07:25:00Z</dcterms:modified>
</cp:coreProperties>
</file>