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2AB4" w14:textId="77777777" w:rsidR="005C08F2" w:rsidRDefault="005C08F2" w:rsidP="005C08F2">
      <w:pPr>
        <w:pStyle w:val="datumtevilka"/>
        <w:rPr>
          <w:rStyle w:val="Hiperpovezava"/>
          <w:color w:val="000000"/>
          <w:u w:val="none"/>
        </w:rPr>
      </w:pPr>
      <w:r>
        <w:rPr>
          <w:rStyle w:val="Hiperpovezava"/>
          <w:color w:val="000000"/>
          <w:u w:val="none"/>
        </w:rPr>
        <w:t>IPP-SVZ</w:t>
      </w:r>
    </w:p>
    <w:p w14:paraId="33BFAA55" w14:textId="2B6863C5" w:rsidR="00BE10E5" w:rsidRDefault="00D04CC1" w:rsidP="00BE10E5">
      <w:pPr>
        <w:pStyle w:val="datumtevilka"/>
        <w:rPr>
          <w:rStyle w:val="Hiperpovezava"/>
          <w:color w:val="000000"/>
          <w:u w:val="none"/>
        </w:rPr>
      </w:pPr>
      <w:r>
        <w:rPr>
          <w:rStyle w:val="Hiperpovezava"/>
          <w:color w:val="000000"/>
          <w:u w:val="none"/>
        </w:rPr>
        <w:t>IPP-MJU</w:t>
      </w:r>
    </w:p>
    <w:p w14:paraId="25DD3AD0" w14:textId="75C49BFA" w:rsidR="00D04CC1" w:rsidRDefault="00D04CC1" w:rsidP="00BE10E5">
      <w:pPr>
        <w:pStyle w:val="datumtevilka"/>
        <w:rPr>
          <w:rStyle w:val="Hiperpovezava"/>
          <w:color w:val="000000"/>
          <w:u w:val="none"/>
        </w:rPr>
      </w:pPr>
      <w:r>
        <w:rPr>
          <w:rStyle w:val="Hiperpovezava"/>
          <w:color w:val="000000"/>
          <w:u w:val="none"/>
        </w:rPr>
        <w:t>IPP-MF</w:t>
      </w:r>
    </w:p>
    <w:p w14:paraId="12A0AE33" w14:textId="732E5A54" w:rsidR="00D04CC1" w:rsidRDefault="00D04CC1" w:rsidP="00BE10E5">
      <w:pPr>
        <w:pStyle w:val="datumtevilka"/>
        <w:rPr>
          <w:rStyle w:val="Hiperpovezava"/>
          <w:color w:val="000000"/>
          <w:u w:val="none"/>
        </w:rPr>
      </w:pPr>
      <w:r>
        <w:rPr>
          <w:rStyle w:val="Hiperpovezava"/>
          <w:color w:val="000000"/>
          <w:u w:val="none"/>
        </w:rPr>
        <w:t>IPP-MDDSZEM</w:t>
      </w:r>
    </w:p>
    <w:p w14:paraId="48F1458D" w14:textId="77777777" w:rsidR="00677617" w:rsidRDefault="00677617" w:rsidP="00BE10E5">
      <w:pPr>
        <w:pStyle w:val="datumtevilka"/>
        <w:rPr>
          <w:rStyle w:val="Hiperpovezava"/>
          <w:color w:val="000000"/>
          <w:u w:val="none"/>
        </w:rPr>
      </w:pPr>
    </w:p>
    <w:p w14:paraId="23807EA5" w14:textId="77777777" w:rsidR="00947DEF" w:rsidRPr="00987305" w:rsidRDefault="00947DEF" w:rsidP="000E62F4">
      <w:pPr>
        <w:pStyle w:val="datumtevilka"/>
      </w:pPr>
    </w:p>
    <w:p w14:paraId="1387416F" w14:textId="45A4E42B" w:rsidR="000E62F4" w:rsidRPr="001E1B0D" w:rsidRDefault="000E62F4" w:rsidP="000E62F4">
      <w:pPr>
        <w:pStyle w:val="datumtevilka"/>
      </w:pPr>
      <w:r w:rsidRPr="001E1B0D">
        <w:t xml:space="preserve">Številka: </w:t>
      </w:r>
      <w:r w:rsidRPr="001E1B0D">
        <w:tab/>
      </w:r>
      <w:r w:rsidR="000069AB" w:rsidRPr="001E1B0D">
        <w:t>007-67/2020/</w:t>
      </w:r>
      <w:r w:rsidR="00D04CC1">
        <w:t>1</w:t>
      </w:r>
      <w:r w:rsidR="004A78CE">
        <w:t>7</w:t>
      </w:r>
      <w:bookmarkStart w:id="0" w:name="_GoBack"/>
      <w:bookmarkEnd w:id="0"/>
    </w:p>
    <w:p w14:paraId="46E5E95C" w14:textId="1ED0C5AD" w:rsidR="000E62F4" w:rsidRPr="001E1B0D" w:rsidRDefault="000E62F4" w:rsidP="000E62F4">
      <w:pPr>
        <w:pStyle w:val="datumtevilka"/>
      </w:pPr>
      <w:r w:rsidRPr="001E1B0D">
        <w:t xml:space="preserve">Datum: </w:t>
      </w:r>
      <w:r w:rsidRPr="001E1B0D">
        <w:tab/>
      </w:r>
      <w:r w:rsidR="00D04CC1">
        <w:t>2</w:t>
      </w:r>
      <w:r w:rsidR="002D69F5">
        <w:t>5</w:t>
      </w:r>
      <w:r w:rsidR="00CB0146" w:rsidRPr="001E1B0D">
        <w:t xml:space="preserve">. </w:t>
      </w:r>
      <w:r w:rsidR="00D04CC1">
        <w:t>5</w:t>
      </w:r>
      <w:r w:rsidR="00CB0146" w:rsidRPr="001E1B0D">
        <w:t>. 2020</w:t>
      </w:r>
    </w:p>
    <w:p w14:paraId="7D364470" w14:textId="77777777" w:rsidR="000E62F4" w:rsidRPr="001E1B0D" w:rsidRDefault="000E62F4" w:rsidP="000E62F4">
      <w:pPr>
        <w:rPr>
          <w:lang w:val="sl-SI"/>
        </w:rPr>
      </w:pPr>
    </w:p>
    <w:p w14:paraId="27D034CF" w14:textId="77777777" w:rsidR="00ED646B" w:rsidRDefault="00ED646B" w:rsidP="000069AB">
      <w:pPr>
        <w:ind w:left="1701" w:hanging="1723"/>
        <w:rPr>
          <w:b/>
          <w:szCs w:val="20"/>
          <w:lang w:val="sl-SI"/>
        </w:rPr>
      </w:pPr>
    </w:p>
    <w:p w14:paraId="3F040A30" w14:textId="77777777" w:rsidR="00ED646B" w:rsidRDefault="00ED646B" w:rsidP="000069AB">
      <w:pPr>
        <w:ind w:left="1701" w:hanging="1723"/>
        <w:rPr>
          <w:b/>
          <w:szCs w:val="20"/>
          <w:lang w:val="sl-SI"/>
        </w:rPr>
      </w:pPr>
    </w:p>
    <w:p w14:paraId="5752C5AB" w14:textId="77777777" w:rsidR="00ED646B" w:rsidRDefault="00ED646B" w:rsidP="000069AB">
      <w:pPr>
        <w:ind w:left="1701" w:hanging="1723"/>
        <w:rPr>
          <w:b/>
          <w:szCs w:val="20"/>
          <w:lang w:val="sl-SI"/>
        </w:rPr>
      </w:pPr>
    </w:p>
    <w:p w14:paraId="587D63C6" w14:textId="77777777" w:rsidR="00ED646B" w:rsidRDefault="00ED646B" w:rsidP="000069AB">
      <w:pPr>
        <w:ind w:left="1701" w:hanging="1723"/>
        <w:rPr>
          <w:b/>
          <w:szCs w:val="20"/>
          <w:lang w:val="sl-SI"/>
        </w:rPr>
      </w:pPr>
    </w:p>
    <w:p w14:paraId="131EA119" w14:textId="1D762530" w:rsidR="000069AB" w:rsidRPr="001E1B0D" w:rsidRDefault="000069AB" w:rsidP="000069AB">
      <w:pPr>
        <w:ind w:left="1701" w:hanging="1723"/>
        <w:rPr>
          <w:szCs w:val="20"/>
          <w:lang w:val="sl-SI"/>
        </w:rPr>
      </w:pPr>
      <w:r w:rsidRPr="001E1B0D">
        <w:rPr>
          <w:b/>
          <w:szCs w:val="20"/>
          <w:lang w:val="sl-SI"/>
        </w:rPr>
        <w:t>Zadeva:</w:t>
      </w:r>
      <w:r w:rsidRPr="001E1B0D">
        <w:rPr>
          <w:szCs w:val="20"/>
          <w:lang w:val="sl-SI"/>
        </w:rPr>
        <w:t xml:space="preserve"> </w:t>
      </w:r>
      <w:r w:rsidRPr="001E1B0D">
        <w:rPr>
          <w:szCs w:val="20"/>
          <w:lang w:val="sl-SI"/>
        </w:rPr>
        <w:tab/>
      </w:r>
      <w:r w:rsidRPr="001E1B0D">
        <w:rPr>
          <w:rFonts w:cs="Arial"/>
          <w:b/>
          <w:bCs/>
          <w:szCs w:val="20"/>
          <w:lang w:val="sl-SI" w:eastAsia="sl-SI"/>
        </w:rPr>
        <w:t xml:space="preserve">Predlog Zakona o spremembah in dopolnitvah Zakona o državnem tožilstvu </w:t>
      </w:r>
      <w:r w:rsidR="00FF695E" w:rsidRPr="001E1B0D">
        <w:rPr>
          <w:rFonts w:cs="Arial"/>
          <w:b/>
          <w:bCs/>
          <w:szCs w:val="20"/>
          <w:lang w:val="sl-SI" w:eastAsia="sl-SI"/>
        </w:rPr>
        <w:t>(</w:t>
      </w:r>
      <w:r w:rsidRPr="001E1B0D">
        <w:rPr>
          <w:rFonts w:cs="Arial"/>
          <w:b/>
          <w:bCs/>
          <w:szCs w:val="20"/>
          <w:lang w:val="sl-SI" w:eastAsia="sl-SI"/>
        </w:rPr>
        <w:t>EVA 2020-2030-0005)</w:t>
      </w:r>
      <w:r w:rsidR="00D04CC1">
        <w:rPr>
          <w:rFonts w:cs="Arial"/>
          <w:b/>
          <w:bCs/>
          <w:szCs w:val="20"/>
          <w:lang w:val="sl-SI" w:eastAsia="sl-SI"/>
        </w:rPr>
        <w:t xml:space="preserve"> – medresorsko usklajevanje</w:t>
      </w:r>
      <w:r w:rsidRPr="001E1B0D">
        <w:rPr>
          <w:rFonts w:cs="Arial"/>
          <w:b/>
          <w:bCs/>
          <w:szCs w:val="20"/>
          <w:lang w:val="sl-SI" w:eastAsia="sl-SI"/>
        </w:rPr>
        <w:t xml:space="preserve"> </w:t>
      </w:r>
    </w:p>
    <w:p w14:paraId="79C2A821" w14:textId="549EE197" w:rsidR="000E62F4" w:rsidRPr="001E1B0D" w:rsidRDefault="000E62F4" w:rsidP="000E62F4">
      <w:pPr>
        <w:rPr>
          <w:lang w:val="sl-SI"/>
        </w:rPr>
      </w:pPr>
    </w:p>
    <w:p w14:paraId="3BB8E270" w14:textId="77777777" w:rsidR="000E62F4" w:rsidRPr="001E1B0D" w:rsidRDefault="000E62F4" w:rsidP="000E62F4">
      <w:pPr>
        <w:rPr>
          <w:lang w:val="sl-SI"/>
        </w:rPr>
      </w:pPr>
    </w:p>
    <w:p w14:paraId="3ED3C49F" w14:textId="77777777" w:rsidR="000E62F4" w:rsidRPr="001E1B0D" w:rsidRDefault="00D16F1D" w:rsidP="000E62F4">
      <w:pPr>
        <w:jc w:val="both"/>
        <w:rPr>
          <w:lang w:val="sl-SI"/>
        </w:rPr>
      </w:pPr>
      <w:r w:rsidRPr="001E1B0D">
        <w:rPr>
          <w:lang w:val="sl-SI"/>
        </w:rPr>
        <w:t>Spoštovani,</w:t>
      </w:r>
    </w:p>
    <w:p w14:paraId="5D2ACABF" w14:textId="77777777" w:rsidR="00D16F1D" w:rsidRPr="001E1B0D" w:rsidRDefault="00D16F1D" w:rsidP="000E62F4">
      <w:pPr>
        <w:jc w:val="both"/>
        <w:rPr>
          <w:lang w:val="sl-SI"/>
        </w:rPr>
      </w:pPr>
    </w:p>
    <w:p w14:paraId="6FED01B7" w14:textId="0706D58C" w:rsidR="00ED553D" w:rsidRDefault="000F43C0" w:rsidP="00D04CC1">
      <w:pPr>
        <w:spacing w:line="288" w:lineRule="auto"/>
        <w:jc w:val="both"/>
        <w:rPr>
          <w:lang w:val="sl-SI"/>
        </w:rPr>
      </w:pPr>
      <w:r>
        <w:rPr>
          <w:lang w:val="sl-SI"/>
        </w:rPr>
        <w:t>v</w:t>
      </w:r>
      <w:r w:rsidR="00D04CC1">
        <w:rPr>
          <w:lang w:val="sl-SI"/>
        </w:rPr>
        <w:t xml:space="preserve"> medresorsko usklajevanje vam po</w:t>
      </w:r>
      <w:r w:rsidR="00C238B3">
        <w:rPr>
          <w:lang w:val="sl-SI"/>
        </w:rPr>
        <w:t>šiljamo</w:t>
      </w:r>
      <w:r w:rsidR="00ED553D">
        <w:rPr>
          <w:lang w:val="sl-SI"/>
        </w:rPr>
        <w:t xml:space="preserve"> gradivo </w:t>
      </w:r>
      <w:r w:rsidR="00902F35">
        <w:rPr>
          <w:lang w:val="sl-SI"/>
        </w:rPr>
        <w:t>predlog</w:t>
      </w:r>
      <w:r w:rsidR="00ED553D">
        <w:rPr>
          <w:lang w:val="sl-SI"/>
        </w:rPr>
        <w:t>a</w:t>
      </w:r>
      <w:r w:rsidR="00902F35">
        <w:rPr>
          <w:lang w:val="sl-SI"/>
        </w:rPr>
        <w:t xml:space="preserve"> Zakona o spremembah in dopolnitv</w:t>
      </w:r>
      <w:r w:rsidR="00ED553D">
        <w:rPr>
          <w:lang w:val="sl-SI"/>
        </w:rPr>
        <w:t>ah</w:t>
      </w:r>
      <w:r w:rsidR="00902F35">
        <w:rPr>
          <w:lang w:val="sl-SI"/>
        </w:rPr>
        <w:t xml:space="preserve"> Zakona o državnem tožilstvu</w:t>
      </w:r>
      <w:r w:rsidR="00ED553D">
        <w:rPr>
          <w:lang w:val="sl-SI"/>
        </w:rPr>
        <w:t xml:space="preserve">, katerega temeljni cilj je uveljavitev rešitev, s katerimi bo dosežena </w:t>
      </w:r>
      <w:r w:rsidR="00D04CC1" w:rsidRPr="00D04CC1">
        <w:rPr>
          <w:lang w:val="sl-SI"/>
        </w:rPr>
        <w:t xml:space="preserve">skladnost, zakonitost in izvršljivost Uredbe 2018/1727/EU </w:t>
      </w:r>
      <w:r w:rsidR="00D04CC1" w:rsidRPr="00BD0B97">
        <w:rPr>
          <w:lang w:val="sl-SI"/>
        </w:rPr>
        <w:t>Evropskega parlamenta in Sveta z dne 14. novembra 2018 o Agenciji Evropske unije za pravosodno sodelovanje v kazenskih zadevah (Eurojust) ter nadomestitvi in razveljavitvi Sklepa Sveta 2002/187/PNZ</w:t>
      </w:r>
      <w:r w:rsidR="00D04CC1" w:rsidRPr="00D04CC1">
        <w:rPr>
          <w:lang w:val="sl-SI"/>
        </w:rPr>
        <w:t xml:space="preserve"> </w:t>
      </w:r>
      <w:r w:rsidR="00D04CC1">
        <w:rPr>
          <w:lang w:val="sl-SI"/>
        </w:rPr>
        <w:t xml:space="preserve">(v nadaljnjem besedilu: </w:t>
      </w:r>
      <w:r w:rsidR="00D04CC1" w:rsidRPr="00D04CC1">
        <w:rPr>
          <w:lang w:val="sl-SI"/>
        </w:rPr>
        <w:t>Uredb</w:t>
      </w:r>
      <w:r w:rsidR="00D04CC1">
        <w:rPr>
          <w:lang w:val="sl-SI"/>
        </w:rPr>
        <w:t>a</w:t>
      </w:r>
      <w:r w:rsidR="00D04CC1" w:rsidRPr="00D04CC1">
        <w:rPr>
          <w:lang w:val="sl-SI"/>
        </w:rPr>
        <w:t xml:space="preserve"> 2018/1727/EU</w:t>
      </w:r>
      <w:r w:rsidR="00D04CC1">
        <w:rPr>
          <w:lang w:val="sl-SI"/>
        </w:rPr>
        <w:t>)</w:t>
      </w:r>
      <w:r w:rsidR="00D04CC1" w:rsidRPr="00D04CC1">
        <w:rPr>
          <w:lang w:val="sl-SI"/>
        </w:rPr>
        <w:t xml:space="preserve"> v slovensk</w:t>
      </w:r>
      <w:r w:rsidR="00ED553D">
        <w:rPr>
          <w:lang w:val="sl-SI"/>
        </w:rPr>
        <w:t>i</w:t>
      </w:r>
      <w:r w:rsidR="00D04CC1" w:rsidRPr="00D04CC1">
        <w:rPr>
          <w:lang w:val="sl-SI"/>
        </w:rPr>
        <w:t xml:space="preserve"> pravn</w:t>
      </w:r>
      <w:r w:rsidR="00ED553D">
        <w:rPr>
          <w:lang w:val="sl-SI"/>
        </w:rPr>
        <w:t>i</w:t>
      </w:r>
      <w:r w:rsidR="00D04CC1" w:rsidRPr="00D04CC1">
        <w:rPr>
          <w:lang w:val="sl-SI"/>
        </w:rPr>
        <w:t xml:space="preserve"> red ter enotn</w:t>
      </w:r>
      <w:r w:rsidR="00ED553D">
        <w:rPr>
          <w:lang w:val="sl-SI"/>
        </w:rPr>
        <w:t>a</w:t>
      </w:r>
      <w:r w:rsidR="00D04CC1" w:rsidRPr="00D04CC1">
        <w:rPr>
          <w:lang w:val="sl-SI"/>
        </w:rPr>
        <w:t xml:space="preserve"> uporab</w:t>
      </w:r>
      <w:r w:rsidR="00ED553D">
        <w:rPr>
          <w:lang w:val="sl-SI"/>
        </w:rPr>
        <w:t>a</w:t>
      </w:r>
      <w:r w:rsidR="00D04CC1" w:rsidRPr="00D04CC1">
        <w:rPr>
          <w:lang w:val="sl-SI"/>
        </w:rPr>
        <w:t xml:space="preserve"> in interpretacij</w:t>
      </w:r>
      <w:r w:rsidR="00D7025F">
        <w:rPr>
          <w:lang w:val="sl-SI"/>
        </w:rPr>
        <w:t>a</w:t>
      </w:r>
      <w:r w:rsidR="00D04CC1" w:rsidRPr="00D04CC1">
        <w:rPr>
          <w:lang w:val="sl-SI"/>
        </w:rPr>
        <w:t xml:space="preserve"> zakonskih določb v praksi</w:t>
      </w:r>
      <w:r w:rsidR="00ED553D">
        <w:rPr>
          <w:lang w:val="sl-SI"/>
        </w:rPr>
        <w:t xml:space="preserve">. </w:t>
      </w:r>
    </w:p>
    <w:p w14:paraId="11DC59E5" w14:textId="77777777" w:rsidR="00ED553D" w:rsidRDefault="00ED553D" w:rsidP="00D04CC1">
      <w:pPr>
        <w:spacing w:line="288" w:lineRule="auto"/>
        <w:jc w:val="both"/>
        <w:rPr>
          <w:lang w:val="sl-SI"/>
        </w:rPr>
      </w:pPr>
    </w:p>
    <w:p w14:paraId="5C66DFF4" w14:textId="2FD91576" w:rsidR="00D04CC1" w:rsidRDefault="00ED553D" w:rsidP="00D04CC1">
      <w:pPr>
        <w:spacing w:line="288" w:lineRule="auto"/>
        <w:jc w:val="both"/>
        <w:rPr>
          <w:lang w:val="sl-SI"/>
        </w:rPr>
      </w:pPr>
      <w:r>
        <w:rPr>
          <w:lang w:val="sl-SI"/>
        </w:rPr>
        <w:t xml:space="preserve">Poleg tega se na normativni ravni predlaga ureditev </w:t>
      </w:r>
      <w:r w:rsidRPr="00FC256E">
        <w:rPr>
          <w:szCs w:val="20"/>
          <w:lang w:val="sl-SI"/>
        </w:rPr>
        <w:t>pravic in obveznosti javnih uslužbencev</w:t>
      </w:r>
      <w:r>
        <w:rPr>
          <w:szCs w:val="20"/>
          <w:lang w:val="sl-SI"/>
        </w:rPr>
        <w:t>, ki sodelujejo</w:t>
      </w:r>
      <w:r w:rsidRPr="00FC256E">
        <w:rPr>
          <w:szCs w:val="20"/>
          <w:lang w:val="sl-SI"/>
        </w:rPr>
        <w:t xml:space="preserve"> pri opravljanju nujnih procesnih dejanj</w:t>
      </w:r>
      <w:r>
        <w:rPr>
          <w:szCs w:val="20"/>
          <w:lang w:val="sl-SI"/>
        </w:rPr>
        <w:t xml:space="preserve">. Gre za </w:t>
      </w:r>
      <w:r w:rsidR="00D04CC1">
        <w:rPr>
          <w:lang w:val="sl-SI"/>
        </w:rPr>
        <w:t>ugotovi</w:t>
      </w:r>
      <w:r>
        <w:rPr>
          <w:lang w:val="sl-SI"/>
        </w:rPr>
        <w:t xml:space="preserve">tve </w:t>
      </w:r>
      <w:r w:rsidR="00D04CC1">
        <w:rPr>
          <w:lang w:val="sl-SI"/>
        </w:rPr>
        <w:t>Računsk</w:t>
      </w:r>
      <w:r>
        <w:rPr>
          <w:lang w:val="sl-SI"/>
        </w:rPr>
        <w:t>ega</w:t>
      </w:r>
      <w:r w:rsidR="00D04CC1">
        <w:rPr>
          <w:lang w:val="sl-SI"/>
        </w:rPr>
        <w:t xml:space="preserve"> sodišč</w:t>
      </w:r>
      <w:r>
        <w:rPr>
          <w:lang w:val="sl-SI"/>
        </w:rPr>
        <w:t>a</w:t>
      </w:r>
      <w:r w:rsidR="00D04CC1">
        <w:rPr>
          <w:lang w:val="sl-SI"/>
        </w:rPr>
        <w:t xml:space="preserve"> v </w:t>
      </w:r>
      <w:r>
        <w:rPr>
          <w:lang w:val="sl-SI"/>
        </w:rPr>
        <w:t xml:space="preserve">okviru </w:t>
      </w:r>
      <w:r w:rsidR="00D04CC1">
        <w:rPr>
          <w:lang w:val="sl-SI"/>
        </w:rPr>
        <w:t>revizijske</w:t>
      </w:r>
      <w:r>
        <w:rPr>
          <w:lang w:val="sl-SI"/>
        </w:rPr>
        <w:t>ga</w:t>
      </w:r>
      <w:r w:rsidR="00D04CC1">
        <w:rPr>
          <w:lang w:val="sl-SI"/>
        </w:rPr>
        <w:t xml:space="preserve"> poročil</w:t>
      </w:r>
      <w:r>
        <w:rPr>
          <w:lang w:val="sl-SI"/>
        </w:rPr>
        <w:t>a »</w:t>
      </w:r>
      <w:r w:rsidR="00D04CC1">
        <w:rPr>
          <w:lang w:val="sl-SI"/>
        </w:rPr>
        <w:t>Opravljanje nujnih procesnih dejanj v pravosodnih organih</w:t>
      </w:r>
      <w:r>
        <w:rPr>
          <w:lang w:val="sl-SI"/>
        </w:rPr>
        <w:t>«</w:t>
      </w:r>
      <w:r w:rsidR="00D04CC1">
        <w:rPr>
          <w:rStyle w:val="Sprotnaopomba-sklic"/>
          <w:lang w:val="sl-SI"/>
        </w:rPr>
        <w:footnoteReference w:id="1"/>
      </w:r>
      <w:r w:rsidR="00D04CC1">
        <w:rPr>
          <w:lang w:val="sl-SI"/>
        </w:rPr>
        <w:t>, ki je bilo izdano 11. 11. 2019</w:t>
      </w:r>
      <w:r w:rsidR="000F43C0">
        <w:rPr>
          <w:lang w:val="sl-SI"/>
        </w:rPr>
        <w:t>,</w:t>
      </w:r>
      <w:r>
        <w:rPr>
          <w:lang w:val="sl-SI"/>
        </w:rPr>
        <w:t xml:space="preserve"> in </w:t>
      </w:r>
      <w:r w:rsidR="00D04CC1">
        <w:rPr>
          <w:lang w:val="sl-SI"/>
        </w:rPr>
        <w:t xml:space="preserve">s katerim </w:t>
      </w:r>
      <w:r w:rsidR="00D04CC1" w:rsidRPr="00FC256E">
        <w:rPr>
          <w:szCs w:val="20"/>
          <w:lang w:val="sl-SI"/>
        </w:rPr>
        <w:t xml:space="preserve">je bila ministrstvu naložena priprava načrta aktivnosti za popravljalni ukrep, ki se nanaša na spremembo </w:t>
      </w:r>
      <w:r w:rsidR="00D04CC1">
        <w:rPr>
          <w:szCs w:val="20"/>
          <w:lang w:val="sl-SI"/>
        </w:rPr>
        <w:t>normativnih podlag</w:t>
      </w:r>
      <w:r>
        <w:rPr>
          <w:szCs w:val="20"/>
          <w:lang w:val="sl-SI"/>
        </w:rPr>
        <w:t xml:space="preserve">. </w:t>
      </w:r>
    </w:p>
    <w:p w14:paraId="15A6BEBA" w14:textId="32B41B72" w:rsidR="00D04CC1" w:rsidRDefault="00D04CC1" w:rsidP="00D04CC1">
      <w:pPr>
        <w:spacing w:line="288" w:lineRule="auto"/>
        <w:jc w:val="both"/>
        <w:rPr>
          <w:lang w:val="sl-SI"/>
        </w:rPr>
      </w:pPr>
    </w:p>
    <w:p w14:paraId="58A0BDFC" w14:textId="0895176E" w:rsidR="00D04CC1" w:rsidRPr="00D04CC1" w:rsidRDefault="00D04CC1" w:rsidP="00D04CC1">
      <w:pPr>
        <w:spacing w:line="288" w:lineRule="auto"/>
        <w:jc w:val="both"/>
        <w:rPr>
          <w:lang w:val="sl-SI"/>
        </w:rPr>
      </w:pPr>
      <w:r>
        <w:rPr>
          <w:lang w:val="sl-SI"/>
        </w:rPr>
        <w:t>Z namenom, da</w:t>
      </w:r>
      <w:r w:rsidRPr="00D04CC1">
        <w:rPr>
          <w:lang w:val="sl-SI"/>
        </w:rPr>
        <w:t xml:space="preserve"> bi pri izvajanju zakona dosegli dosledno upoštevanje nacionalnega pravnega reda ter učinkovitost načela pravne države in pravne varnosti, </w:t>
      </w:r>
      <w:r>
        <w:rPr>
          <w:lang w:val="sl-SI"/>
        </w:rPr>
        <w:t>se s predlogom zakona</w:t>
      </w:r>
      <w:r w:rsidRPr="00D04CC1">
        <w:rPr>
          <w:lang w:val="sl-SI"/>
        </w:rPr>
        <w:t>:</w:t>
      </w:r>
    </w:p>
    <w:p w14:paraId="29A55945" w14:textId="021652B9" w:rsidR="00D04CC1" w:rsidRPr="00D04CC1" w:rsidRDefault="00D04CC1" w:rsidP="00D04CC1">
      <w:pPr>
        <w:pStyle w:val="Odstavekseznama"/>
        <w:numPr>
          <w:ilvl w:val="0"/>
          <w:numId w:val="12"/>
        </w:numPr>
        <w:spacing w:line="288" w:lineRule="auto"/>
        <w:jc w:val="both"/>
        <w:rPr>
          <w:lang w:val="sl-SI"/>
        </w:rPr>
      </w:pPr>
      <w:r w:rsidRPr="00D04CC1">
        <w:rPr>
          <w:lang w:val="sl-SI"/>
        </w:rPr>
        <w:t>prilag</w:t>
      </w:r>
      <w:r>
        <w:rPr>
          <w:lang w:val="sl-SI"/>
        </w:rPr>
        <w:t>ajajo</w:t>
      </w:r>
      <w:r w:rsidRPr="00D04CC1">
        <w:rPr>
          <w:lang w:val="sl-SI"/>
        </w:rPr>
        <w:t xml:space="preserve"> veljavne določbe ZDT-1 tako, da ne bodo v nasprotju z vsebino Uredbe 2017/1939/EU,</w:t>
      </w:r>
    </w:p>
    <w:p w14:paraId="475E750C" w14:textId="24420404" w:rsidR="00D04CC1" w:rsidRPr="00D04CC1" w:rsidRDefault="00D04CC1" w:rsidP="00D04CC1">
      <w:pPr>
        <w:pStyle w:val="Odstavekseznama"/>
        <w:numPr>
          <w:ilvl w:val="0"/>
          <w:numId w:val="12"/>
        </w:numPr>
        <w:spacing w:line="288" w:lineRule="auto"/>
        <w:jc w:val="both"/>
        <w:rPr>
          <w:lang w:val="sl-SI"/>
        </w:rPr>
      </w:pPr>
      <w:r w:rsidRPr="00D04CC1">
        <w:rPr>
          <w:lang w:val="sl-SI"/>
        </w:rPr>
        <w:t>odprav</w:t>
      </w:r>
      <w:r w:rsidR="003D1C32">
        <w:rPr>
          <w:lang w:val="sl-SI"/>
        </w:rPr>
        <w:t xml:space="preserve">ljajo </w:t>
      </w:r>
      <w:r w:rsidRPr="00D04CC1">
        <w:rPr>
          <w:lang w:val="sl-SI"/>
        </w:rPr>
        <w:t xml:space="preserve">nepravilnosti, ki jih je pri izvajanju in evidentiranju pripravljenosti in dežurstva državnega tožilstva ugotovilo Računsko sodišče, </w:t>
      </w:r>
    </w:p>
    <w:p w14:paraId="0DBD240E" w14:textId="612AA0C7" w:rsidR="00D04CC1" w:rsidRPr="00D04CC1" w:rsidRDefault="00D04CC1" w:rsidP="00D04CC1">
      <w:pPr>
        <w:pStyle w:val="Odstavekseznama"/>
        <w:numPr>
          <w:ilvl w:val="0"/>
          <w:numId w:val="12"/>
        </w:numPr>
        <w:spacing w:line="288" w:lineRule="auto"/>
        <w:jc w:val="both"/>
        <w:rPr>
          <w:lang w:val="sl-SI"/>
        </w:rPr>
      </w:pPr>
      <w:r w:rsidRPr="00D04CC1">
        <w:rPr>
          <w:lang w:val="sl-SI"/>
        </w:rPr>
        <w:t>določ</w:t>
      </w:r>
      <w:r w:rsidR="003D1C32">
        <w:rPr>
          <w:lang w:val="sl-SI"/>
        </w:rPr>
        <w:t>ajo</w:t>
      </w:r>
      <w:r w:rsidRPr="00D04CC1">
        <w:rPr>
          <w:lang w:val="sl-SI"/>
        </w:rPr>
        <w:t xml:space="preserve"> zakonske podlage za delovnopravno ureditev sodelovanja državnotožilskega osebja pri opravljanju nujnih procesnih dejanj, </w:t>
      </w:r>
    </w:p>
    <w:p w14:paraId="2C1CE6A2" w14:textId="36191853" w:rsidR="00D04CC1" w:rsidRPr="00D04CC1" w:rsidRDefault="003D1C32" w:rsidP="00D04CC1">
      <w:pPr>
        <w:pStyle w:val="Odstavekseznama"/>
        <w:numPr>
          <w:ilvl w:val="0"/>
          <w:numId w:val="12"/>
        </w:numPr>
        <w:spacing w:line="288" w:lineRule="auto"/>
        <w:jc w:val="both"/>
        <w:rPr>
          <w:lang w:val="sl-SI"/>
        </w:rPr>
      </w:pPr>
      <w:r>
        <w:rPr>
          <w:lang w:val="sl-SI"/>
        </w:rPr>
        <w:t>krepi</w:t>
      </w:r>
      <w:r w:rsidR="00D04CC1" w:rsidRPr="00D04CC1">
        <w:rPr>
          <w:lang w:val="sl-SI"/>
        </w:rPr>
        <w:t xml:space="preserve"> vlog</w:t>
      </w:r>
      <w:r>
        <w:rPr>
          <w:lang w:val="sl-SI"/>
        </w:rPr>
        <w:t>a</w:t>
      </w:r>
      <w:r w:rsidR="00D04CC1" w:rsidRPr="00D04CC1">
        <w:rPr>
          <w:lang w:val="sl-SI"/>
        </w:rPr>
        <w:t xml:space="preserve"> vodje državnega tožilstva pri zagotavljanju učinkovitosti in enotnosti pregona</w:t>
      </w:r>
      <w:r w:rsidR="000F43C0">
        <w:rPr>
          <w:lang w:val="sl-SI"/>
        </w:rPr>
        <w:t>,</w:t>
      </w:r>
    </w:p>
    <w:p w14:paraId="6BC89B82" w14:textId="67C5E291" w:rsidR="00D04CC1" w:rsidRPr="00D04CC1" w:rsidRDefault="00D04CC1" w:rsidP="00D04CC1">
      <w:pPr>
        <w:pStyle w:val="Odstavekseznama"/>
        <w:numPr>
          <w:ilvl w:val="0"/>
          <w:numId w:val="12"/>
        </w:numPr>
        <w:spacing w:line="288" w:lineRule="auto"/>
        <w:jc w:val="both"/>
        <w:rPr>
          <w:lang w:val="sl-SI"/>
        </w:rPr>
      </w:pPr>
      <w:r w:rsidRPr="00D04CC1">
        <w:rPr>
          <w:lang w:val="sl-SI"/>
        </w:rPr>
        <w:lastRenderedPageBreak/>
        <w:t>redakcijsko odprav</w:t>
      </w:r>
      <w:r w:rsidR="003D1C32">
        <w:rPr>
          <w:lang w:val="sl-SI"/>
        </w:rPr>
        <w:t>ljajo</w:t>
      </w:r>
      <w:r w:rsidRPr="00D04CC1">
        <w:rPr>
          <w:lang w:val="sl-SI"/>
        </w:rPr>
        <w:t xml:space="preserve"> anomalije, ki so posledica normativnih sprememb oziroma nesistemske rešitve, ki so v nasprotju z namenom posamezne zakonske določbe ter</w:t>
      </w:r>
    </w:p>
    <w:p w14:paraId="235CC621" w14:textId="4BCC9DBD" w:rsidR="00D04CC1" w:rsidRPr="00D04CC1" w:rsidRDefault="00D04CC1" w:rsidP="00D04CC1">
      <w:pPr>
        <w:pStyle w:val="Odstavekseznama"/>
        <w:numPr>
          <w:ilvl w:val="0"/>
          <w:numId w:val="12"/>
        </w:numPr>
        <w:spacing w:line="288" w:lineRule="auto"/>
        <w:jc w:val="both"/>
        <w:rPr>
          <w:lang w:val="sl-SI"/>
        </w:rPr>
      </w:pPr>
      <w:r w:rsidRPr="00D04CC1">
        <w:rPr>
          <w:lang w:val="sl-SI"/>
        </w:rPr>
        <w:t>terminološka razhajanja.</w:t>
      </w:r>
    </w:p>
    <w:p w14:paraId="7F3B958F" w14:textId="77777777" w:rsidR="00902F35" w:rsidRDefault="00902F35" w:rsidP="00902F35">
      <w:pPr>
        <w:spacing w:line="288" w:lineRule="auto"/>
        <w:jc w:val="both"/>
        <w:rPr>
          <w:lang w:val="sl-SI"/>
        </w:rPr>
      </w:pPr>
    </w:p>
    <w:p w14:paraId="7DADCA44" w14:textId="67D9C3E4" w:rsidR="003D1C32" w:rsidRPr="003D1C32" w:rsidRDefault="00ED553D" w:rsidP="003D1C32">
      <w:pPr>
        <w:pStyle w:val="Golobesedilo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Upoštevaje določbe </w:t>
      </w:r>
      <w:r w:rsidRPr="003D1C32">
        <w:rPr>
          <w:rFonts w:ascii="Arial" w:hAnsi="Arial" w:cs="Arial"/>
          <w:sz w:val="20"/>
          <w:szCs w:val="20"/>
        </w:rPr>
        <w:t>Direktive 2003/88/ES Evropskega parlamenta in Sveta z dne 4. novembra 2003 o določenih vidikih organizacije delovnega časa</w:t>
      </w:r>
      <w:r>
        <w:rPr>
          <w:rFonts w:ascii="Arial" w:hAnsi="Arial" w:cs="Arial"/>
          <w:sz w:val="20"/>
          <w:szCs w:val="20"/>
        </w:rPr>
        <w:t xml:space="preserve">, kjer se predlaga, </w:t>
      </w:r>
      <w:r w:rsidRPr="003D1C32">
        <w:rPr>
          <w:rFonts w:ascii="Arial" w:hAnsi="Arial" w:cs="Arial"/>
          <w:sz w:val="20"/>
          <w:szCs w:val="20"/>
        </w:rPr>
        <w:t>da se čas, porabljen za pot osebe, ki je v pripravljenosti, do delovnega mesta oziroma do kraja opravljanja nujnega procesnega dejanja všteje v delovni čas,</w:t>
      </w:r>
      <w:r>
        <w:rPr>
          <w:rFonts w:ascii="Arial" w:hAnsi="Arial" w:cs="Arial"/>
          <w:sz w:val="20"/>
          <w:szCs w:val="20"/>
        </w:rPr>
        <w:t xml:space="preserve"> za mnenje </w:t>
      </w:r>
      <w:r w:rsidRPr="003D1C32">
        <w:rPr>
          <w:rFonts w:ascii="Arial" w:hAnsi="Arial" w:cs="Arial"/>
          <w:sz w:val="20"/>
          <w:szCs w:val="20"/>
        </w:rPr>
        <w:t>zaprošamo Ministrstvo za delo, družino, socialne zadeve in enake možnosti</w:t>
      </w:r>
      <w:r>
        <w:rPr>
          <w:rFonts w:ascii="Arial" w:hAnsi="Arial" w:cs="Arial"/>
          <w:sz w:val="20"/>
          <w:szCs w:val="20"/>
        </w:rPr>
        <w:t xml:space="preserve">. </w:t>
      </w:r>
      <w:r w:rsidR="00902F35" w:rsidRPr="003D1C32">
        <w:rPr>
          <w:rFonts w:ascii="Arial" w:hAnsi="Arial" w:cs="Arial"/>
          <w:sz w:val="20"/>
          <w:szCs w:val="20"/>
        </w:rPr>
        <w:t xml:space="preserve">Po oceni Računskega sodišča časa za prihod na delovno mesto in odhod na drug kraj, kjer je treba opraviti nujno procesno dejanje, po vsebini </w:t>
      </w:r>
      <w:r w:rsidR="00826A6A">
        <w:rPr>
          <w:rFonts w:ascii="Arial" w:hAnsi="Arial" w:cs="Arial"/>
          <w:sz w:val="20"/>
          <w:szCs w:val="20"/>
        </w:rPr>
        <w:t xml:space="preserve">namreč </w:t>
      </w:r>
      <w:r w:rsidR="00902F35" w:rsidRPr="003D1C32">
        <w:rPr>
          <w:rFonts w:ascii="Arial" w:hAnsi="Arial" w:cs="Arial"/>
          <w:sz w:val="20"/>
          <w:szCs w:val="20"/>
        </w:rPr>
        <w:t xml:space="preserve">ni mogoče enačiti s pripravljenostjo, prav tako pa ne ustreza definiciji dežurstva. V praksi je zato prihajalo do različnih razlag in obravnave. </w:t>
      </w:r>
    </w:p>
    <w:p w14:paraId="6A06ACEA" w14:textId="77777777" w:rsidR="008A2791" w:rsidRPr="008A2791" w:rsidRDefault="008A2791" w:rsidP="008A2791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sl-SI"/>
        </w:rPr>
      </w:pPr>
    </w:p>
    <w:p w14:paraId="3610F98A" w14:textId="495736F5" w:rsidR="00D16F1D" w:rsidRPr="001E1B0D" w:rsidRDefault="008A2791" w:rsidP="001E1B0D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sl-SI"/>
        </w:rPr>
      </w:pPr>
      <w:r w:rsidRPr="008A2791">
        <w:rPr>
          <w:rFonts w:cs="Arial"/>
          <w:szCs w:val="20"/>
          <w:lang w:val="sl-SI"/>
        </w:rPr>
        <w:t>Prav lepo pozdravljeni.</w:t>
      </w:r>
    </w:p>
    <w:tbl>
      <w:tblPr>
        <w:tblpPr w:leftFromText="141" w:rightFromText="141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3544"/>
      </w:tblGrid>
      <w:tr w:rsidR="005C08F2" w:rsidRPr="00597E71" w14:paraId="333686C2" w14:textId="77777777" w:rsidTr="0054330B">
        <w:tc>
          <w:tcPr>
            <w:tcW w:w="3544" w:type="dxa"/>
            <w:shd w:val="clear" w:color="auto" w:fill="auto"/>
          </w:tcPr>
          <w:p w14:paraId="4442013E" w14:textId="6D821CAB" w:rsidR="005C08F2" w:rsidRPr="00910086" w:rsidRDefault="005C08F2" w:rsidP="005C08F2">
            <w:pPr>
              <w:tabs>
                <w:tab w:val="left" w:pos="2370"/>
              </w:tabs>
              <w:spacing w:line="288" w:lineRule="auto"/>
              <w:jc w:val="center"/>
              <w:rPr>
                <w:rFonts w:cs="Arial"/>
                <w:szCs w:val="20"/>
              </w:rPr>
            </w:pPr>
            <w:r w:rsidRPr="00E87CF8">
              <w:rPr>
                <w:rFonts w:cs="Arial"/>
                <w:bCs/>
                <w:szCs w:val="20"/>
              </w:rPr>
              <w:t>Zlatko RATEJ</w:t>
            </w:r>
          </w:p>
        </w:tc>
      </w:tr>
      <w:tr w:rsidR="005C08F2" w:rsidRPr="00597E71" w14:paraId="22529006" w14:textId="77777777" w:rsidTr="0054330B">
        <w:tc>
          <w:tcPr>
            <w:tcW w:w="3544" w:type="dxa"/>
            <w:shd w:val="clear" w:color="auto" w:fill="auto"/>
          </w:tcPr>
          <w:p w14:paraId="4DDC9525" w14:textId="41C37146" w:rsidR="005C08F2" w:rsidRPr="00910086" w:rsidRDefault="005C08F2" w:rsidP="005C08F2">
            <w:pPr>
              <w:tabs>
                <w:tab w:val="left" w:pos="2370"/>
              </w:tabs>
              <w:spacing w:line="288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</w:rPr>
              <w:t>d</w:t>
            </w:r>
            <w:r w:rsidRPr="00E87CF8">
              <w:rPr>
                <w:rFonts w:cs="Arial"/>
                <w:bCs/>
                <w:szCs w:val="20"/>
              </w:rPr>
              <w:t>ržavni sekretar</w:t>
            </w:r>
          </w:p>
        </w:tc>
      </w:tr>
    </w:tbl>
    <w:p w14:paraId="546BF904" w14:textId="77777777" w:rsidR="00D16F1D" w:rsidRDefault="00D16F1D" w:rsidP="000E62F4">
      <w:pPr>
        <w:rPr>
          <w:lang w:val="sl-SI"/>
        </w:rPr>
      </w:pPr>
    </w:p>
    <w:p w14:paraId="6BE53D83" w14:textId="77777777" w:rsidR="00395447" w:rsidRDefault="00395447" w:rsidP="000E62F4">
      <w:pPr>
        <w:rPr>
          <w:lang w:val="sl-SI"/>
        </w:rPr>
      </w:pPr>
    </w:p>
    <w:p w14:paraId="436DBC76" w14:textId="77777777" w:rsidR="00395447" w:rsidRDefault="00395447" w:rsidP="000E62F4">
      <w:pPr>
        <w:rPr>
          <w:lang w:val="sl-SI"/>
        </w:rPr>
      </w:pPr>
    </w:p>
    <w:p w14:paraId="4D3CE931" w14:textId="5475BA02" w:rsidR="00D16F1D" w:rsidRDefault="00395447" w:rsidP="000E62F4">
      <w:pPr>
        <w:rPr>
          <w:lang w:val="sl-SI"/>
        </w:rPr>
      </w:pPr>
      <w:r>
        <w:rPr>
          <w:lang w:val="sl-SI"/>
        </w:rPr>
        <w:t>Pripravila:</w:t>
      </w:r>
    </w:p>
    <w:p w14:paraId="40706C85" w14:textId="6F000E40" w:rsidR="00395447" w:rsidRDefault="00395447" w:rsidP="000E62F4">
      <w:pPr>
        <w:rPr>
          <w:lang w:val="sl-SI"/>
        </w:rPr>
      </w:pPr>
      <w:r>
        <w:rPr>
          <w:lang w:val="sl-SI"/>
        </w:rPr>
        <w:t>mag. Bojana Vogrinec, sekretarka</w:t>
      </w:r>
    </w:p>
    <w:p w14:paraId="34CAD55E" w14:textId="77777777" w:rsidR="00D16F1D" w:rsidRDefault="00D16F1D" w:rsidP="000E62F4">
      <w:pPr>
        <w:rPr>
          <w:lang w:val="sl-SI"/>
        </w:rPr>
      </w:pPr>
    </w:p>
    <w:p w14:paraId="64684572" w14:textId="77777777" w:rsidR="00506187" w:rsidRDefault="00506187" w:rsidP="000E62F4">
      <w:pPr>
        <w:rPr>
          <w:lang w:val="sl-SI"/>
        </w:rPr>
      </w:pPr>
    </w:p>
    <w:p w14:paraId="36EE395B" w14:textId="77777777" w:rsidR="00CB0146" w:rsidRPr="00525918" w:rsidRDefault="00CB0146" w:rsidP="00CB0146">
      <w:pPr>
        <w:spacing w:line="24" w:lineRule="atLeast"/>
        <w:jc w:val="both"/>
        <w:rPr>
          <w:rFonts w:cs="Arial"/>
          <w:szCs w:val="20"/>
          <w:lang w:val="sl-SI"/>
        </w:rPr>
      </w:pPr>
      <w:r w:rsidRPr="00525918">
        <w:rPr>
          <w:rFonts w:cs="Arial"/>
          <w:szCs w:val="20"/>
          <w:lang w:val="sl-SI"/>
        </w:rPr>
        <w:t xml:space="preserve">Priloga: </w:t>
      </w:r>
    </w:p>
    <w:p w14:paraId="28DA7BB6" w14:textId="62F4377B" w:rsidR="00506187" w:rsidRPr="00525918" w:rsidRDefault="00BE10E5" w:rsidP="00CB0146">
      <w:pPr>
        <w:spacing w:line="24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– </w:t>
      </w:r>
      <w:r w:rsidR="008A2791">
        <w:rPr>
          <w:rFonts w:cs="Arial"/>
          <w:szCs w:val="20"/>
          <w:lang w:val="sl-SI"/>
        </w:rPr>
        <w:t>gradivo delovnega osnutka predloga zakona.</w:t>
      </w:r>
    </w:p>
    <w:p w14:paraId="3F9D171E" w14:textId="77777777" w:rsidR="00D16F1D" w:rsidRDefault="00D16F1D" w:rsidP="00D16F1D">
      <w:pPr>
        <w:rPr>
          <w:lang w:val="sl-SI"/>
        </w:rPr>
      </w:pPr>
    </w:p>
    <w:sectPr w:rsidR="00D16F1D" w:rsidSect="00030F8B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A289" w14:textId="77777777" w:rsidR="003355B3" w:rsidRDefault="003355B3">
      <w:r>
        <w:separator/>
      </w:r>
    </w:p>
  </w:endnote>
  <w:endnote w:type="continuationSeparator" w:id="0">
    <w:p w14:paraId="59B6E7DE" w14:textId="77777777" w:rsidR="003355B3" w:rsidRDefault="0033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9F79" w14:textId="77777777" w:rsidR="00F72335" w:rsidRDefault="00F7233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42AB3D" w14:textId="77777777" w:rsidR="00F72335" w:rsidRDefault="00F723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4A9A" w14:textId="77777777" w:rsidR="003355B3" w:rsidRDefault="003355B3">
      <w:r>
        <w:separator/>
      </w:r>
    </w:p>
  </w:footnote>
  <w:footnote w:type="continuationSeparator" w:id="0">
    <w:p w14:paraId="55078B74" w14:textId="77777777" w:rsidR="003355B3" w:rsidRDefault="003355B3">
      <w:r>
        <w:continuationSeparator/>
      </w:r>
    </w:p>
  </w:footnote>
  <w:footnote w:id="1">
    <w:p w14:paraId="71AA721F" w14:textId="77777777" w:rsidR="00D04CC1" w:rsidRPr="008A2791" w:rsidRDefault="00D04CC1" w:rsidP="00D04CC1">
      <w:pPr>
        <w:pStyle w:val="Sprotnaopomba-besedilo"/>
        <w:rPr>
          <w:sz w:val="16"/>
          <w:szCs w:val="16"/>
          <w:lang w:val="sl-SI"/>
        </w:rPr>
      </w:pPr>
      <w:r w:rsidRPr="008A2791">
        <w:rPr>
          <w:rStyle w:val="Sprotnaopomba-sklic"/>
          <w:sz w:val="16"/>
          <w:szCs w:val="16"/>
        </w:rPr>
        <w:footnoteRef/>
      </w:r>
      <w:r w:rsidRPr="008A2791">
        <w:rPr>
          <w:sz w:val="16"/>
          <w:szCs w:val="16"/>
        </w:rPr>
        <w:t xml:space="preserve"> </w:t>
      </w:r>
      <w:r w:rsidRPr="008A2791">
        <w:rPr>
          <w:sz w:val="16"/>
          <w:szCs w:val="16"/>
          <w:lang w:val="sl-SI"/>
        </w:rPr>
        <w:t>Revizijsko poročilo, št. 320-3/2016/72</w:t>
      </w:r>
      <w:r>
        <w:rPr>
          <w:sz w:val="16"/>
          <w:szCs w:val="16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9DD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FE090A9" w14:textId="77777777">
      <w:trPr>
        <w:cantSplit/>
        <w:trHeight w:hRule="exact" w:val="847"/>
      </w:trPr>
      <w:tc>
        <w:tcPr>
          <w:tcW w:w="567" w:type="dxa"/>
        </w:tcPr>
        <w:p w14:paraId="4F830195" w14:textId="067FF4A0" w:rsidR="002A2B69" w:rsidRPr="008F3500" w:rsidRDefault="004E2C3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E2CB13A" wp14:editId="7340581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78108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7374199" w14:textId="5FC9991A" w:rsidR="0037507F" w:rsidRDefault="004E2C3D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b/>
        <w:szCs w:val="20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7CC4C" wp14:editId="65C495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264025" cy="959485"/>
          <wp:effectExtent l="0" t="0" r="0" b="0"/>
          <wp:wrapSquare wrapText="bothSides"/>
          <wp:docPr id="20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025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C4EFE" w14:textId="77777777" w:rsidR="00D34769" w:rsidRPr="00D16F1D" w:rsidRDefault="00221028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  <w:lang w:val="sl-SI"/>
      </w:rPr>
    </w:pPr>
    <w:r>
      <w:rPr>
        <w:rFonts w:cs="Arial"/>
        <w:sz w:val="16"/>
        <w:lang w:val="sl-SI"/>
      </w:rPr>
      <w:t xml:space="preserve">Župančičeva </w:t>
    </w:r>
    <w:r w:rsidR="00304F40">
      <w:rPr>
        <w:rFonts w:cs="Arial"/>
        <w:sz w:val="16"/>
        <w:lang w:val="sl-SI"/>
      </w:rPr>
      <w:t xml:space="preserve">ulica </w:t>
    </w:r>
    <w:r>
      <w:rPr>
        <w:rFonts w:cs="Arial"/>
        <w:sz w:val="16"/>
        <w:lang w:val="sl-SI"/>
      </w:rPr>
      <w:t>3</w:t>
    </w:r>
    <w:r w:rsidR="00A770A6" w:rsidRPr="008F3500">
      <w:rPr>
        <w:rFonts w:cs="Arial"/>
        <w:sz w:val="16"/>
        <w:lang w:val="sl-SI"/>
      </w:rPr>
      <w:t xml:space="preserve">, </w:t>
    </w:r>
    <w:r w:rsidR="00030F8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</w:r>
    <w:r w:rsidR="00F94477" w:rsidRPr="00D16F1D">
      <w:rPr>
        <w:sz w:val="16"/>
        <w:szCs w:val="16"/>
        <w:lang w:val="sl-SI"/>
      </w:rPr>
      <w:t xml:space="preserve">T: </w:t>
    </w:r>
    <w:r w:rsidR="00D34769" w:rsidRPr="00D16F1D">
      <w:rPr>
        <w:sz w:val="16"/>
        <w:szCs w:val="16"/>
        <w:lang w:val="sl-SI"/>
      </w:rPr>
      <w:t xml:space="preserve">01 </w:t>
    </w:r>
    <w:r w:rsidR="00D34769" w:rsidRPr="00D34769">
      <w:rPr>
        <w:rFonts w:cs="Arial"/>
        <w:sz w:val="16"/>
        <w:lang w:val="sl-SI"/>
      </w:rPr>
      <w:t>369</w:t>
    </w:r>
    <w:r w:rsidR="00D34769" w:rsidRPr="00D16F1D">
      <w:rPr>
        <w:sz w:val="16"/>
        <w:szCs w:val="16"/>
        <w:lang w:val="sl-SI"/>
      </w:rPr>
      <w:t xml:space="preserve"> 53</w:t>
    </w:r>
    <w:r w:rsidR="00F5400D" w:rsidRPr="00D16F1D">
      <w:rPr>
        <w:sz w:val="16"/>
        <w:szCs w:val="16"/>
        <w:lang w:val="sl-SI"/>
      </w:rPr>
      <w:t xml:space="preserve"> </w:t>
    </w:r>
    <w:r w:rsidR="00D34769" w:rsidRPr="00D16F1D">
      <w:rPr>
        <w:sz w:val="16"/>
        <w:szCs w:val="16"/>
        <w:lang w:val="sl-SI"/>
      </w:rPr>
      <w:t>42</w:t>
    </w:r>
  </w:p>
  <w:p w14:paraId="47CF39E5" w14:textId="77777777" w:rsidR="00A770A6" w:rsidRPr="00D34769" w:rsidRDefault="00A770A6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D34769">
      <w:rPr>
        <w:rFonts w:cs="Arial"/>
        <w:sz w:val="16"/>
        <w:szCs w:val="16"/>
        <w:lang w:val="sl-SI"/>
      </w:rPr>
      <w:tab/>
    </w:r>
    <w:r w:rsidR="00F94477" w:rsidRPr="00D16F1D">
      <w:rPr>
        <w:sz w:val="16"/>
        <w:szCs w:val="16"/>
        <w:lang w:val="sl-SI"/>
      </w:rPr>
      <w:t xml:space="preserve">F: </w:t>
    </w:r>
    <w:r w:rsidR="00D34769" w:rsidRPr="00D16F1D">
      <w:rPr>
        <w:sz w:val="16"/>
        <w:szCs w:val="16"/>
        <w:lang w:val="sl-SI"/>
      </w:rPr>
      <w:t>01</w:t>
    </w:r>
    <w:r w:rsidR="00304F40" w:rsidRPr="00D16F1D">
      <w:rPr>
        <w:sz w:val="16"/>
        <w:szCs w:val="16"/>
        <w:lang w:val="sl-SI"/>
      </w:rPr>
      <w:t xml:space="preserve"> </w:t>
    </w:r>
    <w:r w:rsidR="00D34769" w:rsidRPr="00D16F1D">
      <w:rPr>
        <w:sz w:val="16"/>
        <w:szCs w:val="16"/>
        <w:lang w:val="sl-SI"/>
      </w:rPr>
      <w:t>369 57</w:t>
    </w:r>
    <w:r w:rsidR="00F5400D" w:rsidRPr="00D16F1D">
      <w:rPr>
        <w:sz w:val="16"/>
        <w:szCs w:val="16"/>
        <w:lang w:val="sl-SI"/>
      </w:rPr>
      <w:t xml:space="preserve"> </w:t>
    </w:r>
    <w:r w:rsidR="00D34769" w:rsidRPr="00D16F1D">
      <w:rPr>
        <w:sz w:val="16"/>
        <w:szCs w:val="16"/>
        <w:lang w:val="sl-SI"/>
      </w:rPr>
      <w:t>83</w:t>
    </w:r>
  </w:p>
  <w:p w14:paraId="73ECD4F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30F8B">
      <w:rPr>
        <w:rFonts w:cs="Arial"/>
        <w:sz w:val="16"/>
        <w:lang w:val="sl-SI"/>
      </w:rPr>
      <w:t>gp.mp@gov.si</w:t>
    </w:r>
  </w:p>
  <w:p w14:paraId="5FB1F7B7" w14:textId="77777777" w:rsidR="00A770A6" w:rsidRDefault="00A770A6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622D9">
      <w:rPr>
        <w:rFonts w:cs="Arial"/>
        <w:sz w:val="16"/>
        <w:lang w:val="sl-SI"/>
      </w:rPr>
      <w:tab/>
    </w:r>
    <w:r w:rsidR="006F0ABB" w:rsidRPr="00304F40">
      <w:rPr>
        <w:rFonts w:cs="Arial"/>
        <w:sz w:val="16"/>
        <w:lang w:val="sl-SI"/>
      </w:rPr>
      <w:t>www.mp.gov.si</w:t>
    </w:r>
  </w:p>
  <w:p w14:paraId="4979237D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47533D7D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5F6ABE66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6D3D9341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2687E"/>
    <w:multiLevelType w:val="hybridMultilevel"/>
    <w:tmpl w:val="F0AC7E62"/>
    <w:lvl w:ilvl="0" w:tplc="3172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352B"/>
    <w:multiLevelType w:val="hybridMultilevel"/>
    <w:tmpl w:val="BF90A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1760"/>
    <w:multiLevelType w:val="hybridMultilevel"/>
    <w:tmpl w:val="ECE24900"/>
    <w:lvl w:ilvl="0" w:tplc="B21ED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13B6A"/>
    <w:multiLevelType w:val="hybridMultilevel"/>
    <w:tmpl w:val="0F5208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09D7"/>
    <w:multiLevelType w:val="hybridMultilevel"/>
    <w:tmpl w:val="E1F4021E"/>
    <w:lvl w:ilvl="0" w:tplc="8D92AE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4E72"/>
    <w:multiLevelType w:val="hybridMultilevel"/>
    <w:tmpl w:val="2A3CB44A"/>
    <w:lvl w:ilvl="0" w:tplc="A97EEA74">
      <w:numFmt w:val="bullet"/>
      <w:lvlText w:val="–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9576D"/>
    <w:multiLevelType w:val="hybridMultilevel"/>
    <w:tmpl w:val="173232F4"/>
    <w:lvl w:ilvl="0" w:tplc="BD96A8E6">
      <w:numFmt w:val="bullet"/>
      <w:lvlText w:val="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1D"/>
    <w:rsid w:val="000049D1"/>
    <w:rsid w:val="000069AB"/>
    <w:rsid w:val="0001210E"/>
    <w:rsid w:val="00023A88"/>
    <w:rsid w:val="00030005"/>
    <w:rsid w:val="00030F8B"/>
    <w:rsid w:val="00031B4D"/>
    <w:rsid w:val="00083437"/>
    <w:rsid w:val="0009790F"/>
    <w:rsid w:val="000A7238"/>
    <w:rsid w:val="000E49B8"/>
    <w:rsid w:val="000E62F4"/>
    <w:rsid w:val="000F218C"/>
    <w:rsid w:val="000F43C0"/>
    <w:rsid w:val="001036EA"/>
    <w:rsid w:val="00121EBF"/>
    <w:rsid w:val="001357B2"/>
    <w:rsid w:val="0017478F"/>
    <w:rsid w:val="001865D7"/>
    <w:rsid w:val="001C497B"/>
    <w:rsid w:val="001D3C86"/>
    <w:rsid w:val="001D77CE"/>
    <w:rsid w:val="001E1B0D"/>
    <w:rsid w:val="00202A77"/>
    <w:rsid w:val="00221028"/>
    <w:rsid w:val="00271CE5"/>
    <w:rsid w:val="00282020"/>
    <w:rsid w:val="002837C1"/>
    <w:rsid w:val="002A2B69"/>
    <w:rsid w:val="002A5253"/>
    <w:rsid w:val="002D69F5"/>
    <w:rsid w:val="002F2B2F"/>
    <w:rsid w:val="00304F40"/>
    <w:rsid w:val="003355B3"/>
    <w:rsid w:val="003636BF"/>
    <w:rsid w:val="00371442"/>
    <w:rsid w:val="0037507F"/>
    <w:rsid w:val="003845B4"/>
    <w:rsid w:val="00387B1A"/>
    <w:rsid w:val="00395447"/>
    <w:rsid w:val="003B2E5A"/>
    <w:rsid w:val="003C5EE5"/>
    <w:rsid w:val="003D1C32"/>
    <w:rsid w:val="003E1C74"/>
    <w:rsid w:val="003E2CFC"/>
    <w:rsid w:val="00424ED6"/>
    <w:rsid w:val="0044609F"/>
    <w:rsid w:val="00452D89"/>
    <w:rsid w:val="004657EE"/>
    <w:rsid w:val="00496086"/>
    <w:rsid w:val="004A436A"/>
    <w:rsid w:val="004A78CE"/>
    <w:rsid w:val="004B70EF"/>
    <w:rsid w:val="004E2C3D"/>
    <w:rsid w:val="00506187"/>
    <w:rsid w:val="00526246"/>
    <w:rsid w:val="00532373"/>
    <w:rsid w:val="00567106"/>
    <w:rsid w:val="005A129F"/>
    <w:rsid w:val="005C08F2"/>
    <w:rsid w:val="005C7D02"/>
    <w:rsid w:val="005E1D3C"/>
    <w:rsid w:val="005F2004"/>
    <w:rsid w:val="00625AE6"/>
    <w:rsid w:val="00632253"/>
    <w:rsid w:val="00642714"/>
    <w:rsid w:val="006455CE"/>
    <w:rsid w:val="00655841"/>
    <w:rsid w:val="00665122"/>
    <w:rsid w:val="00677617"/>
    <w:rsid w:val="006A6883"/>
    <w:rsid w:val="006D2CE9"/>
    <w:rsid w:val="006F0ABB"/>
    <w:rsid w:val="00733017"/>
    <w:rsid w:val="00744BB3"/>
    <w:rsid w:val="00766B2F"/>
    <w:rsid w:val="00783310"/>
    <w:rsid w:val="007A4A6D"/>
    <w:rsid w:val="007D1BCF"/>
    <w:rsid w:val="007D75CF"/>
    <w:rsid w:val="007E0440"/>
    <w:rsid w:val="007E6DC5"/>
    <w:rsid w:val="00816D37"/>
    <w:rsid w:val="00826A6A"/>
    <w:rsid w:val="00857566"/>
    <w:rsid w:val="0088043C"/>
    <w:rsid w:val="00884889"/>
    <w:rsid w:val="008906C9"/>
    <w:rsid w:val="00895DE3"/>
    <w:rsid w:val="008A2791"/>
    <w:rsid w:val="008C5738"/>
    <w:rsid w:val="008D04F0"/>
    <w:rsid w:val="008D3301"/>
    <w:rsid w:val="008E255B"/>
    <w:rsid w:val="008F3500"/>
    <w:rsid w:val="00902F35"/>
    <w:rsid w:val="00910086"/>
    <w:rsid w:val="00924E3C"/>
    <w:rsid w:val="009315CE"/>
    <w:rsid w:val="00931725"/>
    <w:rsid w:val="00947DEF"/>
    <w:rsid w:val="0095494C"/>
    <w:rsid w:val="00955FA5"/>
    <w:rsid w:val="009612BB"/>
    <w:rsid w:val="00987305"/>
    <w:rsid w:val="009C5487"/>
    <w:rsid w:val="009C740A"/>
    <w:rsid w:val="00A125C5"/>
    <w:rsid w:val="00A2451C"/>
    <w:rsid w:val="00A65EE7"/>
    <w:rsid w:val="00A70133"/>
    <w:rsid w:val="00A770A6"/>
    <w:rsid w:val="00A813B1"/>
    <w:rsid w:val="00A81D67"/>
    <w:rsid w:val="00A842A0"/>
    <w:rsid w:val="00A8438E"/>
    <w:rsid w:val="00A90995"/>
    <w:rsid w:val="00AB36C4"/>
    <w:rsid w:val="00AC32B2"/>
    <w:rsid w:val="00B17141"/>
    <w:rsid w:val="00B31575"/>
    <w:rsid w:val="00B8547D"/>
    <w:rsid w:val="00BD0B97"/>
    <w:rsid w:val="00BE10E5"/>
    <w:rsid w:val="00C11E1D"/>
    <w:rsid w:val="00C238B3"/>
    <w:rsid w:val="00C250D5"/>
    <w:rsid w:val="00C35666"/>
    <w:rsid w:val="00C5599A"/>
    <w:rsid w:val="00C5607B"/>
    <w:rsid w:val="00C92898"/>
    <w:rsid w:val="00CA4340"/>
    <w:rsid w:val="00CB0146"/>
    <w:rsid w:val="00CB1090"/>
    <w:rsid w:val="00CC33F8"/>
    <w:rsid w:val="00CD7C6A"/>
    <w:rsid w:val="00CE130B"/>
    <w:rsid w:val="00CE5238"/>
    <w:rsid w:val="00CE7514"/>
    <w:rsid w:val="00D04CC1"/>
    <w:rsid w:val="00D16F1D"/>
    <w:rsid w:val="00D248DE"/>
    <w:rsid w:val="00D309D0"/>
    <w:rsid w:val="00D34769"/>
    <w:rsid w:val="00D629EA"/>
    <w:rsid w:val="00D7025F"/>
    <w:rsid w:val="00D8262A"/>
    <w:rsid w:val="00D82FA4"/>
    <w:rsid w:val="00D8542D"/>
    <w:rsid w:val="00DC6A71"/>
    <w:rsid w:val="00DD2F00"/>
    <w:rsid w:val="00E0357D"/>
    <w:rsid w:val="00E21483"/>
    <w:rsid w:val="00E71D90"/>
    <w:rsid w:val="00ED1C3E"/>
    <w:rsid w:val="00ED1CD2"/>
    <w:rsid w:val="00ED553D"/>
    <w:rsid w:val="00ED646B"/>
    <w:rsid w:val="00EE77BF"/>
    <w:rsid w:val="00EF1C9D"/>
    <w:rsid w:val="00F23B35"/>
    <w:rsid w:val="00F240BB"/>
    <w:rsid w:val="00F24BB9"/>
    <w:rsid w:val="00F45249"/>
    <w:rsid w:val="00F5400D"/>
    <w:rsid w:val="00F57FED"/>
    <w:rsid w:val="00F622D9"/>
    <w:rsid w:val="00F72335"/>
    <w:rsid w:val="00F94477"/>
    <w:rsid w:val="00FC256E"/>
    <w:rsid w:val="00FC36E5"/>
    <w:rsid w:val="00FD093D"/>
    <w:rsid w:val="00FD1F7A"/>
    <w:rsid w:val="00FF1A11"/>
    <w:rsid w:val="00FF68BC"/>
    <w:rsid w:val="00FF695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9C434C4"/>
  <w15:chartTrackingRefBased/>
  <w15:docId w15:val="{1CAEAF26-9B91-43FE-AFCC-5F646933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0E62F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styleId="Sprotnaopomba-besedilo">
    <w:name w:val="footnote text"/>
    <w:aliases w:val="Footnote Text Char,Sprotna opomba - besedilo Znak1 Char,Sprotna opomba - besedilo Znak Znak Char,Znak Znak Znak Char,Znak Znak Znak Znak Znak Znak Znak Char,Znak Znak1 Char,Znak Znak Znak Znak Znak Znak1 Char"/>
    <w:basedOn w:val="Navaden"/>
    <w:link w:val="Sprotnaopomba-besediloZnak"/>
    <w:uiPriority w:val="99"/>
    <w:rsid w:val="001D3C86"/>
    <w:rPr>
      <w:szCs w:val="20"/>
    </w:rPr>
  </w:style>
  <w:style w:type="character" w:customStyle="1" w:styleId="Sprotnaopomba-besediloZnak">
    <w:name w:val="Sprotna opomba - besedilo Znak"/>
    <w:aliases w:val="Footnote Text Char Znak,Sprotna opomba - besedilo Znak1 Char Znak,Sprotna opomba - besedilo Znak Znak Char Znak,Znak Znak Znak Char Znak,Znak Znak Znak Znak Znak Znak Znak Char Znak,Znak Znak1 Char Znak"/>
    <w:basedOn w:val="Privzetapisavaodstavka"/>
    <w:link w:val="Sprotnaopomba-besedilo"/>
    <w:uiPriority w:val="99"/>
    <w:rsid w:val="001D3C8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iPriority w:val="99"/>
    <w:rsid w:val="001D3C86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BE10E5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unhideWhenUsed/>
    <w:rsid w:val="00CD7C6A"/>
    <w:pPr>
      <w:spacing w:line="240" w:lineRule="auto"/>
    </w:pPr>
    <w:rPr>
      <w:rFonts w:ascii="Calibri" w:eastAsia="Calibri" w:hAnsi="Calibr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D7C6A"/>
    <w:rPr>
      <w:rFonts w:ascii="Calibri" w:eastAsia="Calibri" w:hAnsi="Calibr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D0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P\PREDLOGE\Glave%20ministrstva\013_DOZ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DDC55B-BCB8-4230-AB52-4475C994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013_DOZP</Template>
  <TotalTime>4</TotalTime>
  <Pages>2</Pages>
  <Words>395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Atelšek</dc:creator>
  <cp:keywords/>
  <cp:lastModifiedBy>Bojana Vogrinec</cp:lastModifiedBy>
  <cp:revision>6</cp:revision>
  <cp:lastPrinted>2010-07-16T07:41:00Z</cp:lastPrinted>
  <dcterms:created xsi:type="dcterms:W3CDTF">2020-05-25T09:40:00Z</dcterms:created>
  <dcterms:modified xsi:type="dcterms:W3CDTF">2020-05-25T11:28:00Z</dcterms:modified>
</cp:coreProperties>
</file>