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E5" w:rsidRPr="00C94FA9" w:rsidRDefault="007D45E5" w:rsidP="00DE4DE1">
      <w:pPr>
        <w:suppressAutoHyphens/>
        <w:overflowPunct w:val="0"/>
        <w:autoSpaceDE w:val="0"/>
        <w:autoSpaceDN w:val="0"/>
        <w:adjustRightInd w:val="0"/>
        <w:spacing w:after="0" w:line="260" w:lineRule="exact"/>
        <w:ind w:left="7080" w:firstLine="708"/>
        <w:jc w:val="center"/>
        <w:textAlignment w:val="baseline"/>
        <w:rPr>
          <w:rFonts w:ascii="Arial" w:eastAsia="Times New Roman" w:hAnsi="Arial" w:cs="Arial"/>
          <w:b/>
          <w:sz w:val="20"/>
          <w:szCs w:val="20"/>
          <w:lang w:eastAsia="sl-SI"/>
        </w:rPr>
      </w:pPr>
      <w:r w:rsidRPr="00C94FA9">
        <w:rPr>
          <w:rFonts w:ascii="Arial" w:eastAsia="Times New Roman" w:hAnsi="Arial" w:cs="Arial"/>
          <w:b/>
          <w:sz w:val="20"/>
          <w:szCs w:val="20"/>
          <w:lang w:eastAsia="sl-SI"/>
        </w:rPr>
        <w:t>PREDLOG</w:t>
      </w:r>
    </w:p>
    <w:p w:rsidR="007D45E5" w:rsidRDefault="007D45E5" w:rsidP="007D45E5">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C94FA9">
        <w:rPr>
          <w:rFonts w:ascii="Arial" w:eastAsia="Times New Roman" w:hAnsi="Arial" w:cs="Arial"/>
          <w:b/>
          <w:sz w:val="20"/>
          <w:szCs w:val="20"/>
          <w:lang w:eastAsia="sl-SI"/>
        </w:rPr>
        <w:t>(EVA</w:t>
      </w:r>
      <w:r>
        <w:rPr>
          <w:rFonts w:ascii="Arial" w:eastAsia="Times New Roman" w:hAnsi="Arial" w:cs="Arial"/>
          <w:b/>
          <w:sz w:val="20"/>
          <w:szCs w:val="20"/>
          <w:lang w:eastAsia="sl-SI"/>
        </w:rPr>
        <w:t xml:space="preserve"> 2018-2711-0088</w:t>
      </w:r>
      <w:r w:rsidRPr="00C94FA9">
        <w:rPr>
          <w:rFonts w:ascii="Arial" w:eastAsia="Times New Roman" w:hAnsi="Arial" w:cs="Arial"/>
          <w:b/>
          <w:sz w:val="20"/>
          <w:szCs w:val="20"/>
          <w:lang w:eastAsia="sl-SI"/>
        </w:rPr>
        <w:t>)</w:t>
      </w:r>
    </w:p>
    <w:p w:rsidR="00DE4DE1" w:rsidRDefault="00DE4DE1" w:rsidP="007D45E5">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p w:rsidR="00DE4DE1" w:rsidRPr="00C94FA9" w:rsidRDefault="00DE4DE1" w:rsidP="007D45E5">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9213"/>
      </w:tblGrid>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C94FA9">
              <w:rPr>
                <w:rFonts w:ascii="Arial" w:eastAsia="Times New Roman" w:hAnsi="Arial" w:cs="Arial"/>
                <w:b/>
                <w:sz w:val="20"/>
                <w:szCs w:val="20"/>
                <w:lang w:eastAsia="sl-SI"/>
              </w:rPr>
              <w:t xml:space="preserve">ZAKON </w:t>
            </w:r>
          </w:p>
          <w:p w:rsidR="007D45E5" w:rsidRDefault="007D45E5" w:rsidP="00E874D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O SPREMEMBAH IN DOPOLNITVAH ZAKONA O ZDRAVILIH (ZZdr-2)</w:t>
            </w:r>
          </w:p>
          <w:p w:rsidR="007D45E5" w:rsidRDefault="007D45E5" w:rsidP="00E874D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E874DC" w:rsidRPr="00C94FA9" w:rsidRDefault="00E874DC" w:rsidP="00E874D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I. UVOD</w:t>
            </w: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1. OCENA STANJA IN RAZLOGI ZA SPREJEM PREDLOGA ZAKONA</w:t>
            </w:r>
          </w:p>
        </w:tc>
      </w:tr>
      <w:tr w:rsidR="007D45E5" w:rsidRPr="003836C6" w:rsidTr="003B1F9D">
        <w:tc>
          <w:tcPr>
            <w:tcW w:w="9213" w:type="dxa"/>
          </w:tcPr>
          <w:p w:rsidR="003836C6" w:rsidRPr="003B1F9D" w:rsidRDefault="003836C6" w:rsidP="003B1F9D">
            <w:pPr>
              <w:autoSpaceDE w:val="0"/>
              <w:autoSpaceDN w:val="0"/>
              <w:adjustRightInd w:val="0"/>
              <w:jc w:val="both"/>
              <w:rPr>
                <w:rFonts w:ascii="Arial" w:hAnsi="Arial" w:cs="Arial"/>
                <w:sz w:val="20"/>
                <w:szCs w:val="20"/>
                <w:lang w:eastAsia="sl-SI"/>
              </w:rPr>
            </w:pPr>
            <w:r w:rsidRPr="006F1A24">
              <w:rPr>
                <w:rFonts w:ascii="Arial" w:eastAsia="Times New Roman" w:hAnsi="Arial" w:cs="Arial"/>
                <w:sz w:val="20"/>
                <w:szCs w:val="20"/>
              </w:rPr>
              <w:t xml:space="preserve">Pravna podlaga za sprejetje </w:t>
            </w:r>
            <w:r w:rsidRPr="006F1A24">
              <w:rPr>
                <w:rFonts w:ascii="Arial" w:hAnsi="Arial" w:cs="Arial"/>
                <w:sz w:val="20"/>
                <w:szCs w:val="20"/>
              </w:rPr>
              <w:t>Zakon</w:t>
            </w:r>
            <w:r w:rsidR="006F1A24" w:rsidRPr="006F1A24">
              <w:rPr>
                <w:rFonts w:ascii="Arial" w:hAnsi="Arial" w:cs="Arial"/>
                <w:sz w:val="20"/>
                <w:szCs w:val="20"/>
              </w:rPr>
              <w:t>a</w:t>
            </w:r>
            <w:r w:rsidRPr="006F1A24">
              <w:rPr>
                <w:rFonts w:ascii="Arial" w:hAnsi="Arial" w:cs="Arial"/>
                <w:sz w:val="20"/>
                <w:szCs w:val="20"/>
              </w:rPr>
              <w:t xml:space="preserve"> o spremembah in dopolnitvah Zakona o zdravilih (ZZdr-2) po skrajšanem postopku je tretja alineja </w:t>
            </w:r>
            <w:r w:rsidR="006F1A24">
              <w:rPr>
                <w:rFonts w:ascii="Arial" w:hAnsi="Arial" w:cs="Arial"/>
                <w:sz w:val="20"/>
                <w:szCs w:val="20"/>
              </w:rPr>
              <w:t xml:space="preserve">prvega odstavka </w:t>
            </w:r>
            <w:r w:rsidRPr="006F1A24">
              <w:rPr>
                <w:rFonts w:ascii="Arial" w:hAnsi="Arial" w:cs="Arial"/>
                <w:sz w:val="20"/>
                <w:szCs w:val="20"/>
              </w:rPr>
              <w:t xml:space="preserve">142. člena </w:t>
            </w:r>
            <w:r w:rsidRPr="006F1A24">
              <w:rPr>
                <w:rFonts w:ascii="Arial" w:hAnsi="Arial" w:cs="Arial"/>
                <w:bCs/>
                <w:sz w:val="20"/>
                <w:szCs w:val="20"/>
              </w:rPr>
              <w:t xml:space="preserve">Poslovnika Državnega zbora (Uradni list RS, št. </w:t>
            </w:r>
            <w:hyperlink r:id="rId6" w:tgtFrame="_blank" w:tooltip="Poslovnik državnega zbora (uradno prečiščeno besedilo)" w:history="1">
              <w:r w:rsidRPr="006F1A24">
                <w:rPr>
                  <w:rFonts w:ascii="Arial" w:hAnsi="Arial" w:cs="Arial"/>
                  <w:bCs/>
                  <w:sz w:val="20"/>
                  <w:szCs w:val="20"/>
                </w:rPr>
                <w:t>92/07</w:t>
              </w:r>
            </w:hyperlink>
            <w:r w:rsidRPr="006F1A24">
              <w:rPr>
                <w:rFonts w:ascii="Arial" w:hAnsi="Arial" w:cs="Arial"/>
                <w:bCs/>
                <w:sz w:val="20"/>
                <w:szCs w:val="20"/>
              </w:rPr>
              <w:t xml:space="preserve"> – uradno prečiščeno besedilo, </w:t>
            </w:r>
            <w:hyperlink r:id="rId7" w:tgtFrame="_blank" w:tooltip="Spremembe in dopolnitve Poslovnika Državnega zbora" w:history="1">
              <w:r w:rsidRPr="006F1A24">
                <w:rPr>
                  <w:rFonts w:ascii="Arial" w:hAnsi="Arial" w:cs="Arial"/>
                  <w:bCs/>
                  <w:sz w:val="20"/>
                  <w:szCs w:val="20"/>
                </w:rPr>
                <w:t>105/10</w:t>
              </w:r>
            </w:hyperlink>
            <w:r w:rsidRPr="006F1A24">
              <w:rPr>
                <w:rFonts w:ascii="Arial" w:hAnsi="Arial" w:cs="Arial"/>
                <w:bCs/>
                <w:sz w:val="20"/>
                <w:szCs w:val="20"/>
              </w:rPr>
              <w:t xml:space="preserve">, </w:t>
            </w:r>
            <w:hyperlink r:id="rId8" w:tgtFrame="_blank" w:tooltip="Spremembe in dopolnitev Poslovnika Državnega zbora" w:history="1">
              <w:r w:rsidRPr="006F1A24">
                <w:rPr>
                  <w:rFonts w:ascii="Arial" w:hAnsi="Arial" w:cs="Arial"/>
                  <w:bCs/>
                  <w:sz w:val="20"/>
                  <w:szCs w:val="20"/>
                </w:rPr>
                <w:t>80/13</w:t>
              </w:r>
            </w:hyperlink>
            <w:r w:rsidRPr="006F1A24">
              <w:rPr>
                <w:rFonts w:ascii="Arial" w:hAnsi="Arial" w:cs="Arial"/>
                <w:bCs/>
                <w:sz w:val="20"/>
                <w:szCs w:val="20"/>
              </w:rPr>
              <w:t xml:space="preserve"> in </w:t>
            </w:r>
            <w:hyperlink r:id="rId9" w:tgtFrame="_blank" w:tooltip="Spremembe in dopolnitve Poslovnika Državnega zbora" w:history="1">
              <w:r w:rsidRPr="006F1A24">
                <w:rPr>
                  <w:rFonts w:ascii="Arial" w:hAnsi="Arial" w:cs="Arial"/>
                  <w:bCs/>
                  <w:sz w:val="20"/>
                  <w:szCs w:val="20"/>
                </w:rPr>
                <w:t>38/17</w:t>
              </w:r>
            </w:hyperlink>
            <w:r w:rsidRPr="006F1A24">
              <w:rPr>
                <w:rFonts w:ascii="Arial" w:hAnsi="Arial" w:cs="Arial"/>
                <w:bCs/>
                <w:sz w:val="20"/>
                <w:szCs w:val="20"/>
              </w:rPr>
              <w:t>)</w:t>
            </w:r>
            <w:r w:rsidRPr="006F1A24">
              <w:rPr>
                <w:rFonts w:ascii="Arial" w:hAnsi="Arial" w:cs="Arial"/>
                <w:sz w:val="20"/>
                <w:szCs w:val="20"/>
              </w:rPr>
              <w:t xml:space="preserve">, ki omogoča </w:t>
            </w:r>
            <w:r w:rsidR="006F1A24">
              <w:rPr>
                <w:rFonts w:ascii="Arial" w:hAnsi="Arial" w:cs="Arial"/>
                <w:sz w:val="20"/>
                <w:szCs w:val="20"/>
              </w:rPr>
              <w:t xml:space="preserve">obravnavo predloga zakona v skrajšanem postopku, če gre za </w:t>
            </w:r>
            <w:r w:rsidRPr="006F1A24">
              <w:rPr>
                <w:rFonts w:ascii="Arial" w:hAnsi="Arial" w:cs="Arial"/>
                <w:sz w:val="20"/>
                <w:szCs w:val="20"/>
              </w:rPr>
              <w:t xml:space="preserve">manj zahtevne uskladitve zakona z drugimi zakoni ali s </w:t>
            </w:r>
            <w:r w:rsidRPr="00024BF7">
              <w:rPr>
                <w:rFonts w:ascii="Arial" w:hAnsi="Arial" w:cs="Arial"/>
                <w:sz w:val="20"/>
                <w:szCs w:val="20"/>
              </w:rPr>
              <w:t xml:space="preserve">pravom EU. </w:t>
            </w:r>
            <w:r w:rsidR="00024BF7">
              <w:rPr>
                <w:rFonts w:ascii="Arial" w:eastAsia="Times New Roman" w:hAnsi="Arial" w:cs="Arial"/>
                <w:sz w:val="20"/>
                <w:szCs w:val="20"/>
              </w:rPr>
              <w:t>V predlogu</w:t>
            </w:r>
            <w:r w:rsidR="00024BF7" w:rsidRPr="00024BF7">
              <w:rPr>
                <w:rFonts w:ascii="Arial" w:eastAsia="Times New Roman" w:hAnsi="Arial" w:cs="Arial"/>
                <w:sz w:val="20"/>
                <w:szCs w:val="20"/>
              </w:rPr>
              <w:t xml:space="preserve"> Zakona o spremembah in dopolnitvah Zakona o zdravilih</w:t>
            </w:r>
            <w:r w:rsidR="00024BF7">
              <w:rPr>
                <w:rFonts w:ascii="Arial" w:eastAsia="Times New Roman" w:hAnsi="Arial" w:cs="Arial"/>
                <w:sz w:val="20"/>
                <w:szCs w:val="20"/>
              </w:rPr>
              <w:t xml:space="preserve"> </w:t>
            </w:r>
            <w:r w:rsidR="00024BF7" w:rsidRPr="006F1A24">
              <w:rPr>
                <w:rFonts w:ascii="Arial" w:hAnsi="Arial" w:cs="Arial"/>
                <w:sz w:val="20"/>
                <w:szCs w:val="20"/>
              </w:rPr>
              <w:t>(ZZdr-2)</w:t>
            </w:r>
            <w:r w:rsidR="00024BF7" w:rsidRPr="00024BF7">
              <w:rPr>
                <w:rFonts w:ascii="Arial" w:eastAsia="Times New Roman" w:hAnsi="Arial" w:cs="Arial"/>
                <w:sz w:val="20"/>
                <w:szCs w:val="20"/>
              </w:rPr>
              <w:t xml:space="preserve"> se določbe uskladijo s pravom Evropske unije, pri čemer gre za manj zahtevne uskladitve s</w:t>
            </w:r>
            <w:r w:rsidR="003B1F9D">
              <w:rPr>
                <w:rFonts w:ascii="Arial" w:eastAsia="Times New Roman" w:hAnsi="Arial" w:cs="Arial"/>
                <w:sz w:val="20"/>
                <w:szCs w:val="20"/>
              </w:rPr>
              <w:t xml:space="preserve"> pravom Evropske unije, </w:t>
            </w:r>
            <w:r w:rsidR="003B1F9D" w:rsidRPr="003B1F9D">
              <w:rPr>
                <w:rFonts w:ascii="Arial" w:hAnsi="Arial" w:cs="Arial"/>
                <w:iCs/>
                <w:sz w:val="20"/>
                <w:szCs w:val="20"/>
              </w:rPr>
              <w:t>ki morajo biti usklajene v čim krajšem možnem roku.</w:t>
            </w:r>
            <w:r w:rsidR="00024BF7" w:rsidRPr="00024BF7">
              <w:rPr>
                <w:rFonts w:ascii="Arial" w:eastAsia="Times New Roman" w:hAnsi="Arial" w:cs="Arial"/>
                <w:sz w:val="20"/>
                <w:szCs w:val="20"/>
              </w:rPr>
              <w:t xml:space="preserve">  </w:t>
            </w:r>
          </w:p>
          <w:p w:rsidR="003836C6" w:rsidRPr="006F1A24" w:rsidRDefault="003836C6" w:rsidP="003836C6">
            <w:pPr>
              <w:tabs>
                <w:tab w:val="left" w:pos="708"/>
              </w:tabs>
              <w:spacing w:after="0" w:line="260" w:lineRule="exact"/>
              <w:jc w:val="both"/>
              <w:rPr>
                <w:rFonts w:ascii="Arial" w:hAnsi="Arial" w:cs="Arial"/>
                <w:sz w:val="20"/>
                <w:szCs w:val="20"/>
              </w:rPr>
            </w:pPr>
            <w:r w:rsidRPr="006F1A24">
              <w:rPr>
                <w:rFonts w:ascii="Arial" w:hAnsi="Arial" w:cs="Arial"/>
                <w:sz w:val="20"/>
                <w:szCs w:val="20"/>
              </w:rPr>
              <w:t>S tem zakonom se:</w:t>
            </w:r>
          </w:p>
          <w:p w:rsidR="003836C6" w:rsidRPr="006F1A24" w:rsidRDefault="003836C6" w:rsidP="003836C6">
            <w:pPr>
              <w:numPr>
                <w:ilvl w:val="0"/>
                <w:numId w:val="10"/>
              </w:numPr>
              <w:tabs>
                <w:tab w:val="left" w:pos="708"/>
              </w:tabs>
              <w:spacing w:after="0" w:line="260" w:lineRule="exact"/>
              <w:jc w:val="both"/>
              <w:rPr>
                <w:rFonts w:ascii="Arial" w:hAnsi="Arial" w:cs="Arial"/>
                <w:sz w:val="20"/>
                <w:szCs w:val="20"/>
              </w:rPr>
            </w:pPr>
            <w:r w:rsidRPr="006F1A24">
              <w:rPr>
                <w:rFonts w:ascii="Arial" w:hAnsi="Arial" w:cs="Arial"/>
                <w:sz w:val="20"/>
                <w:szCs w:val="20"/>
              </w:rPr>
              <w:t xml:space="preserve"> implementira Sodba Sodišča Evropske unije v zadevi Medisanus, C-296/15 z dne 8. 6. 2017. Sodišče Evropske unije je odločilo, da uporaba pojma "prednostna preskrba" z zdravili iz plazme, pridobljene v Sloveniji ni skladna s pravom EU in se na prednostno porabo zdravil iz slovenske plazme ni dovoljeno sklicevati, kar pomeni, da je potrebno 71. točko 6. člena Zakona o zdravi</w:t>
            </w:r>
            <w:r w:rsidR="006F1A24">
              <w:rPr>
                <w:rFonts w:ascii="Arial" w:hAnsi="Arial" w:cs="Arial"/>
                <w:sz w:val="20"/>
                <w:szCs w:val="20"/>
              </w:rPr>
              <w:t>lih (Uradni list RS, št. 17/14) črtati,</w:t>
            </w:r>
            <w:r w:rsidRPr="006F1A24">
              <w:rPr>
                <w:rFonts w:ascii="Arial" w:hAnsi="Arial" w:cs="Arial"/>
                <w:sz w:val="20"/>
                <w:szCs w:val="20"/>
              </w:rPr>
              <w:t xml:space="preserve"> </w:t>
            </w:r>
          </w:p>
          <w:p w:rsidR="003836C6" w:rsidRPr="006F1A24" w:rsidRDefault="006F1A24" w:rsidP="003836C6">
            <w:pPr>
              <w:numPr>
                <w:ilvl w:val="0"/>
                <w:numId w:val="10"/>
              </w:numPr>
              <w:tabs>
                <w:tab w:val="left" w:pos="708"/>
              </w:tabs>
              <w:spacing w:after="0" w:line="260" w:lineRule="exact"/>
              <w:jc w:val="both"/>
              <w:rPr>
                <w:rFonts w:ascii="Arial" w:hAnsi="Arial" w:cs="Arial"/>
                <w:sz w:val="20"/>
                <w:szCs w:val="20"/>
              </w:rPr>
            </w:pPr>
            <w:r>
              <w:rPr>
                <w:rFonts w:ascii="Arial" w:hAnsi="Arial" w:cs="Arial"/>
                <w:sz w:val="20"/>
                <w:szCs w:val="20"/>
              </w:rPr>
              <w:t xml:space="preserve">določi </w:t>
            </w:r>
            <w:r w:rsidR="003836C6" w:rsidRPr="006F1A24">
              <w:rPr>
                <w:rFonts w:ascii="Arial" w:hAnsi="Arial" w:cs="Arial"/>
                <w:sz w:val="20"/>
                <w:szCs w:val="20"/>
              </w:rPr>
              <w:t xml:space="preserve">natančnejšo opredelitev za biološko zdravilo v postopku za pridobitev dovoljenja za promet z zdravilom za uporabo v humani medicini za namen uskladitve s četrtim odstavkom 10. člena Direktive 2001/83/ES ter natančnejšo opredelitev za biološko zdravilo v postopku za pridobitev dovoljenja za promet z zdravilom za uporabo v veterinarski medicini za namen uskladitve z Direktivo 2001/83/ES ter </w:t>
            </w:r>
          </w:p>
          <w:p w:rsidR="003836C6" w:rsidRPr="006F1A24" w:rsidRDefault="0003715F" w:rsidP="003836C6">
            <w:pPr>
              <w:numPr>
                <w:ilvl w:val="0"/>
                <w:numId w:val="10"/>
              </w:numPr>
              <w:tabs>
                <w:tab w:val="left" w:pos="708"/>
              </w:tabs>
              <w:spacing w:after="0" w:line="260" w:lineRule="exact"/>
              <w:jc w:val="both"/>
              <w:rPr>
                <w:rFonts w:ascii="Arial" w:hAnsi="Arial" w:cs="Arial"/>
                <w:sz w:val="20"/>
                <w:szCs w:val="20"/>
              </w:rPr>
            </w:pPr>
            <w:r>
              <w:rPr>
                <w:rFonts w:ascii="Arial" w:hAnsi="Arial" w:cs="Arial"/>
                <w:sz w:val="20"/>
                <w:szCs w:val="20"/>
              </w:rPr>
              <w:t xml:space="preserve">opredeli </w:t>
            </w:r>
            <w:r w:rsidR="003836C6" w:rsidRPr="006F1A24">
              <w:rPr>
                <w:rFonts w:ascii="Arial" w:hAnsi="Arial" w:cs="Arial"/>
                <w:sz w:val="20"/>
                <w:szCs w:val="20"/>
              </w:rPr>
              <w:t>pojem zaščitnega elementa na zunanji ovojnini zdravila, ki vključuje a) oznako v obliki dvodimenzionalne (2D) črtne kode, ki omogoča identifikacijo posameznega pa</w:t>
            </w:r>
            <w:r>
              <w:rPr>
                <w:rFonts w:ascii="Arial" w:hAnsi="Arial" w:cs="Arial"/>
                <w:sz w:val="20"/>
                <w:szCs w:val="20"/>
              </w:rPr>
              <w:t xml:space="preserve">kiranja zdravila in </w:t>
            </w:r>
            <w:r w:rsidR="003836C6" w:rsidRPr="006F1A24">
              <w:rPr>
                <w:rFonts w:ascii="Arial" w:hAnsi="Arial" w:cs="Arial"/>
                <w:sz w:val="20"/>
                <w:szCs w:val="20"/>
              </w:rPr>
              <w:t>preverjanje njegove avtentičnosti ter b) pripomoček, ki predstavlja zaščito pred poseganjem v zdravilo, s katero se lahko preveri ali se je posegalo v ovojnino zdravila.</w:t>
            </w:r>
          </w:p>
          <w:p w:rsidR="007D45E5" w:rsidRPr="004054C5" w:rsidRDefault="007D45E5" w:rsidP="00E874DC">
            <w:pPr>
              <w:pStyle w:val="Brezrazmikov"/>
              <w:jc w:val="both"/>
              <w:rPr>
                <w:rFonts w:ascii="Arial" w:hAnsi="Arial" w:cs="Arial"/>
                <w:color w:val="7030A0"/>
                <w:sz w:val="20"/>
                <w:szCs w:val="20"/>
              </w:rPr>
            </w:pPr>
          </w:p>
          <w:p w:rsidR="007D45E5" w:rsidRPr="0003715F" w:rsidRDefault="007D45E5" w:rsidP="003836C6">
            <w:pPr>
              <w:spacing w:after="0" w:line="260" w:lineRule="exact"/>
              <w:jc w:val="both"/>
              <w:rPr>
                <w:rFonts w:ascii="Arial" w:eastAsia="Times New Roman" w:hAnsi="Arial" w:cs="Arial"/>
                <w:sz w:val="20"/>
                <w:szCs w:val="20"/>
              </w:rPr>
            </w:pPr>
            <w:r w:rsidRPr="0003715F">
              <w:rPr>
                <w:rFonts w:ascii="Arial" w:eastAsia="Times New Roman" w:hAnsi="Arial" w:cs="Arial"/>
                <w:sz w:val="20"/>
                <w:szCs w:val="20"/>
              </w:rPr>
              <w:t xml:space="preserve">S predlogom zakona se implementira sodba Sodišča EU v zadevi </w:t>
            </w:r>
            <w:r w:rsidR="0003715F" w:rsidRPr="0003715F">
              <w:rPr>
                <w:rFonts w:ascii="Arial" w:eastAsia="Times New Roman" w:hAnsi="Arial" w:cs="Arial"/>
                <w:sz w:val="20"/>
                <w:szCs w:val="20"/>
              </w:rPr>
              <w:t xml:space="preserve">Medisanus </w:t>
            </w:r>
            <w:r w:rsidRPr="0003715F">
              <w:rPr>
                <w:rFonts w:ascii="Arial" w:eastAsia="Times New Roman" w:hAnsi="Arial" w:cs="Arial"/>
                <w:sz w:val="20"/>
                <w:szCs w:val="20"/>
              </w:rPr>
              <w:t xml:space="preserve">C-296/15 proti Splošni bolnišnici Murska Sobota, ki je bila objavljena 8. 6. 2017. </w:t>
            </w:r>
            <w:r w:rsidR="0003715F" w:rsidRPr="0003715F">
              <w:rPr>
                <w:rFonts w:ascii="Arial" w:eastAsia="Times New Roman" w:hAnsi="Arial" w:cs="Arial"/>
                <w:sz w:val="20"/>
                <w:szCs w:val="20"/>
              </w:rPr>
              <w:t>V navedeni sodbi je Sodišče</w:t>
            </w:r>
            <w:r w:rsidRPr="0003715F">
              <w:rPr>
                <w:rFonts w:ascii="Arial" w:eastAsia="Times New Roman" w:hAnsi="Arial" w:cs="Arial"/>
                <w:sz w:val="20"/>
                <w:szCs w:val="20"/>
              </w:rPr>
              <w:t xml:space="preserve"> EU skrbno pregledalo in proučilo vse predpise, ki urejajo področje preskrbe z zdravili iz človeške plazme v Republiki Sloveniji in se glede navedenega v vseb</w:t>
            </w:r>
            <w:r w:rsidR="0003715F" w:rsidRPr="0003715F">
              <w:rPr>
                <w:rFonts w:ascii="Arial" w:eastAsia="Times New Roman" w:hAnsi="Arial" w:cs="Arial"/>
                <w:sz w:val="20"/>
                <w:szCs w:val="20"/>
              </w:rPr>
              <w:t xml:space="preserve">inski presoji tudi opredelilo. </w:t>
            </w:r>
            <w:r w:rsidR="003C4FBA">
              <w:rPr>
                <w:rFonts w:ascii="Arial" w:eastAsia="Times New Roman" w:hAnsi="Arial" w:cs="Arial"/>
                <w:sz w:val="20"/>
                <w:szCs w:val="20"/>
              </w:rPr>
              <w:t>Sodišče EU v zadevi C-296/</w:t>
            </w:r>
            <w:r w:rsidRPr="0003715F">
              <w:rPr>
                <w:rFonts w:ascii="Arial" w:eastAsia="Times New Roman" w:hAnsi="Arial" w:cs="Arial"/>
                <w:sz w:val="20"/>
                <w:szCs w:val="20"/>
              </w:rPr>
              <w:t xml:space="preserve">15 </w:t>
            </w:r>
            <w:r w:rsidR="0003715F" w:rsidRPr="0003715F">
              <w:rPr>
                <w:rFonts w:ascii="Arial" w:eastAsia="Times New Roman" w:hAnsi="Arial" w:cs="Arial"/>
                <w:sz w:val="20"/>
                <w:szCs w:val="20"/>
              </w:rPr>
              <w:t xml:space="preserve">je </w:t>
            </w:r>
            <w:r w:rsidRPr="0003715F">
              <w:rPr>
                <w:rFonts w:ascii="Arial" w:eastAsia="Times New Roman" w:hAnsi="Arial" w:cs="Arial"/>
                <w:sz w:val="20"/>
                <w:szCs w:val="20"/>
              </w:rPr>
              <w:t>odločilo, da je pojem prednostne preskrbe z  zdravili iz plazme, ki je opredeljen v 71. točki 6. člena ZZdr-2 in sklicevanje nanj v postopkih javnega naročanja neskladen s predpisi EU. Vsem ostalim predpisom, ki urejajo področje preskrbe z zdravili iz človeške plazme, Sodišče EU ni oporekalo, kar pomeni, da so skladni s predpisi EU.</w:t>
            </w:r>
            <w:r w:rsidR="0003715F" w:rsidRPr="0003715F">
              <w:rPr>
                <w:rFonts w:ascii="Arial" w:eastAsia="Times New Roman" w:hAnsi="Arial" w:cs="Arial"/>
                <w:sz w:val="20"/>
                <w:szCs w:val="20"/>
              </w:rPr>
              <w:t xml:space="preserve"> </w:t>
            </w:r>
          </w:p>
          <w:p w:rsidR="007D45E5" w:rsidRPr="0003715F" w:rsidRDefault="007D45E5" w:rsidP="00E874DC">
            <w:pPr>
              <w:pStyle w:val="Brezrazmikov"/>
              <w:jc w:val="both"/>
              <w:rPr>
                <w:rFonts w:ascii="Arial" w:hAnsi="Arial" w:cs="Arial"/>
                <w:sz w:val="20"/>
                <w:szCs w:val="20"/>
              </w:rPr>
            </w:pPr>
          </w:p>
          <w:p w:rsidR="007D45E5" w:rsidRPr="0003715F" w:rsidRDefault="007D45E5" w:rsidP="003836C6">
            <w:pPr>
              <w:spacing w:after="0" w:line="260" w:lineRule="exact"/>
              <w:jc w:val="both"/>
              <w:rPr>
                <w:rFonts w:ascii="Arial" w:eastAsia="Times New Roman" w:hAnsi="Arial" w:cs="Arial"/>
                <w:sz w:val="20"/>
                <w:szCs w:val="20"/>
              </w:rPr>
            </w:pPr>
            <w:r w:rsidRPr="0003715F">
              <w:rPr>
                <w:rFonts w:ascii="Arial" w:eastAsia="Times New Roman" w:hAnsi="Arial" w:cs="Arial"/>
                <w:sz w:val="20"/>
                <w:szCs w:val="20"/>
              </w:rPr>
              <w:t xml:space="preserve">Za namen uskladitve s četrtim odstavkom 10. člena Direktive 2001/83/ES, se natančneje opredeli biološko zdravilo v postopku za pridobitev dovoljenja za promet z zdravilom za uporabo v humani medicini ter </w:t>
            </w:r>
            <w:r w:rsidR="0003715F" w:rsidRPr="0003715F">
              <w:rPr>
                <w:rFonts w:ascii="Arial" w:eastAsia="Times New Roman" w:hAnsi="Arial" w:cs="Arial"/>
                <w:sz w:val="20"/>
                <w:szCs w:val="20"/>
              </w:rPr>
              <w:t>biološko zdravilo</w:t>
            </w:r>
            <w:r w:rsidRPr="0003715F">
              <w:rPr>
                <w:rFonts w:ascii="Arial" w:eastAsia="Times New Roman" w:hAnsi="Arial" w:cs="Arial"/>
                <w:sz w:val="20"/>
                <w:szCs w:val="20"/>
              </w:rPr>
              <w:t xml:space="preserve"> v postopku za pridobitev dovoljenja za promet z zdravilom za uporabo v veterinarski medicini. </w:t>
            </w:r>
          </w:p>
          <w:p w:rsidR="007D45E5" w:rsidRPr="0003715F" w:rsidRDefault="007D45E5" w:rsidP="00E874DC">
            <w:pPr>
              <w:tabs>
                <w:tab w:val="left" w:pos="34"/>
              </w:tabs>
              <w:spacing w:after="0" w:line="260" w:lineRule="exact"/>
              <w:ind w:left="34"/>
              <w:jc w:val="both"/>
              <w:rPr>
                <w:rFonts w:ascii="Arial" w:hAnsi="Arial" w:cs="Arial"/>
                <w:sz w:val="20"/>
                <w:szCs w:val="20"/>
              </w:rPr>
            </w:pPr>
          </w:p>
          <w:p w:rsidR="007D45E5" w:rsidRPr="0003715F" w:rsidRDefault="007D45E5" w:rsidP="003836C6">
            <w:pPr>
              <w:spacing w:after="0" w:line="260" w:lineRule="exact"/>
              <w:jc w:val="both"/>
              <w:rPr>
                <w:rFonts w:ascii="Arial" w:eastAsia="Times New Roman" w:hAnsi="Arial" w:cs="Arial"/>
                <w:sz w:val="20"/>
                <w:szCs w:val="20"/>
              </w:rPr>
            </w:pPr>
            <w:r w:rsidRPr="0003715F">
              <w:rPr>
                <w:rFonts w:ascii="Arial" w:eastAsia="Times New Roman" w:hAnsi="Arial" w:cs="Arial"/>
                <w:sz w:val="20"/>
                <w:szCs w:val="20"/>
              </w:rPr>
              <w:t xml:space="preserve">Sprememba ZZdr-2 v delu, ki se nanaša na zaščitna elementa zdravil na ovojnini zdravil za uporabo v humani medicini, je potrebna zaradi uskladitve z Direktivo 2011/62/EU Evropskega parlamenta in sveta z dne 8. 6. 2011 in z Delegirano uredbo (EU) o določitvi podrobnih pravil za zaščitne elemente na ovojnini zdravil za uporabo v humani medicini (v nadaljnjem besedilu: uredba o izvajanju Delegirane uredbe 2016/161/EU. Od 9. februarja 2019 morajo proizvajalci zdravil, ki se izdajajo na zdravniški recept na humana zdravila nameščati zaščitne elemente. Sprememba zakona je nujna </w:t>
            </w:r>
            <w:r w:rsidRPr="0003715F">
              <w:rPr>
                <w:rFonts w:ascii="Arial" w:eastAsia="Times New Roman" w:hAnsi="Arial" w:cs="Arial"/>
                <w:sz w:val="20"/>
                <w:szCs w:val="20"/>
              </w:rPr>
              <w:lastRenderedPageBreak/>
              <w:t>zaradi opredelitve izjem od navedenih obveznosti, predvsem za zdravila, ki so v RS interventno uvožena iz tretjih držav in ne bodo opremljena z zaščitnimi elementi. Obstoječe določbe ZZdr-2, ki se nanašajo na zaščitne elemente, namreč tovrstnih izjem ne predvidevajo, zato bi lahko prišlo do motenj pri preskrbi z interventno uvoženimi zdravili.</w:t>
            </w:r>
          </w:p>
          <w:p w:rsidR="007D45E5" w:rsidRDefault="007D45E5" w:rsidP="00E874DC">
            <w:pPr>
              <w:spacing w:after="0" w:line="240" w:lineRule="auto"/>
              <w:rPr>
                <w:rFonts w:ascii="Arial" w:eastAsia="Times New Roman" w:hAnsi="Arial" w:cs="Arial"/>
                <w:sz w:val="20"/>
                <w:szCs w:val="20"/>
              </w:rPr>
            </w:pPr>
          </w:p>
          <w:p w:rsidR="007D45E5" w:rsidRPr="00C94FA9" w:rsidRDefault="007D45E5" w:rsidP="00E874DC">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lastRenderedPageBreak/>
              <w:t>2. CILJI, NAČELA IN POGLAVITNE REŠITVE PREDLOGA ZAKONA</w:t>
            </w: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2.1 Cilji</w:t>
            </w:r>
          </w:p>
        </w:tc>
      </w:tr>
      <w:tr w:rsidR="007D45E5" w:rsidRPr="00C94FA9" w:rsidTr="003B1F9D">
        <w:tc>
          <w:tcPr>
            <w:tcW w:w="9213" w:type="dxa"/>
          </w:tcPr>
          <w:p w:rsidR="007D45E5" w:rsidRPr="00522AF9" w:rsidRDefault="007D45E5" w:rsidP="00E874DC">
            <w:pPr>
              <w:tabs>
                <w:tab w:val="left" w:pos="34"/>
              </w:tabs>
              <w:spacing w:after="0" w:line="260" w:lineRule="exact"/>
              <w:ind w:left="34"/>
              <w:jc w:val="both"/>
              <w:rPr>
                <w:rFonts w:ascii="Arial" w:eastAsia="Times New Roman" w:hAnsi="Arial" w:cs="Arial"/>
                <w:sz w:val="20"/>
                <w:szCs w:val="20"/>
              </w:rPr>
            </w:pPr>
            <w:r w:rsidRPr="00522AF9">
              <w:rPr>
                <w:rFonts w:ascii="Arial" w:eastAsia="Times New Roman" w:hAnsi="Arial" w:cs="Arial"/>
                <w:iCs/>
                <w:sz w:val="20"/>
                <w:szCs w:val="20"/>
                <w:lang w:eastAsia="sl-SI"/>
              </w:rPr>
              <w:t xml:space="preserve">Cilj predloga zakona je, da se v čim krajšem možnem času implementira sodba Sodišča Evropske unije v zadevi Medisanus, C-296/15 z dne 8. 6. 2017 ter uskladi nacionalni predpis z naslednjimi EU predpisi in sicer z </w:t>
            </w:r>
            <w:r w:rsidRPr="00522AF9">
              <w:rPr>
                <w:rFonts w:ascii="Arial" w:eastAsia="Times New Roman" w:hAnsi="Arial" w:cs="Arial"/>
                <w:sz w:val="20"/>
                <w:szCs w:val="20"/>
              </w:rPr>
              <w:t>Direktivo 2001/83/ES, Direktivo 2011/62/EU in Delegirano uredbo  2016/161/EU.</w:t>
            </w:r>
          </w:p>
          <w:p w:rsidR="007D45E5" w:rsidRPr="00C94FA9" w:rsidRDefault="007D45E5" w:rsidP="00E874DC">
            <w:pPr>
              <w:tabs>
                <w:tab w:val="left" w:pos="34"/>
              </w:tabs>
              <w:spacing w:after="0" w:line="260" w:lineRule="exact"/>
              <w:ind w:left="34"/>
              <w:jc w:val="both"/>
              <w:rPr>
                <w:rFonts w:ascii="Arial" w:eastAsia="Times New Roman" w:hAnsi="Arial" w:cs="Arial"/>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2.2 Načela</w:t>
            </w:r>
          </w:p>
        </w:tc>
      </w:tr>
      <w:tr w:rsidR="007D45E5" w:rsidRPr="00C94FA9" w:rsidTr="003B1F9D">
        <w:tc>
          <w:tcPr>
            <w:tcW w:w="9213" w:type="dxa"/>
          </w:tcPr>
          <w:p w:rsidR="007D45E5" w:rsidRPr="00F37266" w:rsidRDefault="007D45E5" w:rsidP="00024BF7">
            <w:pPr>
              <w:spacing w:after="0" w:line="260" w:lineRule="exact"/>
              <w:jc w:val="both"/>
              <w:rPr>
                <w:rFonts w:ascii="Arial" w:hAnsi="Arial" w:cs="Arial"/>
                <w:sz w:val="20"/>
                <w:szCs w:val="20"/>
              </w:rPr>
            </w:pPr>
            <w:r w:rsidRPr="00F37266">
              <w:rPr>
                <w:rFonts w:ascii="Arial" w:hAnsi="Arial" w:cs="Arial"/>
                <w:sz w:val="20"/>
                <w:szCs w:val="20"/>
              </w:rPr>
              <w:t xml:space="preserve">Temeljno načelo na področju zdravil je varovanje javnega zdravja. Zdravilo v prometu je predmet nadzora in spremljanja skozi celotno obdobje prisotnosti zdravila v prometu z namenom, da se v največji možni meri zagotovi preskrbo s kakovostnimi, varnimi in učinkovitimi zdravili ter prepreči vdor ponarejenih zdravil v legalno distribucijsko verigo. </w:t>
            </w:r>
          </w:p>
          <w:p w:rsidR="00F37266" w:rsidRPr="006514EA" w:rsidRDefault="00F37266" w:rsidP="00E874DC">
            <w:pPr>
              <w:spacing w:after="0" w:line="240" w:lineRule="auto"/>
              <w:jc w:val="both"/>
              <w:rPr>
                <w:rFonts w:ascii="Arial" w:eastAsia="Times New Roman" w:hAnsi="Arial" w:cs="Arial"/>
                <w:color w:val="7030A0"/>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2.3 Poglavitne rešitve</w:t>
            </w:r>
          </w:p>
        </w:tc>
      </w:tr>
      <w:tr w:rsidR="007D45E5" w:rsidRPr="00C94FA9" w:rsidTr="003B1F9D">
        <w:trPr>
          <w:trHeight w:val="434"/>
        </w:trPr>
        <w:tc>
          <w:tcPr>
            <w:tcW w:w="9213" w:type="dxa"/>
          </w:tcPr>
          <w:p w:rsidR="007D45E5" w:rsidRPr="00D85D7F"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85D7F">
              <w:rPr>
                <w:rFonts w:ascii="Arial" w:eastAsia="Times New Roman" w:hAnsi="Arial" w:cs="Arial"/>
                <w:sz w:val="20"/>
                <w:szCs w:val="20"/>
                <w:lang w:eastAsia="sl-SI"/>
              </w:rPr>
              <w:t>S predlaganim zakonom se implementira sodb</w:t>
            </w:r>
            <w:r w:rsidR="00D85D7F">
              <w:rPr>
                <w:rFonts w:ascii="Arial" w:eastAsia="Times New Roman" w:hAnsi="Arial" w:cs="Arial"/>
                <w:sz w:val="20"/>
                <w:szCs w:val="20"/>
                <w:lang w:eastAsia="sl-SI"/>
              </w:rPr>
              <w:t>a</w:t>
            </w:r>
            <w:r w:rsidRPr="00D85D7F">
              <w:rPr>
                <w:rFonts w:ascii="Arial" w:eastAsia="Times New Roman" w:hAnsi="Arial" w:cs="Arial"/>
                <w:sz w:val="20"/>
                <w:szCs w:val="20"/>
                <w:lang w:eastAsia="sl-SI"/>
              </w:rPr>
              <w:t xml:space="preserve"> Sodišča EU v zadevi </w:t>
            </w:r>
            <w:r w:rsidR="00D85D7F" w:rsidRPr="00D85D7F">
              <w:rPr>
                <w:rFonts w:ascii="Arial" w:eastAsia="Times New Roman" w:hAnsi="Arial" w:cs="Arial"/>
                <w:iCs/>
                <w:sz w:val="20"/>
                <w:szCs w:val="20"/>
                <w:lang w:eastAsia="sl-SI"/>
              </w:rPr>
              <w:t>Medisanus</w:t>
            </w:r>
            <w:r w:rsidRPr="00D85D7F">
              <w:rPr>
                <w:rFonts w:ascii="Arial" w:eastAsia="Times New Roman" w:hAnsi="Arial" w:cs="Arial"/>
                <w:sz w:val="20"/>
                <w:szCs w:val="20"/>
                <w:lang w:eastAsia="sl-SI"/>
              </w:rPr>
              <w:t xml:space="preserve"> </w:t>
            </w:r>
            <w:r w:rsidRPr="00D85D7F">
              <w:rPr>
                <w:rFonts w:ascii="Arial" w:eastAsia="Times New Roman" w:hAnsi="Arial" w:cs="Arial"/>
                <w:iCs/>
                <w:sz w:val="20"/>
                <w:szCs w:val="20"/>
                <w:lang w:eastAsia="sl-SI"/>
              </w:rPr>
              <w:t xml:space="preserve">C-296/15 tako, da se 71. točka 6. člena, ki ni skladna s pravom </w:t>
            </w:r>
            <w:r w:rsidRPr="00D85D7F">
              <w:rPr>
                <w:rFonts w:ascii="Arial" w:eastAsia="Times New Roman" w:hAnsi="Arial" w:cs="Arial"/>
                <w:sz w:val="20"/>
                <w:szCs w:val="20"/>
                <w:lang w:eastAsia="sl-SI"/>
              </w:rPr>
              <w:t>Evropske unije</w:t>
            </w:r>
            <w:r w:rsidR="00D85D7F">
              <w:rPr>
                <w:rFonts w:ascii="Arial" w:eastAsia="Times New Roman" w:hAnsi="Arial" w:cs="Arial"/>
                <w:sz w:val="20"/>
                <w:szCs w:val="20"/>
                <w:lang w:eastAsia="sl-SI"/>
              </w:rPr>
              <w:t>, črta</w:t>
            </w:r>
            <w:r w:rsidRPr="00D85D7F">
              <w:rPr>
                <w:rFonts w:ascii="Arial" w:eastAsia="Times New Roman" w:hAnsi="Arial" w:cs="Arial"/>
                <w:sz w:val="20"/>
                <w:szCs w:val="20"/>
                <w:lang w:eastAsia="sl-SI"/>
              </w:rPr>
              <w:t xml:space="preserve"> ter</w:t>
            </w:r>
            <w:r w:rsidR="00024BF7">
              <w:rPr>
                <w:rFonts w:ascii="Arial" w:eastAsia="Times New Roman" w:hAnsi="Arial" w:cs="Arial"/>
                <w:sz w:val="20"/>
                <w:szCs w:val="20"/>
                <w:lang w:eastAsia="sl-SI"/>
              </w:rPr>
              <w:t xml:space="preserve"> uskladi d</w:t>
            </w:r>
            <w:r w:rsidR="00D85D7F">
              <w:rPr>
                <w:rFonts w:ascii="Arial" w:eastAsia="Times New Roman" w:hAnsi="Arial" w:cs="Arial"/>
                <w:sz w:val="20"/>
                <w:szCs w:val="20"/>
                <w:lang w:eastAsia="sl-SI"/>
              </w:rPr>
              <w:t>oločbe zakona</w:t>
            </w:r>
            <w:r w:rsidRPr="00D85D7F">
              <w:rPr>
                <w:rFonts w:ascii="Arial" w:eastAsia="Times New Roman" w:hAnsi="Arial" w:cs="Arial"/>
                <w:sz w:val="20"/>
                <w:szCs w:val="20"/>
                <w:lang w:eastAsia="sl-SI"/>
              </w:rPr>
              <w:t xml:space="preserve"> s pravom Evropske unije tako, da se ustrezno spremeni 104. točka 6. člena zakona, ki opredeljuje zaščitni element zdravila</w:t>
            </w:r>
            <w:r w:rsidR="00024BF7">
              <w:rPr>
                <w:rFonts w:ascii="Arial" w:eastAsia="Times New Roman" w:hAnsi="Arial" w:cs="Arial"/>
                <w:sz w:val="20"/>
                <w:szCs w:val="20"/>
                <w:lang w:eastAsia="sl-SI"/>
              </w:rPr>
              <w:t xml:space="preserve"> ter ostale določbe, vezane na uporabo tega poj</w:t>
            </w:r>
            <w:r w:rsidRPr="00D85D7F">
              <w:rPr>
                <w:rFonts w:ascii="Arial" w:eastAsia="Times New Roman" w:hAnsi="Arial" w:cs="Arial"/>
                <w:sz w:val="20"/>
                <w:szCs w:val="20"/>
                <w:lang w:eastAsia="sl-SI"/>
              </w:rPr>
              <w:t>m</w:t>
            </w:r>
            <w:r w:rsidR="00024BF7">
              <w:rPr>
                <w:rFonts w:ascii="Arial" w:eastAsia="Times New Roman" w:hAnsi="Arial" w:cs="Arial"/>
                <w:sz w:val="20"/>
                <w:szCs w:val="20"/>
                <w:lang w:eastAsia="sl-SI"/>
              </w:rPr>
              <w:t>a na način, da bodo skladne</w:t>
            </w:r>
            <w:r w:rsidRPr="00D85D7F">
              <w:rPr>
                <w:rFonts w:ascii="Arial" w:eastAsia="Times New Roman" w:hAnsi="Arial" w:cs="Arial"/>
                <w:sz w:val="20"/>
                <w:szCs w:val="20"/>
                <w:lang w:eastAsia="sl-SI"/>
              </w:rPr>
              <w:t xml:space="preserve"> z </w:t>
            </w:r>
            <w:r w:rsidRPr="00D85D7F">
              <w:rPr>
                <w:rFonts w:ascii="Arial" w:eastAsia="Times New Roman" w:hAnsi="Arial" w:cs="Arial"/>
                <w:sz w:val="20"/>
                <w:szCs w:val="20"/>
              </w:rPr>
              <w:t>Direktivo 2011/62/EU in Delegirano uredbo  2016/161/EU.</w:t>
            </w:r>
            <w:r w:rsidRPr="00D85D7F">
              <w:rPr>
                <w:rFonts w:ascii="Arial" w:eastAsia="Times New Roman" w:hAnsi="Arial" w:cs="Arial"/>
                <w:sz w:val="20"/>
                <w:szCs w:val="20"/>
                <w:lang w:eastAsia="sl-SI"/>
              </w:rPr>
              <w:t xml:space="preserve"> Ra</w:t>
            </w:r>
            <w:r w:rsidR="00024BF7">
              <w:rPr>
                <w:rFonts w:ascii="Arial" w:eastAsia="Times New Roman" w:hAnsi="Arial" w:cs="Arial"/>
                <w:sz w:val="20"/>
                <w:szCs w:val="20"/>
                <w:lang w:eastAsia="sl-SI"/>
              </w:rPr>
              <w:t>vno tako se uskladi določbi</w:t>
            </w:r>
            <w:r w:rsidRPr="00D85D7F">
              <w:rPr>
                <w:rFonts w:ascii="Arial" w:eastAsia="Times New Roman" w:hAnsi="Arial" w:cs="Arial"/>
                <w:sz w:val="20"/>
                <w:szCs w:val="20"/>
                <w:lang w:eastAsia="sl-SI"/>
              </w:rPr>
              <w:t xml:space="preserve"> zakona</w:t>
            </w:r>
            <w:r w:rsidR="003B1F9D">
              <w:rPr>
                <w:rFonts w:ascii="Arial" w:eastAsia="Times New Roman" w:hAnsi="Arial" w:cs="Arial"/>
                <w:sz w:val="20"/>
                <w:szCs w:val="20"/>
                <w:lang w:eastAsia="sl-SI"/>
              </w:rPr>
              <w:t xml:space="preserve">, ki se nanašata na biološko zdravilo </w:t>
            </w:r>
            <w:r w:rsidR="003B1F9D" w:rsidRPr="0003715F">
              <w:rPr>
                <w:rFonts w:ascii="Arial" w:eastAsia="Times New Roman" w:hAnsi="Arial" w:cs="Arial"/>
                <w:sz w:val="20"/>
                <w:szCs w:val="20"/>
              </w:rPr>
              <w:t>v postopku za pridobitev dovoljenja za promet z zdravilom za uporabo v humani medicini ter biološko zdravilo v postopku za pridobitev dovoljenja za promet z zdravilom za uporabo v veterinarski medicini</w:t>
            </w:r>
            <w:r w:rsidR="003B1F9D">
              <w:rPr>
                <w:rFonts w:ascii="Arial" w:eastAsia="Times New Roman" w:hAnsi="Arial" w:cs="Arial"/>
                <w:sz w:val="20"/>
                <w:szCs w:val="20"/>
              </w:rPr>
              <w:t>,</w:t>
            </w:r>
            <w:r w:rsidRPr="00D85D7F">
              <w:rPr>
                <w:rFonts w:ascii="Arial" w:eastAsia="Times New Roman" w:hAnsi="Arial" w:cs="Arial"/>
                <w:sz w:val="20"/>
                <w:szCs w:val="20"/>
                <w:lang w:eastAsia="sl-SI"/>
              </w:rPr>
              <w:t xml:space="preserve"> z 10. členom </w:t>
            </w:r>
            <w:r w:rsidRPr="00D85D7F">
              <w:rPr>
                <w:rFonts w:ascii="Arial" w:eastAsia="Times New Roman" w:hAnsi="Arial" w:cs="Arial"/>
                <w:sz w:val="20"/>
                <w:szCs w:val="20"/>
              </w:rPr>
              <w:t>Direktive 2001/83/ES</w:t>
            </w:r>
            <w:r w:rsidRPr="00D85D7F">
              <w:rPr>
                <w:rFonts w:ascii="Arial" w:eastAsia="Times New Roman" w:hAnsi="Arial" w:cs="Arial"/>
                <w:sz w:val="20"/>
                <w:szCs w:val="20"/>
                <w:lang w:eastAsia="sl-SI"/>
              </w:rPr>
              <w:t>.</w:t>
            </w:r>
          </w:p>
          <w:p w:rsidR="007D45E5" w:rsidRPr="00C94FA9" w:rsidRDefault="007D45E5" w:rsidP="00E874DC">
            <w:pPr>
              <w:overflowPunct w:val="0"/>
              <w:autoSpaceDE w:val="0"/>
              <w:autoSpaceDN w:val="0"/>
              <w:adjustRightInd w:val="0"/>
              <w:spacing w:after="0" w:line="260" w:lineRule="exact"/>
              <w:jc w:val="both"/>
              <w:textAlignment w:val="baseline"/>
              <w:rPr>
                <w:rFonts w:ascii="Arial" w:eastAsia="Times New Roman" w:hAnsi="Arial"/>
                <w:sz w:val="20"/>
                <w:szCs w:val="20"/>
                <w:lang w:eastAsia="sl-SI"/>
              </w:rPr>
            </w:pPr>
            <w:r w:rsidRPr="00052BA8">
              <w:rPr>
                <w:rFonts w:ascii="Arial" w:eastAsia="Times New Roman" w:hAnsi="Arial" w:cs="Arial"/>
                <w:color w:val="7030A0"/>
                <w:sz w:val="20"/>
                <w:szCs w:val="20"/>
                <w:lang w:eastAsia="sl-SI"/>
              </w:rPr>
              <w:t xml:space="preserve"> </w:t>
            </w: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3. OCENA FINANČNIH POSLEDIC PREDLOGA ZAKONA ZA DRŽAVNI PRORAČUN IN DRUGA JAVNA FINANČNA SREDSTVA</w:t>
            </w:r>
          </w:p>
        </w:tc>
      </w:tr>
      <w:tr w:rsidR="007D45E5" w:rsidRPr="00C94FA9" w:rsidTr="003B1F9D">
        <w:tc>
          <w:tcPr>
            <w:tcW w:w="9213" w:type="dxa"/>
          </w:tcPr>
          <w:p w:rsidR="007D45E5" w:rsidRPr="00D85D7F" w:rsidRDefault="00D85D7F"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Uveljavitev in</w:t>
            </w:r>
            <w:r w:rsidR="007D45E5" w:rsidRPr="00D85D7F">
              <w:rPr>
                <w:rFonts w:ascii="Arial" w:eastAsia="Times New Roman" w:hAnsi="Arial" w:cs="Arial"/>
                <w:sz w:val="20"/>
                <w:szCs w:val="20"/>
                <w:lang w:eastAsia="sl-SI"/>
              </w:rPr>
              <w:t xml:space="preserve"> izvajanje predloga zakona ni</w:t>
            </w:r>
            <w:r>
              <w:rPr>
                <w:rFonts w:ascii="Arial" w:eastAsia="Times New Roman" w:hAnsi="Arial" w:cs="Arial"/>
                <w:sz w:val="20"/>
                <w:szCs w:val="20"/>
                <w:lang w:eastAsia="sl-SI"/>
              </w:rPr>
              <w:t>ma</w:t>
            </w:r>
            <w:r w:rsidR="007D45E5" w:rsidRPr="00D85D7F">
              <w:rPr>
                <w:rFonts w:ascii="Arial" w:eastAsia="Times New Roman" w:hAnsi="Arial" w:cs="Arial"/>
                <w:sz w:val="20"/>
                <w:szCs w:val="20"/>
                <w:lang w:eastAsia="sl-SI"/>
              </w:rPr>
              <w:t xml:space="preserve"> finančnih posledic.</w:t>
            </w:r>
          </w:p>
          <w:p w:rsidR="007D45E5" w:rsidRPr="00C94FA9" w:rsidRDefault="007D45E5" w:rsidP="00E874DC">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7D45E5" w:rsidRPr="00C94FA9" w:rsidTr="003B1F9D">
        <w:tc>
          <w:tcPr>
            <w:tcW w:w="9213" w:type="dxa"/>
          </w:tcPr>
          <w:p w:rsidR="007D45E5" w:rsidRPr="00C94FA9" w:rsidRDefault="007D45E5"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p w:rsidR="007D45E5" w:rsidRPr="00C94FA9" w:rsidRDefault="007D45E5" w:rsidP="00E874DC">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5. PRIKAZ UREDITVE V DRUGIH PRAVNIH SISTEMIH IN PRILAGOJENOSTI PREDLAGANE UREDITVE PRAVU EVROPSKE UNIJE</w:t>
            </w:r>
          </w:p>
        </w:tc>
      </w:tr>
      <w:tr w:rsidR="007D45E5" w:rsidRPr="00C94FA9" w:rsidTr="003B1F9D">
        <w:tc>
          <w:tcPr>
            <w:tcW w:w="9213" w:type="dxa"/>
          </w:tcPr>
          <w:p w:rsidR="007D45E5" w:rsidRPr="00C94FA9" w:rsidRDefault="007D45E5" w:rsidP="003C4F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7D45E5" w:rsidRPr="00C94FA9" w:rsidTr="003B1F9D">
        <w:tc>
          <w:tcPr>
            <w:tcW w:w="9213" w:type="dxa"/>
          </w:tcPr>
          <w:p w:rsidR="007D45E5"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6. PRESOJA POSLEDIC, KI JIH BO IMEL SPREJEM ZAKONA</w:t>
            </w:r>
          </w:p>
          <w:p w:rsidR="003B1F9D" w:rsidRPr="00C94FA9"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 xml:space="preserve">6.1 Presoja administrativnih posledic </w:t>
            </w: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 xml:space="preserve">a) v postopkih oziroma poslovanju javne uprave ali pravosodnih organov: </w:t>
            </w:r>
          </w:p>
        </w:tc>
      </w:tr>
      <w:tr w:rsidR="007D45E5" w:rsidRPr="00C94FA9" w:rsidTr="003B1F9D">
        <w:tc>
          <w:tcPr>
            <w:tcW w:w="9213" w:type="dxa"/>
          </w:tcPr>
          <w:p w:rsidR="007D45E5" w:rsidRPr="003B1F9D"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B1F9D">
              <w:rPr>
                <w:rFonts w:ascii="Arial" w:eastAsia="Times New Roman" w:hAnsi="Arial" w:cs="Arial"/>
                <w:sz w:val="20"/>
                <w:szCs w:val="20"/>
                <w:lang w:eastAsia="sl-SI"/>
              </w:rPr>
              <w:t>Zakon ne bo vplival na imetnike dovoljenj za promet z zdravili, ravno tako ne bo dodatnih nalog za organ, pristojen za zdravila.</w:t>
            </w:r>
          </w:p>
          <w:p w:rsidR="007D45E5" w:rsidRPr="00C94FA9" w:rsidRDefault="007D45E5" w:rsidP="00E874DC">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rsidR="007D45E5" w:rsidRPr="00C94FA9" w:rsidRDefault="007D45E5" w:rsidP="00E874D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94FA9">
              <w:rPr>
                <w:rFonts w:ascii="Arial" w:eastAsia="Times New Roman" w:hAnsi="Arial" w:cs="Arial"/>
                <w:b/>
                <w:sz w:val="20"/>
                <w:szCs w:val="20"/>
                <w:lang w:eastAsia="sl-SI"/>
              </w:rPr>
              <w:t>b) pri obveznostih strank do javne uprave ali pravosodnih organov:</w:t>
            </w:r>
          </w:p>
          <w:p w:rsidR="007D45E5" w:rsidRPr="00C94FA9" w:rsidRDefault="007D45E5"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6.2 Presoja posledic za okolje, vključno s prostorskimi in varstvenimi vidiki, in sicer za:</w:t>
            </w:r>
          </w:p>
        </w:tc>
      </w:tr>
      <w:tr w:rsidR="007D45E5" w:rsidRPr="00C94FA9" w:rsidTr="003B1F9D">
        <w:tc>
          <w:tcPr>
            <w:tcW w:w="9213" w:type="dxa"/>
          </w:tcPr>
          <w:p w:rsidR="007D45E5" w:rsidRPr="00C94FA9" w:rsidRDefault="007D45E5"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rPr>
              <w:t>/</w:t>
            </w: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6.3 Presoja posledic za gospodarstvo, in sicer za:</w:t>
            </w:r>
          </w:p>
        </w:tc>
      </w:tr>
      <w:tr w:rsidR="007D45E5" w:rsidRPr="00C94FA9" w:rsidTr="003B1F9D">
        <w:tc>
          <w:tcPr>
            <w:tcW w:w="9213" w:type="dxa"/>
          </w:tcPr>
          <w:p w:rsidR="007D45E5" w:rsidRPr="00C94FA9" w:rsidRDefault="007D45E5"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lastRenderedPageBreak/>
              <w:t>6.4 Presoja posledic za socialno področje, in sicer za:</w:t>
            </w:r>
          </w:p>
        </w:tc>
      </w:tr>
      <w:tr w:rsidR="007D45E5" w:rsidRPr="00C94FA9" w:rsidTr="003B1F9D">
        <w:tc>
          <w:tcPr>
            <w:tcW w:w="9213" w:type="dxa"/>
          </w:tcPr>
          <w:p w:rsidR="007D45E5" w:rsidRPr="00C94FA9" w:rsidRDefault="007D45E5"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6.5 Presoja posledic za dokumente razvojnega načrtovanja, in sicer za:</w:t>
            </w:r>
          </w:p>
        </w:tc>
      </w:tr>
      <w:tr w:rsidR="007D45E5" w:rsidRPr="00C94FA9" w:rsidTr="003B1F9D">
        <w:tc>
          <w:tcPr>
            <w:tcW w:w="9213" w:type="dxa"/>
          </w:tcPr>
          <w:p w:rsidR="007D45E5" w:rsidRPr="00C94FA9" w:rsidRDefault="007D45E5"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C94FA9">
              <w:rPr>
                <w:rFonts w:ascii="Arial" w:eastAsia="Times New Roman" w:hAnsi="Arial" w:cs="Arial"/>
                <w:b/>
                <w:sz w:val="20"/>
                <w:szCs w:val="20"/>
                <w:lang w:eastAsia="sl-SI"/>
              </w:rPr>
              <w:t>6.6 Presoja posledic za druga področja</w:t>
            </w:r>
          </w:p>
          <w:p w:rsidR="008029C2" w:rsidRPr="00C94FA9" w:rsidRDefault="008029C2" w:rsidP="00E874D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7D45E5" w:rsidRPr="00C94FA9" w:rsidTr="003B1F9D">
        <w:tc>
          <w:tcPr>
            <w:tcW w:w="9213" w:type="dxa"/>
          </w:tcPr>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6.7 Izvajanje sprejetega predpisa:</w:t>
            </w:r>
          </w:p>
        </w:tc>
      </w:tr>
      <w:tr w:rsidR="007D45E5" w:rsidRPr="00C94FA9" w:rsidTr="003B1F9D">
        <w:tc>
          <w:tcPr>
            <w:tcW w:w="9213" w:type="dxa"/>
          </w:tcPr>
          <w:p w:rsidR="007D45E5" w:rsidRPr="00C94FA9" w:rsidRDefault="007D45E5"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7D45E5" w:rsidRPr="00C94FA9" w:rsidTr="003B1F9D">
        <w:tc>
          <w:tcPr>
            <w:tcW w:w="9213" w:type="dxa"/>
          </w:tcPr>
          <w:p w:rsidR="007D45E5" w:rsidRPr="00C94FA9" w:rsidRDefault="007D45E5" w:rsidP="00E874DC">
            <w:pPr>
              <w:numPr>
                <w:ilvl w:val="1"/>
                <w:numId w:val="11"/>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Druge pomembne okoliščine v zvezi z vprašanji, ki jih ureja predlog zakona:</w:t>
            </w:r>
          </w:p>
          <w:p w:rsidR="007D45E5" w:rsidRPr="00C94FA9" w:rsidRDefault="00D85D7F" w:rsidP="00D85D7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7D45E5" w:rsidRPr="00C94FA9">
              <w:rPr>
                <w:rFonts w:ascii="@Arial Unicode MS" w:eastAsia="@Arial Unicode MS" w:hAnsi="Tms Rmn" w:cs="@Arial Unicode MS"/>
                <w:iCs/>
                <w:color w:val="000000"/>
                <w:sz w:val="20"/>
                <w:szCs w:val="20"/>
                <w:lang w:eastAsia="sl-SI"/>
              </w:rPr>
              <w:t xml:space="preserve"> </w:t>
            </w:r>
          </w:p>
          <w:p w:rsidR="007D45E5" w:rsidRPr="00C94FA9" w:rsidRDefault="007D45E5" w:rsidP="00E874DC">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7. Prikaz sodelovanja javnosti pri pripravi predloga zakona:</w:t>
            </w:r>
          </w:p>
          <w:p w:rsidR="007D45E5" w:rsidRPr="00D85D7F" w:rsidRDefault="00D85D7F"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sz w:val="20"/>
                <w:szCs w:val="20"/>
                <w:lang w:eastAsia="sl-SI"/>
              </w:rPr>
              <w:t>/</w:t>
            </w:r>
          </w:p>
          <w:p w:rsidR="007D45E5" w:rsidRPr="00C94FA9" w:rsidRDefault="007D45E5" w:rsidP="00E874D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8. Navedba, kateri predstavniki predlagatelja bodo sodelovali pri delu državnega zbora in delovnih teles</w:t>
            </w:r>
          </w:p>
          <w:p w:rsidR="007D45E5" w:rsidRPr="00C94FA9" w:rsidRDefault="00D85D7F"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7D45E5" w:rsidRPr="00C94FA9" w:rsidTr="003B1F9D">
        <w:tc>
          <w:tcPr>
            <w:tcW w:w="9213" w:type="dxa"/>
          </w:tcPr>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54642" w:rsidRDefault="00954642"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024BF7" w:rsidRDefault="00024BF7"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B1F9D" w:rsidRDefault="003B1F9D"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65A94"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DE4DE1" w:rsidRDefault="00DE4DE1"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C4FBA" w:rsidRDefault="003C4FBA"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C4FBA" w:rsidRDefault="003C4FBA"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54642" w:rsidRPr="00C94FA9" w:rsidRDefault="00954642"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D45E5" w:rsidRPr="00C94FA9" w:rsidTr="003B1F9D">
        <w:tc>
          <w:tcPr>
            <w:tcW w:w="9213" w:type="dxa"/>
          </w:tcPr>
          <w:p w:rsidR="007D45E5"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lastRenderedPageBreak/>
              <w:t>II. BESEDILO ČLENOV</w:t>
            </w:r>
          </w:p>
          <w:p w:rsidR="007D45E5"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D45E5" w:rsidRPr="0094172F"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7030A0"/>
                <w:sz w:val="20"/>
                <w:szCs w:val="20"/>
                <w:lang w:eastAsia="sl-SI"/>
              </w:rPr>
            </w:pPr>
          </w:p>
          <w:p w:rsidR="007D45E5" w:rsidRPr="00954642" w:rsidRDefault="007D45E5" w:rsidP="00E874D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954642">
              <w:rPr>
                <w:rFonts w:ascii="Arial" w:eastAsia="Times New Roman" w:hAnsi="Arial" w:cs="Arial"/>
                <w:b/>
                <w:sz w:val="20"/>
                <w:szCs w:val="20"/>
                <w:lang w:eastAsia="sl-SI"/>
              </w:rPr>
              <w:t xml:space="preserve">Zakon </w:t>
            </w:r>
          </w:p>
          <w:p w:rsidR="007D45E5" w:rsidRPr="00954642" w:rsidRDefault="007D45E5" w:rsidP="00E874D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954642">
              <w:rPr>
                <w:rFonts w:ascii="Arial" w:eastAsia="Times New Roman" w:hAnsi="Arial" w:cs="Arial"/>
                <w:b/>
                <w:sz w:val="20"/>
                <w:szCs w:val="20"/>
                <w:lang w:eastAsia="sl-SI"/>
              </w:rPr>
              <w:t>o spremembah in dopolnitvah Zakona o zdravilih (ZZdr-2)</w:t>
            </w:r>
          </w:p>
          <w:p w:rsidR="007D45E5" w:rsidRPr="00954642"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D45E5" w:rsidRPr="00954642" w:rsidRDefault="007D45E5" w:rsidP="00954642">
            <w:pPr>
              <w:suppressAutoHyphens/>
              <w:overflowPunct w:val="0"/>
              <w:autoSpaceDE w:val="0"/>
              <w:autoSpaceDN w:val="0"/>
              <w:adjustRightInd w:val="0"/>
              <w:spacing w:after="0" w:line="260" w:lineRule="exact"/>
              <w:jc w:val="center"/>
              <w:textAlignment w:val="baseline"/>
              <w:outlineLvl w:val="3"/>
              <w:rPr>
                <w:rFonts w:ascii="Arial" w:eastAsia="Times New Roman" w:hAnsi="Arial" w:cs="Arial"/>
                <w:b/>
                <w:sz w:val="20"/>
                <w:szCs w:val="20"/>
                <w:lang w:eastAsia="sl-SI"/>
              </w:rPr>
            </w:pPr>
          </w:p>
          <w:p w:rsidR="007D45E5" w:rsidRPr="00954642" w:rsidRDefault="007D45E5" w:rsidP="00954642">
            <w:pPr>
              <w:pStyle w:val="Odstavekseznama"/>
              <w:numPr>
                <w:ilvl w:val="0"/>
                <w:numId w:val="2"/>
              </w:numPr>
              <w:contextualSpacing/>
              <w:jc w:val="center"/>
              <w:rPr>
                <w:rFonts w:ascii="Arial" w:hAnsi="Arial" w:cs="Arial"/>
                <w:b/>
                <w:sz w:val="20"/>
                <w:szCs w:val="20"/>
              </w:rPr>
            </w:pPr>
            <w:r w:rsidRPr="00954642">
              <w:rPr>
                <w:rFonts w:ascii="Arial" w:hAnsi="Arial" w:cs="Arial"/>
                <w:b/>
                <w:sz w:val="20"/>
                <w:szCs w:val="20"/>
              </w:rPr>
              <w:t>člen</w:t>
            </w:r>
          </w:p>
          <w:p w:rsidR="007D45E5" w:rsidRPr="00954642" w:rsidRDefault="007D45E5" w:rsidP="00E874DC">
            <w:pPr>
              <w:pStyle w:val="Odstavekseznama"/>
              <w:ind w:left="720"/>
              <w:contextualSpacing/>
              <w:rPr>
                <w:rFonts w:ascii="Arial" w:hAnsi="Arial" w:cs="Arial"/>
                <w:b/>
                <w:sz w:val="20"/>
                <w:szCs w:val="20"/>
              </w:rPr>
            </w:pPr>
          </w:p>
          <w:p w:rsidR="007D45E5" w:rsidRPr="00954642" w:rsidRDefault="007D45E5" w:rsidP="00E874DC">
            <w:pPr>
              <w:jc w:val="both"/>
              <w:rPr>
                <w:rFonts w:ascii="Arial" w:hAnsi="Arial" w:cs="Arial"/>
                <w:sz w:val="20"/>
                <w:szCs w:val="20"/>
              </w:rPr>
            </w:pPr>
            <w:r w:rsidRPr="00954642">
              <w:rPr>
                <w:rFonts w:ascii="Arial" w:hAnsi="Arial" w:cs="Arial"/>
                <w:sz w:val="20"/>
                <w:szCs w:val="20"/>
              </w:rPr>
              <w:t xml:space="preserve">V Zakonu o zdravilih (Uradni list RS, št. 17/14) se v 6. členu 71. točka črta. </w:t>
            </w:r>
          </w:p>
          <w:p w:rsidR="007D45E5" w:rsidRPr="00954642" w:rsidRDefault="00E874DC" w:rsidP="00E874DC">
            <w:pPr>
              <w:jc w:val="both"/>
              <w:rPr>
                <w:rFonts w:ascii="Arial" w:hAnsi="Arial" w:cs="Arial"/>
                <w:sz w:val="20"/>
                <w:szCs w:val="20"/>
              </w:rPr>
            </w:pPr>
            <w:r>
              <w:rPr>
                <w:rFonts w:ascii="Arial" w:hAnsi="Arial" w:cs="Arial"/>
                <w:sz w:val="20"/>
                <w:szCs w:val="20"/>
              </w:rPr>
              <w:t>Dosedanje 72. do 104. točka postanejo 71. do 103</w:t>
            </w:r>
            <w:r w:rsidR="007D45E5" w:rsidRPr="00954642">
              <w:rPr>
                <w:rFonts w:ascii="Arial" w:hAnsi="Arial" w:cs="Arial"/>
                <w:sz w:val="20"/>
                <w:szCs w:val="20"/>
              </w:rPr>
              <w:t>. točka.</w:t>
            </w:r>
          </w:p>
          <w:p w:rsidR="007D45E5" w:rsidRPr="00954642" w:rsidRDefault="007D45E5" w:rsidP="00E874DC">
            <w:pPr>
              <w:jc w:val="both"/>
              <w:rPr>
                <w:rFonts w:ascii="Arial" w:hAnsi="Arial" w:cs="Arial"/>
                <w:sz w:val="20"/>
                <w:szCs w:val="20"/>
              </w:rPr>
            </w:pPr>
            <w:r w:rsidRPr="00954642">
              <w:rPr>
                <w:rFonts w:ascii="Arial" w:hAnsi="Arial" w:cs="Arial"/>
                <w:sz w:val="20"/>
                <w:szCs w:val="20"/>
              </w:rPr>
              <w:t>Dosedanja 104. točka, ki postane 103. točka, se spremeni tako, da se glasi:</w:t>
            </w:r>
          </w:p>
          <w:p w:rsidR="007D45E5" w:rsidRDefault="007D45E5" w:rsidP="00E874DC">
            <w:pPr>
              <w:jc w:val="both"/>
              <w:rPr>
                <w:rFonts w:ascii="Arial" w:hAnsi="Arial" w:cs="Arial"/>
                <w:sz w:val="20"/>
                <w:szCs w:val="20"/>
              </w:rPr>
            </w:pPr>
            <w:r w:rsidRPr="00954642">
              <w:rPr>
                <w:rFonts w:ascii="Arial" w:hAnsi="Arial" w:cs="Arial"/>
                <w:sz w:val="20"/>
                <w:szCs w:val="20"/>
              </w:rPr>
              <w:t>»</w:t>
            </w:r>
            <w:r w:rsidR="00453E93">
              <w:rPr>
                <w:rFonts w:ascii="Arial" w:hAnsi="Arial" w:cs="Arial"/>
                <w:sz w:val="20"/>
                <w:szCs w:val="20"/>
              </w:rPr>
              <w:t xml:space="preserve">103. </w:t>
            </w:r>
            <w:r w:rsidRPr="00954642">
              <w:rPr>
                <w:rFonts w:ascii="Arial" w:hAnsi="Arial" w:cs="Arial"/>
                <w:iCs/>
                <w:sz w:val="20"/>
                <w:szCs w:val="20"/>
                <w:lang w:eastAsia="sl-SI"/>
              </w:rPr>
              <w:t>Zaščitna elementa sta edinstvena oznaka na zunanji ovojnini zdravila za uporabo v humani medicini, ki omogoča identifikacijo posameznega pakiranja zdravila, preverjanje njegove avtentičnosti ter pripomoček, ki predstavlja zaščito pred poseganjem v zdravilo, s katero se lahko preveri ali se je posegalo v ovojnino zdravila.</w:t>
            </w:r>
            <w:r w:rsidRPr="00954642">
              <w:rPr>
                <w:rFonts w:ascii="Arial" w:hAnsi="Arial" w:cs="Arial"/>
                <w:sz w:val="20"/>
                <w:szCs w:val="20"/>
              </w:rPr>
              <w:t>«.</w:t>
            </w:r>
          </w:p>
          <w:p w:rsidR="003C4FBA" w:rsidRDefault="00E874DC" w:rsidP="00E874DC">
            <w:pPr>
              <w:jc w:val="both"/>
              <w:rPr>
                <w:rFonts w:ascii="Arial" w:hAnsi="Arial" w:cs="Arial"/>
                <w:sz w:val="20"/>
                <w:szCs w:val="20"/>
              </w:rPr>
            </w:pPr>
            <w:r>
              <w:rPr>
                <w:rFonts w:ascii="Arial" w:hAnsi="Arial" w:cs="Arial"/>
                <w:sz w:val="20"/>
                <w:szCs w:val="20"/>
              </w:rPr>
              <w:t xml:space="preserve">Dosedanje 105. do 113. točka postanejo 104. do 112. točka. </w:t>
            </w:r>
          </w:p>
          <w:p w:rsidR="00AD5A54" w:rsidRPr="00954642" w:rsidRDefault="00AD5A54" w:rsidP="00E874DC">
            <w:pPr>
              <w:jc w:val="both"/>
              <w:rPr>
                <w:rFonts w:ascii="Arial" w:hAnsi="Arial" w:cs="Arial"/>
                <w:sz w:val="20"/>
                <w:szCs w:val="20"/>
              </w:rPr>
            </w:pPr>
          </w:p>
          <w:p w:rsidR="007D45E5" w:rsidRPr="00954642" w:rsidRDefault="007D45E5" w:rsidP="00E874DC">
            <w:pPr>
              <w:pStyle w:val="Odstavekseznama"/>
              <w:numPr>
                <w:ilvl w:val="0"/>
                <w:numId w:val="2"/>
              </w:numPr>
              <w:contextualSpacing/>
              <w:jc w:val="center"/>
              <w:rPr>
                <w:rFonts w:ascii="Arial" w:hAnsi="Arial" w:cs="Arial"/>
                <w:b/>
                <w:sz w:val="20"/>
                <w:szCs w:val="20"/>
              </w:rPr>
            </w:pPr>
            <w:r w:rsidRPr="00954642">
              <w:rPr>
                <w:rFonts w:ascii="Arial" w:hAnsi="Arial" w:cs="Arial"/>
                <w:b/>
                <w:sz w:val="20"/>
                <w:szCs w:val="20"/>
              </w:rPr>
              <w:t>člen</w:t>
            </w:r>
          </w:p>
          <w:p w:rsidR="007D45E5" w:rsidRPr="00954642" w:rsidRDefault="007D45E5" w:rsidP="00E874DC">
            <w:pPr>
              <w:pStyle w:val="Odstavekseznama"/>
              <w:ind w:left="720"/>
              <w:contextualSpacing/>
              <w:rPr>
                <w:rFonts w:ascii="Arial" w:hAnsi="Arial" w:cs="Arial"/>
                <w:b/>
                <w:sz w:val="20"/>
                <w:szCs w:val="20"/>
              </w:rPr>
            </w:pPr>
          </w:p>
          <w:p w:rsidR="007D45E5" w:rsidRDefault="007D45E5" w:rsidP="00E874DC">
            <w:pPr>
              <w:pStyle w:val="Odstavekseznama"/>
              <w:ind w:left="0"/>
              <w:jc w:val="both"/>
              <w:rPr>
                <w:rFonts w:ascii="Arial" w:hAnsi="Arial" w:cs="Arial"/>
                <w:sz w:val="20"/>
                <w:szCs w:val="20"/>
              </w:rPr>
            </w:pPr>
            <w:r w:rsidRPr="00954642">
              <w:rPr>
                <w:rFonts w:ascii="Arial" w:hAnsi="Arial" w:cs="Arial"/>
                <w:sz w:val="20"/>
                <w:szCs w:val="20"/>
              </w:rPr>
              <w:t>Peti odstavek 27. člena se spremeni tako, da se glasi:</w:t>
            </w:r>
          </w:p>
          <w:p w:rsidR="00954642" w:rsidRPr="00954642" w:rsidRDefault="00954642" w:rsidP="00E874DC">
            <w:pPr>
              <w:pStyle w:val="Odstavekseznama"/>
              <w:ind w:left="0"/>
              <w:jc w:val="both"/>
              <w:rPr>
                <w:rFonts w:ascii="Arial" w:hAnsi="Arial" w:cs="Arial"/>
                <w:sz w:val="20"/>
                <w:szCs w:val="20"/>
              </w:rPr>
            </w:pPr>
          </w:p>
          <w:p w:rsidR="003C4FBA" w:rsidRDefault="007D45E5" w:rsidP="00E874DC">
            <w:pPr>
              <w:jc w:val="both"/>
              <w:rPr>
                <w:rFonts w:ascii="Arial" w:hAnsi="Arial" w:cs="Arial"/>
                <w:sz w:val="20"/>
                <w:szCs w:val="20"/>
              </w:rPr>
            </w:pPr>
            <w:r w:rsidRPr="00954642">
              <w:rPr>
                <w:rFonts w:ascii="Arial" w:hAnsi="Arial" w:cs="Arial"/>
                <w:sz w:val="20"/>
                <w:szCs w:val="20"/>
              </w:rPr>
              <w:t>»(5) Proizvajalec zdravila, ki je odstranil ali prekril zaščitna elementa na zdravilu in ju nadomestil z novima, je odgovoren za škodo, nastalo zaradi ponarejanja, če se ugotovi, da je to naredil na ponarejenem zdravilu.«.</w:t>
            </w:r>
          </w:p>
          <w:p w:rsidR="00AD5A54" w:rsidRPr="00954642" w:rsidRDefault="00AD5A54" w:rsidP="00E874DC">
            <w:pPr>
              <w:jc w:val="both"/>
              <w:rPr>
                <w:rFonts w:ascii="Arial" w:hAnsi="Arial" w:cs="Arial"/>
                <w:sz w:val="20"/>
                <w:szCs w:val="20"/>
              </w:rPr>
            </w:pPr>
          </w:p>
          <w:p w:rsidR="007D45E5" w:rsidRPr="00954642" w:rsidRDefault="007D45E5" w:rsidP="00E874DC">
            <w:pPr>
              <w:pStyle w:val="Odstavekseznama"/>
              <w:numPr>
                <w:ilvl w:val="0"/>
                <w:numId w:val="2"/>
              </w:numPr>
              <w:contextualSpacing/>
              <w:jc w:val="center"/>
              <w:rPr>
                <w:rFonts w:ascii="Arial" w:hAnsi="Arial" w:cs="Arial"/>
                <w:b/>
                <w:sz w:val="20"/>
                <w:szCs w:val="20"/>
              </w:rPr>
            </w:pPr>
            <w:r w:rsidRPr="00954642">
              <w:rPr>
                <w:rFonts w:ascii="Arial" w:hAnsi="Arial" w:cs="Arial"/>
                <w:b/>
                <w:sz w:val="20"/>
                <w:szCs w:val="20"/>
              </w:rPr>
              <w:t>člen</w:t>
            </w:r>
          </w:p>
          <w:p w:rsidR="007D45E5" w:rsidRPr="00954642" w:rsidRDefault="007D45E5" w:rsidP="00E874DC">
            <w:pPr>
              <w:pStyle w:val="Odstavekseznama"/>
              <w:ind w:left="720"/>
              <w:contextualSpacing/>
              <w:rPr>
                <w:rFonts w:ascii="Arial" w:hAnsi="Arial" w:cs="Arial"/>
                <w:b/>
                <w:sz w:val="20"/>
                <w:szCs w:val="20"/>
              </w:rPr>
            </w:pPr>
          </w:p>
          <w:p w:rsidR="007D45E5" w:rsidRPr="00954642" w:rsidRDefault="007D45E5" w:rsidP="00E874DC">
            <w:pPr>
              <w:jc w:val="both"/>
              <w:rPr>
                <w:rFonts w:ascii="Arial" w:hAnsi="Arial" w:cs="Arial"/>
                <w:sz w:val="20"/>
                <w:szCs w:val="20"/>
              </w:rPr>
            </w:pPr>
            <w:r w:rsidRPr="00954642">
              <w:rPr>
                <w:rFonts w:ascii="Arial" w:hAnsi="Arial" w:cs="Arial"/>
                <w:sz w:val="20"/>
                <w:szCs w:val="20"/>
              </w:rPr>
              <w:t>Za šestim odstavkom 45. člena se doda nov sedmi odstavek, ki se glasi:</w:t>
            </w:r>
          </w:p>
          <w:p w:rsidR="003C4FBA" w:rsidRPr="00954642" w:rsidRDefault="007D45E5" w:rsidP="00E874DC">
            <w:pPr>
              <w:jc w:val="both"/>
              <w:rPr>
                <w:rFonts w:ascii="Arial" w:hAnsi="Arial" w:cs="Arial"/>
                <w:sz w:val="20"/>
                <w:szCs w:val="20"/>
              </w:rPr>
            </w:pPr>
            <w:r w:rsidRPr="00954642">
              <w:rPr>
                <w:rFonts w:ascii="Arial" w:hAnsi="Arial" w:cs="Arial"/>
                <w:sz w:val="20"/>
                <w:szCs w:val="20"/>
              </w:rPr>
              <w:t>»(7) Če biološko zdravilo, ki je podobno referenčnemu biološkemu zdravilu, ne ustreza opredelitvi generičnega zdravila zaradi razlik, zlasti tistih, ki zadevajo vhodne snovi ali postopek proizvodnje v primerjavi z biološkim referenčnim zdravilom, je treba predložiti rezultate ustreznih nekliničnih farmakološko-toksikoloških ali kliničnih študij, ki se nanašajo na navedene razlike.«.</w:t>
            </w:r>
          </w:p>
          <w:p w:rsidR="007D45E5" w:rsidRDefault="007D45E5" w:rsidP="00E874DC">
            <w:pPr>
              <w:jc w:val="both"/>
              <w:rPr>
                <w:rFonts w:ascii="Arial" w:hAnsi="Arial" w:cs="Arial"/>
                <w:sz w:val="20"/>
                <w:szCs w:val="20"/>
              </w:rPr>
            </w:pPr>
            <w:r w:rsidRPr="00954642">
              <w:rPr>
                <w:rFonts w:ascii="Arial" w:hAnsi="Arial" w:cs="Arial"/>
                <w:sz w:val="20"/>
                <w:szCs w:val="20"/>
              </w:rPr>
              <w:t>Dosedanji sedmi, osmi in deveti odstavek postanejo osmi, deveti in deseti odstavek.</w:t>
            </w:r>
          </w:p>
          <w:p w:rsidR="00AD5A54" w:rsidRPr="00954642" w:rsidRDefault="00AD5A54" w:rsidP="00E874DC">
            <w:pPr>
              <w:jc w:val="both"/>
              <w:rPr>
                <w:rFonts w:ascii="Arial" w:hAnsi="Arial" w:cs="Arial"/>
                <w:sz w:val="20"/>
                <w:szCs w:val="20"/>
              </w:rPr>
            </w:pPr>
          </w:p>
          <w:p w:rsidR="007D45E5" w:rsidRPr="00954642" w:rsidRDefault="007D45E5" w:rsidP="00954642">
            <w:pPr>
              <w:pStyle w:val="Odstavekseznama"/>
              <w:numPr>
                <w:ilvl w:val="0"/>
                <w:numId w:val="2"/>
              </w:numPr>
              <w:contextualSpacing/>
              <w:jc w:val="center"/>
              <w:rPr>
                <w:rFonts w:ascii="Arial" w:hAnsi="Arial" w:cs="Arial"/>
                <w:b/>
                <w:sz w:val="20"/>
                <w:szCs w:val="20"/>
              </w:rPr>
            </w:pPr>
            <w:r w:rsidRPr="00954642">
              <w:rPr>
                <w:rFonts w:ascii="Arial" w:hAnsi="Arial" w:cs="Arial"/>
                <w:b/>
                <w:sz w:val="20"/>
                <w:szCs w:val="20"/>
              </w:rPr>
              <w:t>člen</w:t>
            </w:r>
          </w:p>
          <w:p w:rsidR="007D45E5" w:rsidRPr="00954642" w:rsidRDefault="007D45E5" w:rsidP="00E874DC">
            <w:pPr>
              <w:pStyle w:val="Odstavekseznama"/>
              <w:ind w:left="1080"/>
              <w:contextualSpacing/>
              <w:rPr>
                <w:rFonts w:ascii="Arial" w:hAnsi="Arial" w:cs="Arial"/>
                <w:b/>
                <w:sz w:val="20"/>
                <w:szCs w:val="20"/>
              </w:rPr>
            </w:pPr>
          </w:p>
          <w:p w:rsidR="007D45E5" w:rsidRPr="00954642" w:rsidRDefault="007D45E5" w:rsidP="00E874DC">
            <w:pPr>
              <w:jc w:val="both"/>
              <w:rPr>
                <w:rFonts w:ascii="Arial" w:hAnsi="Arial" w:cs="Arial"/>
                <w:sz w:val="20"/>
                <w:szCs w:val="20"/>
              </w:rPr>
            </w:pPr>
            <w:r w:rsidRPr="00954642">
              <w:rPr>
                <w:rFonts w:ascii="Arial" w:hAnsi="Arial" w:cs="Arial"/>
                <w:sz w:val="20"/>
                <w:szCs w:val="20"/>
              </w:rPr>
              <w:t>Za devetim odstavkom 46. člena se doda nov deseti odstavek, ki se glasi:</w:t>
            </w:r>
          </w:p>
          <w:p w:rsidR="007D45E5" w:rsidRPr="00954642" w:rsidRDefault="007D45E5" w:rsidP="00E874DC">
            <w:pPr>
              <w:tabs>
                <w:tab w:val="left" w:pos="6521"/>
              </w:tabs>
              <w:jc w:val="both"/>
              <w:rPr>
                <w:rFonts w:ascii="Arial" w:hAnsi="Arial" w:cs="Arial"/>
                <w:sz w:val="20"/>
                <w:szCs w:val="20"/>
              </w:rPr>
            </w:pPr>
            <w:r w:rsidRPr="00954642">
              <w:rPr>
                <w:rFonts w:ascii="Arial" w:hAnsi="Arial" w:cs="Arial"/>
                <w:sz w:val="20"/>
                <w:szCs w:val="20"/>
              </w:rPr>
              <w:t>»(10) Če biološko zdravilo, ki je podobno referenčnemu biološkemu zdravilu, ne ustreza opredelitvi generičnega zdravila zaradi razlik, zlasti tistih, ki zadevajo vhodne snovi ali postopek proizvodnje v primerjavi z biološkim referenčnim zdravilom, je treba predložiti rezultate ustreznih nekliničnih farmakološko-toksikoloških ali kliničnih študij, ki se nanašajo na navedene razlike.«.</w:t>
            </w:r>
          </w:p>
          <w:p w:rsidR="00AD5A54" w:rsidRPr="00954642" w:rsidRDefault="007D45E5" w:rsidP="00E874DC">
            <w:pPr>
              <w:jc w:val="both"/>
              <w:rPr>
                <w:rFonts w:ascii="Arial" w:hAnsi="Arial" w:cs="Arial"/>
                <w:sz w:val="20"/>
                <w:szCs w:val="20"/>
              </w:rPr>
            </w:pPr>
            <w:r w:rsidRPr="00954642">
              <w:rPr>
                <w:rFonts w:ascii="Arial" w:hAnsi="Arial" w:cs="Arial"/>
                <w:sz w:val="20"/>
                <w:szCs w:val="20"/>
              </w:rPr>
              <w:t>Dosedanji deseti in enajsti odstavek postaneta enajsti in dvanajsti odstavek.</w:t>
            </w:r>
          </w:p>
          <w:p w:rsidR="007D45E5" w:rsidRPr="00954642" w:rsidRDefault="007D45E5" w:rsidP="00954642">
            <w:pPr>
              <w:pStyle w:val="Odstavekseznama"/>
              <w:numPr>
                <w:ilvl w:val="0"/>
                <w:numId w:val="2"/>
              </w:numPr>
              <w:contextualSpacing/>
              <w:jc w:val="center"/>
              <w:rPr>
                <w:rFonts w:ascii="Arial" w:hAnsi="Arial" w:cs="Arial"/>
                <w:b/>
                <w:sz w:val="20"/>
                <w:szCs w:val="20"/>
              </w:rPr>
            </w:pPr>
            <w:r w:rsidRPr="00954642">
              <w:rPr>
                <w:rFonts w:ascii="Arial" w:hAnsi="Arial" w:cs="Arial"/>
                <w:b/>
                <w:sz w:val="20"/>
                <w:szCs w:val="20"/>
              </w:rPr>
              <w:lastRenderedPageBreak/>
              <w:t>člen</w:t>
            </w:r>
          </w:p>
          <w:p w:rsidR="007D45E5" w:rsidRPr="00954642" w:rsidRDefault="007D45E5" w:rsidP="00E874DC">
            <w:pPr>
              <w:pStyle w:val="Odstavekseznama"/>
              <w:ind w:left="1440"/>
              <w:contextualSpacing/>
              <w:rPr>
                <w:rFonts w:ascii="Arial" w:hAnsi="Arial" w:cs="Arial"/>
                <w:b/>
                <w:sz w:val="20"/>
                <w:szCs w:val="20"/>
              </w:rPr>
            </w:pPr>
          </w:p>
          <w:p w:rsidR="007D45E5" w:rsidRPr="00954642" w:rsidRDefault="007D45E5" w:rsidP="00E874DC">
            <w:pPr>
              <w:jc w:val="both"/>
              <w:rPr>
                <w:rFonts w:ascii="Arial" w:hAnsi="Arial" w:cs="Arial"/>
                <w:sz w:val="20"/>
                <w:szCs w:val="20"/>
              </w:rPr>
            </w:pPr>
            <w:r w:rsidRPr="00954642">
              <w:rPr>
                <w:rFonts w:ascii="Arial" w:hAnsi="Arial" w:cs="Arial"/>
                <w:sz w:val="20"/>
                <w:szCs w:val="20"/>
              </w:rPr>
              <w:t>88. člen se spremeni tako, da se glasi:</w:t>
            </w:r>
          </w:p>
          <w:p w:rsidR="007D45E5" w:rsidRPr="00954642" w:rsidRDefault="007D45E5" w:rsidP="00E874DC">
            <w:pPr>
              <w:spacing w:after="0" w:line="260" w:lineRule="exact"/>
              <w:jc w:val="center"/>
              <w:rPr>
                <w:rFonts w:ascii="Arial" w:hAnsi="Arial" w:cs="Arial"/>
                <w:b/>
                <w:sz w:val="20"/>
                <w:szCs w:val="20"/>
              </w:rPr>
            </w:pPr>
            <w:r w:rsidRPr="003836C6">
              <w:rPr>
                <w:rFonts w:ascii="Arial" w:hAnsi="Arial" w:cs="Arial"/>
                <w:sz w:val="20"/>
                <w:szCs w:val="20"/>
              </w:rPr>
              <w:t>»</w:t>
            </w:r>
            <w:r w:rsidRPr="00954642">
              <w:rPr>
                <w:rFonts w:ascii="Arial" w:hAnsi="Arial" w:cs="Arial"/>
                <w:b/>
                <w:sz w:val="20"/>
                <w:szCs w:val="20"/>
              </w:rPr>
              <w:t>88. člen</w:t>
            </w:r>
          </w:p>
          <w:p w:rsidR="007D45E5" w:rsidRPr="00954642" w:rsidRDefault="007D45E5" w:rsidP="00E874DC">
            <w:pPr>
              <w:spacing w:after="0" w:line="260" w:lineRule="exact"/>
              <w:jc w:val="center"/>
              <w:rPr>
                <w:rFonts w:ascii="Arial" w:hAnsi="Arial" w:cs="Arial"/>
                <w:b/>
                <w:sz w:val="20"/>
                <w:szCs w:val="20"/>
              </w:rPr>
            </w:pPr>
            <w:r w:rsidRPr="00954642">
              <w:rPr>
                <w:rFonts w:ascii="Arial" w:hAnsi="Arial" w:cs="Arial"/>
                <w:b/>
                <w:sz w:val="20"/>
                <w:szCs w:val="20"/>
              </w:rPr>
              <w:t>(zaščitna elementa)</w:t>
            </w:r>
          </w:p>
          <w:p w:rsidR="007D45E5" w:rsidRPr="00954642" w:rsidRDefault="007D45E5" w:rsidP="00E874DC">
            <w:pPr>
              <w:spacing w:after="0" w:line="260" w:lineRule="exact"/>
              <w:jc w:val="center"/>
              <w:rPr>
                <w:rFonts w:ascii="Arial" w:hAnsi="Arial" w:cs="Arial"/>
                <w:b/>
                <w:sz w:val="20"/>
                <w:szCs w:val="20"/>
              </w:rPr>
            </w:pPr>
          </w:p>
          <w:p w:rsidR="007D45E5" w:rsidRPr="00954642" w:rsidRDefault="00954642" w:rsidP="00E874DC">
            <w:pPr>
              <w:jc w:val="both"/>
              <w:rPr>
                <w:rFonts w:ascii="Arial" w:hAnsi="Arial" w:cs="Arial"/>
                <w:sz w:val="20"/>
                <w:szCs w:val="20"/>
              </w:rPr>
            </w:pPr>
            <w:r>
              <w:rPr>
                <w:rFonts w:ascii="Arial" w:hAnsi="Arial" w:cs="Arial"/>
                <w:sz w:val="20"/>
                <w:szCs w:val="20"/>
              </w:rPr>
              <w:t>(</w:t>
            </w:r>
            <w:r w:rsidR="007D45E5" w:rsidRPr="00954642">
              <w:rPr>
                <w:rFonts w:ascii="Arial" w:hAnsi="Arial" w:cs="Arial"/>
                <w:sz w:val="20"/>
                <w:szCs w:val="20"/>
              </w:rPr>
              <w:t xml:space="preserve">1) Poleg obveznosti iz prejšnjega člena proizvajalec zdravil za uporabo v humani medicini pritrdi zaščitna elementa na zdravila, za izdajo katerih </w:t>
            </w:r>
            <w:bookmarkStart w:id="0" w:name="_Hlk529278015"/>
            <w:r w:rsidR="007D45E5" w:rsidRPr="00954642">
              <w:rPr>
                <w:rFonts w:ascii="Arial" w:hAnsi="Arial" w:cs="Arial"/>
                <w:sz w:val="20"/>
                <w:szCs w:val="20"/>
              </w:rPr>
              <w:t>je potreben zdravniški recept, z izjemo tistih, ki so bila uvrščena na seznam, ki ga objavi Evropska komisija in morajo biti v prometu brez zaščitnih elementov</w:t>
            </w:r>
            <w:bookmarkEnd w:id="0"/>
            <w:r w:rsidR="007D45E5" w:rsidRPr="00954642">
              <w:rPr>
                <w:rFonts w:ascii="Arial" w:hAnsi="Arial" w:cs="Arial"/>
                <w:sz w:val="20"/>
                <w:szCs w:val="20"/>
              </w:rPr>
              <w:t xml:space="preserve">, ter na </w:t>
            </w:r>
            <w:bookmarkStart w:id="1" w:name="_Hlk529348388"/>
            <w:r w:rsidR="007D45E5" w:rsidRPr="00954642">
              <w:rPr>
                <w:rFonts w:ascii="Arial" w:hAnsi="Arial" w:cs="Arial"/>
                <w:sz w:val="20"/>
                <w:szCs w:val="20"/>
              </w:rPr>
              <w:t>zdravila, za izdajo katerih ni potreben zdravniški recept in jih Evropska komisija opredeli kot tista, za katera se zaščitna elementa zahtevajo.</w:t>
            </w:r>
            <w:bookmarkEnd w:id="1"/>
          </w:p>
          <w:p w:rsidR="007D45E5" w:rsidRPr="00954642" w:rsidRDefault="007D45E5" w:rsidP="00E874DC">
            <w:pPr>
              <w:jc w:val="both"/>
              <w:rPr>
                <w:rFonts w:ascii="Arial" w:hAnsi="Arial" w:cs="Arial"/>
                <w:sz w:val="20"/>
                <w:szCs w:val="20"/>
              </w:rPr>
            </w:pPr>
            <w:r w:rsidRPr="00954642">
              <w:rPr>
                <w:rFonts w:ascii="Arial" w:hAnsi="Arial" w:cs="Arial"/>
                <w:sz w:val="20"/>
                <w:szCs w:val="20"/>
              </w:rPr>
              <w:t>(2) Zdravila, ki se da</w:t>
            </w:r>
            <w:r w:rsidR="00954642">
              <w:rPr>
                <w:rFonts w:ascii="Arial" w:hAnsi="Arial" w:cs="Arial"/>
                <w:sz w:val="20"/>
                <w:szCs w:val="20"/>
              </w:rPr>
              <w:t xml:space="preserve">jejo v promet na podlagi prve, </w:t>
            </w:r>
            <w:r w:rsidRPr="00954642">
              <w:rPr>
                <w:rFonts w:ascii="Arial" w:hAnsi="Arial" w:cs="Arial"/>
                <w:sz w:val="20"/>
                <w:szCs w:val="20"/>
              </w:rPr>
              <w:t>druge, četrte ali pete alineje tretjega odstavka 20. člena tega zakona so lahko v prometu brez zaščitnih elementov.</w:t>
            </w:r>
          </w:p>
          <w:p w:rsidR="007D45E5" w:rsidRPr="00954642" w:rsidRDefault="007D45E5" w:rsidP="00E874DC">
            <w:pPr>
              <w:jc w:val="both"/>
              <w:rPr>
                <w:rFonts w:ascii="Arial" w:hAnsi="Arial" w:cs="Arial"/>
                <w:sz w:val="20"/>
                <w:szCs w:val="20"/>
              </w:rPr>
            </w:pPr>
            <w:r w:rsidRPr="00954642">
              <w:rPr>
                <w:rFonts w:ascii="Arial" w:hAnsi="Arial" w:cs="Arial"/>
                <w:sz w:val="20"/>
                <w:szCs w:val="20"/>
              </w:rPr>
              <w:t>(3) Radiofarmacevtski izdelki in zdravila, za izdajo katerih ni potreben zdravniški recept, razen zdravil, ki jih Evropska komisija opredeli kot tista, za katera se zaščitna elementa zahtevajo, ne smejo imeti nameščenih zaščitnih elementov.</w:t>
            </w:r>
          </w:p>
          <w:p w:rsidR="007D45E5" w:rsidRPr="00954642" w:rsidRDefault="007D45E5" w:rsidP="00E874DC">
            <w:pPr>
              <w:jc w:val="both"/>
              <w:rPr>
                <w:rFonts w:ascii="Arial" w:hAnsi="Arial" w:cs="Arial"/>
                <w:sz w:val="20"/>
                <w:szCs w:val="20"/>
              </w:rPr>
            </w:pPr>
            <w:r w:rsidRPr="00954642">
              <w:rPr>
                <w:rFonts w:ascii="Arial" w:hAnsi="Arial" w:cs="Arial"/>
                <w:sz w:val="20"/>
                <w:szCs w:val="20"/>
              </w:rPr>
              <w:t>(4) Ne glede na prejšnji odstavek, lahko proizvajalec zdravil na vsa zdravila namesti pripomoček za zaščito pred poseganjem v zdravilo.</w:t>
            </w:r>
          </w:p>
          <w:p w:rsidR="007D45E5" w:rsidRPr="00954642" w:rsidRDefault="007D45E5" w:rsidP="00E874DC">
            <w:pPr>
              <w:spacing w:after="0" w:line="260" w:lineRule="exact"/>
              <w:jc w:val="both"/>
              <w:rPr>
                <w:rFonts w:ascii="Arial" w:hAnsi="Arial" w:cs="Arial"/>
                <w:sz w:val="20"/>
                <w:szCs w:val="20"/>
              </w:rPr>
            </w:pPr>
            <w:r w:rsidRPr="00954642">
              <w:rPr>
                <w:rFonts w:ascii="Arial" w:hAnsi="Arial" w:cs="Arial"/>
                <w:sz w:val="20"/>
                <w:szCs w:val="20"/>
              </w:rPr>
              <w:t>(5) Zaščitna elementa na zdravilu lahko imetnik dovoljenja za proizvodnjo zdravil delno ali popolnoma odstrani ali prekrije, če:</w:t>
            </w:r>
          </w:p>
          <w:p w:rsidR="007D45E5" w:rsidRPr="00954642" w:rsidRDefault="007D45E5" w:rsidP="00E874DC">
            <w:pPr>
              <w:pStyle w:val="Odstavekseznama"/>
              <w:numPr>
                <w:ilvl w:val="0"/>
                <w:numId w:val="7"/>
              </w:numPr>
              <w:spacing w:line="260" w:lineRule="exact"/>
              <w:ind w:left="714" w:hanging="357"/>
              <w:contextualSpacing/>
              <w:jc w:val="both"/>
              <w:rPr>
                <w:rFonts w:ascii="Arial" w:hAnsi="Arial" w:cs="Arial"/>
                <w:sz w:val="20"/>
                <w:szCs w:val="20"/>
              </w:rPr>
            </w:pPr>
            <w:r w:rsidRPr="00954642">
              <w:rPr>
                <w:rFonts w:ascii="Arial" w:hAnsi="Arial" w:cs="Arial"/>
                <w:sz w:val="20"/>
                <w:szCs w:val="20"/>
              </w:rPr>
              <w:t>je pred tem ugotovil avtentičnost zdravila in ugotovil, da ni bilo posega v ovojnino;</w:t>
            </w:r>
          </w:p>
          <w:p w:rsidR="007D45E5" w:rsidRPr="00954642" w:rsidRDefault="007D45E5" w:rsidP="00E874DC">
            <w:pPr>
              <w:pStyle w:val="Odstavekseznama"/>
              <w:numPr>
                <w:ilvl w:val="0"/>
                <w:numId w:val="7"/>
              </w:numPr>
              <w:spacing w:line="260" w:lineRule="exact"/>
              <w:ind w:left="714" w:hanging="357"/>
              <w:contextualSpacing/>
              <w:jc w:val="both"/>
              <w:rPr>
                <w:rFonts w:ascii="Arial" w:hAnsi="Arial" w:cs="Arial"/>
                <w:sz w:val="20"/>
                <w:szCs w:val="20"/>
              </w:rPr>
            </w:pPr>
            <w:r w:rsidRPr="00954642">
              <w:rPr>
                <w:rFonts w:ascii="Arial" w:hAnsi="Arial" w:cs="Arial"/>
                <w:sz w:val="20"/>
                <w:szCs w:val="20"/>
              </w:rPr>
              <w:t xml:space="preserve">odstranjene ali prekrite zaščitne elemente nadomesti z novimi, ki so enakovredni glede možnosti preverjanja avtentičnosti, identifikacije in </w:t>
            </w:r>
            <w:proofErr w:type="spellStart"/>
            <w:r w:rsidRPr="00954642">
              <w:rPr>
                <w:rFonts w:ascii="Arial" w:hAnsi="Arial" w:cs="Arial"/>
                <w:sz w:val="20"/>
                <w:szCs w:val="20"/>
              </w:rPr>
              <w:t>intaktnosti</w:t>
            </w:r>
            <w:proofErr w:type="spellEnd"/>
            <w:r w:rsidRPr="00954642">
              <w:rPr>
                <w:rFonts w:ascii="Arial" w:hAnsi="Arial" w:cs="Arial"/>
                <w:sz w:val="20"/>
                <w:szCs w:val="20"/>
              </w:rPr>
              <w:t>. Nadomestitev izvede brez odpiranja stične ovojnine;</w:t>
            </w:r>
          </w:p>
          <w:p w:rsidR="007D45E5" w:rsidRPr="00954642" w:rsidRDefault="007D45E5" w:rsidP="00E874DC">
            <w:pPr>
              <w:pStyle w:val="Odstavekseznama"/>
              <w:numPr>
                <w:ilvl w:val="0"/>
                <w:numId w:val="7"/>
              </w:numPr>
              <w:spacing w:line="260" w:lineRule="exact"/>
              <w:ind w:left="714" w:hanging="357"/>
              <w:contextualSpacing/>
              <w:jc w:val="both"/>
              <w:rPr>
                <w:rFonts w:ascii="Arial" w:hAnsi="Arial" w:cs="Arial"/>
                <w:sz w:val="20"/>
                <w:szCs w:val="20"/>
              </w:rPr>
            </w:pPr>
            <w:r w:rsidRPr="00954642">
              <w:rPr>
                <w:rFonts w:ascii="Arial" w:hAnsi="Arial" w:cs="Arial"/>
                <w:sz w:val="20"/>
                <w:szCs w:val="20"/>
              </w:rPr>
              <w:t>nadomestitev zaščitnih elementov izvede v skladu z dobro proizvodno prakso za zdravila.</w:t>
            </w:r>
          </w:p>
          <w:p w:rsidR="007D45E5" w:rsidRPr="00954642" w:rsidRDefault="007D45E5" w:rsidP="00E874DC">
            <w:pPr>
              <w:pStyle w:val="Odstavekseznama"/>
              <w:spacing w:line="260" w:lineRule="exact"/>
              <w:ind w:left="714"/>
              <w:contextualSpacing/>
              <w:jc w:val="both"/>
              <w:rPr>
                <w:rFonts w:ascii="Arial" w:hAnsi="Arial" w:cs="Arial"/>
                <w:sz w:val="20"/>
                <w:szCs w:val="20"/>
              </w:rPr>
            </w:pPr>
          </w:p>
          <w:p w:rsidR="007D45E5" w:rsidRPr="00954642" w:rsidRDefault="007D45E5" w:rsidP="00E874DC">
            <w:pPr>
              <w:jc w:val="both"/>
              <w:rPr>
                <w:rFonts w:ascii="Arial" w:hAnsi="Arial" w:cs="Arial"/>
                <w:sz w:val="20"/>
                <w:szCs w:val="20"/>
              </w:rPr>
            </w:pPr>
            <w:r w:rsidRPr="00954642">
              <w:rPr>
                <w:rFonts w:ascii="Arial" w:hAnsi="Arial" w:cs="Arial"/>
                <w:sz w:val="20"/>
                <w:szCs w:val="20"/>
              </w:rPr>
              <w:t>(6) Značilnosti in specifikacije zaščitnih elementov določi Evropska komisija.</w:t>
            </w:r>
          </w:p>
          <w:p w:rsidR="007D45E5" w:rsidRDefault="007D45E5" w:rsidP="003836C6">
            <w:pPr>
              <w:jc w:val="both"/>
              <w:rPr>
                <w:rFonts w:ascii="Arial" w:hAnsi="Arial" w:cs="Arial"/>
                <w:sz w:val="20"/>
                <w:szCs w:val="20"/>
              </w:rPr>
            </w:pPr>
            <w:r w:rsidRPr="00954642">
              <w:rPr>
                <w:rFonts w:ascii="Arial" w:hAnsi="Arial" w:cs="Arial"/>
                <w:sz w:val="20"/>
                <w:szCs w:val="20"/>
              </w:rPr>
              <w:t>(7) Postopek obveščanja o prostovoljni namestitvi pripomočka za zaščito pred poseganjem v zdravilo in podrobnejše pogoje, način ter obveščanje o uporabi nalepk za namestitev edinstvene oznake na ovojnino in nadomeščanje edinstvene oznake ali pripomočka za zaščito pred poseganjem v zdravilo, določi minister.«.</w:t>
            </w:r>
          </w:p>
          <w:p w:rsidR="003C4FBA" w:rsidRPr="00954642" w:rsidRDefault="003C4FBA" w:rsidP="003836C6">
            <w:pPr>
              <w:jc w:val="both"/>
              <w:rPr>
                <w:rFonts w:ascii="Arial" w:hAnsi="Arial" w:cs="Arial"/>
                <w:sz w:val="20"/>
                <w:szCs w:val="20"/>
              </w:rPr>
            </w:pPr>
          </w:p>
          <w:p w:rsidR="007D45E5" w:rsidRPr="00954642" w:rsidRDefault="007D45E5" w:rsidP="00E874DC">
            <w:pPr>
              <w:pStyle w:val="Odstavekseznama"/>
              <w:numPr>
                <w:ilvl w:val="0"/>
                <w:numId w:val="4"/>
              </w:numPr>
              <w:contextualSpacing/>
              <w:jc w:val="center"/>
              <w:rPr>
                <w:rFonts w:ascii="Arial" w:hAnsi="Arial" w:cs="Arial"/>
                <w:b/>
                <w:sz w:val="20"/>
                <w:szCs w:val="20"/>
              </w:rPr>
            </w:pPr>
            <w:r w:rsidRPr="00954642">
              <w:rPr>
                <w:rFonts w:ascii="Arial" w:hAnsi="Arial" w:cs="Arial"/>
                <w:b/>
                <w:sz w:val="20"/>
                <w:szCs w:val="20"/>
              </w:rPr>
              <w:t>člen</w:t>
            </w:r>
          </w:p>
          <w:p w:rsidR="007D45E5" w:rsidRPr="00954642" w:rsidRDefault="007D45E5" w:rsidP="00E874DC">
            <w:pPr>
              <w:pStyle w:val="Odstavekseznama"/>
              <w:ind w:left="1080"/>
              <w:contextualSpacing/>
              <w:jc w:val="both"/>
              <w:rPr>
                <w:rFonts w:ascii="Arial" w:hAnsi="Arial" w:cs="Arial"/>
                <w:b/>
                <w:sz w:val="20"/>
                <w:szCs w:val="20"/>
              </w:rPr>
            </w:pPr>
          </w:p>
          <w:p w:rsidR="007D45E5" w:rsidRPr="00954642" w:rsidRDefault="007D45E5" w:rsidP="00E874DC">
            <w:pPr>
              <w:jc w:val="both"/>
              <w:rPr>
                <w:rFonts w:ascii="Arial" w:hAnsi="Arial" w:cs="Arial"/>
                <w:sz w:val="20"/>
                <w:szCs w:val="20"/>
              </w:rPr>
            </w:pPr>
            <w:r w:rsidRPr="00954642">
              <w:rPr>
                <w:rFonts w:ascii="Arial" w:hAnsi="Arial" w:cs="Arial"/>
                <w:sz w:val="20"/>
                <w:szCs w:val="20"/>
              </w:rPr>
              <w:t>V 106. členu se 3. točka spremeni tako, da se glasi:</w:t>
            </w:r>
          </w:p>
          <w:p w:rsidR="007D45E5" w:rsidRPr="00954642" w:rsidRDefault="007D45E5" w:rsidP="00E874DC">
            <w:pPr>
              <w:jc w:val="both"/>
              <w:rPr>
                <w:rFonts w:ascii="Arial" w:hAnsi="Arial" w:cs="Arial"/>
                <w:sz w:val="20"/>
                <w:szCs w:val="20"/>
              </w:rPr>
            </w:pPr>
            <w:r w:rsidRPr="00954642">
              <w:rPr>
                <w:rFonts w:ascii="Arial" w:hAnsi="Arial" w:cs="Arial"/>
                <w:sz w:val="20"/>
                <w:szCs w:val="20"/>
              </w:rPr>
              <w:t>»3. preverjajo zaščitna elementa na prejetem oziroma dobavljenem zdravilu in o ponaredkih ali sumu nanje takoj, ko o tem izvedo, obvestijo JAZMP in po potrebi imetnika dovoljenja za promet z zdravilom,</w:t>
            </w:r>
            <w:r w:rsidR="00453E93" w:rsidRPr="00954642">
              <w:rPr>
                <w:rFonts w:ascii="Arial" w:hAnsi="Arial" w:cs="Arial"/>
                <w:sz w:val="20"/>
                <w:szCs w:val="20"/>
              </w:rPr>
              <w:t>«.</w:t>
            </w:r>
          </w:p>
          <w:p w:rsidR="007D45E5" w:rsidRPr="00954642" w:rsidRDefault="00954642" w:rsidP="00E874DC">
            <w:pPr>
              <w:jc w:val="both"/>
              <w:rPr>
                <w:rFonts w:ascii="Arial" w:hAnsi="Arial" w:cs="Arial"/>
                <w:sz w:val="20"/>
                <w:szCs w:val="20"/>
              </w:rPr>
            </w:pPr>
            <w:r w:rsidRPr="001B0957">
              <w:rPr>
                <w:rFonts w:ascii="Arial" w:hAnsi="Arial" w:cs="Arial"/>
                <w:sz w:val="20"/>
                <w:szCs w:val="20"/>
              </w:rPr>
              <w:t xml:space="preserve">V </w:t>
            </w:r>
            <w:r w:rsidR="007D45E5" w:rsidRPr="001B0957">
              <w:rPr>
                <w:rFonts w:ascii="Arial" w:hAnsi="Arial" w:cs="Arial"/>
                <w:sz w:val="20"/>
                <w:szCs w:val="20"/>
              </w:rPr>
              <w:t>5.</w:t>
            </w:r>
            <w:r w:rsidRPr="001B0957">
              <w:rPr>
                <w:rFonts w:ascii="Arial" w:hAnsi="Arial" w:cs="Arial"/>
                <w:sz w:val="20"/>
                <w:szCs w:val="20"/>
              </w:rPr>
              <w:t xml:space="preserve"> točki</w:t>
            </w:r>
            <w:r w:rsidR="007D45E5" w:rsidRPr="001B0957">
              <w:rPr>
                <w:rFonts w:ascii="Arial" w:hAnsi="Arial" w:cs="Arial"/>
                <w:sz w:val="20"/>
                <w:szCs w:val="20"/>
              </w:rPr>
              <w:t xml:space="preserve"> se </w:t>
            </w:r>
            <w:r w:rsidR="001B0957" w:rsidRPr="001B0957">
              <w:rPr>
                <w:rFonts w:ascii="Arial" w:hAnsi="Arial" w:cs="Arial"/>
                <w:sz w:val="20"/>
                <w:szCs w:val="20"/>
              </w:rPr>
              <w:t>pika na koncu stavka nadomesti z besedo</w:t>
            </w:r>
            <w:r w:rsidRPr="001B0957">
              <w:rPr>
                <w:rFonts w:ascii="Arial" w:hAnsi="Arial" w:cs="Arial"/>
                <w:sz w:val="20"/>
                <w:szCs w:val="20"/>
              </w:rPr>
              <w:t xml:space="preserve"> »in«</w:t>
            </w:r>
            <w:r w:rsidR="001B0957" w:rsidRPr="001B0957">
              <w:rPr>
                <w:rFonts w:ascii="Arial" w:hAnsi="Arial" w:cs="Arial"/>
                <w:sz w:val="20"/>
                <w:szCs w:val="20"/>
              </w:rPr>
              <w:t xml:space="preserve"> ter </w:t>
            </w:r>
            <w:r w:rsidRPr="001B0957">
              <w:rPr>
                <w:rFonts w:ascii="Arial" w:hAnsi="Arial" w:cs="Arial"/>
                <w:sz w:val="20"/>
                <w:szCs w:val="20"/>
              </w:rPr>
              <w:t xml:space="preserve">doda </w:t>
            </w:r>
            <w:r w:rsidR="007D45E5" w:rsidRPr="001B0957">
              <w:rPr>
                <w:rFonts w:ascii="Arial" w:hAnsi="Arial" w:cs="Arial"/>
                <w:sz w:val="20"/>
                <w:szCs w:val="20"/>
              </w:rPr>
              <w:t>nova 6. točka, ki se glasi:</w:t>
            </w:r>
          </w:p>
          <w:p w:rsidR="003836C6" w:rsidRDefault="007D45E5" w:rsidP="00E874DC">
            <w:pPr>
              <w:jc w:val="both"/>
              <w:rPr>
                <w:rFonts w:ascii="Arial" w:hAnsi="Arial" w:cs="Arial"/>
                <w:sz w:val="20"/>
                <w:szCs w:val="20"/>
              </w:rPr>
            </w:pPr>
            <w:r w:rsidRPr="00954642">
              <w:rPr>
                <w:rFonts w:ascii="Arial" w:hAnsi="Arial" w:cs="Arial"/>
                <w:sz w:val="20"/>
                <w:szCs w:val="20"/>
              </w:rPr>
              <w:t>»6. Način preverjanja zaščitnih elementov določi Evropska komisija.«.</w:t>
            </w:r>
          </w:p>
          <w:p w:rsidR="003C4FBA" w:rsidRPr="00954642" w:rsidRDefault="003C4FBA" w:rsidP="00E874DC">
            <w:pPr>
              <w:jc w:val="both"/>
              <w:rPr>
                <w:rFonts w:ascii="Arial" w:hAnsi="Arial" w:cs="Arial"/>
                <w:sz w:val="20"/>
                <w:szCs w:val="20"/>
              </w:rPr>
            </w:pPr>
          </w:p>
          <w:p w:rsidR="007D45E5" w:rsidRPr="00954642" w:rsidRDefault="007D45E5" w:rsidP="00E874DC">
            <w:pPr>
              <w:numPr>
                <w:ilvl w:val="0"/>
                <w:numId w:val="3"/>
              </w:numPr>
              <w:jc w:val="center"/>
              <w:rPr>
                <w:rFonts w:ascii="Arial" w:hAnsi="Arial" w:cs="Arial"/>
                <w:b/>
                <w:sz w:val="20"/>
                <w:szCs w:val="20"/>
              </w:rPr>
            </w:pPr>
            <w:r w:rsidRPr="00954642">
              <w:rPr>
                <w:rFonts w:ascii="Arial" w:hAnsi="Arial" w:cs="Arial"/>
                <w:b/>
                <w:sz w:val="20"/>
                <w:szCs w:val="20"/>
              </w:rPr>
              <w:t>člen</w:t>
            </w:r>
          </w:p>
          <w:p w:rsidR="007D45E5" w:rsidRPr="00954642" w:rsidRDefault="007D45E5" w:rsidP="00E874DC">
            <w:pPr>
              <w:jc w:val="both"/>
              <w:rPr>
                <w:rFonts w:ascii="Arial" w:hAnsi="Arial" w:cs="Arial"/>
                <w:sz w:val="20"/>
                <w:szCs w:val="20"/>
              </w:rPr>
            </w:pPr>
            <w:r w:rsidRPr="00954642">
              <w:rPr>
                <w:rFonts w:ascii="Arial" w:hAnsi="Arial" w:cs="Arial"/>
                <w:sz w:val="20"/>
                <w:szCs w:val="20"/>
              </w:rPr>
              <w:lastRenderedPageBreak/>
              <w:t xml:space="preserve">V prvem odstavku 192. člena se šestinštirideseta alineja spremeni tako, da se glasi: </w:t>
            </w:r>
          </w:p>
          <w:p w:rsidR="007D45E5" w:rsidRPr="00954642" w:rsidRDefault="007D45E5" w:rsidP="00E874DC">
            <w:pPr>
              <w:jc w:val="both"/>
              <w:rPr>
                <w:rFonts w:ascii="Arial" w:hAnsi="Arial" w:cs="Arial"/>
                <w:sz w:val="20"/>
                <w:szCs w:val="20"/>
              </w:rPr>
            </w:pPr>
            <w:r w:rsidRPr="00954642">
              <w:rPr>
                <w:rFonts w:ascii="Arial" w:hAnsi="Arial" w:cs="Arial"/>
                <w:sz w:val="20"/>
                <w:szCs w:val="20"/>
              </w:rPr>
              <w:t>»– zdravilo za uporabo v humani medicini nima pritrjenih zaščitnih elementov v skladu z 88. členom tega zakona,”</w:t>
            </w:r>
            <w:r w:rsidR="00453E93">
              <w:rPr>
                <w:rFonts w:ascii="Arial" w:hAnsi="Arial" w:cs="Arial"/>
                <w:sz w:val="20"/>
                <w:szCs w:val="20"/>
              </w:rPr>
              <w:t>.</w:t>
            </w:r>
          </w:p>
          <w:p w:rsidR="007D45E5" w:rsidRPr="00954642" w:rsidRDefault="007D45E5" w:rsidP="00E874DC">
            <w:pPr>
              <w:jc w:val="both"/>
              <w:rPr>
                <w:rFonts w:ascii="Arial" w:hAnsi="Arial" w:cs="Arial"/>
                <w:sz w:val="20"/>
                <w:szCs w:val="20"/>
              </w:rPr>
            </w:pPr>
            <w:r w:rsidRPr="00954642">
              <w:rPr>
                <w:rFonts w:ascii="Arial" w:hAnsi="Arial" w:cs="Arial"/>
                <w:sz w:val="20"/>
                <w:szCs w:val="20"/>
              </w:rPr>
              <w:t xml:space="preserve">Sedeminštirideseta alineja se črta. </w:t>
            </w:r>
          </w:p>
          <w:p w:rsidR="007D45E5" w:rsidRDefault="007D45E5" w:rsidP="00E874DC">
            <w:pPr>
              <w:jc w:val="both"/>
              <w:rPr>
                <w:rFonts w:ascii="Arial" w:hAnsi="Arial" w:cs="Arial"/>
                <w:sz w:val="20"/>
                <w:szCs w:val="20"/>
              </w:rPr>
            </w:pPr>
            <w:r w:rsidRPr="00954642">
              <w:rPr>
                <w:rFonts w:ascii="Arial" w:hAnsi="Arial" w:cs="Arial"/>
                <w:sz w:val="20"/>
                <w:szCs w:val="20"/>
              </w:rPr>
              <w:t xml:space="preserve">Dosedanje oseminštirideseta do stota alineja postanejo sedeminštirideseta do devetindevetdeseta alineja. </w:t>
            </w:r>
          </w:p>
          <w:p w:rsidR="00453E93" w:rsidRDefault="00453E93" w:rsidP="00E874DC">
            <w:pPr>
              <w:jc w:val="both"/>
              <w:rPr>
                <w:rFonts w:ascii="Arial" w:hAnsi="Arial" w:cs="Arial"/>
                <w:sz w:val="20"/>
                <w:szCs w:val="20"/>
              </w:rPr>
            </w:pPr>
          </w:p>
          <w:p w:rsidR="003C4FBA" w:rsidRPr="00954642" w:rsidRDefault="00453E93" w:rsidP="00E874DC">
            <w:pPr>
              <w:jc w:val="both"/>
              <w:rPr>
                <w:rFonts w:ascii="Arial" w:hAnsi="Arial" w:cs="Arial"/>
                <w:sz w:val="20"/>
                <w:szCs w:val="20"/>
              </w:rPr>
            </w:pPr>
            <w:r>
              <w:rPr>
                <w:rFonts w:ascii="Arial" w:hAnsi="Arial" w:cs="Arial"/>
                <w:sz w:val="20"/>
                <w:szCs w:val="20"/>
              </w:rPr>
              <w:t>PREHODNA IN KONČNA DOLOČBA</w:t>
            </w:r>
          </w:p>
          <w:p w:rsidR="003836C6" w:rsidRDefault="007D45E5" w:rsidP="003836C6">
            <w:pPr>
              <w:pStyle w:val="Odstavekseznama"/>
              <w:numPr>
                <w:ilvl w:val="0"/>
                <w:numId w:val="3"/>
              </w:numPr>
              <w:contextualSpacing/>
              <w:jc w:val="center"/>
              <w:rPr>
                <w:rFonts w:ascii="Arial" w:hAnsi="Arial" w:cs="Arial"/>
                <w:b/>
                <w:sz w:val="20"/>
                <w:szCs w:val="20"/>
              </w:rPr>
            </w:pPr>
            <w:r w:rsidRPr="00954642">
              <w:rPr>
                <w:rFonts w:ascii="Arial" w:hAnsi="Arial" w:cs="Arial"/>
                <w:b/>
                <w:sz w:val="20"/>
                <w:szCs w:val="20"/>
              </w:rPr>
              <w:t>člen</w:t>
            </w:r>
          </w:p>
          <w:p w:rsidR="007D45E5" w:rsidRPr="003836C6" w:rsidRDefault="007D45E5" w:rsidP="003836C6">
            <w:pPr>
              <w:pStyle w:val="Odstavekseznama"/>
              <w:ind w:left="1440"/>
              <w:contextualSpacing/>
              <w:jc w:val="center"/>
              <w:rPr>
                <w:rFonts w:ascii="Arial" w:hAnsi="Arial" w:cs="Arial"/>
                <w:b/>
                <w:sz w:val="20"/>
                <w:szCs w:val="20"/>
              </w:rPr>
            </w:pPr>
            <w:r w:rsidRPr="003836C6">
              <w:rPr>
                <w:rFonts w:ascii="Arial" w:hAnsi="Arial" w:cs="Arial"/>
                <w:b/>
                <w:sz w:val="20"/>
                <w:szCs w:val="20"/>
              </w:rPr>
              <w:t>(</w:t>
            </w:r>
            <w:r w:rsidR="00453E93" w:rsidRPr="00954642">
              <w:rPr>
                <w:rFonts w:ascii="Arial" w:hAnsi="Arial" w:cs="Arial"/>
                <w:b/>
                <w:bCs/>
                <w:sz w:val="20"/>
                <w:szCs w:val="20"/>
              </w:rPr>
              <w:t>začetek veljavnosti določb glede zaščitnih elementov in sporočila Evropski komisiji</w:t>
            </w:r>
            <w:r w:rsidRPr="003836C6">
              <w:rPr>
                <w:rFonts w:ascii="Arial" w:hAnsi="Arial" w:cs="Arial"/>
                <w:b/>
                <w:sz w:val="20"/>
                <w:szCs w:val="20"/>
              </w:rPr>
              <w:t>)</w:t>
            </w:r>
          </w:p>
          <w:p w:rsidR="007D45E5" w:rsidRPr="00954642" w:rsidRDefault="007D45E5" w:rsidP="00E874DC">
            <w:pPr>
              <w:pStyle w:val="Odstavekseznama"/>
              <w:ind w:left="0"/>
              <w:rPr>
                <w:rFonts w:ascii="Arial" w:hAnsi="Arial" w:cs="Arial"/>
                <w:sz w:val="20"/>
                <w:szCs w:val="20"/>
              </w:rPr>
            </w:pPr>
          </w:p>
          <w:p w:rsidR="003836C6" w:rsidRPr="003836C6" w:rsidRDefault="007D45E5" w:rsidP="003836C6">
            <w:pPr>
              <w:pStyle w:val="Odstavekseznama"/>
              <w:spacing w:after="200" w:line="276" w:lineRule="auto"/>
              <w:ind w:left="0"/>
              <w:jc w:val="both"/>
              <w:rPr>
                <w:rFonts w:ascii="Arial" w:eastAsia="Calibri" w:hAnsi="Arial" w:cs="Arial"/>
                <w:sz w:val="20"/>
                <w:szCs w:val="20"/>
                <w:lang w:eastAsia="en-US"/>
              </w:rPr>
            </w:pPr>
            <w:r w:rsidRPr="003836C6">
              <w:rPr>
                <w:rFonts w:ascii="Arial" w:eastAsia="Calibri" w:hAnsi="Arial" w:cs="Arial"/>
                <w:sz w:val="20"/>
                <w:szCs w:val="20"/>
                <w:lang w:eastAsia="en-US"/>
              </w:rPr>
              <w:t>Določbe 88. člena tega zakona, ki se nanašajo na namestitev, prekritje in odstranitev zaščitnih elementov, začnejo veljati tri leta od dneva objave delegiranih aktov Evropske komisije, ki na podlagi Direktive 2011/62/ES o spremembi Direktive 2001/83/ES o zakoniku skupnosti o zdravilih za uporabo v humani medicini glede preprečevanja vstopa ponarejenih zdravil v zakonito dobavno verigo (UL L št. 174 z dne 1. 7. 2011, str. 74) določajo značilnosti in tehnične specifikacije za zaščitna elementa in sezname zdravil ali kategorij zdravil, ki morajo ali ne smejo nositi zaščitnih elementov..</w:t>
            </w:r>
          </w:p>
          <w:p w:rsidR="007D45E5" w:rsidRPr="00954642" w:rsidRDefault="007D45E5" w:rsidP="00E874DC">
            <w:pPr>
              <w:pStyle w:val="Odstavekseznama"/>
              <w:ind w:left="0"/>
              <w:jc w:val="both"/>
              <w:rPr>
                <w:rFonts w:ascii="Arial" w:hAnsi="Arial" w:cs="Arial"/>
                <w:sz w:val="20"/>
                <w:szCs w:val="20"/>
              </w:rPr>
            </w:pPr>
          </w:p>
          <w:p w:rsidR="007D45E5" w:rsidRPr="00954642" w:rsidRDefault="007D45E5" w:rsidP="00E874DC">
            <w:pPr>
              <w:pStyle w:val="Odstavekseznama"/>
              <w:numPr>
                <w:ilvl w:val="0"/>
                <w:numId w:val="3"/>
              </w:numPr>
              <w:contextualSpacing/>
              <w:jc w:val="center"/>
              <w:rPr>
                <w:rFonts w:ascii="Arial" w:hAnsi="Arial" w:cs="Arial"/>
                <w:b/>
                <w:sz w:val="20"/>
                <w:szCs w:val="20"/>
              </w:rPr>
            </w:pPr>
            <w:r w:rsidRPr="00954642">
              <w:rPr>
                <w:rFonts w:ascii="Arial" w:hAnsi="Arial" w:cs="Arial"/>
                <w:b/>
                <w:sz w:val="20"/>
                <w:szCs w:val="20"/>
              </w:rPr>
              <w:t>člen</w:t>
            </w:r>
          </w:p>
          <w:p w:rsidR="007D45E5" w:rsidRPr="00954642" w:rsidRDefault="007D45E5" w:rsidP="00E874DC">
            <w:pPr>
              <w:pStyle w:val="Odstavekseznama"/>
              <w:ind w:left="1440" w:hanging="306"/>
              <w:contextualSpacing/>
              <w:jc w:val="center"/>
              <w:rPr>
                <w:rFonts w:ascii="Arial" w:hAnsi="Arial" w:cs="Arial"/>
                <w:b/>
                <w:sz w:val="20"/>
                <w:szCs w:val="20"/>
              </w:rPr>
            </w:pPr>
            <w:r w:rsidRPr="00954642">
              <w:rPr>
                <w:rFonts w:ascii="Arial" w:hAnsi="Arial" w:cs="Arial"/>
                <w:b/>
                <w:sz w:val="20"/>
                <w:szCs w:val="20"/>
              </w:rPr>
              <w:t>(končna določba)</w:t>
            </w:r>
          </w:p>
          <w:p w:rsidR="007D45E5" w:rsidRPr="00954642" w:rsidRDefault="007D45E5" w:rsidP="00E874DC">
            <w:pPr>
              <w:tabs>
                <w:tab w:val="left" w:pos="540"/>
                <w:tab w:val="left" w:pos="900"/>
              </w:tabs>
              <w:autoSpaceDE w:val="0"/>
              <w:autoSpaceDN w:val="0"/>
              <w:adjustRightInd w:val="0"/>
              <w:spacing w:after="0" w:line="260" w:lineRule="exact"/>
              <w:jc w:val="center"/>
              <w:rPr>
                <w:rFonts w:ascii="Arial" w:hAnsi="Arial" w:cs="Arial"/>
                <w:b/>
                <w:sz w:val="20"/>
                <w:szCs w:val="20"/>
              </w:rPr>
            </w:pPr>
          </w:p>
          <w:p w:rsidR="003836C6" w:rsidRPr="00365A94" w:rsidRDefault="007D45E5" w:rsidP="00365A94">
            <w:pPr>
              <w:tabs>
                <w:tab w:val="left" w:pos="540"/>
                <w:tab w:val="left" w:pos="900"/>
              </w:tabs>
              <w:autoSpaceDE w:val="0"/>
              <w:autoSpaceDN w:val="0"/>
              <w:adjustRightInd w:val="0"/>
              <w:spacing w:after="0" w:line="260" w:lineRule="exact"/>
              <w:rPr>
                <w:rFonts w:ascii="Arial" w:hAnsi="Arial" w:cs="Arial"/>
                <w:sz w:val="20"/>
                <w:szCs w:val="20"/>
              </w:rPr>
            </w:pPr>
            <w:r w:rsidRPr="00954642">
              <w:rPr>
                <w:rFonts w:ascii="Arial" w:hAnsi="Arial" w:cs="Arial"/>
                <w:sz w:val="20"/>
                <w:szCs w:val="20"/>
              </w:rPr>
              <w:t>Ta zakon začne veljati petnajsti dan po objavi v Uradnem listu Republike Slovenije.</w:t>
            </w:r>
          </w:p>
        </w:tc>
      </w:tr>
      <w:tr w:rsidR="007D45E5" w:rsidRPr="00C94FA9" w:rsidTr="003B1F9D">
        <w:tc>
          <w:tcPr>
            <w:tcW w:w="9213" w:type="dxa"/>
          </w:tcPr>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9E6672"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Številka:</w:t>
            </w:r>
            <w:r w:rsidR="00BD0EE3">
              <w:rPr>
                <w:rFonts w:ascii="Arial" w:eastAsia="Times New Roman" w:hAnsi="Arial" w:cs="Arial"/>
                <w:b/>
                <w:sz w:val="20"/>
                <w:szCs w:val="20"/>
                <w:lang w:eastAsia="sl-SI"/>
              </w:rPr>
              <w:t xml:space="preserve"> 0070-158/2018</w:t>
            </w:r>
          </w:p>
          <w:p w:rsidR="009E6672" w:rsidRDefault="009E6672"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V Ljubljani, </w:t>
            </w:r>
          </w:p>
          <w:p w:rsidR="009E6672" w:rsidRDefault="009E6672"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EVA </w:t>
            </w:r>
            <w:r w:rsidR="00BD0EE3">
              <w:rPr>
                <w:rFonts w:ascii="Arial" w:eastAsia="Times New Roman" w:hAnsi="Arial" w:cs="Arial"/>
                <w:b/>
                <w:sz w:val="20"/>
                <w:szCs w:val="20"/>
                <w:lang w:eastAsia="sl-SI"/>
              </w:rPr>
              <w:t>2018-2711-0088</w:t>
            </w:r>
            <w:bookmarkStart w:id="2" w:name="_GoBack"/>
            <w:bookmarkEnd w:id="2"/>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255113" w:rsidRDefault="00255113"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255113" w:rsidRDefault="00255113"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CF5123" w:rsidRDefault="00CF5123"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B1F9D" w:rsidRDefault="003B1F9D"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lastRenderedPageBreak/>
              <w:t>III. OBRAZLOŽITEV</w:t>
            </w:r>
          </w:p>
        </w:tc>
      </w:tr>
      <w:tr w:rsidR="007D45E5" w:rsidRPr="00C94FA9" w:rsidTr="003B1F9D">
        <w:tc>
          <w:tcPr>
            <w:tcW w:w="9213" w:type="dxa"/>
          </w:tcPr>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3B1F9D" w:rsidRDefault="007D45E5" w:rsidP="00365A94">
            <w:pPr>
              <w:spacing w:after="0" w:line="260" w:lineRule="exact"/>
              <w:jc w:val="both"/>
              <w:rPr>
                <w:rFonts w:eastAsia="Times New Roman" w:cs="Calibri"/>
                <w:lang w:eastAsia="sl-SI"/>
              </w:rPr>
            </w:pPr>
            <w:r w:rsidRPr="003B1F9D">
              <w:rPr>
                <w:rFonts w:eastAsia="Times New Roman" w:cs="Calibri"/>
                <w:b/>
                <w:bCs/>
                <w:lang w:eastAsia="sl-SI"/>
              </w:rPr>
              <w:t>K 1. členu</w:t>
            </w:r>
            <w:r w:rsidRPr="003B1F9D">
              <w:rPr>
                <w:rFonts w:eastAsia="Times New Roman" w:cs="Calibri"/>
                <w:lang w:eastAsia="sl-SI"/>
              </w:rPr>
              <w:t>:</w:t>
            </w:r>
          </w:p>
          <w:p w:rsidR="007D45E5" w:rsidRPr="003B1F9D" w:rsidRDefault="007D45E5" w:rsidP="00365A94">
            <w:pPr>
              <w:spacing w:after="0" w:line="260" w:lineRule="exact"/>
              <w:jc w:val="both"/>
              <w:rPr>
                <w:rFonts w:ascii="Arial" w:eastAsia="Times New Roman" w:hAnsi="Arial" w:cs="Arial"/>
                <w:iCs/>
                <w:sz w:val="20"/>
                <w:szCs w:val="20"/>
                <w:lang w:eastAsia="sl-SI"/>
              </w:rPr>
            </w:pPr>
            <w:r w:rsidRPr="003B1F9D">
              <w:rPr>
                <w:rFonts w:ascii="Arial" w:eastAsia="Times New Roman" w:hAnsi="Arial" w:cs="Arial"/>
                <w:iCs/>
                <w:sz w:val="20"/>
                <w:szCs w:val="20"/>
                <w:lang w:eastAsia="sl-SI"/>
              </w:rPr>
              <w:t>Zaradi implementacije sodbe Sodišča Evropske unije v zadevi Medisanus, C-296/15 z dne 8. 6. 2017, v kat</w:t>
            </w:r>
            <w:r w:rsidR="003B1F9D" w:rsidRPr="003B1F9D">
              <w:rPr>
                <w:rFonts w:ascii="Arial" w:eastAsia="Times New Roman" w:hAnsi="Arial" w:cs="Arial"/>
                <w:iCs/>
                <w:sz w:val="20"/>
                <w:szCs w:val="20"/>
                <w:lang w:eastAsia="sl-SI"/>
              </w:rPr>
              <w:t>eri je Sodišče Evropske unije</w:t>
            </w:r>
            <w:r w:rsidRPr="003B1F9D">
              <w:rPr>
                <w:rFonts w:ascii="Arial" w:eastAsia="Times New Roman" w:hAnsi="Arial" w:cs="Arial"/>
                <w:iCs/>
                <w:sz w:val="20"/>
                <w:szCs w:val="20"/>
                <w:lang w:eastAsia="sl-SI"/>
              </w:rPr>
              <w:t xml:space="preserve"> odločilo, da uporaba pojma "prednostna preskrba" z zdravili iz plazme, pridobljene v Sloveniji ni skladna s pravom EU in se na prednostno porabo zdravil iz slovenske p</w:t>
            </w:r>
            <w:r w:rsidR="003B1F9D" w:rsidRPr="003B1F9D">
              <w:rPr>
                <w:rFonts w:ascii="Arial" w:eastAsia="Times New Roman" w:hAnsi="Arial" w:cs="Arial"/>
                <w:iCs/>
                <w:sz w:val="20"/>
                <w:szCs w:val="20"/>
                <w:lang w:eastAsia="sl-SI"/>
              </w:rPr>
              <w:t xml:space="preserve">lazme ni dovoljeno sklicevati, </w:t>
            </w:r>
            <w:r w:rsidRPr="003B1F9D">
              <w:rPr>
                <w:rFonts w:ascii="Arial" w:eastAsia="Times New Roman" w:hAnsi="Arial" w:cs="Arial"/>
                <w:iCs/>
                <w:sz w:val="20"/>
                <w:szCs w:val="20"/>
                <w:lang w:eastAsia="sl-SI"/>
              </w:rPr>
              <w:t>je potrebno 71. točko 6. člena Zakona o zdravili</w:t>
            </w:r>
            <w:r w:rsidR="003B1F9D" w:rsidRPr="003B1F9D">
              <w:rPr>
                <w:rFonts w:ascii="Arial" w:eastAsia="Times New Roman" w:hAnsi="Arial" w:cs="Arial"/>
                <w:iCs/>
                <w:sz w:val="20"/>
                <w:szCs w:val="20"/>
                <w:lang w:eastAsia="sl-SI"/>
              </w:rPr>
              <w:t>h (Uradni list RS, št. 17/14), v kateri je opredeljen</w:t>
            </w:r>
            <w:r w:rsidRPr="003B1F9D">
              <w:rPr>
                <w:rFonts w:ascii="Arial" w:eastAsia="Times New Roman" w:hAnsi="Arial" w:cs="Arial"/>
                <w:iCs/>
                <w:sz w:val="20"/>
                <w:szCs w:val="20"/>
                <w:lang w:eastAsia="sl-SI"/>
              </w:rPr>
              <w:t xml:space="preserve"> pomen tega pojma, črtati.</w:t>
            </w:r>
          </w:p>
          <w:p w:rsidR="007D45E5" w:rsidRPr="003B1F9D" w:rsidRDefault="007D45E5" w:rsidP="00365A94">
            <w:pPr>
              <w:spacing w:after="0" w:line="260" w:lineRule="exact"/>
              <w:jc w:val="both"/>
              <w:rPr>
                <w:rFonts w:eastAsia="Times New Roman" w:cs="Calibri"/>
                <w:lang w:eastAsia="sl-SI"/>
              </w:rPr>
            </w:pPr>
          </w:p>
          <w:p w:rsidR="007D45E5" w:rsidRPr="003B1F9D" w:rsidRDefault="007D45E5" w:rsidP="003B1F9D">
            <w:pPr>
              <w:jc w:val="both"/>
              <w:rPr>
                <w:rFonts w:ascii="Arial" w:hAnsi="Arial" w:cs="Arial"/>
                <w:sz w:val="20"/>
                <w:szCs w:val="20"/>
              </w:rPr>
            </w:pPr>
            <w:r w:rsidRPr="003B1F9D">
              <w:rPr>
                <w:rFonts w:ascii="Arial" w:eastAsia="Times New Roman" w:hAnsi="Arial" w:cs="Arial"/>
                <w:iCs/>
                <w:sz w:val="20"/>
                <w:szCs w:val="20"/>
                <w:lang w:eastAsia="sl-SI"/>
              </w:rPr>
              <w:t xml:space="preserve">Zaradi terminološke uskladitve z besedilom Delegirane uredbe 2016/161/EU se </w:t>
            </w:r>
            <w:r w:rsidR="003B1F9D" w:rsidRPr="003B1F9D">
              <w:rPr>
                <w:rFonts w:ascii="Arial" w:eastAsia="Times New Roman" w:hAnsi="Arial" w:cs="Arial"/>
                <w:iCs/>
                <w:sz w:val="20"/>
                <w:szCs w:val="20"/>
                <w:lang w:eastAsia="sl-SI"/>
              </w:rPr>
              <w:t>spreminja 104. točka</w:t>
            </w:r>
            <w:r w:rsidR="00365A94" w:rsidRPr="003B1F9D">
              <w:rPr>
                <w:rFonts w:ascii="Arial" w:eastAsia="Times New Roman" w:hAnsi="Arial" w:cs="Arial"/>
                <w:iCs/>
                <w:sz w:val="20"/>
                <w:szCs w:val="20"/>
                <w:lang w:eastAsia="sl-SI"/>
              </w:rPr>
              <w:t xml:space="preserve"> 6. člena ZZdr-2, in sicer se </w:t>
            </w:r>
            <w:r w:rsidRPr="003B1F9D">
              <w:rPr>
                <w:rFonts w:ascii="Arial" w:eastAsia="Times New Roman" w:hAnsi="Arial" w:cs="Arial"/>
                <w:iCs/>
                <w:sz w:val="20"/>
                <w:szCs w:val="20"/>
                <w:lang w:eastAsia="sl-SI"/>
              </w:rPr>
              <w:t xml:space="preserve">definicija zaščitnega elementa spremeni tako, da se besedilo "Zaščitni element je podatek na zunanji ovojnini zdravila za uporabo v humani medicini, ki trgovcem na debelo in pristojnim osebam za preskrbo z zdravili na drobno v lekarnah in specializiranih prodajalnah omogoča, da preverijo avtentičnost zdravila in identificirajo posamezno pakiranje." nadomesti z besedilom </w:t>
            </w:r>
            <w:r w:rsidR="003B1F9D" w:rsidRPr="003B1F9D">
              <w:rPr>
                <w:rFonts w:ascii="Arial" w:hAnsi="Arial" w:cs="Arial"/>
                <w:sz w:val="20"/>
                <w:szCs w:val="20"/>
              </w:rPr>
              <w:t>"</w:t>
            </w:r>
            <w:r w:rsidR="003B1F9D" w:rsidRPr="003B1F9D">
              <w:rPr>
                <w:rFonts w:ascii="Arial" w:hAnsi="Arial" w:cs="Arial"/>
                <w:iCs/>
                <w:sz w:val="20"/>
                <w:szCs w:val="20"/>
                <w:lang w:eastAsia="sl-SI"/>
              </w:rPr>
              <w:t>Zaščitna elementa sta edinstvena oznaka na zunanji ovojnini zdravila za uporabo v humani medicini, ki omogoča identifikacijo posameznega pakiranja zdravila, preverjanje njegove avtentičnosti ter pripomoček, ki predstavlja zaščito pred poseganjem v zdravilo, s katero se lahko preveri ali se je posegalo v ovojnino zdravila.</w:t>
            </w:r>
            <w:r w:rsidR="003B1F9D" w:rsidRPr="003B1F9D">
              <w:rPr>
                <w:rFonts w:ascii="Arial" w:hAnsi="Arial" w:cs="Arial"/>
                <w:sz w:val="20"/>
                <w:szCs w:val="20"/>
              </w:rPr>
              <w:t xml:space="preserve">". </w:t>
            </w:r>
            <w:r w:rsidRPr="003B1F9D">
              <w:rPr>
                <w:rFonts w:ascii="Arial" w:eastAsia="Times New Roman" w:hAnsi="Arial" w:cs="Arial"/>
                <w:iCs/>
                <w:sz w:val="20"/>
                <w:szCs w:val="20"/>
                <w:lang w:eastAsia="sl-SI"/>
              </w:rPr>
              <w:t>Zaščitna elementa sta dva in se nanašata tako na edinstveno oznako, kot tudi na pripomoček za zaščito pred poseganjem v zdravilo.</w:t>
            </w:r>
          </w:p>
          <w:p w:rsidR="007D45E5" w:rsidRPr="00B23DFB" w:rsidRDefault="007D45E5" w:rsidP="00365A94">
            <w:pPr>
              <w:spacing w:after="0" w:line="260" w:lineRule="exact"/>
              <w:jc w:val="both"/>
              <w:rPr>
                <w:rFonts w:ascii="Arial" w:eastAsia="Times New Roman" w:hAnsi="Arial" w:cs="Arial"/>
                <w:b/>
                <w:iCs/>
                <w:sz w:val="20"/>
                <w:szCs w:val="20"/>
                <w:lang w:eastAsia="sl-SI"/>
              </w:rPr>
            </w:pPr>
            <w:r w:rsidRPr="00B23DFB">
              <w:rPr>
                <w:rFonts w:ascii="Arial" w:eastAsia="Times New Roman" w:hAnsi="Arial" w:cs="Arial"/>
                <w:b/>
                <w:iCs/>
                <w:sz w:val="20"/>
                <w:szCs w:val="20"/>
                <w:lang w:eastAsia="sl-SI"/>
              </w:rPr>
              <w:t>K 2. členu:</w:t>
            </w:r>
          </w:p>
          <w:p w:rsidR="007D45E5" w:rsidRPr="00B23DFB" w:rsidRDefault="007D45E5" w:rsidP="00365A94">
            <w:pPr>
              <w:spacing w:after="0" w:line="260" w:lineRule="exact"/>
              <w:jc w:val="both"/>
              <w:rPr>
                <w:rFonts w:ascii="Arial" w:eastAsia="Times New Roman" w:hAnsi="Arial" w:cs="Arial"/>
                <w:iCs/>
                <w:sz w:val="20"/>
                <w:szCs w:val="20"/>
                <w:lang w:eastAsia="sl-SI"/>
              </w:rPr>
            </w:pPr>
            <w:r w:rsidRPr="00B23DFB">
              <w:rPr>
                <w:rFonts w:ascii="Arial" w:eastAsia="Times New Roman" w:hAnsi="Arial" w:cs="Arial"/>
                <w:iCs/>
                <w:sz w:val="20"/>
                <w:szCs w:val="20"/>
                <w:lang w:eastAsia="sl-SI"/>
              </w:rPr>
              <w:t>Zaradi terminološke uskladitve z besedilom iz Delegirane uredbe 2016/161/EU in spremembe definicij</w:t>
            </w:r>
            <w:r w:rsidR="00B23DFB" w:rsidRPr="00B23DFB">
              <w:rPr>
                <w:rFonts w:ascii="Arial" w:eastAsia="Times New Roman" w:hAnsi="Arial" w:cs="Arial"/>
                <w:iCs/>
                <w:sz w:val="20"/>
                <w:szCs w:val="20"/>
                <w:lang w:eastAsia="sl-SI"/>
              </w:rPr>
              <w:t>e</w:t>
            </w:r>
            <w:r w:rsidRPr="00B23DFB">
              <w:rPr>
                <w:rFonts w:ascii="Arial" w:eastAsia="Times New Roman" w:hAnsi="Arial" w:cs="Arial"/>
                <w:iCs/>
                <w:sz w:val="20"/>
                <w:szCs w:val="20"/>
                <w:lang w:eastAsia="sl-SI"/>
              </w:rPr>
              <w:t xml:space="preserve"> iz 6. člena ZZdr-2 se besedilo "zaščitni element" piše v dvojini. Pojem zaščitni element se namreč nanaša tako na edinstveno oznako, kot tudi na pripomoček za zaščito pred poseganjem v zdravilo.</w:t>
            </w:r>
          </w:p>
          <w:p w:rsidR="007D45E5" w:rsidRPr="00365A94" w:rsidRDefault="007D45E5" w:rsidP="00365A94">
            <w:pPr>
              <w:spacing w:after="0" w:line="260" w:lineRule="exact"/>
              <w:jc w:val="both"/>
              <w:rPr>
                <w:rFonts w:ascii="Arial" w:eastAsia="Times New Roman" w:hAnsi="Arial" w:cs="Arial"/>
                <w:iCs/>
                <w:color w:val="7030A0"/>
                <w:sz w:val="20"/>
                <w:szCs w:val="20"/>
                <w:lang w:eastAsia="sl-SI"/>
              </w:rPr>
            </w:pPr>
            <w:r w:rsidRPr="00365A94">
              <w:rPr>
                <w:rFonts w:ascii="Arial" w:eastAsia="Times New Roman" w:hAnsi="Arial" w:cs="Arial"/>
                <w:iCs/>
                <w:color w:val="7030A0"/>
                <w:sz w:val="20"/>
                <w:szCs w:val="20"/>
                <w:lang w:eastAsia="sl-SI"/>
              </w:rPr>
              <w:t> </w:t>
            </w:r>
          </w:p>
          <w:p w:rsidR="007D45E5" w:rsidRPr="003B1F9D" w:rsidRDefault="00365A94" w:rsidP="00365A94">
            <w:pPr>
              <w:spacing w:after="0" w:line="260" w:lineRule="exact"/>
              <w:jc w:val="both"/>
              <w:rPr>
                <w:rFonts w:ascii="Arial" w:eastAsia="Times New Roman" w:hAnsi="Arial" w:cs="Arial"/>
                <w:b/>
                <w:iCs/>
                <w:sz w:val="20"/>
                <w:szCs w:val="20"/>
                <w:lang w:eastAsia="sl-SI"/>
              </w:rPr>
            </w:pPr>
            <w:r w:rsidRPr="003B1F9D">
              <w:rPr>
                <w:rFonts w:ascii="Arial" w:eastAsia="Times New Roman" w:hAnsi="Arial" w:cs="Arial"/>
                <w:b/>
                <w:iCs/>
                <w:sz w:val="20"/>
                <w:szCs w:val="20"/>
                <w:lang w:eastAsia="sl-SI"/>
              </w:rPr>
              <w:t>K 3. členu:</w:t>
            </w:r>
          </w:p>
          <w:p w:rsidR="007D45E5" w:rsidRPr="003B1F9D" w:rsidRDefault="007D45E5" w:rsidP="00365A94">
            <w:pPr>
              <w:spacing w:after="0" w:line="260" w:lineRule="exact"/>
              <w:jc w:val="both"/>
              <w:rPr>
                <w:rFonts w:ascii="Arial" w:eastAsia="Times New Roman" w:hAnsi="Arial" w:cs="Arial"/>
                <w:iCs/>
                <w:sz w:val="20"/>
                <w:szCs w:val="20"/>
                <w:lang w:eastAsia="sl-SI"/>
              </w:rPr>
            </w:pPr>
            <w:r w:rsidRPr="003B1F9D">
              <w:rPr>
                <w:rFonts w:ascii="Arial" w:eastAsia="Times New Roman" w:hAnsi="Arial" w:cs="Arial"/>
                <w:iCs/>
                <w:sz w:val="20"/>
                <w:szCs w:val="20"/>
                <w:lang w:eastAsia="sl-SI"/>
              </w:rPr>
              <w:t xml:space="preserve">Zaradi terminološke uskladitve z besedilom 10. člena Direktive 2001/83/ES, se z novim sedmim odstavkom natančneje povzema določilo, ki opredeljuje biološko zdravilo, ki je podobno referenčnemu biološkemu zdravilu za uporabo v humani medicini. </w:t>
            </w:r>
          </w:p>
          <w:p w:rsidR="007D45E5" w:rsidRPr="003B1F9D" w:rsidRDefault="007D45E5" w:rsidP="00365A94">
            <w:pPr>
              <w:spacing w:after="0" w:line="260" w:lineRule="exact"/>
              <w:jc w:val="both"/>
              <w:rPr>
                <w:rFonts w:ascii="Arial" w:eastAsia="Times New Roman" w:hAnsi="Arial" w:cs="Arial"/>
                <w:iCs/>
                <w:sz w:val="20"/>
                <w:szCs w:val="20"/>
                <w:lang w:eastAsia="sl-SI"/>
              </w:rPr>
            </w:pPr>
          </w:p>
          <w:p w:rsidR="007D45E5" w:rsidRPr="003B1F9D" w:rsidRDefault="00365A94" w:rsidP="00365A94">
            <w:pPr>
              <w:spacing w:after="0" w:line="260" w:lineRule="exact"/>
              <w:jc w:val="both"/>
              <w:rPr>
                <w:rFonts w:ascii="Arial" w:eastAsia="Times New Roman" w:hAnsi="Arial" w:cs="Arial"/>
                <w:b/>
                <w:iCs/>
                <w:sz w:val="20"/>
                <w:szCs w:val="20"/>
                <w:lang w:eastAsia="sl-SI"/>
              </w:rPr>
            </w:pPr>
            <w:r w:rsidRPr="003B1F9D">
              <w:rPr>
                <w:rFonts w:ascii="Arial" w:eastAsia="Times New Roman" w:hAnsi="Arial" w:cs="Arial"/>
                <w:b/>
                <w:iCs/>
                <w:sz w:val="20"/>
                <w:szCs w:val="20"/>
                <w:lang w:eastAsia="sl-SI"/>
              </w:rPr>
              <w:t>K 4. členu:</w:t>
            </w:r>
          </w:p>
          <w:p w:rsidR="007D45E5" w:rsidRPr="003B1F9D" w:rsidRDefault="007D45E5" w:rsidP="00365A94">
            <w:pPr>
              <w:spacing w:after="0" w:line="260" w:lineRule="exact"/>
              <w:jc w:val="both"/>
              <w:rPr>
                <w:rFonts w:ascii="Arial" w:eastAsia="Times New Roman" w:hAnsi="Arial" w:cs="Arial"/>
                <w:iCs/>
                <w:sz w:val="20"/>
                <w:szCs w:val="20"/>
                <w:lang w:eastAsia="sl-SI"/>
              </w:rPr>
            </w:pPr>
            <w:r w:rsidRPr="003B1F9D">
              <w:rPr>
                <w:rFonts w:ascii="Arial" w:eastAsia="Times New Roman" w:hAnsi="Arial" w:cs="Arial"/>
                <w:iCs/>
                <w:sz w:val="20"/>
                <w:szCs w:val="20"/>
                <w:lang w:eastAsia="sl-SI"/>
              </w:rPr>
              <w:t xml:space="preserve">Zaradi terminološke uskladitve z besedilom 10. člena Direktive 2001/83/ES, se z novim odstavkom natančneje povzema določilo, ki opredeljuje biološko zdravilo, ki je podobno referenčnemu biološkemu zdravilu za uporabo v veterinarski medicini. </w:t>
            </w:r>
          </w:p>
          <w:p w:rsidR="007D45E5" w:rsidRPr="00365A94" w:rsidRDefault="007D45E5" w:rsidP="00365A94">
            <w:pPr>
              <w:spacing w:after="0" w:line="260" w:lineRule="exact"/>
              <w:jc w:val="both"/>
              <w:rPr>
                <w:rFonts w:ascii="Arial" w:eastAsia="Times New Roman" w:hAnsi="Arial" w:cs="Arial"/>
                <w:iCs/>
                <w:color w:val="7030A0"/>
                <w:sz w:val="20"/>
                <w:szCs w:val="20"/>
                <w:lang w:eastAsia="sl-SI"/>
              </w:rPr>
            </w:pPr>
          </w:p>
          <w:p w:rsidR="007D45E5" w:rsidRPr="00B23DFB" w:rsidRDefault="007D45E5" w:rsidP="00365A94">
            <w:pPr>
              <w:spacing w:after="0" w:line="260" w:lineRule="exact"/>
              <w:jc w:val="both"/>
              <w:rPr>
                <w:rFonts w:ascii="Arial" w:eastAsia="Times New Roman" w:hAnsi="Arial" w:cs="Arial"/>
                <w:b/>
                <w:iCs/>
                <w:sz w:val="20"/>
                <w:szCs w:val="20"/>
                <w:lang w:eastAsia="sl-SI"/>
              </w:rPr>
            </w:pPr>
            <w:r w:rsidRPr="00B23DFB">
              <w:rPr>
                <w:rFonts w:ascii="Arial" w:eastAsia="Times New Roman" w:hAnsi="Arial" w:cs="Arial"/>
                <w:b/>
                <w:iCs/>
                <w:sz w:val="20"/>
                <w:szCs w:val="20"/>
                <w:lang w:eastAsia="sl-SI"/>
              </w:rPr>
              <w:t>K 5. členu:</w:t>
            </w:r>
          </w:p>
          <w:p w:rsidR="007D45E5" w:rsidRPr="00B23DFB" w:rsidRDefault="007D45E5" w:rsidP="00365A94">
            <w:pPr>
              <w:spacing w:after="0" w:line="260" w:lineRule="exact"/>
              <w:jc w:val="both"/>
              <w:rPr>
                <w:rFonts w:ascii="Arial" w:eastAsia="Times New Roman" w:hAnsi="Arial" w:cs="Arial"/>
                <w:iCs/>
                <w:sz w:val="20"/>
                <w:szCs w:val="20"/>
                <w:lang w:eastAsia="sl-SI"/>
              </w:rPr>
            </w:pPr>
            <w:r w:rsidRPr="00B23DFB">
              <w:rPr>
                <w:rFonts w:ascii="Arial" w:eastAsia="Times New Roman" w:hAnsi="Arial" w:cs="Arial"/>
                <w:iCs/>
                <w:sz w:val="20"/>
                <w:szCs w:val="20"/>
                <w:lang w:eastAsia="sl-SI"/>
              </w:rPr>
              <w:t xml:space="preserve">Besedilo se spreminja zaradi terminološke uskladitve z besedilom Delegirane uredbe 2016/161/EU. Poleg tega pa se skladno z besedilom Direktive 2001/83/ES natančneje opredeljuje kategorije zdravil, ki morajo imeti nameščena zaščitna elementa, kategorije zdravil, ki imajo lahko nameščen samo pripomoček za zaščito pred poseganjem v zdravilo oziroma kategorije zdravil, ki ne smejo imeti nameščenih zaščitnih elementov. Prvi odstavek 54a člena Direktive 2001/83/ES namreč določa, da zdravila, ki se izdajajo na recept, morajo imeti nameščena zaščitna elementa, zdravila, ki se ne izdajajo na recept, pa ne smejo imeti nameščenih zaščitnih elementov. Prepoved namestitve zaščitnih elementov pa skladno s 54(o) členom Direktive 2001/83/ES velja tudi za radiofarmacevtske izdelke. Ne glede na navedeno pa Direktiva 2001/83/ES v petem odstavku 54a člena določa, da lahko države članice za namene varnosti bolnikov, razširijo področje uporabe pripomočka za zaščito pred poseganjem v zdravilo na vsa zdravila. Za namene zagotavljanja varnosti bolnikov se tako </w:t>
            </w:r>
            <w:r w:rsidR="00B23DFB" w:rsidRPr="00B23DFB">
              <w:rPr>
                <w:rFonts w:ascii="Arial" w:eastAsia="Times New Roman" w:hAnsi="Arial" w:cs="Arial"/>
                <w:iCs/>
                <w:sz w:val="20"/>
                <w:szCs w:val="20"/>
                <w:lang w:eastAsia="sl-SI"/>
              </w:rPr>
              <w:t xml:space="preserve">s </w:t>
            </w:r>
            <w:r w:rsidRPr="00B23DFB">
              <w:rPr>
                <w:rFonts w:ascii="Arial" w:eastAsia="Times New Roman" w:hAnsi="Arial" w:cs="Arial"/>
                <w:iCs/>
                <w:sz w:val="20"/>
                <w:szCs w:val="20"/>
                <w:lang w:eastAsia="sl-SI"/>
              </w:rPr>
              <w:t xml:space="preserve">spremembo 88. člena zagotovi proizvajalcem zdravil možnost namestitve pripomočka za zaščito pred poseganjem v zdravilu tudi na zdravila, ki sicer ne bi smela imeti nameščenih zaščitnih elementov. Skladno z določbo prvega in drugega odstavka 5. člena Direktive 2001/83/ES pa se za namene zagotavljanja nemotene preskrbe z zdravili v izjemnih primerih, iz obveznosti nameščanja zaščitnih elementov izvzame tista zdravila, za katera JAZMP začasno dovoli promet z zdravilom, ki nima </w:t>
            </w:r>
            <w:r w:rsidRPr="00B23DFB">
              <w:rPr>
                <w:rFonts w:ascii="Arial" w:eastAsia="Times New Roman" w:hAnsi="Arial" w:cs="Arial"/>
                <w:iCs/>
                <w:sz w:val="20"/>
                <w:szCs w:val="20"/>
                <w:lang w:eastAsia="sl-SI"/>
              </w:rPr>
              <w:lastRenderedPageBreak/>
              <w:t>dovoljenja za promet, na podlagi zahteve lečečega zdravnika in mnenja odgovorne klinike oziroma inštituta, na njegovo osebno odgovornost, za potrebe enega ali več posameznih pacientov ali v izrednih primerih, za namen izvajanja zaščitnih ukrepov ali drugih razlogov, ki so v interesu varovanja javnega zdravja ter v interesu varovanja zdravja živali na predlog pristojnega organa. Dodan pa je tudi sedmi odstavek, ki določa, da postopek obveščanja o prostovoljni namestitvi pripomočka za zaščito pred poseganjem v zdravilo in podrobnejše pogoje, način ter obveščanje o uporabi nalepk za namestitev edinstvene oznake na ovojnino in nadomeščanje edinstvene oznake ali pripomočka za zaščito pred poseganjem v zdravilo, določi minister. Ker so osebe z dovoljenjem ali pravico do izdajanja zdravil javnosti, skladno z Delegirano uredbo 2016/161/EU dolžne preverjati zaščitne elemente na zdravilih, ki imajo nameščene zaščitne elemente, je potrebno zagotoviti javno dostopen seznam zdravil, ki imajo nameščene zaščitne elemente in v ta namen opredeliti tudi postopek obveščanja JAZMP v primerih, ko bodo proizvajalci na zdravila prostovoljno namestili pripomoček za zaščito pred poseganjem v zdravilo.</w:t>
            </w:r>
          </w:p>
          <w:p w:rsidR="007D45E5" w:rsidRPr="00365A94" w:rsidRDefault="007D45E5" w:rsidP="00365A94">
            <w:pPr>
              <w:spacing w:after="0" w:line="260" w:lineRule="exact"/>
              <w:jc w:val="both"/>
              <w:rPr>
                <w:rFonts w:ascii="Arial" w:eastAsia="Times New Roman" w:hAnsi="Arial" w:cs="Arial"/>
                <w:iCs/>
                <w:color w:val="7030A0"/>
                <w:sz w:val="20"/>
                <w:szCs w:val="20"/>
                <w:lang w:eastAsia="sl-SI"/>
              </w:rPr>
            </w:pPr>
            <w:r w:rsidRPr="00365A94">
              <w:rPr>
                <w:rFonts w:ascii="Arial" w:eastAsia="Times New Roman" w:hAnsi="Arial" w:cs="Arial"/>
                <w:iCs/>
                <w:color w:val="7030A0"/>
                <w:sz w:val="20"/>
                <w:szCs w:val="20"/>
                <w:lang w:eastAsia="sl-SI"/>
              </w:rPr>
              <w:t> </w:t>
            </w:r>
          </w:p>
          <w:p w:rsidR="007D45E5" w:rsidRPr="00B23DFB" w:rsidRDefault="007D45E5" w:rsidP="00365A94">
            <w:pPr>
              <w:spacing w:after="0" w:line="260" w:lineRule="exact"/>
              <w:jc w:val="both"/>
              <w:rPr>
                <w:rFonts w:ascii="Arial" w:eastAsia="Times New Roman" w:hAnsi="Arial" w:cs="Arial"/>
                <w:b/>
                <w:iCs/>
                <w:sz w:val="20"/>
                <w:szCs w:val="20"/>
                <w:lang w:eastAsia="sl-SI"/>
              </w:rPr>
            </w:pPr>
            <w:r w:rsidRPr="00B23DFB">
              <w:rPr>
                <w:rFonts w:ascii="Arial" w:eastAsia="Times New Roman" w:hAnsi="Arial" w:cs="Arial"/>
                <w:b/>
                <w:iCs/>
                <w:sz w:val="20"/>
                <w:szCs w:val="20"/>
                <w:lang w:eastAsia="sl-SI"/>
              </w:rPr>
              <w:t>K 6. členu:</w:t>
            </w:r>
          </w:p>
          <w:p w:rsidR="007D45E5" w:rsidRPr="00B23DFB" w:rsidRDefault="007D45E5" w:rsidP="00365A94">
            <w:pPr>
              <w:spacing w:after="0" w:line="260" w:lineRule="exact"/>
              <w:jc w:val="both"/>
              <w:rPr>
                <w:rFonts w:ascii="Arial" w:eastAsia="Times New Roman" w:hAnsi="Arial" w:cs="Arial"/>
                <w:iCs/>
                <w:sz w:val="20"/>
                <w:szCs w:val="20"/>
                <w:lang w:eastAsia="sl-SI"/>
              </w:rPr>
            </w:pPr>
            <w:r w:rsidRPr="00B23DFB">
              <w:rPr>
                <w:rFonts w:ascii="Arial" w:eastAsia="Times New Roman" w:hAnsi="Arial" w:cs="Arial"/>
                <w:iCs/>
                <w:sz w:val="20"/>
                <w:szCs w:val="20"/>
                <w:lang w:eastAsia="sl-SI"/>
              </w:rPr>
              <w:t>Ker je način preverjanja zaščitnih elementov določen v Delegirani uredbi 2016/16</w:t>
            </w:r>
            <w:r w:rsidR="00B23DFB" w:rsidRPr="00B23DFB">
              <w:rPr>
                <w:rFonts w:ascii="Arial" w:eastAsia="Times New Roman" w:hAnsi="Arial" w:cs="Arial"/>
                <w:iCs/>
                <w:sz w:val="20"/>
                <w:szCs w:val="20"/>
                <w:lang w:eastAsia="sl-SI"/>
              </w:rPr>
              <w:t>1 se v 106. členu, analogno s šestim</w:t>
            </w:r>
            <w:r w:rsidRPr="00B23DFB">
              <w:rPr>
                <w:rFonts w:ascii="Arial" w:eastAsia="Times New Roman" w:hAnsi="Arial" w:cs="Arial"/>
                <w:iCs/>
                <w:sz w:val="20"/>
                <w:szCs w:val="20"/>
                <w:lang w:eastAsia="sl-SI"/>
              </w:rPr>
              <w:t xml:space="preserve"> odstavkom 88. člena ZZdr-2, doda odstavek, da način preverjanja zaščitnih elementov določi Evropska komisija.</w:t>
            </w:r>
          </w:p>
          <w:p w:rsidR="007D45E5" w:rsidRPr="00B23DFB" w:rsidRDefault="007D45E5" w:rsidP="00365A94">
            <w:pPr>
              <w:spacing w:after="0" w:line="260" w:lineRule="exact"/>
              <w:jc w:val="both"/>
              <w:rPr>
                <w:rFonts w:ascii="Arial" w:eastAsia="Times New Roman" w:hAnsi="Arial" w:cs="Arial"/>
                <w:iCs/>
                <w:sz w:val="20"/>
                <w:szCs w:val="20"/>
                <w:lang w:eastAsia="sl-SI"/>
              </w:rPr>
            </w:pPr>
            <w:r w:rsidRPr="00B23DFB">
              <w:rPr>
                <w:rFonts w:ascii="Arial" w:eastAsia="Times New Roman" w:hAnsi="Arial" w:cs="Arial"/>
                <w:iCs/>
                <w:sz w:val="20"/>
                <w:szCs w:val="20"/>
                <w:lang w:eastAsia="sl-SI"/>
              </w:rPr>
              <w:t> </w:t>
            </w:r>
          </w:p>
          <w:p w:rsidR="007D45E5" w:rsidRPr="00B23DFB" w:rsidRDefault="007D45E5" w:rsidP="00365A94">
            <w:pPr>
              <w:spacing w:after="0" w:line="260" w:lineRule="exact"/>
              <w:jc w:val="both"/>
              <w:rPr>
                <w:rFonts w:ascii="Arial" w:eastAsia="Times New Roman" w:hAnsi="Arial" w:cs="Arial"/>
                <w:b/>
                <w:iCs/>
                <w:sz w:val="20"/>
                <w:szCs w:val="20"/>
                <w:lang w:eastAsia="sl-SI"/>
              </w:rPr>
            </w:pPr>
            <w:r w:rsidRPr="00B23DFB">
              <w:rPr>
                <w:rFonts w:ascii="Arial" w:eastAsia="Times New Roman" w:hAnsi="Arial" w:cs="Arial"/>
                <w:b/>
                <w:iCs/>
                <w:sz w:val="20"/>
                <w:szCs w:val="20"/>
                <w:lang w:eastAsia="sl-SI"/>
              </w:rPr>
              <w:t>K 7. členu:</w:t>
            </w:r>
          </w:p>
          <w:p w:rsidR="007D45E5" w:rsidRPr="00B23DFB" w:rsidRDefault="007D45E5" w:rsidP="00365A94">
            <w:pPr>
              <w:spacing w:after="0" w:line="260" w:lineRule="exact"/>
              <w:jc w:val="both"/>
              <w:rPr>
                <w:rFonts w:ascii="Arial" w:eastAsia="Times New Roman" w:hAnsi="Arial" w:cs="Arial"/>
                <w:iCs/>
                <w:sz w:val="20"/>
                <w:szCs w:val="20"/>
                <w:lang w:eastAsia="sl-SI"/>
              </w:rPr>
            </w:pPr>
            <w:r w:rsidRPr="00B23DFB">
              <w:rPr>
                <w:rFonts w:ascii="Arial" w:eastAsia="Times New Roman" w:hAnsi="Arial" w:cs="Arial"/>
                <w:iCs/>
                <w:sz w:val="20"/>
                <w:szCs w:val="20"/>
                <w:lang w:eastAsia="sl-SI"/>
              </w:rPr>
              <w:t>Zaradi terminološke uskladitve z besedilom iz Delegirane uredbe 2016/161/EU in spremembe definicij</w:t>
            </w:r>
            <w:r w:rsidR="00B23DFB" w:rsidRPr="00B23DFB">
              <w:rPr>
                <w:rFonts w:ascii="Arial" w:eastAsia="Times New Roman" w:hAnsi="Arial" w:cs="Arial"/>
                <w:iCs/>
                <w:sz w:val="20"/>
                <w:szCs w:val="20"/>
                <w:lang w:eastAsia="sl-SI"/>
              </w:rPr>
              <w:t>e</w:t>
            </w:r>
            <w:r w:rsidRPr="00B23DFB">
              <w:rPr>
                <w:rFonts w:ascii="Arial" w:eastAsia="Times New Roman" w:hAnsi="Arial" w:cs="Arial"/>
                <w:iCs/>
                <w:sz w:val="20"/>
                <w:szCs w:val="20"/>
                <w:lang w:eastAsia="sl-SI"/>
              </w:rPr>
              <w:t xml:space="preserve"> iz 6. člena tega ZZdr-2 se besedilo "pritrjenega zaščitnega elementa" piše v dvojini, tako da se glasi "pritrjenih zaščitnih elementov". Pojem zaščitni element se namreč nanaša tako na edinstveno oznako, kot tudi na pripomoček za zaščito pred poseganjem v zdravilo. Zaradi spremembe pomena izrazov se kot nepotrebno črta alinejo z dikcijo "ne zagotovi pripomočka za odkrivanje posega v zunanjo ovojnino (tretji odstavek 88. člena tega zakona)".</w:t>
            </w:r>
          </w:p>
          <w:p w:rsidR="007D45E5" w:rsidRPr="00365A94" w:rsidRDefault="007D45E5" w:rsidP="00365A94">
            <w:pPr>
              <w:spacing w:after="0" w:line="260" w:lineRule="exact"/>
              <w:jc w:val="both"/>
              <w:rPr>
                <w:rFonts w:ascii="Arial" w:eastAsia="Times New Roman" w:hAnsi="Arial" w:cs="Arial"/>
                <w:iCs/>
                <w:color w:val="7030A0"/>
                <w:sz w:val="20"/>
                <w:szCs w:val="20"/>
                <w:lang w:eastAsia="sl-SI"/>
              </w:rPr>
            </w:pPr>
            <w:r w:rsidRPr="00365A94">
              <w:rPr>
                <w:rFonts w:ascii="Arial" w:eastAsia="Times New Roman" w:hAnsi="Arial" w:cs="Arial"/>
                <w:iCs/>
                <w:color w:val="7030A0"/>
                <w:sz w:val="20"/>
                <w:szCs w:val="20"/>
                <w:lang w:eastAsia="sl-SI"/>
              </w:rPr>
              <w:t> </w:t>
            </w:r>
          </w:p>
          <w:p w:rsidR="007D45E5" w:rsidRPr="00B23DFB" w:rsidRDefault="007D45E5" w:rsidP="00365A94">
            <w:pPr>
              <w:spacing w:after="0" w:line="260" w:lineRule="exact"/>
              <w:jc w:val="both"/>
              <w:rPr>
                <w:rFonts w:ascii="Arial" w:eastAsia="Times New Roman" w:hAnsi="Arial" w:cs="Arial"/>
                <w:b/>
                <w:iCs/>
                <w:sz w:val="20"/>
                <w:szCs w:val="20"/>
                <w:lang w:eastAsia="sl-SI"/>
              </w:rPr>
            </w:pPr>
            <w:r w:rsidRPr="00B23DFB">
              <w:rPr>
                <w:rFonts w:ascii="Arial" w:eastAsia="Times New Roman" w:hAnsi="Arial" w:cs="Arial"/>
                <w:b/>
                <w:iCs/>
                <w:sz w:val="20"/>
                <w:szCs w:val="20"/>
                <w:lang w:eastAsia="sl-SI"/>
              </w:rPr>
              <w:t>K 8. členu:</w:t>
            </w:r>
          </w:p>
          <w:p w:rsidR="007D45E5" w:rsidRPr="00B23DFB" w:rsidRDefault="007D45E5" w:rsidP="00365A94">
            <w:pPr>
              <w:spacing w:after="0" w:line="260" w:lineRule="exact"/>
              <w:jc w:val="both"/>
              <w:rPr>
                <w:rFonts w:ascii="Arial" w:eastAsia="Times New Roman" w:hAnsi="Arial" w:cs="Arial"/>
                <w:iCs/>
                <w:sz w:val="20"/>
                <w:szCs w:val="20"/>
                <w:lang w:eastAsia="sl-SI"/>
              </w:rPr>
            </w:pPr>
            <w:r w:rsidRPr="00B23DFB">
              <w:rPr>
                <w:rFonts w:ascii="Arial" w:eastAsia="Times New Roman" w:hAnsi="Arial" w:cs="Arial"/>
                <w:iCs/>
                <w:sz w:val="20"/>
                <w:szCs w:val="20"/>
                <w:lang w:eastAsia="sl-SI"/>
              </w:rPr>
              <w:t>Zaradi terminološke uskladitve z besedilom iz Delegirane uredbe 2016/161/EU in spremembe definicij</w:t>
            </w:r>
            <w:r w:rsidR="00B23DFB" w:rsidRPr="00B23DFB">
              <w:rPr>
                <w:rFonts w:ascii="Arial" w:eastAsia="Times New Roman" w:hAnsi="Arial" w:cs="Arial"/>
                <w:iCs/>
                <w:sz w:val="20"/>
                <w:szCs w:val="20"/>
                <w:lang w:eastAsia="sl-SI"/>
              </w:rPr>
              <w:t>e</w:t>
            </w:r>
            <w:r w:rsidRPr="00B23DFB">
              <w:rPr>
                <w:rFonts w:ascii="Arial" w:eastAsia="Times New Roman" w:hAnsi="Arial" w:cs="Arial"/>
                <w:iCs/>
                <w:sz w:val="20"/>
                <w:szCs w:val="20"/>
                <w:lang w:eastAsia="sl-SI"/>
              </w:rPr>
              <w:t xml:space="preserve"> iz 6. člena ZZdr-2 se besedilo "zaščitnega elementa" piše v dvojini. Pojem zaščitni element se namreč nanaša tako na edinstveno oznako, kot tudi na pripomoček za zaščito pred poseganjem v zdravilo. Ker Delegirana uredba 2016/161 določa seznam zdravil, ki ne smejo imeti nameščenih zaščitnih elementov, se besedilo, ki se glasi "jim ni treba" spremeni v "ne smejo". </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23DFB" w:rsidRPr="00C94FA9" w:rsidRDefault="00B23DFB"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D45E5" w:rsidRPr="00C94FA9" w:rsidTr="003B1F9D">
        <w:tc>
          <w:tcPr>
            <w:tcW w:w="9213" w:type="dxa"/>
          </w:tcPr>
          <w:p w:rsidR="003836C6" w:rsidRDefault="003836C6"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lastRenderedPageBreak/>
              <w:t>IV. BESEDILO ČLENOV, KI SE SPREMINJAJO</w:t>
            </w:r>
          </w:p>
        </w:tc>
      </w:tr>
      <w:tr w:rsidR="007D45E5" w:rsidRPr="00C94FA9" w:rsidTr="003B1F9D">
        <w:tc>
          <w:tcPr>
            <w:tcW w:w="9213" w:type="dxa"/>
          </w:tcPr>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909F8"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909F8">
              <w:rPr>
                <w:rFonts w:ascii="Arial" w:eastAsia="Times New Roman" w:hAnsi="Arial" w:cs="Arial"/>
                <w:sz w:val="20"/>
                <w:szCs w:val="20"/>
                <w:lang w:eastAsia="sl-SI"/>
              </w:rPr>
              <w:t>6. člen</w:t>
            </w:r>
          </w:p>
          <w:p w:rsidR="007D45E5" w:rsidRPr="009909F8"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909F8">
              <w:rPr>
                <w:rFonts w:ascii="Arial" w:eastAsia="Times New Roman" w:hAnsi="Arial" w:cs="Arial"/>
                <w:sz w:val="20"/>
                <w:szCs w:val="20"/>
                <w:lang w:eastAsia="sl-SI"/>
              </w:rPr>
              <w:t>(pomen izrazov)</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909F8">
              <w:rPr>
                <w:rFonts w:ascii="Arial" w:eastAsia="Times New Roman" w:hAnsi="Arial" w:cs="Arial"/>
                <w:sz w:val="20"/>
                <w:szCs w:val="20"/>
                <w:lang w:eastAsia="sl-SI"/>
              </w:rPr>
              <w:t>Izrazi, uporabljeni v tem zakonu, imajo naslednji pomen:</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Pr="009909F8">
              <w:rPr>
                <w:rFonts w:ascii="Arial" w:eastAsia="Times New Roman" w:hAnsi="Arial" w:cs="Arial"/>
                <w:sz w:val="20"/>
                <w:szCs w:val="20"/>
                <w:lang w:eastAsia="sl-SI"/>
              </w:rPr>
              <w:t xml:space="preserve">Analiza kakovosti zdravila je kvalitativna analiza vseh sestavin, kvantitativna analiza najmanj vseh učinkovin in vsi drugi preskusi, potrebni za ugotavljanje kakovosti zdravila v skladu z zahtevami dovoljenja za promet ali s preskusnimi metodami, ki so v skladu z določbami 28. člena tega zakona ali so razvite in </w:t>
            </w:r>
            <w:proofErr w:type="spellStart"/>
            <w:r w:rsidRPr="009909F8">
              <w:rPr>
                <w:rFonts w:ascii="Arial" w:eastAsia="Times New Roman" w:hAnsi="Arial" w:cs="Arial"/>
                <w:sz w:val="20"/>
                <w:szCs w:val="20"/>
                <w:lang w:eastAsia="sl-SI"/>
              </w:rPr>
              <w:t>validirane</w:t>
            </w:r>
            <w:proofErr w:type="spellEnd"/>
            <w:r w:rsidRPr="009909F8">
              <w:rPr>
                <w:rFonts w:ascii="Arial" w:eastAsia="Times New Roman" w:hAnsi="Arial" w:cs="Arial"/>
                <w:sz w:val="20"/>
                <w:szCs w:val="20"/>
                <w:lang w:eastAsia="sl-SI"/>
              </w:rPr>
              <w:t xml:space="preserve"> za namen ugotavljanja kakovosti zdravila.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Pr="009909F8">
              <w:rPr>
                <w:rFonts w:ascii="Arial" w:eastAsia="Times New Roman" w:hAnsi="Arial" w:cs="Arial"/>
                <w:sz w:val="20"/>
                <w:szCs w:val="20"/>
                <w:lang w:eastAsia="sl-SI"/>
              </w:rPr>
              <w:t>Biološko zdravilo je zdravilo, ki kot učinkovino vsebuje biološko snov ali snov, pridobljeno s postopkom, ki vključuje biološke sisteme. Biološka snov je tista, ki je pridobljena iz ali z uporabo biološkega vira in ki za določitev kakovosti potrebuje kombinacijo fizikalno-kemijskega in biološkega preskušanja, skupaj s postopkom proizvodnje in nadzorom nad njim. To so na primer zdravila, proizvedena z biološkim ali biotehnološkim postopkom, vključno s celičnimi kulturami in podobno.</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Pr="009909F8">
              <w:rPr>
                <w:rFonts w:ascii="Arial" w:eastAsia="Times New Roman" w:hAnsi="Arial" w:cs="Arial"/>
                <w:sz w:val="20"/>
                <w:szCs w:val="20"/>
                <w:lang w:eastAsia="sl-SI"/>
              </w:rPr>
              <w:t>Centralizirani postopek je postopek pridobitve dovoljenja za promet z zdravilom v Evropski uniji, kakor ga določa Uredba 726/2004/ES.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9909F8">
              <w:rPr>
                <w:rFonts w:ascii="Arial" w:eastAsia="Times New Roman" w:hAnsi="Arial" w:cs="Arial"/>
                <w:sz w:val="20"/>
                <w:szCs w:val="20"/>
                <w:lang w:eastAsia="sl-SI"/>
              </w:rPr>
              <w:t>Dajanje zdravila v promet pomeni odplačno ali neodplačno preskrbovati trg z zdravili oziroma dajati na voljo zdravilo v Republiki Sloveniji.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 </w:t>
            </w:r>
            <w:r w:rsidRPr="009909F8">
              <w:rPr>
                <w:rFonts w:ascii="Arial" w:eastAsia="Times New Roman" w:hAnsi="Arial" w:cs="Arial"/>
                <w:sz w:val="20"/>
                <w:szCs w:val="20"/>
                <w:lang w:eastAsia="sl-SI"/>
              </w:rPr>
              <w:t>Decentralizirani postopek je postopek za pridobitev dovoljenja za promet z zdravilom, ki se začne hkrati v referenčni in v zadevnih državah članicah Evropske unije. Obvezen je za zdravila, ki se ne obravnavajo po centraliziranem postopku in še niso pridobila dovoljenja za promet z zdravilom v Evropski uniji in ki bodo na trgu v več kakor eni državi članici Evropske unije, kakor to določata Direktiva 2001/83/ES in Direktiva 2001/82/ES.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 </w:t>
            </w:r>
            <w:r w:rsidRPr="009909F8">
              <w:rPr>
                <w:rFonts w:ascii="Arial" w:eastAsia="Times New Roman" w:hAnsi="Arial" w:cs="Arial"/>
                <w:sz w:val="20"/>
                <w:szCs w:val="20"/>
                <w:lang w:eastAsia="sl-SI"/>
              </w:rPr>
              <w:t>Dobra distribucijska praksa je sistem kakovosti, ki se nanaša na organizacijo, izvajanje in nadzor shranjevanja izdelkov po določenem redu pred nadaljnjo uporabo ali dajanjem v promet in prevoz izdelkov od proizvajalca oziroma proizvajalke (v nadaljnjem besedilu: proizvajalec) do končnega uporabnika oziroma uporabnice (v nadaljnjem besedilu: uporabnik) v skladu z načeli in smernicami, ki jih za zdravila in za učinkovine sprejme in objavi Evropska komisija.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 </w:t>
            </w:r>
            <w:r w:rsidRPr="009909F8">
              <w:rPr>
                <w:rFonts w:ascii="Arial" w:eastAsia="Times New Roman" w:hAnsi="Arial" w:cs="Arial"/>
                <w:sz w:val="20"/>
                <w:szCs w:val="20"/>
                <w:lang w:eastAsia="sl-SI"/>
              </w:rPr>
              <w:t xml:space="preserve">Dobra farmakovigilančna praksa so smernice o izvajanju farmakovigilančnih aktivnosti v skladu s </w:t>
            </w:r>
            <w:proofErr w:type="spellStart"/>
            <w:r w:rsidRPr="009909F8">
              <w:rPr>
                <w:rFonts w:ascii="Arial" w:eastAsia="Times New Roman" w:hAnsi="Arial" w:cs="Arial"/>
                <w:sz w:val="20"/>
                <w:szCs w:val="20"/>
                <w:lang w:eastAsia="sl-SI"/>
              </w:rPr>
              <w:t>108.a</w:t>
            </w:r>
            <w:proofErr w:type="spellEnd"/>
            <w:r w:rsidRPr="009909F8">
              <w:rPr>
                <w:rFonts w:ascii="Arial" w:eastAsia="Times New Roman" w:hAnsi="Arial" w:cs="Arial"/>
                <w:sz w:val="20"/>
                <w:szCs w:val="20"/>
                <w:lang w:eastAsia="sl-SI"/>
              </w:rPr>
              <w:t xml:space="preserve"> členom Direktive 2001/83/ES.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 </w:t>
            </w:r>
            <w:r w:rsidRPr="009909F8">
              <w:rPr>
                <w:rFonts w:ascii="Arial" w:eastAsia="Times New Roman" w:hAnsi="Arial" w:cs="Arial"/>
                <w:sz w:val="20"/>
                <w:szCs w:val="20"/>
                <w:lang w:eastAsia="sl-SI"/>
              </w:rPr>
              <w:t>Dobra klinična praksa v kliničnem preskušanju v humani medicini je mednarodni etični in znanstveni sistem kakovosti načrtovanja, izvajanja, zapisovanja, nadzorovanja in poročanja o kliničnem preskušanju na ljudeh, ki zagotavlja verodostojnost podatkov, pridobljenih v preskušanju, ter zaščito pravic in varnosti preiskovancev v skladu s Helsinško deklaracijo Svetovne zdravstvene organizacije o biomedicinskem preskušanju na ljudeh (1964), objavljena na spletni strani http://www.wma.net tem zakonom in na njegovi podlagi sprejetimi predpisi ter predpisi Evropske unije.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 </w:t>
            </w:r>
            <w:r w:rsidRPr="009909F8">
              <w:rPr>
                <w:rFonts w:ascii="Arial" w:eastAsia="Times New Roman" w:hAnsi="Arial" w:cs="Arial"/>
                <w:sz w:val="20"/>
                <w:szCs w:val="20"/>
                <w:lang w:eastAsia="sl-SI"/>
              </w:rPr>
              <w:t>Dobra klinična praksa v kliničnem preskušanju v veterinarski medicini je mednarodni etični in znanstveni sistem kakovosti načrtovanja, izvajanja, zapisovanja, nadzorovanja in poročanja o kliničnem preskušanju na ciljnih živalih, ki zagotavlja verodostojnost podatkov, pridobljenih v preskušanju, in varnost živali v skladu s tem zakonom in na njegovi podlagi sprejetimi predpisi ter predpisi o zaščiti živali.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 </w:t>
            </w:r>
            <w:r w:rsidRPr="009909F8">
              <w:rPr>
                <w:rFonts w:ascii="Arial" w:eastAsia="Times New Roman" w:hAnsi="Arial" w:cs="Arial"/>
                <w:sz w:val="20"/>
                <w:szCs w:val="20"/>
                <w:lang w:eastAsia="sl-SI"/>
              </w:rPr>
              <w:t>Dobra kontrolna laboratorijska praksa je sistem kakovosti za izvajanje analiznega preskušanja zdravil, ki je lahko tudi del dobre proizvodne prakse, s katero se izvaja kontrola kakovosti izdelka.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11. </w:t>
            </w:r>
            <w:r w:rsidRPr="009909F8">
              <w:rPr>
                <w:rFonts w:ascii="Arial" w:eastAsia="Times New Roman" w:hAnsi="Arial" w:cs="Arial"/>
                <w:sz w:val="20"/>
                <w:szCs w:val="20"/>
                <w:lang w:eastAsia="sl-SI"/>
              </w:rPr>
              <w:t>Dobra laboratorijska praksa je sistem kakovosti, ki se nanaša na organizacijske procese in pogoje, v katerih se neklinične zdravstvene in okoljevarstvene študije načrtujejo, izvajajo, nadzorujejo, zapisujejo, arhivirajo in se o njih poroča v skladu z načeli in smernicami, ki jih sprejme in objavi Evropska komisija.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12. </w:t>
            </w:r>
            <w:r w:rsidRPr="009909F8">
              <w:rPr>
                <w:rFonts w:ascii="Arial" w:eastAsia="Times New Roman" w:hAnsi="Arial" w:cs="Arial"/>
                <w:sz w:val="20"/>
                <w:szCs w:val="20"/>
                <w:lang w:eastAsia="sl-SI"/>
              </w:rPr>
              <w:t>Dobra proizvodna praksa je sistem kakovosti, ki zagotavlja dosledno proizvodnjo in kontrolo zdravil in učinkovin v skladu s standardi kakovosti, ustreznimi za njihovo predvideno uporabo v skladu z načeli in smernicami, ki jih sprejme in objavi Evropska komisija.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13. </w:t>
            </w:r>
            <w:r w:rsidRPr="009909F8">
              <w:rPr>
                <w:rFonts w:ascii="Arial" w:eastAsia="Times New Roman" w:hAnsi="Arial" w:cs="Arial"/>
                <w:sz w:val="20"/>
                <w:szCs w:val="20"/>
                <w:lang w:eastAsia="sl-SI"/>
              </w:rPr>
              <w:t>Domnevni neželeni učinek zdravila je sum na neželeni učinek, pri katerem je vzročna povezava med zdravilom in neželenim dogodkom vsaj razumno mogoča.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14. </w:t>
            </w:r>
            <w:r w:rsidRPr="009909F8">
              <w:rPr>
                <w:rFonts w:ascii="Arial" w:eastAsia="Times New Roman" w:hAnsi="Arial" w:cs="Arial"/>
                <w:sz w:val="20"/>
                <w:szCs w:val="20"/>
                <w:lang w:eastAsia="sl-SI"/>
              </w:rPr>
              <w:t>Evropska farmakopeja je farmakopeja, ki jo določa Konvencija o izdelavi Evropske farmakopeje Sveta Evrope (1964), objavljena na spletni strani http://www.edqm.eu in jo izdaja Evropski direktorat za kakovost zdravil (EDQM).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15. </w:t>
            </w:r>
            <w:r w:rsidRPr="009909F8">
              <w:rPr>
                <w:rFonts w:ascii="Arial" w:eastAsia="Times New Roman" w:hAnsi="Arial" w:cs="Arial"/>
                <w:sz w:val="20"/>
                <w:szCs w:val="20"/>
                <w:lang w:eastAsia="sl-SI"/>
              </w:rPr>
              <w:t>Farmacevtska oblika je oblika zdravila, v katero se s tehnološkimi postopki vgradi učinkovino ali učinkovine in s tem omogoči njihovo uporabnost, ob upoštevanju fizioloških pogojev in fizikalno kemijskih lastnosti učinkovine ter pomožnih snovi.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16. </w:t>
            </w:r>
            <w:r w:rsidRPr="009909F8">
              <w:rPr>
                <w:rFonts w:ascii="Arial" w:eastAsia="Times New Roman" w:hAnsi="Arial" w:cs="Arial"/>
                <w:sz w:val="20"/>
                <w:szCs w:val="20"/>
                <w:lang w:eastAsia="sl-SI"/>
              </w:rPr>
              <w:t xml:space="preserve">Farmakopeja je zbirka monografij in drugih določb za razvoj, pripravo oziroma proizvodnjo zdravil, potrjevanje istovetnosti, ugotavljanje </w:t>
            </w:r>
            <w:proofErr w:type="spellStart"/>
            <w:r w:rsidRPr="009909F8">
              <w:rPr>
                <w:rFonts w:ascii="Arial" w:eastAsia="Times New Roman" w:hAnsi="Arial" w:cs="Arial"/>
                <w:sz w:val="20"/>
                <w:szCs w:val="20"/>
                <w:lang w:eastAsia="sl-SI"/>
              </w:rPr>
              <w:t>čistote</w:t>
            </w:r>
            <w:proofErr w:type="spellEnd"/>
            <w:r w:rsidRPr="009909F8">
              <w:rPr>
                <w:rFonts w:ascii="Arial" w:eastAsia="Times New Roman" w:hAnsi="Arial" w:cs="Arial"/>
                <w:sz w:val="20"/>
                <w:szCs w:val="20"/>
                <w:lang w:eastAsia="sl-SI"/>
              </w:rPr>
              <w:t xml:space="preserve"> in preskušanje drugih parametrov kakovosti in drugih lastnosti zdravil ter drugih snovi, iz katerih so zdravila pripravljena oziroma proizvedena ter druge podatke o zdravilih.</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17. </w:t>
            </w:r>
            <w:r w:rsidRPr="009909F8">
              <w:rPr>
                <w:rFonts w:ascii="Arial" w:eastAsia="Times New Roman" w:hAnsi="Arial" w:cs="Arial"/>
                <w:sz w:val="20"/>
                <w:szCs w:val="20"/>
                <w:lang w:eastAsia="sl-SI"/>
              </w:rPr>
              <w:t>Farmakovigilanca je sistem odkrivanja, ocenjevanja, razumevanja in preprečevanja neželenih učinkov zdravil in drugih spoznanj o varnosti zdravil in ukrepanja z namenom upravljanja in zmanjševanja tveganja, povezanega z zdravili.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18. </w:t>
            </w:r>
            <w:r w:rsidRPr="009909F8">
              <w:rPr>
                <w:rFonts w:ascii="Arial" w:eastAsia="Times New Roman" w:hAnsi="Arial" w:cs="Arial"/>
                <w:sz w:val="20"/>
                <w:szCs w:val="20"/>
                <w:lang w:eastAsia="sl-SI"/>
              </w:rPr>
              <w:t>Galensko zdravilo za uporabo v humani medicini je zdravilo, ki se pripravi kot zdravilo na zalogo v lekarni ali v galenskem laboratoriju lekarne, iz sestavin, ki so učinkovine oziroma pomožne snovi, v skladu z veljavnimi farmakopejami ter v skladu z recepturami v veljavnih farmakopejah ali v skladu z recepturami (za potrebe bolnišnične dejavnosti), ki jih na skupni predlog razširjenega strokovnega kolegija, pristojnega za zadevno področje zdravljenja ter razširjenega strokovnega kolegija za lekarniško dejavnost, potrdi JAZMP, ter je namenjeno za izdajo končnim uporabnikom storitev zadevne lekarne v skladu s predpisi, ki urejajo lekarniško dejavnost.</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19. </w:t>
            </w:r>
            <w:r w:rsidRPr="009909F8">
              <w:rPr>
                <w:rFonts w:ascii="Arial" w:eastAsia="Times New Roman" w:hAnsi="Arial" w:cs="Arial"/>
                <w:sz w:val="20"/>
                <w:szCs w:val="20"/>
                <w:lang w:eastAsia="sl-SI"/>
              </w:rPr>
              <w:t>Galensko zdravilo za uporabo v veterinarski medicini je zdravilo, ki ga pripravijo na zalogo v lekarni oziroma v galenskem laboratoriju lekarne iz sestavin, ki so učinkovine oziroma pomožne snovi, v skladu z veljavnimi farmakopejami ter v skladu z recepturami v veljavnih farmakopejah.</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909F8">
              <w:rPr>
                <w:rFonts w:ascii="Arial" w:eastAsia="Times New Roman" w:hAnsi="Arial" w:cs="Arial"/>
                <w:sz w:val="20"/>
                <w:szCs w:val="20"/>
                <w:lang w:eastAsia="sl-SI"/>
              </w:rPr>
              <w:t>Priprava galenskega zdravila je lahko tudi v skladu z recepturami, ki jih na skupni predlog strokovnega organa, ki zastopa veterinarsko dejavnost, ter razširjenega strokovnega kolegija za lekarniško dejavnost potrdita JAZMP in organ, pristojen za veterinarstvo ter je namenjeno za izdajo končnim uporabnikom storitev zadevne lekarne v skladu s predpisi, ki urejajo lekarniško dejavnost.</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20. </w:t>
            </w:r>
            <w:r w:rsidRPr="009909F8">
              <w:rPr>
                <w:rFonts w:ascii="Arial" w:eastAsia="Times New Roman" w:hAnsi="Arial" w:cs="Arial"/>
                <w:sz w:val="20"/>
                <w:szCs w:val="20"/>
                <w:lang w:eastAsia="sl-SI"/>
              </w:rPr>
              <w:t xml:space="preserve">Generično zdravilo je zdravilo, ki ima enako kakovostno in količinsko sestavo učinkovin(e) in farmacevtsko obliko kakor referenčno zdravilo, in čigar </w:t>
            </w:r>
            <w:proofErr w:type="spellStart"/>
            <w:r w:rsidRPr="009909F8">
              <w:rPr>
                <w:rFonts w:ascii="Arial" w:eastAsia="Times New Roman" w:hAnsi="Arial" w:cs="Arial"/>
                <w:sz w:val="20"/>
                <w:szCs w:val="20"/>
                <w:lang w:eastAsia="sl-SI"/>
              </w:rPr>
              <w:t>bioekvivalenca</w:t>
            </w:r>
            <w:proofErr w:type="spellEnd"/>
            <w:r w:rsidRPr="009909F8">
              <w:rPr>
                <w:rFonts w:ascii="Arial" w:eastAsia="Times New Roman" w:hAnsi="Arial" w:cs="Arial"/>
                <w:sz w:val="20"/>
                <w:szCs w:val="20"/>
                <w:lang w:eastAsia="sl-SI"/>
              </w:rPr>
              <w:t xml:space="preserve"> z referenčnim zdravilom je dokazana z ustreznimi študijami biološke uporabnosti. Različne soli, estri, etri, izomeri, zmesi izomerov, kompleksi ali derivati učinkovine se obravnavajo kot enaka učinkovina, razen če se pomembno razlikujejo glede varnosti ali učinkovitosti ali obojega.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21. </w:t>
            </w:r>
            <w:r w:rsidRPr="009909F8">
              <w:rPr>
                <w:rFonts w:ascii="Arial" w:eastAsia="Times New Roman" w:hAnsi="Arial" w:cs="Arial"/>
                <w:sz w:val="20"/>
                <w:szCs w:val="20"/>
                <w:lang w:eastAsia="sl-SI"/>
              </w:rPr>
              <w:t>Glavni dosje o sistemu farmakovigilance je podroben opis sistema farmakovigilance, ki ga uporabljajo imetniki dovoljenj za promet z zdravili za eno ali več zdravil, ki so pridobila dovoljenje za promet.</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22. </w:t>
            </w:r>
            <w:r w:rsidRPr="009909F8">
              <w:rPr>
                <w:rFonts w:ascii="Arial" w:eastAsia="Times New Roman" w:hAnsi="Arial" w:cs="Arial"/>
                <w:sz w:val="20"/>
                <w:szCs w:val="20"/>
                <w:lang w:eastAsia="sl-SI"/>
              </w:rPr>
              <w:t>Homeopatsko zdravilo je zdravilo, pripravljeno iz snovi, ki se imenujejo homeopatske surovine, v skladu s homeopatskim postopkom izdelave po določbah Evropske farmakopeje ali po veljavnih farmakopejah držav članic Evropske unije, če Evropska farmakopeja teh določb ne vsebuje. Homeopatsko zdravilo lahko vsebuje tudi več bistvenih sestavin.</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23. </w:t>
            </w:r>
            <w:r w:rsidRPr="009909F8">
              <w:rPr>
                <w:rFonts w:ascii="Arial" w:eastAsia="Times New Roman" w:hAnsi="Arial" w:cs="Arial"/>
                <w:sz w:val="20"/>
                <w:szCs w:val="20"/>
                <w:lang w:eastAsia="sl-SI"/>
              </w:rPr>
              <w:t>Ime zdravila je lahko izmišljeno ime, ki ne sme povzročiti zamenjave s splošnim imenom, ali pa splošno ali znanstveno ime, skupaj z blagovno znamko ali imenom imetnika oziroma imetnice (v nadaljnjem besedilu: imetnik) dovoljenja za promet z zdravilom.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24. </w:t>
            </w:r>
            <w:r w:rsidRPr="009909F8">
              <w:rPr>
                <w:rFonts w:ascii="Arial" w:eastAsia="Times New Roman" w:hAnsi="Arial" w:cs="Arial"/>
                <w:sz w:val="20"/>
                <w:szCs w:val="20"/>
                <w:lang w:eastAsia="sl-SI"/>
              </w:rPr>
              <w:t>Imunološka zdravila so cepiva, toksini in serumi, ki se uporabljajo za: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sprožitev aktivne imunosti,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sprožitev pasivne imunosti ali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diagnosticiranje stanja imunosti ter</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alergeni, ki so namenjeni odkrivanju ali sprožitvi specifične pridobljene spremembe imunskega odgovora na povzročitelja alergije.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25. </w:t>
            </w:r>
            <w:r w:rsidRPr="009909F8">
              <w:rPr>
                <w:rFonts w:ascii="Arial" w:eastAsia="Times New Roman" w:hAnsi="Arial" w:cs="Arial"/>
                <w:sz w:val="20"/>
                <w:szCs w:val="20"/>
                <w:lang w:eastAsia="sl-SI"/>
              </w:rPr>
              <w:t>Intermediat je vmesni produkt večstopenjske sinteze učinkovine, ki je navadno podvržen nadaljnjim molekulskim spremembam ali prečiščevanju in se lahko izolira ali pa ne, preden postane učinkovina. Ta definicija se nanaša na snovi, proizvedene po stopnji sinteze, ki jo proizvajalec učinkovine opredeli kot začetek sinteze učinkovine.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26. </w:t>
            </w:r>
            <w:r w:rsidRPr="009909F8">
              <w:rPr>
                <w:rFonts w:ascii="Arial" w:eastAsia="Times New Roman" w:hAnsi="Arial" w:cs="Arial"/>
                <w:sz w:val="20"/>
                <w:szCs w:val="20"/>
                <w:lang w:eastAsia="sl-SI"/>
              </w:rPr>
              <w:t xml:space="preserve">Izdaja zdravila v prometu na drobno je prodaja in vročitev zdravila v prometu na drobno, vročitev </w:t>
            </w:r>
            <w:r w:rsidRPr="009909F8">
              <w:rPr>
                <w:rFonts w:ascii="Arial" w:eastAsia="Times New Roman" w:hAnsi="Arial" w:cs="Arial"/>
                <w:sz w:val="20"/>
                <w:szCs w:val="20"/>
                <w:lang w:eastAsia="sl-SI"/>
              </w:rPr>
              <w:lastRenderedPageBreak/>
              <w:t>delno ali v celoti v breme javnih sredstev ali vročitev zdravila, ki je donirano ali zagotovljeno iz proračunskih sredstev končnemu uporabniku, ki jo spremlja ustrezna in strokovno neodvisna podpora s svetovanjem.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27. </w:t>
            </w:r>
            <w:r w:rsidRPr="009909F8">
              <w:rPr>
                <w:rFonts w:ascii="Arial" w:eastAsia="Times New Roman" w:hAnsi="Arial" w:cs="Arial"/>
                <w:sz w:val="20"/>
                <w:szCs w:val="20"/>
                <w:lang w:eastAsia="sl-SI"/>
              </w:rPr>
              <w:t>Izjemna uporaba je uporaba zdravila v veterinarski medicini, ki ni v skladu s povzetkom glavnih značilnosti zdravila, vendar je dovoljena pod pogoji, ki jih določa ta zakon in zakon, ki ureja veterinarska merila skladnosti.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28. </w:t>
            </w:r>
            <w:r w:rsidRPr="009909F8">
              <w:rPr>
                <w:rFonts w:ascii="Arial" w:eastAsia="Times New Roman" w:hAnsi="Arial" w:cs="Arial"/>
                <w:sz w:val="20"/>
                <w:szCs w:val="20"/>
                <w:lang w:eastAsia="sl-SI"/>
              </w:rPr>
              <w:t>Iznos zdravila je promet zdravila na debelo iz Republike Slovenije v druge države članice Evropske unije. Iznos zdravila je tudi prenos zdravila iz ozemlja Republike Slovenije na ozemlje drugih držav članic Evropske unije, kadar zdravilo za svojo osebno uporabo oziroma za osebno uporabo njegovih ožjih družinskih članov oziroma na podlagi pooblastila za osebno uporabo največ enega posameznika, ki ni njegov družinski član, ali za svojo posamezno žival prenaša posameznik.</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29. </w:t>
            </w:r>
            <w:r w:rsidRPr="009909F8">
              <w:rPr>
                <w:rFonts w:ascii="Arial" w:eastAsia="Times New Roman" w:hAnsi="Arial" w:cs="Arial"/>
                <w:sz w:val="20"/>
                <w:szCs w:val="20"/>
                <w:lang w:eastAsia="sl-SI"/>
              </w:rPr>
              <w:t>Izvoz zdravila je promet zdravila na debelo iz Republike Slovenije v tretje države. Izvoz zdravila je tudi prenos zdravila iz ozemlja Republike Slovenije na ozemlje tretjih držav, kadar zdravilo za svojo osebno uporabo oziroma za osebno uporabo njegovih ožjih družinskih članov oziroma na podlagi pooblastila za osebno uporabo največ enega posameznika, ki ni njegov družinski član, ali za svojo posamezno žival prenaša posameznik.</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30. </w:t>
            </w:r>
            <w:r w:rsidRPr="009909F8">
              <w:rPr>
                <w:rFonts w:ascii="Arial" w:eastAsia="Times New Roman" w:hAnsi="Arial" w:cs="Arial"/>
                <w:sz w:val="20"/>
                <w:szCs w:val="20"/>
                <w:lang w:eastAsia="sl-SI"/>
              </w:rPr>
              <w:t>Izvajalci zdravstvene dejavnosti so javni zdravstveni zavodi ter druge pravne in fizične osebe, ki izvajajo zdravstveno dejavnost v skladu s predpisi, ki urejajo zdravstveno dejavnost, razen lekarniške dejavnosti.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31. </w:t>
            </w:r>
            <w:r w:rsidRPr="009909F8">
              <w:rPr>
                <w:rFonts w:ascii="Arial" w:eastAsia="Times New Roman" w:hAnsi="Arial" w:cs="Arial"/>
                <w:sz w:val="20"/>
                <w:szCs w:val="20"/>
                <w:lang w:eastAsia="sl-SI"/>
              </w:rPr>
              <w:t>Izvajalci veterinarske dejavnosti so veterinarske organizacije in druge organizacije, ki v skladu s predpisi, ki urejajo veterinarsko dejavnost, opravljajo veterinarsko dejavnost.</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32. </w:t>
            </w:r>
            <w:r w:rsidRPr="009909F8">
              <w:rPr>
                <w:rFonts w:ascii="Arial" w:eastAsia="Times New Roman" w:hAnsi="Arial" w:cs="Arial"/>
                <w:sz w:val="20"/>
                <w:szCs w:val="20"/>
                <w:lang w:eastAsia="sl-SI"/>
              </w:rPr>
              <w:t>Jakost zdravila je vsebnost učinkovin, izražena količinsko na enoto odmerka, na enoto prostornine ali mase, skladno s farmacevtsko obliko.</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33. </w:t>
            </w:r>
            <w:r w:rsidRPr="009909F8">
              <w:rPr>
                <w:rFonts w:ascii="Arial" w:eastAsia="Times New Roman" w:hAnsi="Arial" w:cs="Arial"/>
                <w:sz w:val="20"/>
                <w:szCs w:val="20"/>
                <w:lang w:eastAsia="sl-SI"/>
              </w:rPr>
              <w:t xml:space="preserve">Karenca je obdobje, ki mora preteči od zadnjega dajanja zdravila za uporabo v veterinarski medicini živali pod normalnimi pogoji uporabe v skladu s tem zakonom in na njegovi podlagi izdanimi predpisi, do začetka pridobivanja oziroma proizvodnje živil iz teh živali, da se zagotovi, da ta živila ne vsebujejo ostankov nad najvišjimi mejnimi vrednostmi, določenimi z Uredbo 470/2009/ES in Uredbo Komisije (EU) št. 37/2010 z dne 22. decembra 2009 o farmakološko aktivnih snoveh in njihovi razvrstitvi glede mejnih vrednosti ostankov v živilih živalskega izvora (UL L št. 15 z dne 20. 1. 2010, str. 1), zadnjič spremenjeno z Izvedbeno uredbo Komisije (EU) št. 489/2013 z dne 27. maja 2013 o spremembi Priloge k Uredbi (EU) št. 37/2010 o farmakološko aktivnih snoveh in njihovi razvrstitvi glede mejnih vrednosti ostankov v živilih živalskega izvora v zvezi s snovjo: </w:t>
            </w:r>
            <w:proofErr w:type="spellStart"/>
            <w:r w:rsidRPr="009909F8">
              <w:rPr>
                <w:rFonts w:ascii="Arial" w:eastAsia="Times New Roman" w:hAnsi="Arial" w:cs="Arial"/>
                <w:sz w:val="20"/>
                <w:szCs w:val="20"/>
                <w:lang w:eastAsia="sl-SI"/>
              </w:rPr>
              <w:t>dvoverižna</w:t>
            </w:r>
            <w:proofErr w:type="spellEnd"/>
            <w:r w:rsidRPr="009909F8">
              <w:rPr>
                <w:rFonts w:ascii="Arial" w:eastAsia="Times New Roman" w:hAnsi="Arial" w:cs="Arial"/>
                <w:sz w:val="20"/>
                <w:szCs w:val="20"/>
                <w:lang w:eastAsia="sl-SI"/>
              </w:rPr>
              <w:t xml:space="preserve"> ribonukleinska kislina, homologna virusni ribonukleinski kislini, ki nosi zapis za del plaščne beljakovine in del </w:t>
            </w:r>
            <w:proofErr w:type="spellStart"/>
            <w:r w:rsidRPr="009909F8">
              <w:rPr>
                <w:rFonts w:ascii="Arial" w:eastAsia="Times New Roman" w:hAnsi="Arial" w:cs="Arial"/>
                <w:sz w:val="20"/>
                <w:szCs w:val="20"/>
                <w:lang w:eastAsia="sl-SI"/>
              </w:rPr>
              <w:t>medgenske</w:t>
            </w:r>
            <w:proofErr w:type="spellEnd"/>
            <w:r w:rsidRPr="009909F8">
              <w:rPr>
                <w:rFonts w:ascii="Arial" w:eastAsia="Times New Roman" w:hAnsi="Arial" w:cs="Arial"/>
                <w:sz w:val="20"/>
                <w:szCs w:val="20"/>
                <w:lang w:eastAsia="sl-SI"/>
              </w:rPr>
              <w:t xml:space="preserve"> regije izraelskega virusa akutne paralize (UL L št. 141 z dne 28. 5. 2013, str. 4), (v nadaljnjem besedilu: Uredba 37/2010/EU).</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34. </w:t>
            </w:r>
            <w:r w:rsidRPr="009909F8">
              <w:rPr>
                <w:rFonts w:ascii="Arial" w:eastAsia="Times New Roman" w:hAnsi="Arial" w:cs="Arial"/>
                <w:sz w:val="20"/>
                <w:szCs w:val="20"/>
                <w:lang w:eastAsia="sl-SI"/>
              </w:rPr>
              <w:t>Končni uporabnik zdravila za uporabo v humani medicini je posameznik, ki mu je bilo zdravilo predpisano oziroma izdano (v nadaljnjem besedilu: pacient) oziroma izvajalec zdravstvene dejavnosti, ki zdravilo uporablja pri izvajanju zdravstvenih storitev.</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35. </w:t>
            </w:r>
            <w:r w:rsidRPr="009909F8">
              <w:rPr>
                <w:rFonts w:ascii="Arial" w:eastAsia="Times New Roman" w:hAnsi="Arial" w:cs="Arial"/>
                <w:sz w:val="20"/>
                <w:szCs w:val="20"/>
                <w:lang w:eastAsia="sl-SI"/>
              </w:rPr>
              <w:t>Končni uporabnik zdravila za uporabo v veterinarski medicini je lastnik oziroma skrbnik živali, ki ji je bilo zdravilo predpisano oziroma izdano oziroma poslovni subjekt, ki uporablja zdravilo pri izvajanju veterinarske dejavnosti.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909F8">
              <w:rPr>
                <w:rFonts w:ascii="Arial" w:eastAsia="Times New Roman" w:hAnsi="Arial" w:cs="Arial"/>
                <w:sz w:val="20"/>
                <w:szCs w:val="20"/>
                <w:lang w:eastAsia="sl-SI"/>
              </w:rPr>
              <w:t>3</w:t>
            </w:r>
            <w:r>
              <w:rPr>
                <w:rFonts w:ascii="Arial" w:eastAsia="Times New Roman" w:hAnsi="Arial" w:cs="Arial"/>
                <w:sz w:val="20"/>
                <w:szCs w:val="20"/>
                <w:lang w:eastAsia="sl-SI"/>
              </w:rPr>
              <w:t xml:space="preserve">6. </w:t>
            </w:r>
            <w:r w:rsidRPr="009909F8">
              <w:rPr>
                <w:rFonts w:ascii="Arial" w:eastAsia="Times New Roman" w:hAnsi="Arial" w:cs="Arial"/>
                <w:sz w:val="20"/>
                <w:szCs w:val="20"/>
                <w:lang w:eastAsia="sl-SI"/>
              </w:rPr>
              <w:t>Magistralno zdravilo za uporabo v humani medicini je zdravilo, ki ga, kadar za doseganje terapevtskega učinka na trgu ni industrijsko proizvedenega ali galensko izdelanega zdravila z enako sestavo učinkovin in pomožnih snovi v ustrezni jakosti ali farmacevtski obliki, izdelajo v lekarni po zdravniškem receptu za posameznega pacienta oziroma skupino pacientov in ga izdajo neposredno po izdelavi.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37. </w:t>
            </w:r>
            <w:r w:rsidRPr="009909F8">
              <w:rPr>
                <w:rFonts w:ascii="Arial" w:eastAsia="Times New Roman" w:hAnsi="Arial" w:cs="Arial"/>
                <w:sz w:val="20"/>
                <w:szCs w:val="20"/>
                <w:lang w:eastAsia="sl-SI"/>
              </w:rPr>
              <w:t>Magistralno zdravilo za uporabo v veterinarski medicini je zdravilo, ki ga izdelajo v lekarni na podlagi veterinarskega recepta za določeno žival ali manjšo skupino živali in ga izdajo neposredno po izdelavi.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38. </w:t>
            </w:r>
            <w:r w:rsidRPr="009909F8">
              <w:rPr>
                <w:rFonts w:ascii="Arial" w:eastAsia="Times New Roman" w:hAnsi="Arial" w:cs="Arial"/>
                <w:sz w:val="20"/>
                <w:szCs w:val="20"/>
                <w:lang w:eastAsia="sl-SI"/>
              </w:rPr>
              <w:t>Motnja v preskrbi z zdravilom je stanje na trgu, kjer poslovni subjekti, odgovorni za preskrbo trga Republike Slovenije, ne uspejo zagotoviti potrebnih količin zdravila v ustreznem času.</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39. </w:t>
            </w:r>
            <w:r w:rsidRPr="009909F8">
              <w:rPr>
                <w:rFonts w:ascii="Arial" w:eastAsia="Times New Roman" w:hAnsi="Arial" w:cs="Arial"/>
                <w:sz w:val="20"/>
                <w:szCs w:val="20"/>
                <w:lang w:eastAsia="sl-SI"/>
              </w:rPr>
              <w:t xml:space="preserve">Nacionalni center za farmakovigilanco je pravna oseba, ki izvaja s tem zakonom določene naloge s področja farmakovigilance zdravil za uporabo v humani medicini in izpolnjuje pogoje glede kadrov, </w:t>
            </w:r>
            <w:r w:rsidRPr="009909F8">
              <w:rPr>
                <w:rFonts w:ascii="Arial" w:eastAsia="Times New Roman" w:hAnsi="Arial" w:cs="Arial"/>
                <w:sz w:val="20"/>
                <w:szCs w:val="20"/>
                <w:lang w:eastAsia="sl-SI"/>
              </w:rPr>
              <w:lastRenderedPageBreak/>
              <w:t>prostorov in opreme, ki jih za to dejavnost določi minister.</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40. </w:t>
            </w:r>
            <w:r w:rsidRPr="009909F8">
              <w:rPr>
                <w:rFonts w:ascii="Arial" w:eastAsia="Times New Roman" w:hAnsi="Arial" w:cs="Arial"/>
                <w:sz w:val="20"/>
                <w:szCs w:val="20"/>
                <w:lang w:eastAsia="sl-SI"/>
              </w:rPr>
              <w:t>Nacionalni identifikator zdravila, s katerim se zdravilo daje v promet v Republiki Sloveniji, je oznaka, ki jo zdravilu dodeli JAZMP in ki enolično določa zdravilo na ravni učinkovine, farmacevtske oblike, jakosti, pakiranja in imetnika dovoljenja.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41. </w:t>
            </w:r>
            <w:r w:rsidRPr="009909F8">
              <w:rPr>
                <w:rFonts w:ascii="Arial" w:eastAsia="Times New Roman" w:hAnsi="Arial" w:cs="Arial"/>
                <w:sz w:val="20"/>
                <w:szCs w:val="20"/>
                <w:lang w:eastAsia="sl-SI"/>
              </w:rPr>
              <w:t>Nacionalni postopek za pridobitev dovoljenja za promet z zdravilom v Republiki Sloveniji je postopek za pridobitev dovoljenja za promet s tistimi zdravili, za katera ni obvezen centralizirani postopek in ki bodo pridobila dovoljenje za promet le v Republiki Sloveniji.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42. </w:t>
            </w:r>
            <w:r w:rsidRPr="009909F8">
              <w:rPr>
                <w:rFonts w:ascii="Arial" w:eastAsia="Times New Roman" w:hAnsi="Arial" w:cs="Arial"/>
                <w:sz w:val="20"/>
                <w:szCs w:val="20"/>
                <w:lang w:eastAsia="sl-SI"/>
              </w:rPr>
              <w:t>Načrt za obvladovanje tveganj na področju farmakovigilance je natančen opis sistema obvladovanja tveganj.</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43. </w:t>
            </w:r>
            <w:r w:rsidRPr="009909F8">
              <w:rPr>
                <w:rFonts w:ascii="Arial" w:eastAsia="Times New Roman" w:hAnsi="Arial" w:cs="Arial"/>
                <w:sz w:val="20"/>
                <w:szCs w:val="20"/>
                <w:lang w:eastAsia="sl-SI"/>
              </w:rPr>
              <w:t>Najvišja mejna vrednost ostankov je najvišja mejna vrednost ostankov zdravil po njihovi uporabi v veterinarski medicini, kot to določa Uredba 470/2009/ES.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44. </w:t>
            </w:r>
            <w:r w:rsidRPr="009909F8">
              <w:rPr>
                <w:rFonts w:ascii="Arial" w:eastAsia="Times New Roman" w:hAnsi="Arial" w:cs="Arial"/>
                <w:sz w:val="20"/>
                <w:szCs w:val="20"/>
                <w:lang w:eastAsia="sl-SI"/>
              </w:rPr>
              <w:t>Napaka pri uporabi zdravila je kakršnokoli nenamerno napačno predpisovanje ali izdaja zdravila ali napačna uporaba zdravila s strani zdravstvenega delavca, pacienta ali končnega uporabnika.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45. </w:t>
            </w:r>
            <w:r w:rsidRPr="009909F8">
              <w:rPr>
                <w:rFonts w:ascii="Arial" w:eastAsia="Times New Roman" w:hAnsi="Arial" w:cs="Arial"/>
                <w:sz w:val="20"/>
                <w:szCs w:val="20"/>
                <w:lang w:eastAsia="sl-SI"/>
              </w:rPr>
              <w:t>Navodilo za uporabo zdravila je informacija za končnega uporabnika, ki je v pisni obliki priložena zdravilu, praviloma kot listič.</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46. </w:t>
            </w:r>
            <w:r w:rsidRPr="009909F8">
              <w:rPr>
                <w:rFonts w:ascii="Arial" w:eastAsia="Times New Roman" w:hAnsi="Arial" w:cs="Arial"/>
                <w:sz w:val="20"/>
                <w:szCs w:val="20"/>
                <w:lang w:eastAsia="sl-SI"/>
              </w:rPr>
              <w:t>Neintervencijsko klinično preskušanje zdravila je klinično preskušanje zdravila, pri katerem izbira pacientov, načina zdravljenja, izbor zdravila, predpisovanje zdravila, določitev preiskav in spremljanje pacienta ne odstopa od ustaljenega načina zdravljenja, ki je v skladu z odobrenim ali predpisanim odmerjanjem, načinom uporabe ali indikacijskim področjem.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47. </w:t>
            </w:r>
            <w:r w:rsidRPr="009909F8">
              <w:rPr>
                <w:rFonts w:ascii="Arial" w:eastAsia="Times New Roman" w:hAnsi="Arial" w:cs="Arial"/>
                <w:sz w:val="20"/>
                <w:szCs w:val="20"/>
                <w:lang w:eastAsia="sl-SI"/>
              </w:rPr>
              <w:t>Neodobrena uporaba zdravila je kakršnakoli namerna uporaba zdravila z medicinskim namenom, ki ni v skladu z dovoljenjem za promet z zdravilom.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48. </w:t>
            </w:r>
            <w:r w:rsidRPr="009909F8">
              <w:rPr>
                <w:rFonts w:ascii="Arial" w:eastAsia="Times New Roman" w:hAnsi="Arial" w:cs="Arial"/>
                <w:sz w:val="20"/>
                <w:szCs w:val="20"/>
                <w:lang w:eastAsia="sl-SI"/>
              </w:rPr>
              <w:t>Nepravilna uporaba zdravila je kakršnakoli namerna neustrezna uporaba zdravila, ki ni v skladu z dovoljenjem za promet z zdravilom.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49. </w:t>
            </w:r>
            <w:r w:rsidRPr="009909F8">
              <w:rPr>
                <w:rFonts w:ascii="Arial" w:eastAsia="Times New Roman" w:hAnsi="Arial" w:cs="Arial"/>
                <w:sz w:val="20"/>
                <w:szCs w:val="20"/>
                <w:lang w:eastAsia="sl-SI"/>
              </w:rPr>
              <w:t>Nepričakovan neželen učinek zdravila je neželen učinek, čigar narava, resnost ali posledica ni v skladu s povzetkom glavnih značilnosti zdravila.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50. </w:t>
            </w:r>
            <w:r w:rsidRPr="009909F8">
              <w:rPr>
                <w:rFonts w:ascii="Arial" w:eastAsia="Times New Roman" w:hAnsi="Arial" w:cs="Arial"/>
                <w:sz w:val="20"/>
                <w:szCs w:val="20"/>
                <w:lang w:eastAsia="sl-SI"/>
              </w:rPr>
              <w:t>Nerutinsko pripravljeno zdravilo za napredno zdravljenje, je katerokoli zdravilo za napredno zdravljenje, ki je pripravljeno nerutinsko v Republiki Sloveniji v skladu s standardi kakovosti, določenimi v tem zakonu in uporabljeno v Republiki Sloveniji pri izvajalcu zdravstvene dejavnosti oziroma veterinarske dejavnosti, ki: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opravlja zdravstveno dejavnost, ob izključni poklicni odgovornosti zdravnika v skladu s posamičnim naročilom za posamično nerutinsko pripravljeno zdravilo za napredno zdravljenje za posameznega pacienta oziroma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opravlja veterinarsko dejavnost, ob izključni poklicni odgovornosti veterinarja v skladu s posamičnim naročilom za posamično žival ali skupino živali iz iste posesti.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51. </w:t>
            </w:r>
            <w:r w:rsidRPr="009909F8">
              <w:rPr>
                <w:rFonts w:ascii="Arial" w:eastAsia="Times New Roman" w:hAnsi="Arial" w:cs="Arial"/>
                <w:sz w:val="20"/>
                <w:szCs w:val="20"/>
                <w:lang w:eastAsia="sl-SI"/>
              </w:rPr>
              <w:t>Neželeni učinek zdravila za uporabo v humani medicini je odziv pacienta na zdravilo, ki je škodljiv in nenameren.</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52. </w:t>
            </w:r>
            <w:r w:rsidRPr="009909F8">
              <w:rPr>
                <w:rFonts w:ascii="Arial" w:eastAsia="Times New Roman" w:hAnsi="Arial" w:cs="Arial"/>
                <w:sz w:val="20"/>
                <w:szCs w:val="20"/>
                <w:lang w:eastAsia="sl-SI"/>
              </w:rPr>
              <w:t>Neželeni učinek zdravila za uporabo v veterinarski medicini je škodljiva in nepričakovana reakcija, do katere lahko pride pri odmerkih, ki se pri živalih običajno uporabljajo za preprečevanje, diagnosticiranje ali zdravljenje bolezni ali za ponovno vzpostavitev, izboljšanje ali spremembo fiziološke funkcije.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53. </w:t>
            </w:r>
            <w:r w:rsidRPr="009909F8">
              <w:rPr>
                <w:rFonts w:ascii="Arial" w:eastAsia="Times New Roman" w:hAnsi="Arial" w:cs="Arial"/>
                <w:sz w:val="20"/>
                <w:szCs w:val="20"/>
                <w:lang w:eastAsia="sl-SI"/>
              </w:rPr>
              <w:t>Neželeni učinek zdravila v kliničnem preskušanju zdravila je vsak škodljiv ali nepredviden odziv na zdravilo v preskušanju, povezan z danim odmerkom.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54. </w:t>
            </w:r>
            <w:r w:rsidRPr="009909F8">
              <w:rPr>
                <w:rFonts w:ascii="Arial" w:eastAsia="Times New Roman" w:hAnsi="Arial" w:cs="Arial"/>
                <w:sz w:val="20"/>
                <w:szCs w:val="20"/>
                <w:lang w:eastAsia="sl-SI"/>
              </w:rPr>
              <w:t>Obveznost opravljanja storitev v javnem interesu je obveznost veletrgovcev, da zagotavljajo stalen in ustrezen nabor zdravil, s katerim zadoščajo zahtevam v Republiki Sloveniji na njenem celotnem ozemlju in v ustrezno kratkem času, ki ga na podlagi dokazljive zdravstvene potrebe oziroma zdravstvene dokumentacije določi izvajalec zdravstvene dejavnosti, in dostavljajo zahtevane dobave v Republiki Sloveniji.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55. </w:t>
            </w:r>
            <w:r w:rsidRPr="009909F8">
              <w:rPr>
                <w:rFonts w:ascii="Arial" w:eastAsia="Times New Roman" w:hAnsi="Arial" w:cs="Arial"/>
                <w:sz w:val="20"/>
                <w:szCs w:val="20"/>
                <w:lang w:eastAsia="sl-SI"/>
              </w:rPr>
              <w:t>Odpoklic določene serije zdravila je vsaka aktivnost, povezana z namenom umika serije zdravila iz prometa in iz uporabe zaradi neustrezne kakovosti serije zdravila ali zaradi ukrepa v sistemu farmakovigilance.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56. </w:t>
            </w:r>
            <w:r w:rsidRPr="009909F8">
              <w:rPr>
                <w:rFonts w:ascii="Arial" w:eastAsia="Times New Roman" w:hAnsi="Arial" w:cs="Arial"/>
                <w:sz w:val="20"/>
                <w:szCs w:val="20"/>
                <w:lang w:eastAsia="sl-SI"/>
              </w:rPr>
              <w:t>Označevanje zdravila so podatki na stični ali zunanji ovojnini.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57. </w:t>
            </w:r>
            <w:r w:rsidRPr="009909F8">
              <w:rPr>
                <w:rFonts w:ascii="Arial" w:eastAsia="Times New Roman" w:hAnsi="Arial" w:cs="Arial"/>
                <w:sz w:val="20"/>
                <w:szCs w:val="20"/>
                <w:lang w:eastAsia="sl-SI"/>
              </w:rPr>
              <w:t xml:space="preserve">Paralelna distribucija zdravila je vnos zdravila, ki je pridobilo dovoljenje za promet z zdravilom po centraliziranem postopku, iz ene v drugo državo članico Evropske unije ali Evropskega </w:t>
            </w:r>
            <w:r w:rsidRPr="009909F8">
              <w:rPr>
                <w:rFonts w:ascii="Arial" w:eastAsia="Times New Roman" w:hAnsi="Arial" w:cs="Arial"/>
                <w:sz w:val="20"/>
                <w:szCs w:val="20"/>
                <w:lang w:eastAsia="sl-SI"/>
              </w:rPr>
              <w:lastRenderedPageBreak/>
              <w:t>gospodarskega prostora (v nadaljnjem besedilu: EGP), ko ga, v skladu s predpisi, opravlja veletrgovec, ki je poslovno nepovezan pri prometu s tem zdravilom z imetnikom dovoljenja za promet z zdravilom.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58. </w:t>
            </w:r>
            <w:r w:rsidRPr="009909F8">
              <w:rPr>
                <w:rFonts w:ascii="Arial" w:eastAsia="Times New Roman" w:hAnsi="Arial" w:cs="Arial"/>
                <w:sz w:val="20"/>
                <w:szCs w:val="20"/>
                <w:lang w:eastAsia="sl-SI"/>
              </w:rPr>
              <w:t>Podobno biološko zdravilo je zdravilo, ki je podobno biološkemu referenčnemu zdravilu z dovoljenjem za promet. Učinkovina v podobnem biološkem zdravilu je podobna učinkovini v referenčnem biološkem zdravilu. Podobnost referenčnemu zdravilu mora biti dokazana z vidika kakovosti, biološke aktivnosti, varnosti in učinkovitosti na podlagi primerjalnih raziskav. Odmerjanje in pot dajanja morata biti enaka kot pri referenčnem biološkem zdravilu. Vsako odstopanje glede oblikovanja zdravila ali njegovih pomožnih snovi mora biti ustrezno utemeljeno in podprto z dodatnimi raziskavami.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59. </w:t>
            </w:r>
            <w:r w:rsidRPr="009909F8">
              <w:rPr>
                <w:rFonts w:ascii="Arial" w:eastAsia="Times New Roman" w:hAnsi="Arial" w:cs="Arial"/>
                <w:sz w:val="20"/>
                <w:szCs w:val="20"/>
                <w:lang w:eastAsia="sl-SI"/>
              </w:rPr>
              <w:t>Paralelni uvoz zdravila je vnos zdravila, ki ima dovoljenje za promet v državi izvoznici in je zadosti podobno zdravilu, ki je v Republiki Sloveniji pridobilo dovoljenje za promet po nacionalnem postopku ali po postopku z medsebojnim priznavanjem oziroma decentraliziranem postopku in se z dovoljenjem za promet s paralelno uvoženim zdravilom, ki ga izda JAZMP, vnaša v Republiko Slovenijo, pri čemer paralelni uvoz zdravila opravlja veletrgovec, poslovno nepovezan pri prometu s tem zdravilom z imetnikom dovoljenja za promet z zdravilom.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60. </w:t>
            </w:r>
            <w:r w:rsidRPr="009909F8">
              <w:rPr>
                <w:rFonts w:ascii="Arial" w:eastAsia="Times New Roman" w:hAnsi="Arial" w:cs="Arial"/>
                <w:sz w:val="20"/>
                <w:szCs w:val="20"/>
                <w:lang w:eastAsia="sl-SI"/>
              </w:rPr>
              <w:t>Poklicna izpostavljenost zdravilu je izpostavljenost zdravilu na delovnem mestu.</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61. </w:t>
            </w:r>
            <w:r w:rsidRPr="009909F8">
              <w:rPr>
                <w:rFonts w:ascii="Arial" w:eastAsia="Times New Roman" w:hAnsi="Arial" w:cs="Arial"/>
                <w:sz w:val="20"/>
                <w:szCs w:val="20"/>
                <w:lang w:eastAsia="sl-SI"/>
              </w:rPr>
              <w:t>Polizdelek je izdelek, ki je prešel vse faze proizvodnje, razen pakiranja v zunanjo ovojnino.</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62. </w:t>
            </w:r>
            <w:r w:rsidRPr="009909F8">
              <w:rPr>
                <w:rFonts w:ascii="Arial" w:eastAsia="Times New Roman" w:hAnsi="Arial" w:cs="Arial"/>
                <w:sz w:val="20"/>
                <w:szCs w:val="20"/>
                <w:lang w:eastAsia="sl-SI"/>
              </w:rPr>
              <w:t>Ponarejeno zdravilo je vsako zdravilo, pri katerem je lažno predstavljena: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identiteta, vključno z ovojnino in označevanjem ali ime ali sestava katerekoli od sestavin, vključno s pomožnimi snovmi in njihovo jakostjo,</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izvor, vključno s proizvajalcem, državo proizvodnje, državo porekla ali imetnikom dovoljenja za promet z zdravilom ali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zgodovina, vključno z zapisi in dokumentacijo o uporabljenih distribucijskih poteh.</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909F8">
              <w:rPr>
                <w:rFonts w:ascii="Arial" w:eastAsia="Times New Roman" w:hAnsi="Arial" w:cs="Arial"/>
                <w:sz w:val="20"/>
                <w:szCs w:val="20"/>
                <w:lang w:eastAsia="sl-SI"/>
              </w:rPr>
              <w:t>Ta opredelitev ne velja za nenamerne napake v kakovosti in ne posega v kršitve pravic intelektualne lastnine.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63. </w:t>
            </w:r>
            <w:r w:rsidRPr="009909F8">
              <w:rPr>
                <w:rFonts w:ascii="Arial" w:eastAsia="Times New Roman" w:hAnsi="Arial" w:cs="Arial"/>
                <w:sz w:val="20"/>
                <w:szCs w:val="20"/>
                <w:lang w:eastAsia="sl-SI"/>
              </w:rPr>
              <w:t>Pomožna snov je vsaka sestavina zdravila, ki ni učinkovina ali ovojnina.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64. </w:t>
            </w:r>
            <w:r w:rsidRPr="009909F8">
              <w:rPr>
                <w:rFonts w:ascii="Arial" w:eastAsia="Times New Roman" w:hAnsi="Arial" w:cs="Arial"/>
                <w:sz w:val="20"/>
                <w:szCs w:val="20"/>
                <w:lang w:eastAsia="sl-SI"/>
              </w:rPr>
              <w:t>Posameznik ali posameznica (v nadaljnjem besedilu: posameznik) je določena ali določljiva fizična oseba, ki se jo lahko neposredno ali posredno identificira.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65. </w:t>
            </w:r>
            <w:r w:rsidRPr="009909F8">
              <w:rPr>
                <w:rFonts w:ascii="Arial" w:eastAsia="Times New Roman" w:hAnsi="Arial" w:cs="Arial"/>
                <w:sz w:val="20"/>
                <w:szCs w:val="20"/>
                <w:lang w:eastAsia="sl-SI"/>
              </w:rPr>
              <w:t>Posamezno mesto proizvodnje je omejen prostor, ki v razmerju do okolice predstavlja zaključeno celoto, in znotraj katerega imetnik dovoljenja za proizvodnjo zdravil opravlja aktivnosti proizvodnje zdravil.</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66. </w:t>
            </w:r>
            <w:r w:rsidRPr="009909F8">
              <w:rPr>
                <w:rFonts w:ascii="Arial" w:eastAsia="Times New Roman" w:hAnsi="Arial" w:cs="Arial"/>
                <w:sz w:val="20"/>
                <w:szCs w:val="20"/>
                <w:lang w:eastAsia="sl-SI"/>
              </w:rPr>
              <w:t>Posamezne aktivnosti proizvodnje so aktivnosti proizvodnje zdravil, ki so opredeljene kot izdelava polizdelkov, izdelava končnih oblik v ožjem pomenu, primarno pakiranje, zunanje pakiranje, sprostitev serij končnega zdravila, kontrola kakovosti in uvoz zdravil. Delijo se glede na namembnost zdravila, na aktivnosti proizvodnje zdravil za uporabo v humani in veterinarski medicini in glede na stopnjo razvoja na aktivnosti proizvodnje zdravil in aktivnosti proizvodnje zdravil v kliničnem preskušanju. Aktivnosti proizvodnje končnih oblik v ožjem pomenu se delijo glede na farmacevtske oblike. Aktivnosti kontrole kakovosti se delijo glede na vrsto izvajanih testov, proizvodnje zdravil za uporabo v humani in veterinarski medicini in glede na stopnjo razvoja na aktivnosti proizvodnje zdravil ter aktivnosti proizvodnje zdravil v kliničnem preskušanju. Aktivnosti proizvodnje končnih oblik v ožjem pomenu se delijo glede na farmacevtske oblike. Aktivnosti kontrole kakovosti se delijo glede na vrsto izvajanih testov.</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67. </w:t>
            </w:r>
            <w:r w:rsidRPr="009909F8">
              <w:rPr>
                <w:rFonts w:ascii="Arial" w:eastAsia="Times New Roman" w:hAnsi="Arial" w:cs="Arial"/>
                <w:sz w:val="20"/>
                <w:szCs w:val="20"/>
                <w:lang w:eastAsia="sl-SI"/>
              </w:rPr>
              <w:t>Poslovni subjekti so domače in tuje pravne osebe, samostojni podjetniki posamezniki, posamezniki, ki samostojno opravljajo dejavnost in druge fizične osebe, ki opravljajo registrirane dejavnosti, ali s predpisom ali z aktom o ustanovitvi določene dejavnosti.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68. </w:t>
            </w:r>
            <w:r w:rsidRPr="009909F8">
              <w:rPr>
                <w:rFonts w:ascii="Arial" w:eastAsia="Times New Roman" w:hAnsi="Arial" w:cs="Arial"/>
                <w:sz w:val="20"/>
                <w:szCs w:val="20"/>
                <w:lang w:eastAsia="sl-SI"/>
              </w:rPr>
              <w:t>Posredništvo zdravil ali učinkovin ali obojega so dejavnosti, povezane s prodajo ali nabavo zdravil ali učinkovin ali obojega, razen prometa na debelo, ki ne vključujejo stika z učinkovino ali z zdravilom in predstavljajo neodvisno posredovanje v imenu drugega poslovnega subjekta.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69. </w:t>
            </w:r>
            <w:r w:rsidRPr="009909F8">
              <w:rPr>
                <w:rFonts w:ascii="Arial" w:eastAsia="Times New Roman" w:hAnsi="Arial" w:cs="Arial"/>
                <w:sz w:val="20"/>
                <w:szCs w:val="20"/>
                <w:lang w:eastAsia="sl-SI"/>
              </w:rPr>
              <w:t xml:space="preserve">Postopek z medsebojnim priznavanjem je postopek za pridobitev dovoljenja za promet z zdravilom, ki se po odobritvi v referenčni državi članici, začne v zadevnih državah članicah Evropske unije in je obvezen za zdravila, ki se ne obravnavajo po centraliziranem ali decentraliziranem postopku izdaje dovoljenja za promet z zdravilom in ki bodo na trgu v več kakor eni državi članici </w:t>
            </w:r>
            <w:r w:rsidRPr="009909F8">
              <w:rPr>
                <w:rFonts w:ascii="Arial" w:eastAsia="Times New Roman" w:hAnsi="Arial" w:cs="Arial"/>
                <w:sz w:val="20"/>
                <w:szCs w:val="20"/>
                <w:lang w:eastAsia="sl-SI"/>
              </w:rPr>
              <w:lastRenderedPageBreak/>
              <w:t>Evropske unije, kakor to določata Direktiva 2001/83/ES in Direktiva 2001/82/ES.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70. </w:t>
            </w:r>
            <w:r w:rsidRPr="009909F8">
              <w:rPr>
                <w:rFonts w:ascii="Arial" w:eastAsia="Times New Roman" w:hAnsi="Arial" w:cs="Arial"/>
                <w:sz w:val="20"/>
                <w:szCs w:val="20"/>
                <w:lang w:eastAsia="sl-SI"/>
              </w:rPr>
              <w:t>Predmešanica za pripravo zdravilne krmne mešanice oziroma premiks za izdelavo medicirane krme je zdravilo za uporabo v veterinarski medicini, pripravljeno vnaprej za nadaljnjo izdelavo medicirane krme.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71. </w:t>
            </w:r>
            <w:r w:rsidRPr="009909F8">
              <w:rPr>
                <w:rFonts w:ascii="Arial" w:eastAsia="Times New Roman" w:hAnsi="Arial" w:cs="Arial"/>
                <w:sz w:val="20"/>
                <w:szCs w:val="20"/>
                <w:lang w:eastAsia="sl-SI"/>
              </w:rPr>
              <w:t>Prednost preskrbe z industrijsko izdelanimi zdravili iz slovenske plazme (to je iz sveže zamrznjene plazme za predelavo, zbrane v Republiki Sloveniji) je načelo, na podlagi katerega se izvaja preskrba z zdravili iz Evropske unije iz tuje plazme na podlagi dovoljenja za promet, če se z zdravili iz slovenske plazme ne pokrije vseh potreb po teh zdravilih v Republiki Sloveniji, razen kadar je vnos ali uvoz določenega zdravila iz tuje plazme strokovno utemeljen ali za to obstaja strateški razlog, do katerega se opredelita Strateški svet za zdravila ter Strokovni svet za preskrbo s krvjo in z zdravili iz plazme.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72. </w:t>
            </w:r>
            <w:r w:rsidRPr="009909F8">
              <w:rPr>
                <w:rFonts w:ascii="Arial" w:eastAsia="Times New Roman" w:hAnsi="Arial" w:cs="Arial"/>
                <w:sz w:val="20"/>
                <w:szCs w:val="20"/>
                <w:lang w:eastAsia="sl-SI"/>
              </w:rPr>
              <w:t>Preveliko odmerjanje je uporaba take količine zdravila v enem odmerku ali kumulativno, ki glede na dovoljenje za promet z zdravilom in ob upoštevanju klinične presoje presega največji dovoljen odmerek.</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73. </w:t>
            </w:r>
            <w:r w:rsidRPr="009909F8">
              <w:rPr>
                <w:rFonts w:ascii="Arial" w:eastAsia="Times New Roman" w:hAnsi="Arial" w:cs="Arial"/>
                <w:sz w:val="20"/>
                <w:szCs w:val="20"/>
                <w:lang w:eastAsia="sl-SI"/>
              </w:rPr>
              <w:t>Prihod zdravila v promet pomeni prvo opravljeno aktivnost v prometu z zdravilom, ki omogoča preskrbo trga s tem zdravilom in njegovo dostopnost končnemu uporabniku.</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74. </w:t>
            </w:r>
            <w:r w:rsidRPr="009909F8">
              <w:rPr>
                <w:rFonts w:ascii="Arial" w:eastAsia="Times New Roman" w:hAnsi="Arial" w:cs="Arial"/>
                <w:sz w:val="20"/>
                <w:szCs w:val="20"/>
                <w:lang w:eastAsia="sl-SI"/>
              </w:rPr>
              <w:t>Promet z učinkovinami in pomožnimi snovmi na debelo pomeni aktivnosti nakupa, shranjevanja, prodaje, vnosa, uvoza, iznosa ali izvoza učinkovin.</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75. </w:t>
            </w:r>
            <w:r w:rsidRPr="009909F8">
              <w:rPr>
                <w:rFonts w:ascii="Arial" w:eastAsia="Times New Roman" w:hAnsi="Arial" w:cs="Arial"/>
                <w:sz w:val="20"/>
                <w:szCs w:val="20"/>
                <w:lang w:eastAsia="sl-SI"/>
              </w:rPr>
              <w:t>Promet z zdravili na debelo so aktivnosti nakupa, vnosa, shranjevanja, iznosa, izvoza, prodaje zdravil, razen izdaje zdravil v prometu na drobno končnim uporabnikom.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76. </w:t>
            </w:r>
            <w:r w:rsidRPr="009909F8">
              <w:rPr>
                <w:rFonts w:ascii="Arial" w:eastAsia="Times New Roman" w:hAnsi="Arial" w:cs="Arial"/>
                <w:sz w:val="20"/>
                <w:szCs w:val="20"/>
                <w:lang w:eastAsia="sl-SI"/>
              </w:rPr>
              <w:t>Promet z zdravili na drobno so aktivnosti nakupa, shranjevanja in izdaje zdravila ali uporaba zdravila ob zdravstveni ali veterinarski storitvi.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77. </w:t>
            </w:r>
            <w:r w:rsidRPr="009909F8">
              <w:rPr>
                <w:rFonts w:ascii="Arial" w:eastAsia="Times New Roman" w:hAnsi="Arial" w:cs="Arial"/>
                <w:sz w:val="20"/>
                <w:szCs w:val="20"/>
                <w:lang w:eastAsia="sl-SI"/>
              </w:rPr>
              <w:t>Radiofarmacevtski izdelki so radiofarmaki, radionuklidni predhodniki, radionuklidni generatorji in kompleti za pripravo radiofarmakov, in sicer:</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radiofarmak je zdravilo, ki, takrat, ko je pripravljeno za uporabo, vsebuje enega ali več radionuklidov (radioaktivnih izotopov), namenjenih za uporabo v humani in veterinarski medicini,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radionuklidni generator je sistem z vgrajenim trdno vezanim starševskim radionuklidom, iz katerega nastane potomčev radionuklid, ki ga lahko ločimo s spiranjem ali drugo metodo, in se uporablja kot radiofarmak ali radionuklidni predhodnik,</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radionuklidni predhodnik je radionuklid, ki se v procesu priprave radiofarmaka uporablja za označevanje druge snovi, pri čemer označevanje poteka pred dajanjem pacientu,</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komplet za pripravo radiofarmaka je vsak izdelek, ki ga rekonstituiramo ali kombiniramo z radionuklidi (radionuklidnimi predhodniki) v končni radiofarmak, navadno pred dajanjem pacientu.</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78. </w:t>
            </w:r>
            <w:r w:rsidRPr="009909F8">
              <w:rPr>
                <w:rFonts w:ascii="Arial" w:eastAsia="Times New Roman" w:hAnsi="Arial" w:cs="Arial"/>
                <w:sz w:val="20"/>
                <w:szCs w:val="20"/>
                <w:lang w:eastAsia="sl-SI"/>
              </w:rPr>
              <w:t>Razmerje med koristjo in tveganjem je ocena pozitivnih učinkov zdravljenja z zdravilom v primerjavi s tveganji, na način kot določa ta zakon.</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79. </w:t>
            </w:r>
            <w:r w:rsidRPr="009909F8">
              <w:rPr>
                <w:rFonts w:ascii="Arial" w:eastAsia="Times New Roman" w:hAnsi="Arial" w:cs="Arial"/>
                <w:sz w:val="20"/>
                <w:szCs w:val="20"/>
                <w:lang w:eastAsia="sl-SI"/>
              </w:rPr>
              <w:t>Referenčna država članica je država, ki v postopku z medsebojnim priznavanjem ali decentraliziranem postopku izdela poročilo o oceni zdravila, na podlagi katerega se zadevne države članice Evropske unije odločajo o sprejemljivosti razmerja med koristjo in tveganjem oziroma o oceni kakovosti, varnosti in učinkovitosti zdravila v skladu z Direktivo 2001/83/ES in Direktivo 2001/82/ES.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80. </w:t>
            </w:r>
            <w:r w:rsidRPr="009909F8">
              <w:rPr>
                <w:rFonts w:ascii="Arial" w:eastAsia="Times New Roman" w:hAnsi="Arial" w:cs="Arial"/>
                <w:sz w:val="20"/>
                <w:szCs w:val="20"/>
                <w:lang w:eastAsia="sl-SI"/>
              </w:rPr>
              <w:t>Referenčno zdravilo je zdravilo, ki je pridobilo dovoljenje za promet v skladu s 44. členom tega zakona in se na njegovo dokumentacijo sklicujejo drugi predlagatelji ob upoštevanju 59. člena tega zakona.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81. </w:t>
            </w:r>
            <w:r w:rsidRPr="009909F8">
              <w:rPr>
                <w:rFonts w:ascii="Arial" w:eastAsia="Times New Roman" w:hAnsi="Arial" w:cs="Arial"/>
                <w:sz w:val="20"/>
                <w:szCs w:val="20"/>
                <w:lang w:eastAsia="sl-SI"/>
              </w:rPr>
              <w:t>Resen neželen učinek zdravila za uporabo v humani medicini je neželen učinek, ki povzroči smrt, neposredno življenjsko ogroženost, zahteva bolnišnično obravnavo ali podaljšanje obstoječe bolnišnične obravnave, dolgotrajno ali izrazito nezmožnost ali nesposobnost, prirojeno anomalijo ali okvaro ob rojstvu pacienta.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82. </w:t>
            </w:r>
            <w:r w:rsidRPr="009909F8">
              <w:rPr>
                <w:rFonts w:ascii="Arial" w:eastAsia="Times New Roman" w:hAnsi="Arial" w:cs="Arial"/>
                <w:sz w:val="20"/>
                <w:szCs w:val="20"/>
                <w:lang w:eastAsia="sl-SI"/>
              </w:rPr>
              <w:t>Resen neželen učinek zdravila za uporabo v veterinarski medicini je neželen učinek zdravila, ki povzroči pogin, neposredno življenjsko ogroženost, izrazito nezmožnost ali nesposobnost, prirojeno anomalijo, okvaro ob rojstvu, ali povzroči trajne ali dolgotrajnejše bolezenske znake pri obravnavanih živalih.</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83. </w:t>
            </w:r>
            <w:r w:rsidRPr="009909F8">
              <w:rPr>
                <w:rFonts w:ascii="Arial" w:eastAsia="Times New Roman" w:hAnsi="Arial" w:cs="Arial"/>
                <w:sz w:val="20"/>
                <w:szCs w:val="20"/>
                <w:lang w:eastAsia="sl-SI"/>
              </w:rPr>
              <w:t xml:space="preserve">Serija zdravila je določena količina zdravila s pričakovano homogenostjo, ki je proizvedena v okviru enega procesa oziroma zaporedja procesov in je identificirana z jasno opredeljeno kombinacijo znakov, ki so številke ali črke. Vključuje vse enote farmacevtske oblike, ki so proizvedene iz iste </w:t>
            </w:r>
            <w:r w:rsidRPr="009909F8">
              <w:rPr>
                <w:rFonts w:ascii="Arial" w:eastAsia="Times New Roman" w:hAnsi="Arial" w:cs="Arial"/>
                <w:sz w:val="20"/>
                <w:szCs w:val="20"/>
                <w:lang w:eastAsia="sl-SI"/>
              </w:rPr>
              <w:lastRenderedPageBreak/>
              <w:t>začetne količine snovi in so bile vključene v isto zaporedje proizvodnih procesov ali isti proces sterilizacije. V primeru neprekinjenega procesa proizvodnje vsebuje vse enote, proizvedene v določenem časovnem obdobju.</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84. </w:t>
            </w:r>
            <w:r w:rsidRPr="009909F8">
              <w:rPr>
                <w:rFonts w:ascii="Arial" w:eastAsia="Times New Roman" w:hAnsi="Arial" w:cs="Arial"/>
                <w:sz w:val="20"/>
                <w:szCs w:val="20"/>
                <w:lang w:eastAsia="sl-SI"/>
              </w:rPr>
              <w:t>Sistem farmakovigilance je sistem spremljanja in poročanja, ki ga upravljajo imetniki dovoljenj za promet z zdravili in države članice Evropske unije za izpolnjevanje nalog in odgovornosti na podlagi tega zakona in katerega namen je spremljati zdravila, ki so pridobila dovoljenje za promet, in odkrivanje sprememb razmerja med koristjo in tveganjem pri uporabi zdravil.</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85. </w:t>
            </w:r>
            <w:r w:rsidRPr="009909F8">
              <w:rPr>
                <w:rFonts w:ascii="Arial" w:eastAsia="Times New Roman" w:hAnsi="Arial" w:cs="Arial"/>
                <w:sz w:val="20"/>
                <w:szCs w:val="20"/>
                <w:lang w:eastAsia="sl-SI"/>
              </w:rPr>
              <w:t>Sistem hitrega obveščanja je komunikacijski sistem organov, pristojnih za zdravila držav članic Evropske unije in Evropske unije, vzpostavljen z namenom takojšnjega medsebojnega in po potrebi širšega obveščanja o nastalem novem tveganju za javno zdravje, povezanim z varnostjo ali kakovostjo zdravila, ter z namenom zmanjševanja tega tveganja.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86. </w:t>
            </w:r>
            <w:r w:rsidRPr="009909F8">
              <w:rPr>
                <w:rFonts w:ascii="Arial" w:eastAsia="Times New Roman" w:hAnsi="Arial" w:cs="Arial"/>
                <w:sz w:val="20"/>
                <w:szCs w:val="20"/>
                <w:lang w:eastAsia="sl-SI"/>
              </w:rPr>
              <w:t>Sistem obvladovanja tveganj je sklop dejavnosti v sistemu farmakovigilance in ukrepov za ugotovitev, opredelitev, preprečevanje ali zmanjševanje tveganj v zvezi z zdravilom, vključno z oceno učinkovitosti navedenih dejavnosti in ukrepov.</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87. </w:t>
            </w:r>
            <w:r w:rsidRPr="009909F8">
              <w:rPr>
                <w:rFonts w:ascii="Arial" w:eastAsia="Times New Roman" w:hAnsi="Arial" w:cs="Arial"/>
                <w:sz w:val="20"/>
                <w:szCs w:val="20"/>
                <w:lang w:eastAsia="sl-SI"/>
              </w:rPr>
              <w:t>Sočutna uporaba je dajanje zdravila z novo učinkovino, ki predstavlja pomembno terapevtsko, znanstveno in tehnično inovacijo in je v postopku pridobitve dovoljenja za promet z zdravilom oziroma v postopku kliničnega preskušanja zdravila, na voljo skupini pacientov s kronično ali resno izčrpavajočo boleznijo, ki je ni mogoče zadovoljivo zdraviti z zdravili, ki imajo dovoljenje za promet, kot to določa 83. člen Uredbe 726/2004/ES.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88. </w:t>
            </w:r>
            <w:r w:rsidRPr="009909F8">
              <w:rPr>
                <w:rFonts w:ascii="Arial" w:eastAsia="Times New Roman" w:hAnsi="Arial" w:cs="Arial"/>
                <w:sz w:val="20"/>
                <w:szCs w:val="20"/>
                <w:lang w:eastAsia="sl-SI"/>
              </w:rPr>
              <w:t>Specializirana prodajalna za zdravila je prodajni objekt, kjer poslovni subjekt na podlagi dovoljenja JAZMP, opravlja dejavnost prometa na drobno s tistimi zdravili, ki se na podlagi tega zakona izdajajo brez recepta v lekarnah in specializiranih prodajalnah.</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89. </w:t>
            </w:r>
            <w:r w:rsidRPr="009909F8">
              <w:rPr>
                <w:rFonts w:ascii="Arial" w:eastAsia="Times New Roman" w:hAnsi="Arial" w:cs="Arial"/>
                <w:sz w:val="20"/>
                <w:szCs w:val="20"/>
                <w:lang w:eastAsia="sl-SI"/>
              </w:rPr>
              <w:t>Splošno ime zdravila je mednarodno nelastniško ime, ki ga priporoča Svetovna zdravstvena organizacija, ali če tega imena ni, običajno splošno ime.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909F8">
              <w:rPr>
                <w:rFonts w:ascii="Arial" w:eastAsia="Times New Roman" w:hAnsi="Arial" w:cs="Arial"/>
                <w:sz w:val="20"/>
                <w:szCs w:val="20"/>
                <w:lang w:eastAsia="sl-SI"/>
              </w:rPr>
              <w:t>90.</w:t>
            </w: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Sponzor oziroma sponzorka (v nadaljnjem besedilu: sponzor) je poslovni subjekt oziroma posameznik, ki prevzame odgovornost za začetek, vodenje oziroma financiranje kliničnega preskušanja zdravila.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91. </w:t>
            </w:r>
            <w:r w:rsidRPr="009909F8">
              <w:rPr>
                <w:rFonts w:ascii="Arial" w:eastAsia="Times New Roman" w:hAnsi="Arial" w:cs="Arial"/>
                <w:sz w:val="20"/>
                <w:szCs w:val="20"/>
                <w:lang w:eastAsia="sl-SI"/>
              </w:rPr>
              <w:t>Stična ovojnina je vsebnik ali druga oblika ovojnine, ki je v neposrednem stiku z zdravilom.</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92. </w:t>
            </w:r>
            <w:r w:rsidRPr="009909F8">
              <w:rPr>
                <w:rFonts w:ascii="Arial" w:eastAsia="Times New Roman" w:hAnsi="Arial" w:cs="Arial"/>
                <w:sz w:val="20"/>
                <w:szCs w:val="20"/>
                <w:lang w:eastAsia="sl-SI"/>
              </w:rPr>
              <w:t>Študija o varnosti zdravila po pridobitvi dovoljenja za promet z zdravilom za uporabo v humani medicini je vsaka študija o tem zdravilu, katere cilj je ugotovitev, opredelitev ali količinska določitev tveganja, ki potrjujejo varnostne lastnosti zdravila, ali merjenje učinkovitosti ukrepov za obvladovanje tveganj.</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93. </w:t>
            </w:r>
            <w:r w:rsidRPr="009909F8">
              <w:rPr>
                <w:rFonts w:ascii="Arial" w:eastAsia="Times New Roman" w:hAnsi="Arial" w:cs="Arial"/>
                <w:sz w:val="20"/>
                <w:szCs w:val="20"/>
                <w:lang w:eastAsia="sl-SI"/>
              </w:rPr>
              <w:t>Študija o varnosti zdravila po pridobitvi dovoljenja za promet z zdravilom za uporabo v veterinarski medicini je farmakoepidemiološka študija ali klinično preskušanje zdravila, ki se izvede v skladu s pogoji dovoljenja za promet z zdravilom, da bi se odkrila in raziskala morebitna tveganja glede varnosti zdravila.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94. </w:t>
            </w:r>
            <w:r w:rsidRPr="009909F8">
              <w:rPr>
                <w:rFonts w:ascii="Arial" w:eastAsia="Times New Roman" w:hAnsi="Arial" w:cs="Arial"/>
                <w:sz w:val="20"/>
                <w:szCs w:val="20"/>
                <w:lang w:eastAsia="sl-SI"/>
              </w:rPr>
              <w:t>Tradicionalno zdravilo rastlinskega izvora je tisto zdravilo rastlinskega izvora, katerega lastnosti je mogoče prepoznati na podlagi njegove tradicionalne uporabe in izpolnjuje pogoje, ki jih določata ta zakon in Direktiva 2001/83/ES.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95. </w:t>
            </w:r>
            <w:r w:rsidRPr="009909F8">
              <w:rPr>
                <w:rFonts w:ascii="Arial" w:eastAsia="Times New Roman" w:hAnsi="Arial" w:cs="Arial"/>
                <w:sz w:val="20"/>
                <w:szCs w:val="20"/>
                <w:lang w:eastAsia="sl-SI"/>
              </w:rPr>
              <w:t>Tretje države so države, ki niso članice Evropske unije oziroma EGP.</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96. </w:t>
            </w:r>
            <w:r w:rsidRPr="009909F8">
              <w:rPr>
                <w:rFonts w:ascii="Arial" w:eastAsia="Times New Roman" w:hAnsi="Arial" w:cs="Arial"/>
                <w:sz w:val="20"/>
                <w:szCs w:val="20"/>
                <w:lang w:eastAsia="sl-SI"/>
              </w:rPr>
              <w:t>Tveganje, povezano z uporabo zdravila, je: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vsako tveganje za nastanek neželenih učinkov na okolje ali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909F8">
              <w:rPr>
                <w:rFonts w:ascii="Arial" w:eastAsia="Times New Roman" w:hAnsi="Arial" w:cs="Arial"/>
                <w:sz w:val="20"/>
                <w:szCs w:val="20"/>
                <w:lang w:eastAsia="sl-SI"/>
              </w:rPr>
              <w:t>vsako tveganje za zdravje pacienta oziroma živali ali javno zdravje, ki je povezano s kakovostjo, varnostjo ali učinkovitostjo zdravila.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97. </w:t>
            </w:r>
            <w:r w:rsidRPr="009909F8">
              <w:rPr>
                <w:rFonts w:ascii="Arial" w:eastAsia="Times New Roman" w:hAnsi="Arial" w:cs="Arial"/>
                <w:sz w:val="20"/>
                <w:szCs w:val="20"/>
                <w:lang w:eastAsia="sl-SI"/>
              </w:rPr>
              <w:t>Učinkovina oziroma zdravilna učinkovina je vsaka snov ali mešanica snovi, namenjena uporabi v proizvodnji zdravil, ki v postopku proizvodnje postane aktivna sestavina zdravila, katerega namen je farmakološko, imunološko ali presnovno delovanje, da bi se ponovno vzpostavile, izboljšale ali spremenile fiziološke funkcije ali da bi se določila diagnoza.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98. </w:t>
            </w:r>
            <w:r w:rsidRPr="009909F8">
              <w:rPr>
                <w:rFonts w:ascii="Arial" w:eastAsia="Times New Roman" w:hAnsi="Arial" w:cs="Arial"/>
                <w:sz w:val="20"/>
                <w:szCs w:val="20"/>
                <w:lang w:eastAsia="sl-SI"/>
              </w:rPr>
              <w:t>Uradna kontrola kakovosti zdravila je ugotavljanje kakovosti zdravila, v skladu z dovoljenjem za promet oziroma z določbami tega zakona, ki vključuje analizno preskušanje zdravila ali preverjanje istovetnosti označevanja in navodila za uporabo ali oboje.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99. </w:t>
            </w:r>
            <w:r w:rsidRPr="009909F8">
              <w:rPr>
                <w:rFonts w:ascii="Arial" w:eastAsia="Times New Roman" w:hAnsi="Arial" w:cs="Arial"/>
                <w:sz w:val="20"/>
                <w:szCs w:val="20"/>
                <w:lang w:eastAsia="sl-SI"/>
              </w:rPr>
              <w:t>Uradni kontrolni laboratorij je laboratorij, ki opravlja uradno kontrolo kakovosti zdravil ter je vključen v mrežo uradnih kontrolnih laboratorijev (GEON).</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100. </w:t>
            </w:r>
            <w:r w:rsidRPr="009909F8">
              <w:rPr>
                <w:rFonts w:ascii="Arial" w:eastAsia="Times New Roman" w:hAnsi="Arial" w:cs="Arial"/>
                <w:sz w:val="20"/>
                <w:szCs w:val="20"/>
                <w:lang w:eastAsia="sl-SI"/>
              </w:rPr>
              <w:t>Uvoz zdravila je promet zdravila iz tretjih držav na ozemlje Republike Slovenije, ki ga lahko opravljajo le imetniki dovoljenja za proizvodnjo zdravil, če to dovoljenje vključuje aktivnost uvoza. Uvoz zdravila je tudi prenos zdravila iz tretjih držav na ozemlje Republike Slovenije, kadar zdravilo za svojo osebno uporabo oziroma za osebno uporabo njegovih ožjih družinskih članov oziroma na podlagi pooblastila za osebno uporabo največ enega posameznika, ki ni njegov družinski član, ali za svojo posamezno žival prinaša posameznik.</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101. </w:t>
            </w:r>
            <w:r w:rsidRPr="009909F8">
              <w:rPr>
                <w:rFonts w:ascii="Arial" w:eastAsia="Times New Roman" w:hAnsi="Arial" w:cs="Arial"/>
                <w:sz w:val="20"/>
                <w:szCs w:val="20"/>
                <w:lang w:eastAsia="sl-SI"/>
              </w:rPr>
              <w:t>Veletrgovec z zdravili je poslovni subjekt, ki na podlagi dovoljenja JAZMP opravlja dejavnost prometa z zdravili na debelo, z namenom ali brez namena pridobivanja dobička.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102. </w:t>
            </w:r>
            <w:r w:rsidRPr="009909F8">
              <w:rPr>
                <w:rFonts w:ascii="Arial" w:eastAsia="Times New Roman" w:hAnsi="Arial" w:cs="Arial"/>
                <w:sz w:val="20"/>
                <w:szCs w:val="20"/>
                <w:lang w:eastAsia="sl-SI"/>
              </w:rPr>
              <w:t>Vmesni izdelek je delno obdelan material, ki se mora obdelati z nadaljnjimi postopki preden postane polizdelek.</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103. </w:t>
            </w:r>
            <w:r w:rsidRPr="009909F8">
              <w:rPr>
                <w:rFonts w:ascii="Arial" w:eastAsia="Times New Roman" w:hAnsi="Arial" w:cs="Arial"/>
                <w:sz w:val="20"/>
                <w:szCs w:val="20"/>
                <w:lang w:eastAsia="sl-SI"/>
              </w:rPr>
              <w:t>Vnos zdravila je promet zdravila na debelo iz druge države članice Evropske unije v Republiko Slovenijo. Vnos zdravila je tudi prenos zdravila iz ozemlja drugih držav članic Evropske unije na ozemlje Republike Slovenije, kadar zdravilo za svojo osebno uporabo oziroma za osebno uporabo njegovih ožjih družinskih članov oziroma na podlagi pooblastila za osebno uporabo največ enega posameznika, ki ni njegov družinski član, ali za svojo posamezno žival prinaša posameznik.</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104. </w:t>
            </w:r>
            <w:r w:rsidRPr="009909F8">
              <w:rPr>
                <w:rFonts w:ascii="Arial" w:eastAsia="Times New Roman" w:hAnsi="Arial" w:cs="Arial"/>
                <w:sz w:val="20"/>
                <w:szCs w:val="20"/>
                <w:lang w:eastAsia="sl-SI"/>
              </w:rPr>
              <w:t>Zaščitni element je podatek na zunanji ovojnini zdravila za uporabo v humani medicini, ki trgovcem na debelo in pristojnim osebam za preskrbo z zdravili na drobno v lekarnah in specializiranih prodajalnah omogoča, da preverijo avtentičnost zdravila in identificirajo posamezno pakiranje.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105. </w:t>
            </w:r>
            <w:r w:rsidRPr="009909F8">
              <w:rPr>
                <w:rFonts w:ascii="Arial" w:eastAsia="Times New Roman" w:hAnsi="Arial" w:cs="Arial"/>
                <w:sz w:val="20"/>
                <w:szCs w:val="20"/>
                <w:lang w:eastAsia="sl-SI"/>
              </w:rPr>
              <w:t>Zadevna država članica je država, ki v postopku z medsebojnim priznavanjem ali v decentraliziranem postopku odloča o sprejemljivosti razmerja med koristjo in tveganjem oziroma o oceni kakovosti, varnosti in učinkovitosti zdravila na podlagi poročila o oceni, ki ga je izdelala referenčna država članica Evropske unije.</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106. </w:t>
            </w:r>
            <w:r w:rsidRPr="009909F8">
              <w:rPr>
                <w:rFonts w:ascii="Arial" w:eastAsia="Times New Roman" w:hAnsi="Arial" w:cs="Arial"/>
                <w:sz w:val="20"/>
                <w:szCs w:val="20"/>
                <w:lang w:eastAsia="sl-SI"/>
              </w:rPr>
              <w:t>Zdravila iz krvi ali plazme so industrijsko proizvedena zdravila, kot na primer zdravila, ki vsebujejo zlasti albumine, faktorje strjevanja krvi in imunoglobuline človeškega izvora, ki jih iz krvnih sestavin, pridobljenih v skladu s predpisi, ki urejajo preskrbo s krvjo in krvnimi pripravki in s predpisi, ki urejajo zdravila, proizvajajo za to dejavnost specializirani poslovni subjekti.</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107. </w:t>
            </w:r>
            <w:r w:rsidRPr="009909F8">
              <w:rPr>
                <w:rFonts w:ascii="Arial" w:eastAsia="Times New Roman" w:hAnsi="Arial" w:cs="Arial"/>
                <w:sz w:val="20"/>
                <w:szCs w:val="20"/>
                <w:lang w:eastAsia="sl-SI"/>
              </w:rPr>
              <w:t>Zdravilna krmna mešanica oziroma medicirana krma je vsaka mešanica zdravila za uporabo v veterinarski medicini in krme, ki je pripravljena za prodajo in namenjena krmljenju živali brez nadaljnje predelave, zaradi zdravilnih, preventivnih ali drugih lastnosti zdravil.</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108. </w:t>
            </w:r>
            <w:r w:rsidRPr="009909F8">
              <w:rPr>
                <w:rFonts w:ascii="Arial" w:eastAsia="Times New Roman" w:hAnsi="Arial" w:cs="Arial"/>
                <w:sz w:val="20"/>
                <w:szCs w:val="20"/>
                <w:lang w:eastAsia="sl-SI"/>
              </w:rPr>
              <w:t>Zdravilo rastlinskega izvora je zdravilo, ki kot učinkovine vsebuje izključno eno ali več rastlinskih snovi, enega ali več pripravkov rastlinskega izvora, ali eno ali več rastlinskih snovi v kombinaciji z enim ali več pripravki rastlinskega izvora.</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109. </w:t>
            </w:r>
            <w:r w:rsidRPr="009909F8">
              <w:rPr>
                <w:rFonts w:ascii="Arial" w:eastAsia="Times New Roman" w:hAnsi="Arial" w:cs="Arial"/>
                <w:sz w:val="20"/>
                <w:szCs w:val="20"/>
                <w:lang w:eastAsia="sl-SI"/>
              </w:rPr>
              <w:t>Zdravilo sirota je zdravilo, ki je namenjeno za zdravljenje zelo resnih in zelo redkih bolezni, za katere ni druge dovoljene metode zdravljenja, preprečevanja in diagnosticiranja, vendar brez spodbud promet z njimi ni dovolj donosen za upravičenje potrebne naložbe za njegov razvoj in promet, in je določeno kot zdravilo sirota v skladu s pogoji iz Uredbe (ES) št. 141/2000 Evropskega parlamenta in Sveta z dne 16. decembra 1999 o zdravilih sirotah (UL L št. 18 z dne 22. 1. 2000), zadnjič spremenjene z Uredbo 596/2009/ES.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110. </w:t>
            </w:r>
            <w:r w:rsidRPr="009909F8">
              <w:rPr>
                <w:rFonts w:ascii="Arial" w:eastAsia="Times New Roman" w:hAnsi="Arial" w:cs="Arial"/>
                <w:sz w:val="20"/>
                <w:szCs w:val="20"/>
                <w:lang w:eastAsia="sl-SI"/>
              </w:rPr>
              <w:t>Zdravilo za napredno zdravljenje je zdravilo, kakor je opredeljeno v 2. členu Uredbe 1394/2007/ES.</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111. </w:t>
            </w:r>
            <w:r w:rsidRPr="009909F8">
              <w:rPr>
                <w:rFonts w:ascii="Arial" w:eastAsia="Times New Roman" w:hAnsi="Arial" w:cs="Arial"/>
                <w:sz w:val="20"/>
                <w:szCs w:val="20"/>
                <w:lang w:eastAsia="sl-SI"/>
              </w:rPr>
              <w:t>Zdravniški oziroma veterinarski recept je listina, ki jo v skladu s predpisi izda strokovnjak, usposobljen in pooblaščen za predpisovanje zdravil.</w:t>
            </w:r>
          </w:p>
          <w:p w:rsidR="007D45E5" w:rsidRPr="009909F8"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112. </w:t>
            </w:r>
            <w:r w:rsidRPr="009909F8">
              <w:rPr>
                <w:rFonts w:ascii="Arial" w:eastAsia="Times New Roman" w:hAnsi="Arial" w:cs="Arial"/>
                <w:sz w:val="20"/>
                <w:szCs w:val="20"/>
                <w:lang w:eastAsia="sl-SI"/>
              </w:rPr>
              <w:t>Zloraba zdravila je trajna ali občasna namerna prekomerna uporaba zdravila, ki jo spremljajo škodljivi fizični ali psihološki učinki.</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113. </w:t>
            </w:r>
            <w:r w:rsidRPr="009909F8">
              <w:rPr>
                <w:rFonts w:ascii="Arial" w:eastAsia="Times New Roman" w:hAnsi="Arial" w:cs="Arial"/>
                <w:sz w:val="20"/>
                <w:szCs w:val="20"/>
                <w:lang w:eastAsia="sl-SI"/>
              </w:rPr>
              <w:t>Zunanja ovojnina zdravila je ovojnina, v katero je vloženo zdravilo v stični ovojnini.</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27. člen</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(odgovornosti)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(1) Imetnik dovoljenja za promet z zdravilom v Republiki Sloveniji je odgovoren za razvoj in dajanje zdravila v promet v skladu z dovoljenjem za promet in za v zvezi s tem nastalo morebitno škodo, vključno s škodo, nastalo zaradi neustrezne kakovosti zdravila, za katero je odgovoren proizvajalec </w:t>
            </w:r>
            <w:r w:rsidRPr="00916E46">
              <w:rPr>
                <w:rFonts w:ascii="Arial" w:eastAsia="Times New Roman" w:hAnsi="Arial" w:cs="Arial"/>
                <w:sz w:val="20"/>
                <w:szCs w:val="20"/>
                <w:lang w:eastAsia="sl-SI"/>
              </w:rPr>
              <w:lastRenderedPageBreak/>
              <w:t>zdravila.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(2) Če imetnik dovoljenja za promet z zdravilom ni proizvajalec zdravila, mora imeti sklenjeno pogodbo s proizvajalcem z namenom zagotavljanja, da je proizvodnja zdravila v skladu z veljavnimi predpisi in s procesi proizvodnje, navedenimi v dokumentaciji za pridobitev in vzdrževanje dovoljenja za promet z zdravilom.</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(3) Proizvajalec zdravila, ki sprosti zdravilo v promet, je odgovoren za proizvodnjo, kontrolo kakovosti, opremljanje in označevanje zdravila, ne glede na to, ali je proizvedel zdravilo sam ali ga je v njegovem imenu proizvedla tretja oseba.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(4) Proizvajalec zdravila je odgovoren za škodo, ki nastane zaradi neustrezne kakovosti zdravila, tudi če dokaže, da svetovna raven znanosti in tehničnega napredka v času, ko je bilo zdravilo dano v promet, ni bila takšna, da bi bilo napako mogoče odkriti.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(5) Proizvajalec zdravila, ki je odstranil ali prekril zaščitni element na zdravilu in ga nadomestil z novim, je odgovoren za škodo, nastalo zaradi ponarejanja, če se ugotovi, da je to naredil na ponarejenem zdravilu.</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(6) Imetnik dovoljenja za promet z zdravilom, proizvajalec, izvajalec zdravstvene dejavnosti in zdravstveni delavec ni odgovoren za posledice zdravljenja, ki nastanejo zaradi uporabe zdravila, ki ni v skladu z izdanim dovoljenjem za promet, ali zaradi uporabe zdravila, ki nima dovoljenja za promet, če je tako uporabo priporočila ali zahtevala JAZMP, ministrstvo, pristojno za zdravje, ali ministrstvo, pristojno za veterinarstvo, v primerih širjenja patogenih snovi, toksinov, kemičnih snovi ali jedrskega sevanja, ki lahko povzročijo škodo za zdravje ljudi, živali ali škodo za okolje.</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45. člen</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(vloga za pridobitev dovoljenja za promet z zdravilom</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za uporabo v humani medicini z zmanjšanim obsegom dokumentacije in obdobja zaščite)</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(1) Ne glede na določbe prejšnjega člena, predlagatelju ni treba predložiti rezultatov nekliničnih farmakološko-toksikoloških in kliničnih preskušanj, če dokaže, da je predmet postopka generično zdravilo, katerega referenčno zdravilo je pridobilo dovoljenje za promet v Republiki Sloveniji ali Evropski uniji pred najmanj osmimi leti.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(2) Generično zdravilo iz prejšnjega odstavka ne sme biti dano v promet deset let od pridobitve dovoljenja za promet referenčnega zdravila.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(3) Če referenčno zdravilo iz prvega odstavka tega člena ni pridobilo dovoljenja za promet v Republiki Sloveniji, predlagatelj v vlogi za pridobitev dovoljenja za promet navede državo članico Evropske unije, v kateri je zdravilo pridobilo dovoljenje za promet. JAZMP pridobi od pristojnega organa izbrane države članice Evropske unije potrditev o izdanem dovoljenju za promet z referenčnim zdravilom, podatke o količinski in kakovostni sestavi referenčnega zdravila in po potrebi vso ostalo upoštevno dokumentacijo.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(4) Desetletno obdobje iz drugega odstavka tega člena se podaljša na največ 11 let, če v obdobju prvih osmih let trajanja tega obdobja imetnik dovoljenja za promet z zdravilom pridobi dovoljenje za eno ali več novih terapevtskih indikacij, za katere se ugotovi, da pomenijo pomembno klinično korist za pacienta v primerjavi z obstoječimi načini zdravljenja.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(5) Če se različne soli, estri, etri, izomeri, zmesi izomerov, kompleksi ali derivati učinkovine pomembno razlikujejo glede varnosti ali učinkovitosti ali obojega, predlagatelj predloži dodatne podatke o varnosti ali učinkovitosti različnih soli, estrov, derivatov učinkovine v zdravilu, ki je že </w:t>
            </w:r>
            <w:r w:rsidRPr="00916E46">
              <w:rPr>
                <w:rFonts w:ascii="Arial" w:eastAsia="Times New Roman" w:hAnsi="Arial" w:cs="Arial"/>
                <w:sz w:val="20"/>
                <w:szCs w:val="20"/>
                <w:lang w:eastAsia="sl-SI"/>
              </w:rPr>
              <w:lastRenderedPageBreak/>
              <w:t>pridobilo dovoljenje za promet z zdravilom. Različne peroralne oblike s takojšnjim sproščanjem se obravnavajo kot enake farmacevtske oblike. Študije biološke uporabnosti ni treba predložiti, kadar tako določajo navodila EMA, pripravljena v skladu z znanstveno tehničnimi dognanji.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(6) Če zdravilo ne ustreza opredelitvi generičnega zdravila ali če bioekvivalence ni mogoče dokazati s študijami biološke uporabnosti ali ob spremembah učinkovin, indikacij, jakosti, farmacevtske oblike ali poti uporabe glede na referenčno zdravilo, je treba predložiti rezultate ustreznih nekliničnih farmakološko-toksikoloških ali kliničnih študij.</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(7) Za zdravilo, ki ima učinkovino z dobro uveljavljeno medicinsko uporabo in je predložena vloga za novo indikacijo, za katero so bile predložene pomembne neklinične farmakološko-toksikološke ali klinične študije, velja poleg določb iz prvega do četrtega odstavka tega člena tudi </w:t>
            </w:r>
            <w:proofErr w:type="spellStart"/>
            <w:r w:rsidRPr="00916E46">
              <w:rPr>
                <w:rFonts w:ascii="Arial" w:eastAsia="Times New Roman" w:hAnsi="Arial" w:cs="Arial"/>
                <w:sz w:val="20"/>
                <w:szCs w:val="20"/>
                <w:lang w:eastAsia="sl-SI"/>
              </w:rPr>
              <w:t>nekumulativno</w:t>
            </w:r>
            <w:proofErr w:type="spellEnd"/>
            <w:r w:rsidRPr="00916E46">
              <w:rPr>
                <w:rFonts w:ascii="Arial" w:eastAsia="Times New Roman" w:hAnsi="Arial" w:cs="Arial"/>
                <w:sz w:val="20"/>
                <w:szCs w:val="20"/>
                <w:lang w:eastAsia="sl-SI"/>
              </w:rPr>
              <w:t xml:space="preserve"> enoletno obdobje zaščite podatkov, v katerem se drugi predlagatelji ne morejo sklicevati na ta del dokumentacije.</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(8) Ne glede na določbe predpisov, ki urejajo patentne pravice ali pravice dodatnega varstvenega certifikata za zdravilo, se izvajanje študij, potrebnih za izpolnitev zahtev tega zakona in izpolnitev drugih zahtev, ki se nanašajo na pridobitev dovoljenja za promet, ne šteje za kršitev patentnih pravic ali pravic dodatnega varstvenega certifikata za zdravilo.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(9) Določbe o obdobjih zaščite se ne uporabljajo za referenčna zdravila, za katera je bila vloga za pridobitev dovoljenja za promet vložena do 30. oktobra 2005. Zanje se upošteva obdobje podatkovne zaščite, ki je na dan vložitve vloge veljalo v državi članici Evropske unije, v kateri je referenčno zdravilo dobilo dovoljenje za promet.</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46. člen</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(vloga za pridobitev dovoljenja za promet z zdravilom</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za uporabo v veterinarski medicini z zmanjšanim obsegom dokumentacije in obdobja zaščite)</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(1) Ne glede na določbe 44. člena tega zakona predlagatelju ni treba predložiti rezultatov nekliničnih farmakološko-toksikoloških in kliničnih preskušanj ter rezultatov testiranja ostankov, če dokaže, da je predmet postopka generično zdravilo, katerega referenčno zdravilo je pridobilo dovoljenje za promet v Republiki Sloveniji ali Evropski uniji pred najmanj osmimi leti.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(2) Generično zdravilo iz prejšnjega odstavka ne sme biti dano v promet deset let od pridobitve dovoljenja za promet referenčnega zdravila.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(3) Če referenčno zdravilo iz prvega odstavka tega člena ni pridobilo dovoljenja za promet v Republiki Sloveniji, predlagatelj v vlogi za pridobitev dovoljenja za promet navede državo članico Evropske unije, v kateri je zdravilo pridobilo dovoljenje za promet. JAZMP pridobi od pristojnega organa izbrane države članice Evropske unije potrditev o izdanem dovoljenju za promet z referenčnim zdravilom, podatke o količinski in kakovostni sestavi referenčnega zdravila in po potrebi vso ostalo upoštevno dokumentacijo.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(4) Desetletno obdobje iz drugega odstavka tega člena se podaljša na največ 13 let, če so zdravila za uporabo v veterinarski medicini namenjena ribam ali čebelam ali drugim živalskim vrstam, ki jih določi Evropska komisija v obdobju prvih osmih let trajanja desetletnega obdobja iz drugega odstavka tega člena, imetnik dovoljenja za promet pridobi dovoljenje za eno ali več novih terapevtskih indikacij, za katere se ugotovi, da prinašajo pomembno klinično korist v primerjavi z obstoječimi načini zdravljenja.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(5) Pri zdravilih za uporabo v veterinarski medicini, ki so predvidena za eno ali več vrst živali za proizvodnjo hrane in vsebujejo nove učinkovine in ki v Evropski uniji niso bile dovoljene do 30. aprila 2004, se desetletno obdobje iz drugega odstavka 48. člena tega zakona podaljša za eno leto za </w:t>
            </w:r>
            <w:r w:rsidRPr="00916E46">
              <w:rPr>
                <w:rFonts w:ascii="Arial" w:eastAsia="Times New Roman" w:hAnsi="Arial" w:cs="Arial"/>
                <w:sz w:val="20"/>
                <w:szCs w:val="20"/>
                <w:lang w:eastAsia="sl-SI"/>
              </w:rPr>
              <w:lastRenderedPageBreak/>
              <w:t>vsako razširitev dovoljenja za promet z zdravilom na drugo vrsto živali za proizvodnjo hrane, če se taka razširitev dovoljenja pridobi v petih letih po izdaji prvega dovoljenja za promet z zdravilom.</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(6) Obdobje iz drugega odstavka tega člena skupaj s podaljšanji iz prejšnjega odstavka ne sme biti daljše od 13 let tudi za razširitve dovoljenja za promet z zdravilom, ki se nanašajo na štiri ali več vrst živali za proizvodnjo hrane.</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(7) Podaljšanje desetletnega obdobja na 11, 12 ali 13 let za zdravilo za uporabo v veterinarski medicini, predvideno za živali za proizvodnjo hrane, se odobri samo, če je imetnik dovoljenja za promet z zdravilom že prvotno predložil vlogo za določitev najvišjih mejnih vrednosti ostankov zdravil za vrste, ki jih zajema dovoljenje za promet z zdravilom.</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(8) Če se različne soli, estri, etri, izomeri, zmesi izomerov, kompleksi ali derivati učinkovine pomembno razlikujejo glede varnosti ali učinkovitosti, predlagatelj predloži dodatne informacije o varnosti ali učinkovitosti različnih soli, estrov, derivatov učinkovine v zdravilu, ki je že pridobilo dovoljenje za promet z zdravilom. Različne peroralne oblike s takojšnjim sproščanjem se obravnavajo kot enake farmacevtske oblike. Študije biološke uporabnosti ni treba predložiti, kadar tako določajo ustrezna navodila, pripravljena v skladu z znanstveno tehničnimi dognanji.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(9) Če zdravilo ne ustreza definiciji generičnega zdravila ali če bioekvivalence ni mogoče dokazati s študijami biološke uporabnosti ali ob spremembah učinkovin, indikacij, jakosti, farmacevtske oblike ali poti uporabe glede na referenčno zdravilo, je treba predložiti rezultate ustreznih nekliničnih farmakološko-toksikoloških ali kliničnih študij in rezultate ustreznih preskusov varnosti in ostankov zdravila.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(10) Ne glede na določbe predpisov, ki urejajo patentne pravice ali pravice dodatnega varstvenega certifikata za zdravilo, se izvajanje študij, potrebnih za izpolnitev zahtev tega zakona in izpolnitev drugih zahtev, ki se nanašajo na pridobitev dovoljenja za promet, ne šteje za kršitev patentnih pravic ali pravic dodatnega varstvenega certifikata za zdravilo.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(11) Določbe o obdobjih zaščite se ne uporabljajo za referenčna zdravila, za katera je bila vloga za pridobitev dovoljenja za promet vložena do 30. oktobra 2005. Zanje se upošteva obdobje podatkovne zaščite, ki je na dan vložitve vloge veljalo v državi članici Evropske unije, v kateri je referenčno zdravilo dobilo dovoljenje za promet.</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88. člen</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(zaščitni element)</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(1) Poleg obveznosti iz prejšnjega člena proizvajalec zdravil za uporabo v humani medicini pritrdi zaščitni element na zdravilo, ki omogoča preverjanje avtentičnosti zdravila in identifikacijo posameznega pakiranja.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(2) Proizvajalec pritrdi zaščitni element na zdravila, za izdajo katerih je potreben zdravniški recept, z izjemo tistih, ki so bila uvrščena na seznam, ki ga objavi Evropska komisija in so lahko v prometu brez zaščitnega elementa, ter na zdravila, za izdajo katerih ni potreben zdravniški recept in jih Evropska komisija opredeli kot tista, za katera se zaščitni elementi zahtevajo.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(3) Poleg zaščitnega elementa proizvajalec zagotovi tudi pripomoček za odkrivanje posega v zunanjo ovojnino.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(4) Zaščitnega elementa ni treba pritrditi na radiofarmacevtske izdelke.</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(5) Zaščitni element na zdravilu lahko imetnik dovoljenja za proizvodnjo zdravil delno ali popolnoma </w:t>
            </w:r>
            <w:r w:rsidRPr="00916E46">
              <w:rPr>
                <w:rFonts w:ascii="Arial" w:eastAsia="Times New Roman" w:hAnsi="Arial" w:cs="Arial"/>
                <w:sz w:val="20"/>
                <w:szCs w:val="20"/>
                <w:lang w:eastAsia="sl-SI"/>
              </w:rPr>
              <w:lastRenderedPageBreak/>
              <w:t>odstrani ali prekrije, če:</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916E46">
              <w:rPr>
                <w:rFonts w:ascii="Arial" w:eastAsia="Times New Roman" w:hAnsi="Arial" w:cs="Arial"/>
                <w:sz w:val="20"/>
                <w:szCs w:val="20"/>
                <w:lang w:eastAsia="sl-SI"/>
              </w:rPr>
              <w:t>je pred tem ugotovil avtentičnost zdravila in ugotovil</w:t>
            </w:r>
            <w:r>
              <w:rPr>
                <w:rFonts w:ascii="Arial" w:eastAsia="Times New Roman" w:hAnsi="Arial" w:cs="Arial"/>
                <w:sz w:val="20"/>
                <w:szCs w:val="20"/>
                <w:lang w:eastAsia="sl-SI"/>
              </w:rPr>
              <w:t>, da ni bilo posega v ovojnino;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916E46">
              <w:rPr>
                <w:rFonts w:ascii="Arial" w:eastAsia="Times New Roman" w:hAnsi="Arial" w:cs="Arial"/>
                <w:sz w:val="20"/>
                <w:szCs w:val="20"/>
                <w:lang w:eastAsia="sl-SI"/>
              </w:rPr>
              <w:t xml:space="preserve">odstranjene ali prekrite zaščitne elemente nadomesti z novimi, ki so enakovredni glede možnosti preverjanja avtentičnosti, identifikacije in </w:t>
            </w:r>
            <w:proofErr w:type="spellStart"/>
            <w:r w:rsidRPr="00916E46">
              <w:rPr>
                <w:rFonts w:ascii="Arial" w:eastAsia="Times New Roman" w:hAnsi="Arial" w:cs="Arial"/>
                <w:sz w:val="20"/>
                <w:szCs w:val="20"/>
                <w:lang w:eastAsia="sl-SI"/>
              </w:rPr>
              <w:t>intaktnosti</w:t>
            </w:r>
            <w:proofErr w:type="spellEnd"/>
            <w:r w:rsidRPr="00916E46">
              <w:rPr>
                <w:rFonts w:ascii="Arial" w:eastAsia="Times New Roman" w:hAnsi="Arial" w:cs="Arial"/>
                <w:sz w:val="20"/>
                <w:szCs w:val="20"/>
                <w:lang w:eastAsia="sl-SI"/>
              </w:rPr>
              <w:t xml:space="preserve">. Nadomestitev izvede </w:t>
            </w:r>
            <w:r>
              <w:rPr>
                <w:rFonts w:ascii="Arial" w:eastAsia="Times New Roman" w:hAnsi="Arial" w:cs="Arial"/>
                <w:sz w:val="20"/>
                <w:szCs w:val="20"/>
                <w:lang w:eastAsia="sl-SI"/>
              </w:rPr>
              <w:t>brez odpiranja stične ovojnine;</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916E46">
              <w:rPr>
                <w:rFonts w:ascii="Arial" w:eastAsia="Times New Roman" w:hAnsi="Arial" w:cs="Arial"/>
                <w:sz w:val="20"/>
                <w:szCs w:val="20"/>
                <w:lang w:eastAsia="sl-SI"/>
              </w:rPr>
              <w:t>nadomestitev zaščitnih elementov izvede v skladu z dobro proizvodno prakso za zdravila.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(6) Značilnosti in specifikacije zaščitnih elementov ter pripomočke za odkrivanje posega v zunanjo ovojnino določi Evropska komisija.</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106. člen</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(obveznosti veletrgovcev z zdravili)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Veletrgovci z zdravili: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Pr="00916E46">
              <w:rPr>
                <w:rFonts w:ascii="Arial" w:eastAsia="Times New Roman" w:hAnsi="Arial" w:cs="Arial"/>
                <w:sz w:val="20"/>
                <w:szCs w:val="20"/>
                <w:lang w:eastAsia="sl-SI"/>
              </w:rPr>
              <w:t>preverjajo, če ponudniki zdravil (proizvajalci, uvozniki, veletrgovci) svojo dejavnost opravljajo v skladu z načeli in smernicami dobrih distribucijskih praks in predpisi, ki urejajo zdravila države, v kateri imajo sedež ter imajo dovoljenje za proizvodnjo oziro</w:t>
            </w:r>
            <w:r>
              <w:rPr>
                <w:rFonts w:ascii="Arial" w:eastAsia="Times New Roman" w:hAnsi="Arial" w:cs="Arial"/>
                <w:sz w:val="20"/>
                <w:szCs w:val="20"/>
                <w:lang w:eastAsia="sl-SI"/>
              </w:rPr>
              <w:t>ma promet z zdravili na debelo,</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Pr="00916E46">
              <w:rPr>
                <w:rFonts w:ascii="Arial" w:eastAsia="Times New Roman" w:hAnsi="Arial" w:cs="Arial"/>
                <w:sz w:val="20"/>
                <w:szCs w:val="20"/>
                <w:lang w:eastAsia="sl-SI"/>
              </w:rPr>
              <w:t>preverjajo ali imajo poslovni subjekti, katerim prodajajo zdravila, dovoljenje za opravljanje prometa z zdravili na debelo ali na drobno oziroma dovoljenje za opravljanje lekarniške dejavnosti oziroma ali imajo poslovni subjekti iz tretjega odstavka 104. člena tega zakona preverjen sistem za sprejem, shran</w:t>
            </w:r>
            <w:r>
              <w:rPr>
                <w:rFonts w:ascii="Arial" w:eastAsia="Times New Roman" w:hAnsi="Arial" w:cs="Arial"/>
                <w:sz w:val="20"/>
                <w:szCs w:val="20"/>
                <w:lang w:eastAsia="sl-SI"/>
              </w:rPr>
              <w:t>jevanje in sledljivost zdravil,</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Pr="00916E46">
              <w:rPr>
                <w:rFonts w:ascii="Arial" w:eastAsia="Times New Roman" w:hAnsi="Arial" w:cs="Arial"/>
                <w:sz w:val="20"/>
                <w:szCs w:val="20"/>
                <w:lang w:eastAsia="sl-SI"/>
              </w:rPr>
              <w:t>preverjajo zaščitne elemente na prejetem oziroma dobavljenem zdravilu in o ponaredkih ali sumu nanje takoj, ko o tem izvedo, obvestijo JAZMP in po potrebi imetnika do</w:t>
            </w:r>
            <w:r>
              <w:rPr>
                <w:rFonts w:ascii="Arial" w:eastAsia="Times New Roman" w:hAnsi="Arial" w:cs="Arial"/>
                <w:sz w:val="20"/>
                <w:szCs w:val="20"/>
                <w:lang w:eastAsia="sl-SI"/>
              </w:rPr>
              <w:t>voljenja za promet z zdravilom,</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916E46">
              <w:rPr>
                <w:rFonts w:ascii="Arial" w:eastAsia="Times New Roman" w:hAnsi="Arial" w:cs="Arial"/>
                <w:sz w:val="20"/>
                <w:szCs w:val="20"/>
                <w:lang w:eastAsia="sl-SI"/>
              </w:rPr>
              <w:t>vodijo dokumentacijo za vsa zdravila v elektronski obliki, če te nima, pa v drugi obliki, in jo hranijo do pet let. Dokumentacija, ki jo izdajo ob prejetju ali odpremi zdravil, vsebuje najmanj naslednje podatke: datum, ime zdravila, nacionalni identifikator, datum prevzema ali izdana količina, ime in naslov dobavitelja ali prejemnika, za zdravila, ki nosijo zaščitni element, pa t</w:t>
            </w:r>
            <w:r>
              <w:rPr>
                <w:rFonts w:ascii="Arial" w:eastAsia="Times New Roman" w:hAnsi="Arial" w:cs="Arial"/>
                <w:sz w:val="20"/>
                <w:szCs w:val="20"/>
                <w:lang w:eastAsia="sl-SI"/>
              </w:rPr>
              <w:t>udi številko serije zdravila in</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5. </w:t>
            </w:r>
            <w:r w:rsidRPr="00916E46">
              <w:rPr>
                <w:rFonts w:ascii="Arial" w:eastAsia="Times New Roman" w:hAnsi="Arial" w:cs="Arial"/>
                <w:sz w:val="20"/>
                <w:szCs w:val="20"/>
                <w:lang w:eastAsia="sl-SI"/>
              </w:rPr>
              <w:t>upoštevajo dobro distribucijsko prakso, kadar izvajajo logistične funkcij</w:t>
            </w:r>
            <w:r>
              <w:rPr>
                <w:rFonts w:ascii="Arial" w:eastAsia="Times New Roman" w:hAnsi="Arial" w:cs="Arial"/>
                <w:sz w:val="20"/>
                <w:szCs w:val="20"/>
                <w:lang w:eastAsia="sl-SI"/>
              </w:rPr>
              <w:t>e transporta zdravila v okviru:</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16E46">
              <w:rPr>
                <w:rFonts w:ascii="Arial" w:eastAsia="Times New Roman" w:hAnsi="Arial" w:cs="Arial"/>
                <w:sz w:val="20"/>
                <w:szCs w:val="20"/>
                <w:lang w:eastAsia="sl-SI"/>
              </w:rPr>
              <w:t>izdaje zdravila v lekarnah ali specializiranih prodajalnah za zdravila končnim uporabnikom, ki so pacienti oziroma lastniki živali ali njihovi skrbniki, oziroma prodaje zdravila na drobno izvajalcu zdravstvene oziroma veterinarske dejavnosti, socialnovarstvenim zavodom in Slovenski vojski, ki nimajo sistema sprejema, shranjevanja in sledljivosti zdravil na podlagi sklenjene pogodbe z lekarno oziroma</w:t>
            </w:r>
            <w:r>
              <w:rPr>
                <w:rFonts w:ascii="Arial" w:eastAsia="Times New Roman" w:hAnsi="Arial" w:cs="Arial"/>
                <w:sz w:val="20"/>
                <w:szCs w:val="20"/>
                <w:lang w:eastAsia="sl-SI"/>
              </w:rPr>
              <w:t xml:space="preserve"> s specializirano prodajalno in</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916E46">
              <w:rPr>
                <w:rFonts w:ascii="Arial" w:eastAsia="Times New Roman" w:hAnsi="Arial" w:cs="Arial"/>
                <w:sz w:val="20"/>
                <w:szCs w:val="20"/>
                <w:lang w:eastAsia="sl-SI"/>
              </w:rPr>
              <w:t>prodaje zdravila, ki jo izvaja drug poslovni subjekt, izvajalcem zdravstvene dejavnosti iz tretjega odstavka 104. člena tega zakona na podlagi sklenjene pogodbe z zadevnim poslovnim subjektom, ki je lahko proizvajalec oziroma drug veletrgovec z zdravili.</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192. člen</w:t>
            </w:r>
          </w:p>
          <w:p w:rsidR="007D45E5" w:rsidRPr="00916E46"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(hujši prekrški)</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(1) Z globo od 8.000 do 120.000 </w:t>
            </w:r>
            <w:proofErr w:type="spellStart"/>
            <w:r w:rsidRPr="00916E46">
              <w:rPr>
                <w:rFonts w:ascii="Arial" w:eastAsia="Times New Roman" w:hAnsi="Arial" w:cs="Arial"/>
                <w:sz w:val="20"/>
                <w:szCs w:val="20"/>
                <w:lang w:eastAsia="sl-SI"/>
              </w:rPr>
              <w:t>eurov</w:t>
            </w:r>
            <w:proofErr w:type="spellEnd"/>
            <w:r w:rsidRPr="00916E46">
              <w:rPr>
                <w:rFonts w:ascii="Arial" w:eastAsia="Times New Roman" w:hAnsi="Arial" w:cs="Arial"/>
                <w:sz w:val="20"/>
                <w:szCs w:val="20"/>
                <w:lang w:eastAsia="sl-SI"/>
              </w:rPr>
              <w:t xml:space="preserve"> se za pre</w:t>
            </w:r>
            <w:r>
              <w:rPr>
                <w:rFonts w:ascii="Arial" w:eastAsia="Times New Roman" w:hAnsi="Arial" w:cs="Arial"/>
                <w:sz w:val="20"/>
                <w:szCs w:val="20"/>
                <w:lang w:eastAsia="sl-SI"/>
              </w:rPr>
              <w:t>kršek kaznuje pravna oseba, če:</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preseže izdelano količino na letni ravni 50.000 pakiranj (prvi </w:t>
            </w:r>
            <w:r>
              <w:rPr>
                <w:rFonts w:ascii="Arial" w:eastAsia="Times New Roman" w:hAnsi="Arial" w:cs="Arial"/>
                <w:sz w:val="20"/>
                <w:szCs w:val="20"/>
                <w:lang w:eastAsia="sl-SI"/>
              </w:rPr>
              <w:t>odstavek 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galensko izdeluje zdravila v nasprotju z drugim </w:t>
            </w:r>
            <w:r>
              <w:rPr>
                <w:rFonts w:ascii="Arial" w:eastAsia="Times New Roman" w:hAnsi="Arial" w:cs="Arial"/>
                <w:sz w:val="20"/>
                <w:szCs w:val="20"/>
                <w:lang w:eastAsia="sl-SI"/>
              </w:rPr>
              <w:t>odstavkom 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uporablja industrijsko proizvedena zdravila, </w:t>
            </w:r>
            <w:proofErr w:type="spellStart"/>
            <w:r w:rsidRPr="00916E46">
              <w:rPr>
                <w:rFonts w:ascii="Arial" w:eastAsia="Times New Roman" w:hAnsi="Arial" w:cs="Arial"/>
                <w:sz w:val="20"/>
                <w:szCs w:val="20"/>
                <w:lang w:eastAsia="sl-SI"/>
              </w:rPr>
              <w:t>intermediate</w:t>
            </w:r>
            <w:proofErr w:type="spellEnd"/>
            <w:r w:rsidRPr="00916E46">
              <w:rPr>
                <w:rFonts w:ascii="Arial" w:eastAsia="Times New Roman" w:hAnsi="Arial" w:cs="Arial"/>
                <w:sz w:val="20"/>
                <w:szCs w:val="20"/>
                <w:lang w:eastAsia="sl-SI"/>
              </w:rPr>
              <w:t xml:space="preserve">, vmesne izdelke ali polizdelke za izdelavo galenskih zdravil v nasprotju s četrtim </w:t>
            </w:r>
            <w:r>
              <w:rPr>
                <w:rFonts w:ascii="Arial" w:eastAsia="Times New Roman" w:hAnsi="Arial" w:cs="Arial"/>
                <w:sz w:val="20"/>
                <w:szCs w:val="20"/>
                <w:lang w:eastAsia="sl-SI"/>
              </w:rPr>
              <w:t>odstavkom 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izdeluje galenska zdravila v večji količini brez predhodne odobritve JAZMP (peti </w:t>
            </w:r>
            <w:r>
              <w:rPr>
                <w:rFonts w:ascii="Arial" w:eastAsia="Times New Roman" w:hAnsi="Arial" w:cs="Arial"/>
                <w:sz w:val="20"/>
                <w:szCs w:val="20"/>
                <w:lang w:eastAsia="sl-SI"/>
              </w:rPr>
              <w:t>odstavek 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oglašuje ali da v promet izdelke kakorkoli predstavljene z lastnostmi za zdravljenje ali preprečevanje bolezni pri ljudeh ali živalih, če po tem zakonu ne veljajo za zdravila (prvi odstavek </w:t>
            </w:r>
            <w:r w:rsidRPr="00916E46">
              <w:rPr>
                <w:rFonts w:ascii="Arial" w:eastAsia="Times New Roman" w:hAnsi="Arial" w:cs="Arial"/>
                <w:sz w:val="20"/>
                <w:szCs w:val="20"/>
                <w:lang w:eastAsia="sl-SI"/>
              </w:rPr>
              <w:lastRenderedPageBreak/>
              <w:t>9. člen</w:t>
            </w:r>
            <w:r>
              <w:rPr>
                <w:rFonts w:ascii="Arial" w:eastAsia="Times New Roman" w:hAnsi="Arial" w:cs="Arial"/>
                <w:sz w:val="20"/>
                <w:szCs w:val="20"/>
                <w:lang w:eastAsia="sl-SI"/>
              </w:rPr>
              <w:t>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izdelke, ki po tem zakonu ne veljajo za zdravila, predstavlja pacientom ali kupcem z lastnostmi za zdravljenje in preprečevanje bolezni (drugi </w:t>
            </w:r>
            <w:r>
              <w:rPr>
                <w:rFonts w:ascii="Arial" w:eastAsia="Times New Roman" w:hAnsi="Arial" w:cs="Arial"/>
                <w:sz w:val="20"/>
                <w:szCs w:val="20"/>
                <w:lang w:eastAsia="sl-SI"/>
              </w:rPr>
              <w:t>odstavek 9.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pri predpisovanju in izdajanju zdravil ne ravna v s</w:t>
            </w:r>
            <w:r>
              <w:rPr>
                <w:rFonts w:ascii="Arial" w:eastAsia="Times New Roman" w:hAnsi="Arial" w:cs="Arial"/>
                <w:sz w:val="20"/>
                <w:szCs w:val="20"/>
                <w:lang w:eastAsia="sl-SI"/>
              </w:rPr>
              <w:t>kladu s 14.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da v promet zdr</w:t>
            </w:r>
            <w:r>
              <w:rPr>
                <w:rFonts w:ascii="Arial" w:eastAsia="Times New Roman" w:hAnsi="Arial" w:cs="Arial"/>
                <w:sz w:val="20"/>
                <w:szCs w:val="20"/>
                <w:lang w:eastAsia="sl-SI"/>
              </w:rPr>
              <w:t>avilo iz 21.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JAZMP ne obvesti o neustrezni kakovosti zdravila oziroma sumu na ponarejanje z</w:t>
            </w:r>
            <w:r>
              <w:rPr>
                <w:rFonts w:ascii="Arial" w:eastAsia="Times New Roman" w:hAnsi="Arial" w:cs="Arial"/>
                <w:sz w:val="20"/>
                <w:szCs w:val="20"/>
                <w:lang w:eastAsia="sl-SI"/>
              </w:rPr>
              <w:t>dravila (23. člen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nima sklenjene pogodbe s proizvajalcem v skladu z drugim o</w:t>
            </w:r>
            <w:r>
              <w:rPr>
                <w:rFonts w:ascii="Arial" w:eastAsia="Times New Roman" w:hAnsi="Arial" w:cs="Arial"/>
                <w:sz w:val="20"/>
                <w:szCs w:val="20"/>
                <w:lang w:eastAsia="sl-SI"/>
              </w:rPr>
              <w:t>dstavkom 27.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zdravilo ni proizvedeno in kontrolirano v s</w:t>
            </w:r>
            <w:r>
              <w:rPr>
                <w:rFonts w:ascii="Arial" w:eastAsia="Times New Roman" w:hAnsi="Arial" w:cs="Arial"/>
                <w:sz w:val="20"/>
                <w:szCs w:val="20"/>
                <w:lang w:eastAsia="sl-SI"/>
              </w:rPr>
              <w:t>kladu z 28.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klinično preskuša nerutinsko pripravljeno zdravilo za napredno zdravljenje (tretji odstavek 33. člena </w:t>
            </w:r>
            <w:r>
              <w:rPr>
                <w:rFonts w:ascii="Arial" w:eastAsia="Times New Roman" w:hAnsi="Arial" w:cs="Arial"/>
                <w:sz w:val="20"/>
                <w:szCs w:val="20"/>
                <w:lang w:eastAsia="sl-SI"/>
              </w:rPr>
              <w:t>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kliničnega preskušanja zdravil ne opravi v skladu s</w:t>
            </w:r>
            <w:r>
              <w:rPr>
                <w:rFonts w:ascii="Arial" w:eastAsia="Times New Roman" w:hAnsi="Arial" w:cs="Arial"/>
                <w:sz w:val="20"/>
                <w:szCs w:val="20"/>
                <w:lang w:eastAsia="sl-SI"/>
              </w:rPr>
              <w:t xml:space="preserve"> 34. in 35.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zavaruje svoje odgovornosti za morebitno škodo, nastalo s preskušanjem zdravila v s</w:t>
            </w:r>
            <w:r>
              <w:rPr>
                <w:rFonts w:ascii="Arial" w:eastAsia="Times New Roman" w:hAnsi="Arial" w:cs="Arial"/>
                <w:sz w:val="20"/>
                <w:szCs w:val="20"/>
                <w:lang w:eastAsia="sl-SI"/>
              </w:rPr>
              <w:t>kladu s 36.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JAZMP ne priglasi pomembnih sprememb pri kliničnih preskušanjih, ki že potekajo (prvi o</w:t>
            </w:r>
            <w:r>
              <w:rPr>
                <w:rFonts w:ascii="Arial" w:eastAsia="Times New Roman" w:hAnsi="Arial" w:cs="Arial"/>
                <w:sz w:val="20"/>
                <w:szCs w:val="20"/>
                <w:lang w:eastAsia="sl-SI"/>
              </w:rPr>
              <w:t>dstavek 38.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priglasi neintervencijskega kliničnega preskušanja JAZMP v skladu s prvim o</w:t>
            </w:r>
            <w:r>
              <w:rPr>
                <w:rFonts w:ascii="Arial" w:eastAsia="Times New Roman" w:hAnsi="Arial" w:cs="Arial"/>
                <w:sz w:val="20"/>
                <w:szCs w:val="20"/>
                <w:lang w:eastAsia="sl-SI"/>
              </w:rPr>
              <w:t>dstavkom 40.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pripravi poročila JAZMP o poteku in rezultatih preskušanja v skladu s četrtim o</w:t>
            </w:r>
            <w:r>
              <w:rPr>
                <w:rFonts w:ascii="Arial" w:eastAsia="Times New Roman" w:hAnsi="Arial" w:cs="Arial"/>
                <w:sz w:val="20"/>
                <w:szCs w:val="20"/>
                <w:lang w:eastAsia="sl-SI"/>
              </w:rPr>
              <w:t>dstavkom 40.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obvesti pacienta o vključitvi v neintervencijsko klinično preskušanje zdravila (peti o</w:t>
            </w:r>
            <w:r>
              <w:rPr>
                <w:rFonts w:ascii="Arial" w:eastAsia="Times New Roman" w:hAnsi="Arial" w:cs="Arial"/>
                <w:sz w:val="20"/>
                <w:szCs w:val="20"/>
                <w:lang w:eastAsia="sl-SI"/>
              </w:rPr>
              <w:t>dstavek 40.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če da v promet generično zdravilo v nasprotju s</w:t>
            </w:r>
            <w:r>
              <w:rPr>
                <w:rFonts w:ascii="Arial" w:eastAsia="Times New Roman" w:hAnsi="Arial" w:cs="Arial"/>
                <w:sz w:val="20"/>
                <w:szCs w:val="20"/>
                <w:lang w:eastAsia="sl-SI"/>
              </w:rPr>
              <w:t xml:space="preserve"> 45. in 46.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pogojev in obveznosti v zvezi z varnostjo zdravila ne vključi v sistem obvladovanja tveganj (sedmi o</w:t>
            </w:r>
            <w:r>
              <w:rPr>
                <w:rFonts w:ascii="Arial" w:eastAsia="Times New Roman" w:hAnsi="Arial" w:cs="Arial"/>
                <w:sz w:val="20"/>
                <w:szCs w:val="20"/>
                <w:lang w:eastAsia="sl-SI"/>
              </w:rPr>
              <w:t>dstavek 58.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JAZMP ne sporoči novih podatkov oziroma vseh podatkov v skladu s prvim in drugim o</w:t>
            </w:r>
            <w:r>
              <w:rPr>
                <w:rFonts w:ascii="Arial" w:eastAsia="Times New Roman" w:hAnsi="Arial" w:cs="Arial"/>
                <w:sz w:val="20"/>
                <w:szCs w:val="20"/>
                <w:lang w:eastAsia="sl-SI"/>
              </w:rPr>
              <w:t>dstavkom 62.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odproda zdravila po spremembi ali izteku dovoljenja za promet v nasp</w:t>
            </w:r>
            <w:r>
              <w:rPr>
                <w:rFonts w:ascii="Arial" w:eastAsia="Times New Roman" w:hAnsi="Arial" w:cs="Arial"/>
                <w:sz w:val="20"/>
                <w:szCs w:val="20"/>
                <w:lang w:eastAsia="sl-SI"/>
              </w:rPr>
              <w:t>rotju s 67.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daje v promet zdravilo za napredno zdravljenje v nasprotju s prvim od</w:t>
            </w:r>
            <w:r>
              <w:rPr>
                <w:rFonts w:ascii="Arial" w:eastAsia="Times New Roman" w:hAnsi="Arial" w:cs="Arial"/>
                <w:sz w:val="20"/>
                <w:szCs w:val="20"/>
                <w:lang w:eastAsia="sl-SI"/>
              </w:rPr>
              <w:t>stavkom 71.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da v promet oziroma pripravi nerutinsko pripravljena zdravila za napredno zdravljenje v nasp</w:t>
            </w:r>
            <w:r>
              <w:rPr>
                <w:rFonts w:ascii="Arial" w:eastAsia="Times New Roman" w:hAnsi="Arial" w:cs="Arial"/>
                <w:sz w:val="20"/>
                <w:szCs w:val="20"/>
                <w:lang w:eastAsia="sl-SI"/>
              </w:rPr>
              <w:t>rotju z 71.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izpolnjuje po</w:t>
            </w:r>
            <w:r>
              <w:rPr>
                <w:rFonts w:ascii="Arial" w:eastAsia="Times New Roman" w:hAnsi="Arial" w:cs="Arial"/>
                <w:sz w:val="20"/>
                <w:szCs w:val="20"/>
                <w:lang w:eastAsia="sl-SI"/>
              </w:rPr>
              <w:t>gojev iz 72.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ravna v nasprotju s prvim in drugim o</w:t>
            </w:r>
            <w:r>
              <w:rPr>
                <w:rFonts w:ascii="Arial" w:eastAsia="Times New Roman" w:hAnsi="Arial" w:cs="Arial"/>
                <w:sz w:val="20"/>
                <w:szCs w:val="20"/>
                <w:lang w:eastAsia="sl-SI"/>
              </w:rPr>
              <w:t>dstavkom 74.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posreduje letnega poročila v s</w:t>
            </w:r>
            <w:r>
              <w:rPr>
                <w:rFonts w:ascii="Arial" w:eastAsia="Times New Roman" w:hAnsi="Arial" w:cs="Arial"/>
                <w:sz w:val="20"/>
                <w:szCs w:val="20"/>
                <w:lang w:eastAsia="sl-SI"/>
              </w:rPr>
              <w:t>kladu s 75.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iznaša in izvaža ter vnaša in uvaža nerutinsko pripravljena zdravila za napredno zdravljenje </w:t>
            </w:r>
            <w:r>
              <w:rPr>
                <w:rFonts w:ascii="Arial" w:eastAsia="Times New Roman" w:hAnsi="Arial" w:cs="Arial"/>
                <w:sz w:val="20"/>
                <w:szCs w:val="20"/>
                <w:lang w:eastAsia="sl-SI"/>
              </w:rPr>
              <w:t>(76. člen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nima zavarovane odgovornosti za morebitno škodo, povzročeno pacientu ali živali (drugi o</w:t>
            </w:r>
            <w:r>
              <w:rPr>
                <w:rFonts w:ascii="Arial" w:eastAsia="Times New Roman" w:hAnsi="Arial" w:cs="Arial"/>
                <w:sz w:val="20"/>
                <w:szCs w:val="20"/>
                <w:lang w:eastAsia="sl-SI"/>
              </w:rPr>
              <w:t>dstavek 77.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uporabi nerutinsko pripravljeno zdravilo za napredno zdravljenje brez pridobitve in pregleda potrdila o skladnosti (peti o</w:t>
            </w:r>
            <w:r>
              <w:rPr>
                <w:rFonts w:ascii="Arial" w:eastAsia="Times New Roman" w:hAnsi="Arial" w:cs="Arial"/>
                <w:sz w:val="20"/>
                <w:szCs w:val="20"/>
                <w:lang w:eastAsia="sl-SI"/>
              </w:rPr>
              <w:t>dstavek 77.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nima vzpostavljenega sistema, ki za vsakega pacienta oziroma žival in izdelek omogoča dovolj podatkov za sledljivost ter ne spremlja poteka zdravljenja (šesti in sedmi odstavek 77. čle</w:t>
            </w:r>
            <w:r>
              <w:rPr>
                <w:rFonts w:ascii="Arial" w:eastAsia="Times New Roman" w:hAnsi="Arial" w:cs="Arial"/>
                <w:sz w:val="20"/>
                <w:szCs w:val="20"/>
                <w:lang w:eastAsia="sl-SI"/>
              </w:rPr>
              <w:t>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ni priglašen v register zdravnikov oziroma veterinarjev (prvi o</w:t>
            </w:r>
            <w:r>
              <w:rPr>
                <w:rFonts w:ascii="Arial" w:eastAsia="Times New Roman" w:hAnsi="Arial" w:cs="Arial"/>
                <w:sz w:val="20"/>
                <w:szCs w:val="20"/>
                <w:lang w:eastAsia="sl-SI"/>
              </w:rPr>
              <w:t>dstavek 78.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sporoči JAZMP spremembe podatkov v skladu s tretjim o</w:t>
            </w:r>
            <w:r>
              <w:rPr>
                <w:rFonts w:ascii="Arial" w:eastAsia="Times New Roman" w:hAnsi="Arial" w:cs="Arial"/>
                <w:sz w:val="20"/>
                <w:szCs w:val="20"/>
                <w:lang w:eastAsia="sl-SI"/>
              </w:rPr>
              <w:t>dstavkom 78. člena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označi ali opremi nerutinsko pripravljenega zdravila za napredno zdravljenje z navodili za uporabo v s</w:t>
            </w:r>
            <w:r>
              <w:rPr>
                <w:rFonts w:ascii="Arial" w:eastAsia="Times New Roman" w:hAnsi="Arial" w:cs="Arial"/>
                <w:sz w:val="20"/>
                <w:szCs w:val="20"/>
                <w:lang w:eastAsia="sl-SI"/>
              </w:rPr>
              <w:t>kladu z 79. členom tega zakona,</w:t>
            </w:r>
          </w:p>
          <w:p w:rsidR="007D45E5" w:rsidRPr="00916E46" w:rsidRDefault="007D45E5" w:rsidP="00E874DC">
            <w:pPr>
              <w:numPr>
                <w:ilvl w:val="0"/>
                <w:numId w:val="8"/>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nima vzpostavljenega in ne vzdržuje sistema, ki zagotavlja sledljivost nerutinsko pripravljenega zdravila za napredno zdravljenje ter vhodnih snovi in surovin, vključno z materiali, v skladu s prvim o</w:t>
            </w:r>
            <w:r>
              <w:rPr>
                <w:rFonts w:ascii="Arial" w:eastAsia="Times New Roman" w:hAnsi="Arial" w:cs="Arial"/>
                <w:sz w:val="20"/>
                <w:szCs w:val="20"/>
                <w:lang w:eastAsia="sl-SI"/>
              </w:rPr>
              <w:t>dstavkom 80.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hrani oziroma zagotavlja podatkov o sledljivosti v skladu z drugim in tretjim o</w:t>
            </w:r>
            <w:r>
              <w:rPr>
                <w:rFonts w:ascii="Arial" w:eastAsia="Times New Roman" w:hAnsi="Arial" w:cs="Arial"/>
                <w:sz w:val="20"/>
                <w:szCs w:val="20"/>
                <w:lang w:eastAsia="sl-SI"/>
              </w:rPr>
              <w:t xml:space="preserve">dstavkom 80. </w:t>
            </w:r>
            <w:r>
              <w:rPr>
                <w:rFonts w:ascii="Arial" w:eastAsia="Times New Roman" w:hAnsi="Arial" w:cs="Arial"/>
                <w:sz w:val="20"/>
                <w:szCs w:val="20"/>
                <w:lang w:eastAsia="sl-SI"/>
              </w:rPr>
              <w:lastRenderedPageBreak/>
              <w:t>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zagotavlja sistema sledljivosti nerutinsko pripravljenega zdravila za napredno zdravljenje v skladu s četrtim o</w:t>
            </w:r>
            <w:r>
              <w:rPr>
                <w:rFonts w:ascii="Arial" w:eastAsia="Times New Roman" w:hAnsi="Arial" w:cs="Arial"/>
                <w:sz w:val="20"/>
                <w:szCs w:val="20"/>
                <w:lang w:eastAsia="sl-SI"/>
              </w:rPr>
              <w:t>dstavkom 80.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obvesti JAZMP o domnevnih neželenih učinkih v skladu s petim odstavkom 82. člena tega z</w:t>
            </w:r>
            <w:r>
              <w:rPr>
                <w:rFonts w:ascii="Arial" w:eastAsia="Times New Roman" w:hAnsi="Arial" w:cs="Arial"/>
                <w:sz w:val="20"/>
                <w:szCs w:val="20"/>
                <w:lang w:eastAsia="sl-SI"/>
              </w:rPr>
              <w:t>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oglašuje nerutinsko pripravljena zdravila za napredno zdravljenje, njegovo pripravo ali zdravljenje</w:t>
            </w:r>
            <w:r>
              <w:rPr>
                <w:rFonts w:ascii="Arial" w:eastAsia="Times New Roman" w:hAnsi="Arial" w:cs="Arial"/>
                <w:sz w:val="20"/>
                <w:szCs w:val="20"/>
                <w:lang w:eastAsia="sl-SI"/>
              </w:rPr>
              <w:t xml:space="preserve"> z njim (81. člen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nima vzpostavljenega sistema farmakovigilance v skladu s prvim o</w:t>
            </w:r>
            <w:r>
              <w:rPr>
                <w:rFonts w:ascii="Arial" w:eastAsia="Times New Roman" w:hAnsi="Arial" w:cs="Arial"/>
                <w:sz w:val="20"/>
                <w:szCs w:val="20"/>
                <w:lang w:eastAsia="sl-SI"/>
              </w:rPr>
              <w:t>dstavkom 82.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nima odgovorne osebe za </w:t>
            </w:r>
            <w:proofErr w:type="spellStart"/>
            <w:r w:rsidRPr="00916E46">
              <w:rPr>
                <w:rFonts w:ascii="Arial" w:eastAsia="Times New Roman" w:hAnsi="Arial" w:cs="Arial"/>
                <w:sz w:val="20"/>
                <w:szCs w:val="20"/>
                <w:lang w:eastAsia="sl-SI"/>
              </w:rPr>
              <w:t>farmagovilanco</w:t>
            </w:r>
            <w:proofErr w:type="spellEnd"/>
            <w:r w:rsidRPr="00916E46">
              <w:rPr>
                <w:rFonts w:ascii="Arial" w:eastAsia="Times New Roman" w:hAnsi="Arial" w:cs="Arial"/>
                <w:sz w:val="20"/>
                <w:szCs w:val="20"/>
                <w:lang w:eastAsia="sl-SI"/>
              </w:rPr>
              <w:t xml:space="preserve"> v skladu z drugim in tretjim o</w:t>
            </w:r>
            <w:r>
              <w:rPr>
                <w:rFonts w:ascii="Arial" w:eastAsia="Times New Roman" w:hAnsi="Arial" w:cs="Arial"/>
                <w:sz w:val="20"/>
                <w:szCs w:val="20"/>
                <w:lang w:eastAsia="sl-SI"/>
              </w:rPr>
              <w:t>dstavkom 82.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na zahtevo JAZMP ne predloži načrta za obvladovanje tveganj v skladu s četrtim o</w:t>
            </w:r>
            <w:r>
              <w:rPr>
                <w:rFonts w:ascii="Arial" w:eastAsia="Times New Roman" w:hAnsi="Arial" w:cs="Arial"/>
                <w:sz w:val="20"/>
                <w:szCs w:val="20"/>
                <w:lang w:eastAsia="sl-SI"/>
              </w:rPr>
              <w:t>dstavkom 82.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če pripravlja nerutinsko pripravljeno zdravilo v nasprotju s prvim o</w:t>
            </w:r>
            <w:r>
              <w:rPr>
                <w:rFonts w:ascii="Arial" w:eastAsia="Times New Roman" w:hAnsi="Arial" w:cs="Arial"/>
                <w:sz w:val="20"/>
                <w:szCs w:val="20"/>
                <w:lang w:eastAsia="sl-SI"/>
              </w:rPr>
              <w:t>dstavkom 83.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če ne obvesti JAZMP o spremembah v skladu s prvim o</w:t>
            </w:r>
            <w:r>
              <w:rPr>
                <w:rFonts w:ascii="Arial" w:eastAsia="Times New Roman" w:hAnsi="Arial" w:cs="Arial"/>
                <w:sz w:val="20"/>
                <w:szCs w:val="20"/>
                <w:lang w:eastAsia="sl-SI"/>
              </w:rPr>
              <w:t>dstavkom 85.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zdravilo ni označeno in nima navodila za uporabo v skladu s 87. člen</w:t>
            </w:r>
            <w:r>
              <w:rPr>
                <w:rFonts w:ascii="Arial" w:eastAsia="Times New Roman" w:hAnsi="Arial" w:cs="Arial"/>
                <w:sz w:val="20"/>
                <w:szCs w:val="20"/>
                <w:lang w:eastAsia="sl-SI"/>
              </w:rPr>
              <w:t>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zdravilo za uporabo v humani medicini nima pritrjenega zaščitnega elementa za zdravilo v s</w:t>
            </w:r>
            <w:r>
              <w:rPr>
                <w:rFonts w:ascii="Arial" w:eastAsia="Times New Roman" w:hAnsi="Arial" w:cs="Arial"/>
                <w:sz w:val="20"/>
                <w:szCs w:val="20"/>
                <w:lang w:eastAsia="sl-SI"/>
              </w:rPr>
              <w:t>kladu z 88.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zagotovi pripomočka za odkrivanje posega v zunanjo ovojnino (tretji o</w:t>
            </w:r>
            <w:r>
              <w:rPr>
                <w:rFonts w:ascii="Arial" w:eastAsia="Times New Roman" w:hAnsi="Arial" w:cs="Arial"/>
                <w:sz w:val="20"/>
                <w:szCs w:val="20"/>
                <w:lang w:eastAsia="sl-SI"/>
              </w:rPr>
              <w:t>dstavek 88.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če zaščitni element na zdravilu delno ali v celoti odstrani ali prekrije v nasprotju s petim o</w:t>
            </w:r>
            <w:r>
              <w:rPr>
                <w:rFonts w:ascii="Arial" w:eastAsia="Times New Roman" w:hAnsi="Arial" w:cs="Arial"/>
                <w:sz w:val="20"/>
                <w:szCs w:val="20"/>
                <w:lang w:eastAsia="sl-SI"/>
              </w:rPr>
              <w:t>dstavkom 88.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proizvaja zdravila v nasprotju z dovoljenjem za promet z zd</w:t>
            </w:r>
            <w:r>
              <w:rPr>
                <w:rFonts w:ascii="Arial" w:eastAsia="Times New Roman" w:hAnsi="Arial" w:cs="Arial"/>
                <w:sz w:val="20"/>
                <w:szCs w:val="20"/>
                <w:lang w:eastAsia="sl-SI"/>
              </w:rPr>
              <w:t>ravilom (90. člen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izpolnjuje pogojev za proizvodnjo zd</w:t>
            </w:r>
            <w:r>
              <w:rPr>
                <w:rFonts w:ascii="Arial" w:eastAsia="Times New Roman" w:hAnsi="Arial" w:cs="Arial"/>
                <w:sz w:val="20"/>
                <w:szCs w:val="20"/>
                <w:lang w:eastAsia="sl-SI"/>
              </w:rPr>
              <w:t>ravil iz 91.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odgovorna oseba za sproščanje posameznih serij zdravil ne izpolnjuje po</w:t>
            </w:r>
            <w:r>
              <w:rPr>
                <w:rFonts w:ascii="Arial" w:eastAsia="Times New Roman" w:hAnsi="Arial" w:cs="Arial"/>
                <w:sz w:val="20"/>
                <w:szCs w:val="20"/>
                <w:lang w:eastAsia="sl-SI"/>
              </w:rPr>
              <w:t>gojev iz 92.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ravna v nasprotju z obveznostmi za proizvajalce zd</w:t>
            </w:r>
            <w:r>
              <w:rPr>
                <w:rFonts w:ascii="Arial" w:eastAsia="Times New Roman" w:hAnsi="Arial" w:cs="Arial"/>
                <w:sz w:val="20"/>
                <w:szCs w:val="20"/>
                <w:lang w:eastAsia="sl-SI"/>
              </w:rPr>
              <w:t>ravil iz 93.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JAZMP ne sporoči vsake spremembe pogojev iz 91. člena tega</w:t>
            </w:r>
            <w:r>
              <w:rPr>
                <w:rFonts w:ascii="Arial" w:eastAsia="Times New Roman" w:hAnsi="Arial" w:cs="Arial"/>
                <w:sz w:val="20"/>
                <w:szCs w:val="20"/>
                <w:lang w:eastAsia="sl-SI"/>
              </w:rPr>
              <w:t xml:space="preserve"> zakona (96. člen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izpolnjuje pogojev za proizvodnjo učinkovin (prvi od</w:t>
            </w:r>
            <w:r>
              <w:rPr>
                <w:rFonts w:ascii="Arial" w:eastAsia="Times New Roman" w:hAnsi="Arial" w:cs="Arial"/>
                <w:sz w:val="20"/>
                <w:szCs w:val="20"/>
                <w:lang w:eastAsia="sl-SI"/>
              </w:rPr>
              <w:t>stavek 100.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obvesti JAZMP in imetnika dovoljenja za promet z zdravilom o ponaredkih učinkovin ali sumu nanje (drugi od</w:t>
            </w:r>
            <w:r>
              <w:rPr>
                <w:rFonts w:ascii="Arial" w:eastAsia="Times New Roman" w:hAnsi="Arial" w:cs="Arial"/>
                <w:sz w:val="20"/>
                <w:szCs w:val="20"/>
                <w:lang w:eastAsia="sl-SI"/>
              </w:rPr>
              <w:t>stavek 100.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opravlja dejavnost v nasprotju</w:t>
            </w:r>
            <w:r>
              <w:rPr>
                <w:rFonts w:ascii="Arial" w:eastAsia="Times New Roman" w:hAnsi="Arial" w:cs="Arial"/>
                <w:sz w:val="20"/>
                <w:szCs w:val="20"/>
                <w:lang w:eastAsia="sl-SI"/>
              </w:rPr>
              <w:t xml:space="preserve"> s 101.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JAZMP ne sporoči vsake spremembe pogojev iz 100. člena tega zakona, ki pomembno vpliva na kakovost ali varnost učinkovine, ki jo pro</w:t>
            </w:r>
            <w:r>
              <w:rPr>
                <w:rFonts w:ascii="Arial" w:eastAsia="Times New Roman" w:hAnsi="Arial" w:cs="Arial"/>
                <w:sz w:val="20"/>
                <w:szCs w:val="20"/>
                <w:lang w:eastAsia="sl-SI"/>
              </w:rPr>
              <w:t>izvaja (102. člen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opravlja proizvodnjo pomožnih snovi v nasprotju s smernicami in načeli dobre proizvodne prakse za pomožne</w:t>
            </w:r>
            <w:r>
              <w:rPr>
                <w:rFonts w:ascii="Arial" w:eastAsia="Times New Roman" w:hAnsi="Arial" w:cs="Arial"/>
                <w:sz w:val="20"/>
                <w:szCs w:val="20"/>
                <w:lang w:eastAsia="sl-SI"/>
              </w:rPr>
              <w:t xml:space="preserve"> snovi (103. člen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ravna v naspr</w:t>
            </w:r>
            <w:r>
              <w:rPr>
                <w:rFonts w:ascii="Arial" w:eastAsia="Times New Roman" w:hAnsi="Arial" w:cs="Arial"/>
                <w:sz w:val="20"/>
                <w:szCs w:val="20"/>
                <w:lang w:eastAsia="sl-SI"/>
              </w:rPr>
              <w:t>otju s 104.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izpolnjuje pogojev za veletrgovce z zdravili v skladu s prvim in drugim odstavkom 105. člena te</w:t>
            </w:r>
            <w:r>
              <w:rPr>
                <w:rFonts w:ascii="Arial" w:eastAsia="Times New Roman" w:hAnsi="Arial" w:cs="Arial"/>
                <w:sz w:val="20"/>
                <w:szCs w:val="20"/>
                <w:lang w:eastAsia="sl-SI"/>
              </w:rPr>
              <w:t>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izpolnjuje obveznosti veletrgovcev v sk</w:t>
            </w:r>
            <w:r>
              <w:rPr>
                <w:rFonts w:ascii="Arial" w:eastAsia="Times New Roman" w:hAnsi="Arial" w:cs="Arial"/>
                <w:sz w:val="20"/>
                <w:szCs w:val="20"/>
                <w:lang w:eastAsia="sl-SI"/>
              </w:rPr>
              <w:t>ladu s 106.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zagotavlja izpolnjevanja obveznosti storitev v javnem interesu v sk</w:t>
            </w:r>
            <w:r>
              <w:rPr>
                <w:rFonts w:ascii="Arial" w:eastAsia="Times New Roman" w:hAnsi="Arial" w:cs="Arial"/>
                <w:sz w:val="20"/>
                <w:szCs w:val="20"/>
                <w:lang w:eastAsia="sl-SI"/>
              </w:rPr>
              <w:t>ladu s 107.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opravlja dejavnosti prometa z učinkovinami na debelo v skladu s prvim, drugim in četrtim ods</w:t>
            </w:r>
            <w:r>
              <w:rPr>
                <w:rFonts w:ascii="Arial" w:eastAsia="Times New Roman" w:hAnsi="Arial" w:cs="Arial"/>
                <w:sz w:val="20"/>
                <w:szCs w:val="20"/>
                <w:lang w:eastAsia="sl-SI"/>
              </w:rPr>
              <w:t>tavkom 111.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JAZMP ne obvesti o ponaredkih učinkovin v skladu s tretjim od</w:t>
            </w:r>
            <w:r>
              <w:rPr>
                <w:rFonts w:ascii="Arial" w:eastAsia="Times New Roman" w:hAnsi="Arial" w:cs="Arial"/>
                <w:sz w:val="20"/>
                <w:szCs w:val="20"/>
                <w:lang w:eastAsia="sl-SI"/>
              </w:rPr>
              <w:t>stavkom 111.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JAZMP takoj ne sporoči vsake spremembe pogojev iz drugega odstavka 111. člena tega zakona, ki pomembno vpliva na kakovost ali varnost učinkovine, s katero opravlja </w:t>
            </w:r>
            <w:r>
              <w:rPr>
                <w:rFonts w:ascii="Arial" w:eastAsia="Times New Roman" w:hAnsi="Arial" w:cs="Arial"/>
                <w:sz w:val="20"/>
                <w:szCs w:val="20"/>
                <w:lang w:eastAsia="sl-SI"/>
              </w:rPr>
              <w:t>promet (113. člen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uvaža zdravila v naspro</w:t>
            </w:r>
            <w:r>
              <w:rPr>
                <w:rFonts w:ascii="Arial" w:eastAsia="Times New Roman" w:hAnsi="Arial" w:cs="Arial"/>
                <w:sz w:val="20"/>
                <w:szCs w:val="20"/>
                <w:lang w:eastAsia="sl-SI"/>
              </w:rPr>
              <w:t>tju s 114. členoma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vnaša oziroma uvaža zdravila v nasprotju z drugim od</w:t>
            </w:r>
            <w:r>
              <w:rPr>
                <w:rFonts w:ascii="Arial" w:eastAsia="Times New Roman" w:hAnsi="Arial" w:cs="Arial"/>
                <w:sz w:val="20"/>
                <w:szCs w:val="20"/>
                <w:lang w:eastAsia="sl-SI"/>
              </w:rPr>
              <w:t>stavkom 116.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izvajalcem zdravstvene, veterinarske ali lekarniške dejavnosti ne zagotovi dobave zdravil v skladu z devetim od</w:t>
            </w:r>
            <w:r>
              <w:rPr>
                <w:rFonts w:ascii="Arial" w:eastAsia="Times New Roman" w:hAnsi="Arial" w:cs="Arial"/>
                <w:sz w:val="20"/>
                <w:szCs w:val="20"/>
                <w:lang w:eastAsia="sl-SI"/>
              </w:rPr>
              <w:t>stavkom 116.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lastRenderedPageBreak/>
              <w:t>pred začetkom paralelne distribucije o tem ne obvesti JAZMP v skladu s prvim in drugim odstavkom 118.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uvaža učinkovine v naspr</w:t>
            </w:r>
            <w:r>
              <w:rPr>
                <w:rFonts w:ascii="Arial" w:eastAsia="Times New Roman" w:hAnsi="Arial" w:cs="Arial"/>
                <w:sz w:val="20"/>
                <w:szCs w:val="20"/>
                <w:lang w:eastAsia="sl-SI"/>
              </w:rPr>
              <w:t>otju s 119.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izpolnjuje pogojev za uvoz učinkovin v skladu s 120. člen</w:t>
            </w:r>
            <w:r>
              <w:rPr>
                <w:rFonts w:ascii="Arial" w:eastAsia="Times New Roman" w:hAnsi="Arial" w:cs="Arial"/>
                <w:sz w:val="20"/>
                <w:szCs w:val="20"/>
                <w:lang w:eastAsia="sl-SI"/>
              </w:rPr>
              <w:t>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obvesti JAZMP o ponaredkih učinkovin ali sumu nanje (drugi od</w:t>
            </w:r>
            <w:r>
              <w:rPr>
                <w:rFonts w:ascii="Arial" w:eastAsia="Times New Roman" w:hAnsi="Arial" w:cs="Arial"/>
                <w:sz w:val="20"/>
                <w:szCs w:val="20"/>
                <w:lang w:eastAsia="sl-SI"/>
              </w:rPr>
              <w:t>stavek 120.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izvaja dejavnost uvoza učinkovin brez vpisa v register uvoznikov učinkovin (četrti od</w:t>
            </w:r>
            <w:r>
              <w:rPr>
                <w:rFonts w:ascii="Arial" w:eastAsia="Times New Roman" w:hAnsi="Arial" w:cs="Arial"/>
                <w:sz w:val="20"/>
                <w:szCs w:val="20"/>
                <w:lang w:eastAsia="sl-SI"/>
              </w:rPr>
              <w:t>stavek 121.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sporoči vsake spremembe pogojev iz prvega odstavka 120. člena tega zakona, ki pomembno vpliva na kakovost ali varnost učinkovine, ki jo uvaža (prvi od</w:t>
            </w:r>
            <w:r>
              <w:rPr>
                <w:rFonts w:ascii="Arial" w:eastAsia="Times New Roman" w:hAnsi="Arial" w:cs="Arial"/>
                <w:sz w:val="20"/>
                <w:szCs w:val="20"/>
                <w:lang w:eastAsia="sl-SI"/>
              </w:rPr>
              <w:t>stavek 122.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ravna v nasprotju z obveznostmi za posrednika v skladu s 1</w:t>
            </w:r>
            <w:r>
              <w:rPr>
                <w:rFonts w:ascii="Arial" w:eastAsia="Times New Roman" w:hAnsi="Arial" w:cs="Arial"/>
                <w:sz w:val="20"/>
                <w:szCs w:val="20"/>
                <w:lang w:eastAsia="sl-SI"/>
              </w:rPr>
              <w:t>23.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opravlja posredništvo zdravil ali učinkovin brez vpisa v register posrednikov zdravil in učinkovin pri JAZMP (prvi od</w:t>
            </w:r>
            <w:r>
              <w:rPr>
                <w:rFonts w:ascii="Arial" w:eastAsia="Times New Roman" w:hAnsi="Arial" w:cs="Arial"/>
                <w:sz w:val="20"/>
                <w:szCs w:val="20"/>
                <w:lang w:eastAsia="sl-SI"/>
              </w:rPr>
              <w:t>stavek 124.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obvesti JAZMP o spremembi podatkov iz četrtega o</w:t>
            </w:r>
            <w:r>
              <w:rPr>
                <w:rFonts w:ascii="Arial" w:eastAsia="Times New Roman" w:hAnsi="Arial" w:cs="Arial"/>
                <w:sz w:val="20"/>
                <w:szCs w:val="20"/>
                <w:lang w:eastAsia="sl-SI"/>
              </w:rPr>
              <w:t>dstavka 124.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opravlja promet z zdravili na drobno v naspr</w:t>
            </w:r>
            <w:r>
              <w:rPr>
                <w:rFonts w:ascii="Arial" w:eastAsia="Times New Roman" w:hAnsi="Arial" w:cs="Arial"/>
                <w:sz w:val="20"/>
                <w:szCs w:val="20"/>
                <w:lang w:eastAsia="sl-SI"/>
              </w:rPr>
              <w:t>otju s 126. členom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i</w:t>
            </w:r>
            <w:r w:rsidRPr="00916E46">
              <w:rPr>
                <w:rFonts w:ascii="Arial" w:eastAsia="Times New Roman" w:hAnsi="Arial" w:cs="Arial"/>
                <w:sz w:val="20"/>
                <w:szCs w:val="20"/>
                <w:lang w:eastAsia="sl-SI"/>
              </w:rPr>
              <w:t>zdaja zdravila prek medmrežja v nasprotju s 126. členom tega zakona</w:t>
            </w:r>
            <w:r>
              <w:rPr>
                <w:rFonts w:ascii="Arial" w:eastAsia="Times New Roman" w:hAnsi="Arial" w:cs="Arial"/>
                <w:sz w:val="20"/>
                <w:szCs w:val="20"/>
                <w:lang w:eastAsia="sl-SI"/>
              </w:rPr>
              <w:t>,</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izpolnjuje pogojev za promet z zdravili na drobno v specializirani prodajalni v skladu s prvim od</w:t>
            </w:r>
            <w:r>
              <w:rPr>
                <w:rFonts w:ascii="Arial" w:eastAsia="Times New Roman" w:hAnsi="Arial" w:cs="Arial"/>
                <w:sz w:val="20"/>
                <w:szCs w:val="20"/>
                <w:lang w:eastAsia="sl-SI"/>
              </w:rPr>
              <w:t>stavkom 127.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opravlja nalog, dolo</w:t>
            </w:r>
            <w:r>
              <w:rPr>
                <w:rFonts w:ascii="Arial" w:eastAsia="Times New Roman" w:hAnsi="Arial" w:cs="Arial"/>
                <w:sz w:val="20"/>
                <w:szCs w:val="20"/>
                <w:lang w:eastAsia="sl-SI"/>
              </w:rPr>
              <w:t>čenih v 133. členu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opravlja neintervencijsko klinično preskušanje zdravil brez soglasja JAZMP k osnutku protokola v skladu s prvim od</w:t>
            </w:r>
            <w:r>
              <w:rPr>
                <w:rFonts w:ascii="Arial" w:eastAsia="Times New Roman" w:hAnsi="Arial" w:cs="Arial"/>
                <w:sz w:val="20"/>
                <w:szCs w:val="20"/>
                <w:lang w:eastAsia="sl-SI"/>
              </w:rPr>
              <w:t>stavkom 138.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opravlja neintervencijsko klinično preskušanje zdravil brez soglasja iz tretjega o</w:t>
            </w:r>
            <w:r>
              <w:rPr>
                <w:rFonts w:ascii="Arial" w:eastAsia="Times New Roman" w:hAnsi="Arial" w:cs="Arial"/>
                <w:sz w:val="20"/>
                <w:szCs w:val="20"/>
                <w:lang w:eastAsia="sl-SI"/>
              </w:rPr>
              <w:t>dstavka 138.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obvesti JAZMP, imetnika dovoljenja za promet z zdravilom in poslovne subjekte, ki opravljajo promet z zadevnimi zdravili, o primerih neustrezne kakovosti zdravil, ki lahko vplivajo na varnost ali učinkovitost zdravila, ali sumu nanje (prvi odstavek 139. člena tega z</w:t>
            </w:r>
            <w:r>
              <w:rPr>
                <w:rFonts w:ascii="Arial" w:eastAsia="Times New Roman" w:hAnsi="Arial" w:cs="Arial"/>
                <w:sz w:val="20"/>
                <w:szCs w:val="20"/>
                <w:lang w:eastAsia="sl-SI"/>
              </w:rPr>
              <w:t>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umakne oporečnega zdravila iz prometa oziroma ne izvede drugih potrebnih ukrepov in o svojih aktivnostih sproti in brez odlašanja ne obvešča JAZMP (drugi od</w:t>
            </w:r>
            <w:r>
              <w:rPr>
                <w:rFonts w:ascii="Arial" w:eastAsia="Times New Roman" w:hAnsi="Arial" w:cs="Arial"/>
                <w:sz w:val="20"/>
                <w:szCs w:val="20"/>
                <w:lang w:eastAsia="sl-SI"/>
              </w:rPr>
              <w:t>stavek 139.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takoj ne obvesti pristojnih organov držav članic Evropske unije, v katerih je zdravilo v prometu, o vseh ukrepih glede umika zdravila iz prometa ali začasnega odvzema oziroma odvzema dovoljenja za promet z zdravilom, skupaj z razlogi za tako ukrepanje, če so ukrepi povezani z učinkovitostjo zdravila ali varovanjem javnega zdravja (tretji odstavek 139.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ravna v skladu s sedmim odstavkom 141.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poslovno </w:t>
            </w:r>
            <w:proofErr w:type="spellStart"/>
            <w:r w:rsidRPr="00916E46">
              <w:rPr>
                <w:rFonts w:ascii="Arial" w:eastAsia="Times New Roman" w:hAnsi="Arial" w:cs="Arial"/>
                <w:sz w:val="20"/>
                <w:szCs w:val="20"/>
                <w:lang w:eastAsia="sl-SI"/>
              </w:rPr>
              <w:t>donira</w:t>
            </w:r>
            <w:proofErr w:type="spellEnd"/>
            <w:r w:rsidRPr="00916E46">
              <w:rPr>
                <w:rFonts w:ascii="Arial" w:eastAsia="Times New Roman" w:hAnsi="Arial" w:cs="Arial"/>
                <w:sz w:val="20"/>
                <w:szCs w:val="20"/>
                <w:lang w:eastAsia="sl-SI"/>
              </w:rPr>
              <w:t xml:space="preserve"> zdravila v nasprotju s tretjim odstavkom 142.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poslovno </w:t>
            </w:r>
            <w:proofErr w:type="spellStart"/>
            <w:r w:rsidRPr="00916E46">
              <w:rPr>
                <w:rFonts w:ascii="Arial" w:eastAsia="Times New Roman" w:hAnsi="Arial" w:cs="Arial"/>
                <w:sz w:val="20"/>
                <w:szCs w:val="20"/>
                <w:lang w:eastAsia="sl-SI"/>
              </w:rPr>
              <w:t>donira</w:t>
            </w:r>
            <w:proofErr w:type="spellEnd"/>
            <w:r w:rsidRPr="00916E46">
              <w:rPr>
                <w:rFonts w:ascii="Arial" w:eastAsia="Times New Roman" w:hAnsi="Arial" w:cs="Arial"/>
                <w:sz w:val="20"/>
                <w:szCs w:val="20"/>
                <w:lang w:eastAsia="sl-SI"/>
              </w:rPr>
              <w:t xml:space="preserve"> zdravila, ki so namenjena sočutni uporabi (četrti odstavek 142.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nadalje prodaja poslovno </w:t>
            </w:r>
            <w:proofErr w:type="spellStart"/>
            <w:r w:rsidRPr="00916E46">
              <w:rPr>
                <w:rFonts w:ascii="Arial" w:eastAsia="Times New Roman" w:hAnsi="Arial" w:cs="Arial"/>
                <w:sz w:val="20"/>
                <w:szCs w:val="20"/>
                <w:lang w:eastAsia="sl-SI"/>
              </w:rPr>
              <w:t>donirana</w:t>
            </w:r>
            <w:proofErr w:type="spellEnd"/>
            <w:r w:rsidRPr="00916E46">
              <w:rPr>
                <w:rFonts w:ascii="Arial" w:eastAsia="Times New Roman" w:hAnsi="Arial" w:cs="Arial"/>
                <w:sz w:val="20"/>
                <w:szCs w:val="20"/>
                <w:lang w:eastAsia="sl-SI"/>
              </w:rPr>
              <w:t xml:space="preserve"> zdravila (peti odstavek 142.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proofErr w:type="spellStart"/>
            <w:r w:rsidRPr="00916E46">
              <w:rPr>
                <w:rFonts w:ascii="Arial" w:eastAsia="Times New Roman" w:hAnsi="Arial" w:cs="Arial"/>
                <w:sz w:val="20"/>
                <w:szCs w:val="20"/>
                <w:lang w:eastAsia="sl-SI"/>
              </w:rPr>
              <w:t>donira</w:t>
            </w:r>
            <w:proofErr w:type="spellEnd"/>
            <w:r w:rsidRPr="00916E46">
              <w:rPr>
                <w:rFonts w:ascii="Arial" w:eastAsia="Times New Roman" w:hAnsi="Arial" w:cs="Arial"/>
                <w:sz w:val="20"/>
                <w:szCs w:val="20"/>
                <w:lang w:eastAsia="sl-SI"/>
              </w:rPr>
              <w:t xml:space="preserve"> zdravila v nasprotju s sedmim, osmim in devetim odstavkom 142.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poslovno </w:t>
            </w:r>
            <w:proofErr w:type="spellStart"/>
            <w:r w:rsidRPr="00916E46">
              <w:rPr>
                <w:rFonts w:ascii="Arial" w:eastAsia="Times New Roman" w:hAnsi="Arial" w:cs="Arial"/>
                <w:sz w:val="20"/>
                <w:szCs w:val="20"/>
                <w:lang w:eastAsia="sl-SI"/>
              </w:rPr>
              <w:t>donira</w:t>
            </w:r>
            <w:proofErr w:type="spellEnd"/>
            <w:r w:rsidRPr="00916E46">
              <w:rPr>
                <w:rFonts w:ascii="Arial" w:eastAsia="Times New Roman" w:hAnsi="Arial" w:cs="Arial"/>
                <w:sz w:val="20"/>
                <w:szCs w:val="20"/>
                <w:lang w:eastAsia="sl-SI"/>
              </w:rPr>
              <w:t xml:space="preserve"> zdravila v nasprotju z desetim odstavkom 142.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ravna v skladu z osmim odstavkom 144.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priglasi poslovne donacije v skladu z enajstim odstavkom 142.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oglašuje zdravila v nasprotju s 147. členom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oglašuje zdravila širši javnosti v nasprotju s 148. členom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oglašuje zdravila strokovni javnosti v nasprotju s 149. členom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posreduje podatkov oziroma jih ne posreduje v rokih iz devetega odstavka 163. člena tega zakona,</w:t>
            </w:r>
          </w:p>
          <w:p w:rsidR="007D45E5" w:rsidRPr="00C41A80"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prodaja zdravil po ceni iz petega odstavka 163. člena tega zakona,</w:t>
            </w:r>
          </w:p>
          <w:p w:rsidR="007D45E5" w:rsidRPr="00916E46" w:rsidRDefault="007D45E5" w:rsidP="00E874DC">
            <w:pPr>
              <w:numPr>
                <w:ilvl w:val="0"/>
                <w:numId w:val="9"/>
              </w:numPr>
              <w:overflowPunct w:val="0"/>
              <w:autoSpaceDE w:val="0"/>
              <w:autoSpaceDN w:val="0"/>
              <w:adjustRightInd w:val="0"/>
              <w:spacing w:after="0" w:line="260" w:lineRule="exact"/>
              <w:ind w:left="284" w:hanging="284"/>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ne zaračunava cene v skladu s šestim odstavkom 163. člena tega zakona,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(2) Z globo od 500 do 3.000 </w:t>
            </w:r>
            <w:proofErr w:type="spellStart"/>
            <w:r w:rsidRPr="00916E46">
              <w:rPr>
                <w:rFonts w:ascii="Arial" w:eastAsia="Times New Roman" w:hAnsi="Arial" w:cs="Arial"/>
                <w:sz w:val="20"/>
                <w:szCs w:val="20"/>
                <w:lang w:eastAsia="sl-SI"/>
              </w:rPr>
              <w:t>eurov</w:t>
            </w:r>
            <w:proofErr w:type="spellEnd"/>
            <w:r w:rsidRPr="00916E46">
              <w:rPr>
                <w:rFonts w:ascii="Arial" w:eastAsia="Times New Roman" w:hAnsi="Arial" w:cs="Arial"/>
                <w:sz w:val="20"/>
                <w:szCs w:val="20"/>
                <w:lang w:eastAsia="sl-SI"/>
              </w:rPr>
              <w:t xml:space="preserve"> se kaznuje samostojni podjetnik posameznik ali posameznik, ki samostojno opravlja dejavnost, če stori prekršek iz prejšnjega odstavka.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lastRenderedPageBreak/>
              <w:t xml:space="preserve">(3) Z globo od 500 do 5.000 </w:t>
            </w:r>
            <w:proofErr w:type="spellStart"/>
            <w:r w:rsidRPr="00916E46">
              <w:rPr>
                <w:rFonts w:ascii="Arial" w:eastAsia="Times New Roman" w:hAnsi="Arial" w:cs="Arial"/>
                <w:sz w:val="20"/>
                <w:szCs w:val="20"/>
                <w:lang w:eastAsia="sl-SI"/>
              </w:rPr>
              <w:t>eurov</w:t>
            </w:r>
            <w:proofErr w:type="spellEnd"/>
            <w:r w:rsidRPr="00916E46">
              <w:rPr>
                <w:rFonts w:ascii="Arial" w:eastAsia="Times New Roman" w:hAnsi="Arial" w:cs="Arial"/>
                <w:sz w:val="20"/>
                <w:szCs w:val="20"/>
                <w:lang w:eastAsia="sl-SI"/>
              </w:rPr>
              <w:t xml:space="preserve"> se kaznuje tudi odgovorna oseba pravne osebe, odgovorna oseba samostojnega podjetnika posameznika in odgovorna oseba posameznika, ki samostojno opravlja dejavnost, če stori prekršek iz prvega odstavka tega člena.</w:t>
            </w:r>
          </w:p>
          <w:p w:rsidR="007D45E5" w:rsidRPr="00916E46"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16E46">
              <w:rPr>
                <w:rFonts w:ascii="Arial" w:eastAsia="Times New Roman" w:hAnsi="Arial" w:cs="Arial"/>
                <w:sz w:val="20"/>
                <w:szCs w:val="20"/>
                <w:lang w:eastAsia="sl-SI"/>
              </w:rPr>
              <w:t xml:space="preserve">(4) Z globo od 400 do 4.000 </w:t>
            </w:r>
            <w:proofErr w:type="spellStart"/>
            <w:r w:rsidRPr="00916E46">
              <w:rPr>
                <w:rFonts w:ascii="Arial" w:eastAsia="Times New Roman" w:hAnsi="Arial" w:cs="Arial"/>
                <w:sz w:val="20"/>
                <w:szCs w:val="20"/>
                <w:lang w:eastAsia="sl-SI"/>
              </w:rPr>
              <w:t>eurov</w:t>
            </w:r>
            <w:proofErr w:type="spellEnd"/>
            <w:r w:rsidRPr="00916E46">
              <w:rPr>
                <w:rFonts w:ascii="Arial" w:eastAsia="Times New Roman" w:hAnsi="Arial" w:cs="Arial"/>
                <w:sz w:val="20"/>
                <w:szCs w:val="20"/>
                <w:lang w:eastAsia="sl-SI"/>
              </w:rPr>
              <w:t xml:space="preserve"> se kaznuje posameznik, če stori prekršek iz prvega odstavka tega člena.</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C41A80"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C41A80">
              <w:rPr>
                <w:rFonts w:ascii="Arial" w:eastAsia="Times New Roman" w:hAnsi="Arial" w:cs="Arial"/>
                <w:sz w:val="20"/>
                <w:szCs w:val="20"/>
                <w:lang w:eastAsia="sl-SI"/>
              </w:rPr>
              <w:t>209. člen</w:t>
            </w:r>
          </w:p>
          <w:p w:rsidR="007D45E5" w:rsidRPr="00C41A80"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C41A80">
              <w:rPr>
                <w:rFonts w:ascii="Arial" w:eastAsia="Times New Roman" w:hAnsi="Arial" w:cs="Arial"/>
                <w:sz w:val="20"/>
                <w:szCs w:val="20"/>
                <w:lang w:eastAsia="sl-SI"/>
              </w:rPr>
              <w:t>(začetek veljavnosti določb glede zaščitnega elementa</w:t>
            </w:r>
          </w:p>
          <w:p w:rsidR="007D45E5" w:rsidRPr="00C41A80" w:rsidRDefault="007D45E5" w:rsidP="00E87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C41A80">
              <w:rPr>
                <w:rFonts w:ascii="Arial" w:eastAsia="Times New Roman" w:hAnsi="Arial" w:cs="Arial"/>
                <w:sz w:val="20"/>
                <w:szCs w:val="20"/>
                <w:lang w:eastAsia="sl-SI"/>
              </w:rPr>
              <w:t>in sporočila Evropski komisiji)</w:t>
            </w:r>
          </w:p>
          <w:p w:rsidR="007D45E5" w:rsidRPr="00C41A80"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41A80">
              <w:rPr>
                <w:rFonts w:ascii="Arial" w:eastAsia="Times New Roman" w:hAnsi="Arial" w:cs="Arial"/>
                <w:sz w:val="20"/>
                <w:szCs w:val="20"/>
                <w:lang w:eastAsia="sl-SI"/>
              </w:rPr>
              <w:t>Določbe 88. člena tega zakona, ki se nanašajo na namestitev, prekritje in odstranitev zaščitnega elementa, začnejo veljati tri leta od dneva objave delegiranih aktov Evropske komisije, ki na podlagi Direktive 2011/62/ES o spremembi Direktive 2001/83/ES o zakoniku skupnosti o zdravilih za uporabo v humani medicini glede preprečevanja vstopa ponarejenih zdravil v zakoniti dobavno verigo (UL L št. 174 z dne 1. 7. 2011, str. 74) določajo značilnosti in tehnične specifikacije za zaščitne elemente in sezname zdravil ali kategorij zdravil, ki morajo ali jim ni treba nositi zaščitnega elementa.</w:t>
            </w:r>
          </w:p>
          <w:p w:rsidR="007D45E5"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D45E5" w:rsidRPr="00C94FA9" w:rsidRDefault="007D45E5"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D45E5" w:rsidRPr="00C94FA9" w:rsidTr="003B1F9D">
        <w:tc>
          <w:tcPr>
            <w:tcW w:w="9213" w:type="dxa"/>
          </w:tcPr>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365A94" w:rsidRDefault="00365A94"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lastRenderedPageBreak/>
              <w:t>V. PREDLOG, DA SE PREDLOG ZAKONA OBRAVNAVA PO NUJNEM OZIROMA SKRAJŠANEM POSTOPKU</w:t>
            </w:r>
          </w:p>
        </w:tc>
      </w:tr>
      <w:tr w:rsidR="007D45E5" w:rsidRPr="00C94FA9" w:rsidTr="003B1F9D">
        <w:tc>
          <w:tcPr>
            <w:tcW w:w="9213" w:type="dxa"/>
          </w:tcPr>
          <w:p w:rsidR="00365A94" w:rsidRPr="00B23DFB" w:rsidRDefault="00B23DFB" w:rsidP="00B23DFB">
            <w:pPr>
              <w:autoSpaceDE w:val="0"/>
              <w:autoSpaceDN w:val="0"/>
              <w:adjustRightInd w:val="0"/>
              <w:jc w:val="both"/>
              <w:rPr>
                <w:rFonts w:ascii="Arial" w:hAnsi="Arial" w:cs="Arial"/>
                <w:sz w:val="20"/>
                <w:szCs w:val="20"/>
                <w:lang w:eastAsia="sl-SI"/>
              </w:rPr>
            </w:pPr>
            <w:r w:rsidRPr="00B23DFB">
              <w:rPr>
                <w:rFonts w:ascii="Arial" w:hAnsi="Arial" w:cs="Arial"/>
                <w:sz w:val="20"/>
                <w:szCs w:val="20"/>
                <w:lang w:eastAsia="sl-SI"/>
              </w:rPr>
              <w:lastRenderedPageBreak/>
              <w:t xml:space="preserve">Vlada Republike Slovenije predlaga, da v skladu s tretjo alinejo </w:t>
            </w:r>
            <w:r w:rsidRPr="00B23DFB">
              <w:rPr>
                <w:rFonts w:ascii="Arial" w:hAnsi="Arial" w:cs="Arial"/>
                <w:iCs/>
                <w:sz w:val="20"/>
                <w:szCs w:val="20"/>
              </w:rPr>
              <w:t>prvega odstavka 142. člena Poslovnika Državnega zbora Republike Slovenije (Uradni list RS, št. 92/07 – uradno prečiščeno besedilo, 105/10, 80/13 in 38/17) Državni zbor Republike Slovenije obravnava predlog Zakona o spremembah in dopolnitvah Zakona o zdravilih (v nadaljnjem besedilu: predlog zakona) v skrajšanem postopku, saj gre za manj zahtevne uskladitve zakona z drugimi zakoni ali s pravom Evropske unije, ki morajo biti usklajene v čim krajšem možnem roku.</w:t>
            </w:r>
          </w:p>
          <w:p w:rsidR="00DE4DE1" w:rsidRPr="006F1A24" w:rsidRDefault="00DE4DE1" w:rsidP="00DE4DE1">
            <w:pPr>
              <w:tabs>
                <w:tab w:val="left" w:pos="708"/>
              </w:tabs>
              <w:spacing w:after="0" w:line="260" w:lineRule="exact"/>
              <w:jc w:val="both"/>
              <w:rPr>
                <w:rFonts w:ascii="Arial" w:hAnsi="Arial" w:cs="Arial"/>
                <w:sz w:val="20"/>
                <w:szCs w:val="20"/>
              </w:rPr>
            </w:pPr>
            <w:r w:rsidRPr="006F1A24">
              <w:rPr>
                <w:rFonts w:ascii="Arial" w:hAnsi="Arial" w:cs="Arial"/>
                <w:sz w:val="20"/>
                <w:szCs w:val="20"/>
              </w:rPr>
              <w:t>S tem zakonom se:</w:t>
            </w:r>
          </w:p>
          <w:p w:rsidR="00DE4DE1" w:rsidRPr="006F1A24" w:rsidRDefault="00DE4DE1" w:rsidP="00DE4DE1">
            <w:pPr>
              <w:numPr>
                <w:ilvl w:val="0"/>
                <w:numId w:val="12"/>
              </w:numPr>
              <w:tabs>
                <w:tab w:val="left" w:pos="708"/>
              </w:tabs>
              <w:spacing w:after="0" w:line="260" w:lineRule="exact"/>
              <w:jc w:val="both"/>
              <w:rPr>
                <w:rFonts w:ascii="Arial" w:hAnsi="Arial" w:cs="Arial"/>
                <w:sz w:val="20"/>
                <w:szCs w:val="20"/>
              </w:rPr>
            </w:pPr>
            <w:r w:rsidRPr="006F1A24">
              <w:rPr>
                <w:rFonts w:ascii="Arial" w:hAnsi="Arial" w:cs="Arial"/>
                <w:sz w:val="20"/>
                <w:szCs w:val="20"/>
              </w:rPr>
              <w:t xml:space="preserve"> implementira Sodba Sodišča Evropske unije v zadevi Medisanus, C-296/15 z dne 8. 6. 2017. Sodišče Evropske unije je odločilo, da uporaba pojma "prednostna preskrba" z zdravili iz plazme, pridobljene v Sloveniji ni skladna s pravom EU in se na prednostno porabo zdravil iz slovenske plazme ni dovoljeno sklicevati, kar pomeni, da je potrebno 71. točko 6. člena Zakona o zdravi</w:t>
            </w:r>
            <w:r>
              <w:rPr>
                <w:rFonts w:ascii="Arial" w:hAnsi="Arial" w:cs="Arial"/>
                <w:sz w:val="20"/>
                <w:szCs w:val="20"/>
              </w:rPr>
              <w:t>lih (Uradni list RS, št. 17/14) črtati,</w:t>
            </w:r>
            <w:r w:rsidRPr="006F1A24">
              <w:rPr>
                <w:rFonts w:ascii="Arial" w:hAnsi="Arial" w:cs="Arial"/>
                <w:sz w:val="20"/>
                <w:szCs w:val="20"/>
              </w:rPr>
              <w:t xml:space="preserve"> </w:t>
            </w:r>
          </w:p>
          <w:p w:rsidR="00DE4DE1" w:rsidRPr="006F1A24" w:rsidRDefault="00DE4DE1" w:rsidP="00DE4DE1">
            <w:pPr>
              <w:numPr>
                <w:ilvl w:val="0"/>
                <w:numId w:val="12"/>
              </w:numPr>
              <w:tabs>
                <w:tab w:val="left" w:pos="708"/>
              </w:tabs>
              <w:spacing w:after="0" w:line="260" w:lineRule="exact"/>
              <w:jc w:val="both"/>
              <w:rPr>
                <w:rFonts w:ascii="Arial" w:hAnsi="Arial" w:cs="Arial"/>
                <w:sz w:val="20"/>
                <w:szCs w:val="20"/>
              </w:rPr>
            </w:pPr>
            <w:r>
              <w:rPr>
                <w:rFonts w:ascii="Arial" w:hAnsi="Arial" w:cs="Arial"/>
                <w:sz w:val="20"/>
                <w:szCs w:val="20"/>
              </w:rPr>
              <w:t xml:space="preserve">določi </w:t>
            </w:r>
            <w:r w:rsidRPr="006F1A24">
              <w:rPr>
                <w:rFonts w:ascii="Arial" w:hAnsi="Arial" w:cs="Arial"/>
                <w:sz w:val="20"/>
                <w:szCs w:val="20"/>
              </w:rPr>
              <w:t xml:space="preserve">natančnejšo opredelitev za biološko zdravilo v postopku za pridobitev dovoljenja za promet z zdravilom za uporabo v humani medicini za namen uskladitve s četrtim odstavkom 10. člena Direktive 2001/83/ES ter natančnejšo opredelitev za biološko zdravilo v postopku za pridobitev dovoljenja za promet z zdravilom za uporabo v veterinarski medicini za namen uskladitve z Direktivo 2001/83/ES ter </w:t>
            </w:r>
          </w:p>
          <w:p w:rsidR="00DE4DE1" w:rsidRPr="006F1A24" w:rsidRDefault="00DE4DE1" w:rsidP="00DE4DE1">
            <w:pPr>
              <w:numPr>
                <w:ilvl w:val="0"/>
                <w:numId w:val="12"/>
              </w:numPr>
              <w:tabs>
                <w:tab w:val="left" w:pos="708"/>
              </w:tabs>
              <w:spacing w:after="0" w:line="260" w:lineRule="exact"/>
              <w:jc w:val="both"/>
              <w:rPr>
                <w:rFonts w:ascii="Arial" w:hAnsi="Arial" w:cs="Arial"/>
                <w:sz w:val="20"/>
                <w:szCs w:val="20"/>
              </w:rPr>
            </w:pPr>
            <w:r>
              <w:rPr>
                <w:rFonts w:ascii="Arial" w:hAnsi="Arial" w:cs="Arial"/>
                <w:sz w:val="20"/>
                <w:szCs w:val="20"/>
              </w:rPr>
              <w:t xml:space="preserve">opredeli </w:t>
            </w:r>
            <w:r w:rsidRPr="006F1A24">
              <w:rPr>
                <w:rFonts w:ascii="Arial" w:hAnsi="Arial" w:cs="Arial"/>
                <w:sz w:val="20"/>
                <w:szCs w:val="20"/>
              </w:rPr>
              <w:t>pojem zaščitnega elementa na zunanji ovojnini zdravila, ki vključuje a) oznako v obliki dvodimenzionalne (2D) črtne kode, ki omogoča identifikacijo posameznega pa</w:t>
            </w:r>
            <w:r>
              <w:rPr>
                <w:rFonts w:ascii="Arial" w:hAnsi="Arial" w:cs="Arial"/>
                <w:sz w:val="20"/>
                <w:szCs w:val="20"/>
              </w:rPr>
              <w:t xml:space="preserve">kiranja zdravila in </w:t>
            </w:r>
            <w:r w:rsidRPr="006F1A24">
              <w:rPr>
                <w:rFonts w:ascii="Arial" w:hAnsi="Arial" w:cs="Arial"/>
                <w:sz w:val="20"/>
                <w:szCs w:val="20"/>
              </w:rPr>
              <w:t>preverjanje njegove avtentičnosti ter b) pripomoček, ki predstavlja zaščito pred poseganjem v zdravilo, s katero se lahko preveri ali se je posegalo v ovojnino zdravila.</w:t>
            </w:r>
          </w:p>
          <w:p w:rsidR="007D45E5" w:rsidRPr="009A57F3" w:rsidRDefault="007D45E5" w:rsidP="00DE4DE1">
            <w:pPr>
              <w:pStyle w:val="Brezrazmikov"/>
              <w:spacing w:line="260" w:lineRule="exact"/>
              <w:jc w:val="both"/>
              <w:rPr>
                <w:rFonts w:ascii="Arial" w:hAnsi="Arial" w:cs="Arial"/>
              </w:rPr>
            </w:pPr>
          </w:p>
        </w:tc>
      </w:tr>
      <w:tr w:rsidR="007D45E5" w:rsidRPr="00C94FA9" w:rsidTr="003B1F9D">
        <w:tc>
          <w:tcPr>
            <w:tcW w:w="9213" w:type="dxa"/>
          </w:tcPr>
          <w:p w:rsidR="007D45E5"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7D45E5" w:rsidRPr="00C94FA9" w:rsidRDefault="007D45E5" w:rsidP="00E87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C94FA9">
              <w:rPr>
                <w:rFonts w:ascii="Arial" w:eastAsia="Times New Roman" w:hAnsi="Arial" w:cs="Arial"/>
                <w:b/>
                <w:sz w:val="20"/>
                <w:szCs w:val="20"/>
                <w:lang w:eastAsia="sl-SI"/>
              </w:rPr>
              <w:t>VI. PRILOGE</w:t>
            </w:r>
          </w:p>
        </w:tc>
      </w:tr>
      <w:tr w:rsidR="007D45E5" w:rsidRPr="00C94FA9" w:rsidTr="003B1F9D">
        <w:tc>
          <w:tcPr>
            <w:tcW w:w="9213" w:type="dxa"/>
          </w:tcPr>
          <w:p w:rsidR="007D45E5" w:rsidRPr="00C94FA9" w:rsidRDefault="00365A94" w:rsidP="00E87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3F5EA8" w:rsidRDefault="003F5EA8" w:rsidP="00365A94"/>
    <w:sectPr w:rsidR="003F5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220"/>
    <w:multiLevelType w:val="hybridMultilevel"/>
    <w:tmpl w:val="49C8F36A"/>
    <w:lvl w:ilvl="0" w:tplc="4B7C6B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A91A85"/>
    <w:multiLevelType w:val="hybridMultilevel"/>
    <w:tmpl w:val="3E6C3C7A"/>
    <w:lvl w:ilvl="0" w:tplc="6882B408">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A6F75D5"/>
    <w:multiLevelType w:val="hybridMultilevel"/>
    <w:tmpl w:val="657A629C"/>
    <w:lvl w:ilvl="0" w:tplc="A390772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nsid w:val="1F037A9C"/>
    <w:multiLevelType w:val="hybridMultilevel"/>
    <w:tmpl w:val="75E41B6C"/>
    <w:lvl w:ilvl="0" w:tplc="334C30E0">
      <w:start w:val="7"/>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27B90FB4"/>
    <w:multiLevelType w:val="hybridMultilevel"/>
    <w:tmpl w:val="3830E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0D33BE3"/>
    <w:multiLevelType w:val="hybridMultilevel"/>
    <w:tmpl w:val="DCDC7AEA"/>
    <w:lvl w:ilvl="0" w:tplc="90FCB8D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C8B6124"/>
    <w:multiLevelType w:val="hybridMultilevel"/>
    <w:tmpl w:val="1DC20098"/>
    <w:lvl w:ilvl="0" w:tplc="39E2DAD0">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435F60D5"/>
    <w:multiLevelType w:val="hybridMultilevel"/>
    <w:tmpl w:val="41444566"/>
    <w:lvl w:ilvl="0" w:tplc="3B4ADC26">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4CB61838"/>
    <w:multiLevelType w:val="hybridMultilevel"/>
    <w:tmpl w:val="C1440948"/>
    <w:lvl w:ilvl="0" w:tplc="A3907724">
      <w:start w:val="1000"/>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4FF81F6F"/>
    <w:multiLevelType w:val="multilevel"/>
    <w:tmpl w:val="40F4654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412120"/>
    <w:multiLevelType w:val="hybridMultilevel"/>
    <w:tmpl w:val="3830E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8"/>
  </w:num>
  <w:num w:numId="6">
    <w:abstractNumId w:val="7"/>
  </w:num>
  <w:num w:numId="7">
    <w:abstractNumId w:val="0"/>
  </w:num>
  <w:num w:numId="8">
    <w:abstractNumId w:val="9"/>
  </w:num>
  <w:num w:numId="9">
    <w:abstractNumId w:val="2"/>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5"/>
    <w:rsid w:val="00024BF7"/>
    <w:rsid w:val="0003715F"/>
    <w:rsid w:val="001B0957"/>
    <w:rsid w:val="00255113"/>
    <w:rsid w:val="00365A94"/>
    <w:rsid w:val="003836C6"/>
    <w:rsid w:val="003B1F9D"/>
    <w:rsid w:val="003C4FBA"/>
    <w:rsid w:val="003F5EA8"/>
    <w:rsid w:val="00453E93"/>
    <w:rsid w:val="00522AF9"/>
    <w:rsid w:val="006F1A24"/>
    <w:rsid w:val="007D45E5"/>
    <w:rsid w:val="008029C2"/>
    <w:rsid w:val="00954642"/>
    <w:rsid w:val="009E6672"/>
    <w:rsid w:val="00AD5A54"/>
    <w:rsid w:val="00B23DFB"/>
    <w:rsid w:val="00BD0EE3"/>
    <w:rsid w:val="00CF5123"/>
    <w:rsid w:val="00D85D7F"/>
    <w:rsid w:val="00DE4DE1"/>
    <w:rsid w:val="00E874DC"/>
    <w:rsid w:val="00F37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45E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7D45E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D45E5"/>
    <w:rPr>
      <w:rFonts w:ascii="Arial" w:eastAsia="Times New Roman" w:hAnsi="Arial" w:cs="Arial"/>
      <w:lang w:eastAsia="sl-SI"/>
    </w:rPr>
  </w:style>
  <w:style w:type="paragraph" w:styleId="Odstavekseznama">
    <w:name w:val="List Paragraph"/>
    <w:basedOn w:val="Navaden"/>
    <w:uiPriority w:val="34"/>
    <w:qFormat/>
    <w:rsid w:val="007D45E5"/>
    <w:pPr>
      <w:spacing w:after="0" w:line="240" w:lineRule="auto"/>
      <w:ind w:left="708"/>
    </w:pPr>
    <w:rPr>
      <w:rFonts w:ascii="Times New Roman" w:eastAsia="Times New Roman" w:hAnsi="Times New Roman"/>
      <w:sz w:val="24"/>
      <w:szCs w:val="24"/>
      <w:lang w:eastAsia="sl-SI"/>
    </w:rPr>
  </w:style>
  <w:style w:type="paragraph" w:styleId="Brezrazmikov">
    <w:name w:val="No Spacing"/>
    <w:uiPriority w:val="1"/>
    <w:qFormat/>
    <w:rsid w:val="007D45E5"/>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E874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74DC"/>
    <w:rPr>
      <w:rFonts w:ascii="Tahoma" w:eastAsia="Calibri" w:hAnsi="Tahoma" w:cs="Tahoma"/>
      <w:sz w:val="16"/>
      <w:szCs w:val="16"/>
    </w:rPr>
  </w:style>
  <w:style w:type="character" w:styleId="Pripombasklic">
    <w:name w:val="annotation reference"/>
    <w:basedOn w:val="Privzetapisavaodstavka"/>
    <w:uiPriority w:val="99"/>
    <w:semiHidden/>
    <w:unhideWhenUsed/>
    <w:rsid w:val="00453E93"/>
    <w:rPr>
      <w:sz w:val="16"/>
      <w:szCs w:val="16"/>
    </w:rPr>
  </w:style>
  <w:style w:type="paragraph" w:styleId="Pripombabesedilo">
    <w:name w:val="annotation text"/>
    <w:basedOn w:val="Navaden"/>
    <w:link w:val="PripombabesediloZnak"/>
    <w:uiPriority w:val="99"/>
    <w:semiHidden/>
    <w:unhideWhenUsed/>
    <w:rsid w:val="00453E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3E9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453E93"/>
    <w:rPr>
      <w:b/>
      <w:bCs/>
    </w:rPr>
  </w:style>
  <w:style w:type="character" w:customStyle="1" w:styleId="ZadevapripombeZnak">
    <w:name w:val="Zadeva pripombe Znak"/>
    <w:basedOn w:val="PripombabesediloZnak"/>
    <w:link w:val="Zadevapripombe"/>
    <w:uiPriority w:val="99"/>
    <w:semiHidden/>
    <w:rsid w:val="00453E9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45E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7D45E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D45E5"/>
    <w:rPr>
      <w:rFonts w:ascii="Arial" w:eastAsia="Times New Roman" w:hAnsi="Arial" w:cs="Arial"/>
      <w:lang w:eastAsia="sl-SI"/>
    </w:rPr>
  </w:style>
  <w:style w:type="paragraph" w:styleId="Odstavekseznama">
    <w:name w:val="List Paragraph"/>
    <w:basedOn w:val="Navaden"/>
    <w:uiPriority w:val="34"/>
    <w:qFormat/>
    <w:rsid w:val="007D45E5"/>
    <w:pPr>
      <w:spacing w:after="0" w:line="240" w:lineRule="auto"/>
      <w:ind w:left="708"/>
    </w:pPr>
    <w:rPr>
      <w:rFonts w:ascii="Times New Roman" w:eastAsia="Times New Roman" w:hAnsi="Times New Roman"/>
      <w:sz w:val="24"/>
      <w:szCs w:val="24"/>
      <w:lang w:eastAsia="sl-SI"/>
    </w:rPr>
  </w:style>
  <w:style w:type="paragraph" w:styleId="Brezrazmikov">
    <w:name w:val="No Spacing"/>
    <w:uiPriority w:val="1"/>
    <w:qFormat/>
    <w:rsid w:val="007D45E5"/>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E874D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74DC"/>
    <w:rPr>
      <w:rFonts w:ascii="Tahoma" w:eastAsia="Calibri" w:hAnsi="Tahoma" w:cs="Tahoma"/>
      <w:sz w:val="16"/>
      <w:szCs w:val="16"/>
    </w:rPr>
  </w:style>
  <w:style w:type="character" w:styleId="Pripombasklic">
    <w:name w:val="annotation reference"/>
    <w:basedOn w:val="Privzetapisavaodstavka"/>
    <w:uiPriority w:val="99"/>
    <w:semiHidden/>
    <w:unhideWhenUsed/>
    <w:rsid w:val="00453E93"/>
    <w:rPr>
      <w:sz w:val="16"/>
      <w:szCs w:val="16"/>
    </w:rPr>
  </w:style>
  <w:style w:type="paragraph" w:styleId="Pripombabesedilo">
    <w:name w:val="annotation text"/>
    <w:basedOn w:val="Navaden"/>
    <w:link w:val="PripombabesediloZnak"/>
    <w:uiPriority w:val="99"/>
    <w:semiHidden/>
    <w:unhideWhenUsed/>
    <w:rsid w:val="00453E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53E9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453E93"/>
    <w:rPr>
      <w:b/>
      <w:bCs/>
    </w:rPr>
  </w:style>
  <w:style w:type="character" w:customStyle="1" w:styleId="ZadevapripombeZnak">
    <w:name w:val="Zadeva pripombe Znak"/>
    <w:basedOn w:val="PripombabesediloZnak"/>
    <w:link w:val="Zadevapripombe"/>
    <w:uiPriority w:val="99"/>
    <w:semiHidden/>
    <w:rsid w:val="00453E9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2908" TargetMode="External"/><Relationship Id="rId3" Type="http://schemas.microsoft.com/office/2007/relationships/stylesWithEffects" Target="stylesWithEffects.xml"/><Relationship Id="rId7" Type="http://schemas.openxmlformats.org/officeDocument/2006/relationships/hyperlink" Target="http://www.uradni-list.si/1/objava.jsp?sop=2010-01-5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7-01-45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7-01-19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12185</Words>
  <Characters>69461</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81484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Tonija Črnigoj</dc:creator>
  <cp:lastModifiedBy>Tonija Črnigoj</cp:lastModifiedBy>
  <cp:revision>2</cp:revision>
  <cp:lastPrinted>2018-12-21T08:09:00Z</cp:lastPrinted>
  <dcterms:created xsi:type="dcterms:W3CDTF">2018-12-21T10:47:00Z</dcterms:created>
  <dcterms:modified xsi:type="dcterms:W3CDTF">2018-12-21T10:47:00Z</dcterms:modified>
</cp:coreProperties>
</file>