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F" w:rsidRPr="008658AA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6F8C">
        <w:rPr>
          <w:rFonts w:ascii="Arial" w:hAnsi="Arial" w:cs="Arial"/>
          <w:sz w:val="24"/>
          <w:szCs w:val="24"/>
        </w:rPr>
        <w:t xml:space="preserve">Na podlagi osmega in šestnajstega odstavka 107. člena Zakona o kmetijstvu (Uradni list RS, št. 45/08, 57/12, 90/12 – </w:t>
      </w:r>
      <w:proofErr w:type="spellStart"/>
      <w:r w:rsidRPr="008E6F8C">
        <w:rPr>
          <w:rFonts w:ascii="Arial" w:hAnsi="Arial" w:cs="Arial"/>
          <w:sz w:val="24"/>
          <w:szCs w:val="24"/>
        </w:rPr>
        <w:t>ZdZPVHVVR</w:t>
      </w:r>
      <w:proofErr w:type="spellEnd"/>
      <w:r w:rsidRPr="008E6F8C">
        <w:rPr>
          <w:rFonts w:ascii="Arial" w:hAnsi="Arial" w:cs="Arial"/>
          <w:sz w:val="24"/>
          <w:szCs w:val="24"/>
        </w:rPr>
        <w:t>, 26/14, 32/15</w:t>
      </w:r>
      <w:r w:rsidR="003918A7">
        <w:rPr>
          <w:rFonts w:ascii="Arial" w:hAnsi="Arial" w:cs="Arial"/>
          <w:sz w:val="24"/>
          <w:szCs w:val="24"/>
        </w:rPr>
        <w:t>,</w:t>
      </w:r>
      <w:r w:rsidRPr="008E6F8C">
        <w:rPr>
          <w:rFonts w:ascii="Arial" w:hAnsi="Arial" w:cs="Arial"/>
          <w:sz w:val="24"/>
          <w:szCs w:val="24"/>
        </w:rPr>
        <w:t xml:space="preserve"> 27/17</w:t>
      </w:r>
      <w:r w:rsidR="003918A7">
        <w:rPr>
          <w:rFonts w:ascii="Arial" w:hAnsi="Arial" w:cs="Arial"/>
          <w:sz w:val="24"/>
          <w:szCs w:val="24"/>
        </w:rPr>
        <w:t xml:space="preserve"> in 22/18</w:t>
      </w:r>
      <w:bookmarkStart w:id="0" w:name="_GoBack"/>
      <w:bookmarkEnd w:id="0"/>
      <w:r w:rsidRPr="008E6F8C">
        <w:rPr>
          <w:rFonts w:ascii="Arial" w:hAnsi="Arial" w:cs="Arial"/>
          <w:sz w:val="24"/>
          <w:szCs w:val="24"/>
        </w:rPr>
        <w:t>) izdaja minister za kmetijstvo, gozdarstvo in prehrano</w:t>
      </w:r>
    </w:p>
    <w:p w:rsidR="008658AA" w:rsidRPr="008658AA" w:rsidRDefault="008658AA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Pr="00EE09CD" w:rsidRDefault="008E6F8C" w:rsidP="008E6F8C">
      <w:pPr>
        <w:pStyle w:val="vrstapredpisa1"/>
        <w:spacing w:before="0"/>
        <w:rPr>
          <w:sz w:val="24"/>
          <w:szCs w:val="24"/>
        </w:rPr>
      </w:pPr>
      <w:r w:rsidRPr="00EE09CD">
        <w:rPr>
          <w:sz w:val="24"/>
          <w:szCs w:val="24"/>
        </w:rPr>
        <w:t>PRAVILNIK</w:t>
      </w:r>
    </w:p>
    <w:p w:rsidR="008E6F8C" w:rsidRDefault="008E6F8C" w:rsidP="008E6F8C">
      <w:pPr>
        <w:pStyle w:val="naslovpredpisa1"/>
        <w:rPr>
          <w:sz w:val="24"/>
          <w:szCs w:val="24"/>
        </w:rPr>
      </w:pPr>
      <w:r w:rsidRPr="00EE09CD">
        <w:rPr>
          <w:sz w:val="24"/>
          <w:szCs w:val="24"/>
        </w:rPr>
        <w:t xml:space="preserve">o </w:t>
      </w:r>
      <w:r w:rsidR="00C97FB8">
        <w:rPr>
          <w:sz w:val="24"/>
          <w:szCs w:val="24"/>
        </w:rPr>
        <w:t>dopolnitvah P</w:t>
      </w:r>
      <w:r>
        <w:rPr>
          <w:sz w:val="24"/>
          <w:szCs w:val="24"/>
        </w:rPr>
        <w:t xml:space="preserve">ravilnika o </w:t>
      </w:r>
      <w:r w:rsidRPr="00EE09CD">
        <w:rPr>
          <w:sz w:val="24"/>
          <w:szCs w:val="24"/>
        </w:rPr>
        <w:t xml:space="preserve">priznanju organizacij proizvajalcev in združenj organizacij proizvajalcev v sektorjih sadje in zelenjava, oljčno olje in namizne oljke ter hmelj </w:t>
      </w:r>
    </w:p>
    <w:p w:rsidR="008658AA" w:rsidRDefault="008658AA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Pr="008E6F8C" w:rsidRDefault="008E6F8C" w:rsidP="008E6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E6F8C">
        <w:rPr>
          <w:rFonts w:ascii="Arial" w:hAnsi="Arial" w:cs="Arial"/>
          <w:sz w:val="24"/>
          <w:szCs w:val="24"/>
        </w:rPr>
        <w:t>člen</w:t>
      </w:r>
    </w:p>
    <w:p w:rsidR="008E6F8C" w:rsidRPr="008658AA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Default="008E6F8C" w:rsidP="00A90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Pravilniku o </w:t>
      </w:r>
      <w:r w:rsidRPr="008E6F8C">
        <w:rPr>
          <w:rFonts w:ascii="Arial" w:hAnsi="Arial" w:cs="Arial"/>
          <w:sz w:val="24"/>
          <w:szCs w:val="24"/>
        </w:rPr>
        <w:t>priznanju organizacij proizvajalcev in združenj organizacij proizvajalcev v sektorjih sadje in zelenjava, oljčno olje in namizne oljke ter hmelj</w:t>
      </w:r>
      <w:r>
        <w:rPr>
          <w:rFonts w:ascii="Arial" w:hAnsi="Arial" w:cs="Arial"/>
          <w:sz w:val="24"/>
          <w:szCs w:val="24"/>
        </w:rPr>
        <w:t xml:space="preserve"> (Uradni list RS, št. 19/18) se v 18. členu </w:t>
      </w:r>
      <w:r w:rsidR="00315B25">
        <w:rPr>
          <w:rFonts w:ascii="Arial" w:hAnsi="Arial" w:cs="Arial"/>
          <w:sz w:val="24"/>
          <w:szCs w:val="24"/>
        </w:rPr>
        <w:t xml:space="preserve">za devetim odstavkom </w:t>
      </w:r>
      <w:r>
        <w:rPr>
          <w:rFonts w:ascii="Arial" w:hAnsi="Arial" w:cs="Arial"/>
          <w:sz w:val="24"/>
          <w:szCs w:val="24"/>
        </w:rPr>
        <w:t xml:space="preserve">doda </w:t>
      </w:r>
      <w:r w:rsidR="00C97FB8">
        <w:rPr>
          <w:rFonts w:ascii="Arial" w:hAnsi="Arial" w:cs="Arial"/>
          <w:sz w:val="24"/>
          <w:szCs w:val="24"/>
        </w:rPr>
        <w:t xml:space="preserve">nov </w:t>
      </w:r>
      <w:r>
        <w:rPr>
          <w:rFonts w:ascii="Arial" w:hAnsi="Arial" w:cs="Arial"/>
          <w:sz w:val="24"/>
          <w:szCs w:val="24"/>
        </w:rPr>
        <w:t>deseti odstavek, ki se glasi:</w:t>
      </w:r>
    </w:p>
    <w:p w:rsidR="008E6F8C" w:rsidRDefault="008E6F8C" w:rsidP="00A90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F8C" w:rsidRDefault="008E6F8C" w:rsidP="00A90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315B2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</w:t>
      </w:r>
      <w:r w:rsidR="00315B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Povprečen hektarski pridelek za sadje</w:t>
      </w:r>
      <w:r w:rsidR="00F105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povprečen hektarski pridelek za zelenjavo</w:t>
      </w:r>
      <w:r w:rsidR="00F105FF">
        <w:rPr>
          <w:rFonts w:ascii="Arial" w:hAnsi="Arial" w:cs="Arial"/>
          <w:sz w:val="24"/>
          <w:szCs w:val="24"/>
        </w:rPr>
        <w:t xml:space="preserve">, </w:t>
      </w:r>
      <w:r w:rsidR="00A8343C" w:rsidRPr="00A8343C">
        <w:rPr>
          <w:rFonts w:ascii="Arial" w:hAnsi="Arial" w:cs="Arial"/>
          <w:sz w:val="24"/>
          <w:szCs w:val="24"/>
        </w:rPr>
        <w:t>povprečen hektarski pridelek za ekstenzivne sadovnjake</w:t>
      </w:r>
      <w:r w:rsidR="00360EC4">
        <w:rPr>
          <w:rFonts w:ascii="Arial" w:hAnsi="Arial" w:cs="Arial"/>
          <w:sz w:val="24"/>
          <w:szCs w:val="24"/>
        </w:rPr>
        <w:t>,</w:t>
      </w:r>
      <w:r w:rsidR="00A8343C">
        <w:rPr>
          <w:rFonts w:ascii="Arial" w:hAnsi="Arial" w:cs="Arial"/>
          <w:sz w:val="24"/>
          <w:szCs w:val="24"/>
        </w:rPr>
        <w:t xml:space="preserve"> </w:t>
      </w:r>
      <w:r w:rsidR="00F105FF">
        <w:rPr>
          <w:rFonts w:ascii="Arial" w:hAnsi="Arial" w:cs="Arial"/>
          <w:sz w:val="24"/>
          <w:szCs w:val="24"/>
        </w:rPr>
        <w:t>povprečna odkupna cena</w:t>
      </w:r>
      <w:r>
        <w:rPr>
          <w:rFonts w:ascii="Arial" w:hAnsi="Arial" w:cs="Arial"/>
          <w:sz w:val="24"/>
          <w:szCs w:val="24"/>
        </w:rPr>
        <w:t xml:space="preserve"> za sadje</w:t>
      </w:r>
      <w:r w:rsidR="00A8343C">
        <w:rPr>
          <w:rFonts w:ascii="Arial" w:hAnsi="Arial" w:cs="Arial"/>
          <w:sz w:val="24"/>
          <w:szCs w:val="24"/>
        </w:rPr>
        <w:t xml:space="preserve"> in</w:t>
      </w:r>
      <w:r w:rsidR="00F105FF">
        <w:rPr>
          <w:rFonts w:ascii="Arial" w:hAnsi="Arial" w:cs="Arial"/>
          <w:sz w:val="24"/>
          <w:szCs w:val="24"/>
        </w:rPr>
        <w:t xml:space="preserve"> povprečna odkupna cena</w:t>
      </w:r>
      <w:r>
        <w:rPr>
          <w:rFonts w:ascii="Arial" w:hAnsi="Arial" w:cs="Arial"/>
          <w:sz w:val="24"/>
          <w:szCs w:val="24"/>
        </w:rPr>
        <w:t xml:space="preserve"> za zelenjavo </w:t>
      </w:r>
      <w:r w:rsidR="00F105FF">
        <w:rPr>
          <w:rFonts w:ascii="Arial" w:hAnsi="Arial" w:cs="Arial"/>
          <w:sz w:val="24"/>
          <w:szCs w:val="24"/>
        </w:rPr>
        <w:t>s</w:t>
      </w:r>
      <w:r w:rsidR="00360E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 posamezno koledarsko leto </w:t>
      </w:r>
      <w:r w:rsidR="00F105FF">
        <w:rPr>
          <w:rFonts w:ascii="Arial" w:hAnsi="Arial" w:cs="Arial"/>
          <w:sz w:val="24"/>
          <w:szCs w:val="24"/>
        </w:rPr>
        <w:t>določ</w:t>
      </w:r>
      <w:r w:rsidR="00360EC4">
        <w:rPr>
          <w:rFonts w:ascii="Arial" w:hAnsi="Arial" w:cs="Arial"/>
          <w:sz w:val="24"/>
          <w:szCs w:val="24"/>
        </w:rPr>
        <w:t>ijo</w:t>
      </w:r>
      <w:r>
        <w:rPr>
          <w:rFonts w:ascii="Arial" w:hAnsi="Arial" w:cs="Arial"/>
          <w:sz w:val="24"/>
          <w:szCs w:val="24"/>
        </w:rPr>
        <w:t xml:space="preserve"> v prilogi 7, ki je sestavni del tega pravilnika.«.</w:t>
      </w:r>
    </w:p>
    <w:p w:rsidR="008E6F8C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Default="008E6F8C" w:rsidP="008E6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člen</w:t>
      </w:r>
    </w:p>
    <w:p w:rsidR="008E6F8C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Default="00360EC4" w:rsidP="00A90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prilogo 6</w:t>
      </w:r>
      <w:r w:rsidR="00A90EC2">
        <w:rPr>
          <w:rFonts w:ascii="Arial" w:hAnsi="Arial" w:cs="Arial"/>
          <w:sz w:val="24"/>
          <w:szCs w:val="24"/>
        </w:rPr>
        <w:t xml:space="preserve"> se doda </w:t>
      </w:r>
      <w:r w:rsidR="00672FF5">
        <w:rPr>
          <w:rFonts w:ascii="Arial" w:hAnsi="Arial" w:cs="Arial"/>
          <w:sz w:val="24"/>
          <w:szCs w:val="24"/>
        </w:rPr>
        <w:t xml:space="preserve">nova </w:t>
      </w:r>
      <w:r w:rsidR="00A90EC2">
        <w:rPr>
          <w:rFonts w:ascii="Arial" w:hAnsi="Arial" w:cs="Arial"/>
          <w:sz w:val="24"/>
          <w:szCs w:val="24"/>
        </w:rPr>
        <w:t>priloga 7, ki je kot priloga 1 sestavni del tega pravilnika.</w:t>
      </w:r>
    </w:p>
    <w:p w:rsidR="008E6F8C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EC2" w:rsidRDefault="00A90EC2" w:rsidP="00A90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člen</w:t>
      </w:r>
    </w:p>
    <w:p w:rsidR="00A90EC2" w:rsidRDefault="00A90EC2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EC2" w:rsidRDefault="00A90EC2" w:rsidP="00A90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pravilnik začne veljati naslednji dan po objavi v Uradnem listu Republike Slovenije.</w:t>
      </w:r>
    </w:p>
    <w:p w:rsidR="00A90EC2" w:rsidRDefault="00A90EC2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F8C" w:rsidRDefault="008E6F8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EC2" w:rsidRDefault="00A90EC2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EC2" w:rsidRDefault="00A90EC2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EC2" w:rsidRPr="00860457" w:rsidRDefault="00A90EC2" w:rsidP="00A90EC2">
      <w:pPr>
        <w:pStyle w:val="odstavek1"/>
        <w:spacing w:before="0"/>
        <w:ind w:firstLine="0"/>
        <w:rPr>
          <w:sz w:val="24"/>
          <w:szCs w:val="24"/>
        </w:rPr>
      </w:pPr>
    </w:p>
    <w:p w:rsidR="00A90EC2" w:rsidRPr="00D65362" w:rsidRDefault="00A90EC2" w:rsidP="00A90EC2">
      <w:pPr>
        <w:pStyle w:val="tevilkanakoncupredpisa1"/>
        <w:spacing w:before="0"/>
        <w:rPr>
          <w:sz w:val="24"/>
          <w:szCs w:val="24"/>
        </w:rPr>
      </w:pPr>
      <w:r w:rsidRPr="00D65362">
        <w:rPr>
          <w:sz w:val="24"/>
          <w:szCs w:val="24"/>
        </w:rPr>
        <w:t>Št. 007-1</w:t>
      </w:r>
      <w:r w:rsidR="00F105FF">
        <w:rPr>
          <w:sz w:val="24"/>
          <w:szCs w:val="24"/>
        </w:rPr>
        <w:t>06/2018</w:t>
      </w:r>
    </w:p>
    <w:p w:rsidR="00A90EC2" w:rsidRPr="00D65362" w:rsidRDefault="00A90EC2" w:rsidP="00A90EC2">
      <w:pPr>
        <w:pStyle w:val="datumsprejetja1"/>
        <w:rPr>
          <w:sz w:val="24"/>
          <w:szCs w:val="24"/>
        </w:rPr>
      </w:pPr>
      <w:r w:rsidRPr="00D65362">
        <w:rPr>
          <w:sz w:val="24"/>
          <w:szCs w:val="24"/>
        </w:rPr>
        <w:t xml:space="preserve">Ljubljana, dne </w:t>
      </w:r>
    </w:p>
    <w:p w:rsidR="00A90EC2" w:rsidRPr="00734C2F" w:rsidRDefault="00A90EC2" w:rsidP="00A90EC2">
      <w:pPr>
        <w:pStyle w:val="EVA"/>
        <w:rPr>
          <w:rFonts w:cs="Arial"/>
          <w:sz w:val="24"/>
          <w:szCs w:val="24"/>
        </w:rPr>
      </w:pPr>
      <w:r w:rsidRPr="00D65362">
        <w:rPr>
          <w:sz w:val="24"/>
          <w:szCs w:val="24"/>
        </w:rPr>
        <w:t xml:space="preserve">EVA </w:t>
      </w:r>
      <w:r w:rsidR="00F105FF">
        <w:rPr>
          <w:rFonts w:eastAsia="Calibri" w:cs="Arial"/>
          <w:bCs/>
          <w:iCs/>
          <w:color w:val="000000"/>
          <w:sz w:val="24"/>
          <w:szCs w:val="24"/>
        </w:rPr>
        <w:t>2018-2330-0059</w:t>
      </w:r>
    </w:p>
    <w:p w:rsidR="00A90EC2" w:rsidRPr="00860457" w:rsidRDefault="00A90EC2" w:rsidP="00A90EC2">
      <w:pPr>
        <w:pStyle w:val="eva1"/>
        <w:rPr>
          <w:sz w:val="24"/>
          <w:szCs w:val="24"/>
        </w:rPr>
      </w:pPr>
    </w:p>
    <w:p w:rsidR="00A90EC2" w:rsidRPr="00860457" w:rsidRDefault="00A90EC2" w:rsidP="00A90EC2">
      <w:pPr>
        <w:pStyle w:val="podpisnik1"/>
        <w:spacing w:before="0"/>
        <w:rPr>
          <w:sz w:val="24"/>
          <w:szCs w:val="24"/>
        </w:rPr>
      </w:pPr>
      <w:r>
        <w:rPr>
          <w:sz w:val="24"/>
          <w:szCs w:val="24"/>
        </w:rPr>
        <w:t>M</w:t>
      </w:r>
      <w:r w:rsidRPr="00860457">
        <w:rPr>
          <w:sz w:val="24"/>
          <w:szCs w:val="24"/>
        </w:rPr>
        <w:t>ag. Dejan Židan</w:t>
      </w:r>
    </w:p>
    <w:p w:rsidR="00A90EC2" w:rsidRPr="00860457" w:rsidRDefault="00A90EC2" w:rsidP="00A90EC2">
      <w:pPr>
        <w:pStyle w:val="nazivpodpisnika1"/>
        <w:rPr>
          <w:sz w:val="24"/>
          <w:szCs w:val="24"/>
        </w:rPr>
      </w:pPr>
      <w:r>
        <w:rPr>
          <w:sz w:val="24"/>
          <w:szCs w:val="24"/>
        </w:rPr>
        <w:t>m</w:t>
      </w:r>
      <w:r w:rsidRPr="00860457">
        <w:rPr>
          <w:sz w:val="24"/>
          <w:szCs w:val="24"/>
        </w:rPr>
        <w:t>inister</w:t>
      </w:r>
    </w:p>
    <w:p w:rsidR="00A90EC2" w:rsidRDefault="00A90EC2" w:rsidP="002A4506">
      <w:pPr>
        <w:pStyle w:val="imeorgana1"/>
        <w:spacing w:before="0"/>
        <w:ind w:left="4248" w:firstLine="708"/>
        <w:jc w:val="left"/>
        <w:rPr>
          <w:sz w:val="24"/>
          <w:szCs w:val="24"/>
        </w:rPr>
      </w:pPr>
      <w:r w:rsidRPr="00860457">
        <w:rPr>
          <w:sz w:val="24"/>
          <w:szCs w:val="24"/>
        </w:rPr>
        <w:t>za kmetijstvo, gozdarstvo in prehrano</w:t>
      </w:r>
    </w:p>
    <w:p w:rsidR="00A90EC2" w:rsidRDefault="00A90EC2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50C" w:rsidRDefault="00CD250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Priloga</w:t>
      </w:r>
    </w:p>
    <w:p w:rsidR="00CD250C" w:rsidRDefault="00CD250C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50C" w:rsidRPr="002A4506" w:rsidRDefault="00CD250C" w:rsidP="008658A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A4506">
        <w:rPr>
          <w:rFonts w:ascii="Arial" w:hAnsi="Arial" w:cs="Arial"/>
          <w:i/>
          <w:sz w:val="24"/>
          <w:szCs w:val="24"/>
          <w:u w:val="single"/>
        </w:rPr>
        <w:t>Priloga 1</w:t>
      </w:r>
    </w:p>
    <w:p w:rsidR="00F07D08" w:rsidRDefault="00F0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7D08" w:rsidRDefault="00F07D08" w:rsidP="00865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C8355F">
        <w:rPr>
          <w:rFonts w:ascii="Arial" w:hAnsi="Arial" w:cs="Arial"/>
          <w:sz w:val="24"/>
          <w:szCs w:val="24"/>
        </w:rPr>
        <w:t>riloga</w:t>
      </w:r>
      <w:r>
        <w:rPr>
          <w:rFonts w:ascii="Arial" w:hAnsi="Arial" w:cs="Arial"/>
          <w:sz w:val="24"/>
          <w:szCs w:val="24"/>
        </w:rPr>
        <w:t xml:space="preserve"> 1</w:t>
      </w:r>
      <w:r w:rsidR="00C8355F">
        <w:rPr>
          <w:rFonts w:ascii="Arial" w:hAnsi="Arial" w:cs="Arial"/>
          <w:sz w:val="24"/>
          <w:szCs w:val="24"/>
        </w:rPr>
        <w:t>:</w:t>
      </w:r>
    </w:p>
    <w:p w:rsidR="00F07D08" w:rsidRDefault="00F07D08" w:rsidP="00865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D08" w:rsidRPr="00A8343C" w:rsidRDefault="00A8343C" w:rsidP="00971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43C">
        <w:rPr>
          <w:rFonts w:ascii="Arial" w:hAnsi="Arial" w:cs="Arial"/>
          <w:b/>
          <w:sz w:val="24"/>
          <w:szCs w:val="24"/>
        </w:rPr>
        <w:t xml:space="preserve">»PRILOGA 7: </w:t>
      </w:r>
      <w:r>
        <w:rPr>
          <w:rFonts w:ascii="Arial" w:hAnsi="Arial" w:cs="Arial"/>
          <w:b/>
          <w:sz w:val="24"/>
          <w:szCs w:val="24"/>
        </w:rPr>
        <w:t>POVPREČEN HEKTARSKI PRIDELEK SADJA, POVPREČEN HEKTARSKI PRIDELEK ZELENJAVE, POVPREČEN HEKTARSKI PRI</w:t>
      </w:r>
      <w:r w:rsidR="00971933">
        <w:rPr>
          <w:rFonts w:ascii="Arial" w:hAnsi="Arial" w:cs="Arial"/>
          <w:b/>
          <w:sz w:val="24"/>
          <w:szCs w:val="24"/>
        </w:rPr>
        <w:t>DELEK ZA EKSTENZIVNE SADOVNJAKE</w:t>
      </w:r>
      <w:r w:rsidR="00CD250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POVPREČNA ODKUPNA CENA SADJA</w:t>
      </w:r>
      <w:r w:rsidR="00971933">
        <w:rPr>
          <w:rFonts w:ascii="Arial" w:hAnsi="Arial" w:cs="Arial"/>
          <w:b/>
          <w:sz w:val="24"/>
          <w:szCs w:val="24"/>
        </w:rPr>
        <w:t xml:space="preserve"> IN</w:t>
      </w:r>
      <w:r>
        <w:rPr>
          <w:rFonts w:ascii="Arial" w:hAnsi="Arial" w:cs="Arial"/>
          <w:b/>
          <w:sz w:val="24"/>
          <w:szCs w:val="24"/>
        </w:rPr>
        <w:t xml:space="preserve"> POVPREČNA ODKUPNA CENA ZELENJAVE</w:t>
      </w:r>
      <w:r w:rsidR="00971933">
        <w:rPr>
          <w:rFonts w:ascii="Arial" w:hAnsi="Arial" w:cs="Arial"/>
          <w:b/>
          <w:sz w:val="24"/>
          <w:szCs w:val="24"/>
        </w:rPr>
        <w:t xml:space="preserve"> ZA POSAMEZNO KOLEDARSKO LETO</w:t>
      </w:r>
    </w:p>
    <w:p w:rsidR="00F07D08" w:rsidRDefault="00F07D08" w:rsidP="0097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2A4506" w:rsidTr="00A75E8C">
        <w:tc>
          <w:tcPr>
            <w:tcW w:w="7479" w:type="dxa"/>
            <w:vMerge w:val="restart"/>
          </w:tcPr>
          <w:p w:rsidR="002A4506" w:rsidRDefault="002A4506" w:rsidP="00971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506" w:rsidRPr="001B2F9A" w:rsidRDefault="002A4506" w:rsidP="009719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4506" w:rsidTr="00A75E8C">
        <w:tc>
          <w:tcPr>
            <w:tcW w:w="7479" w:type="dxa"/>
            <w:vMerge/>
          </w:tcPr>
          <w:p w:rsidR="002A4506" w:rsidRDefault="002A4506" w:rsidP="00971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506" w:rsidRPr="00971933" w:rsidRDefault="002A4506" w:rsidP="00971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93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2A4506" w:rsidTr="00A75E8C">
        <w:tc>
          <w:tcPr>
            <w:tcW w:w="7479" w:type="dxa"/>
          </w:tcPr>
          <w:p w:rsidR="002A4506" w:rsidRPr="001B2F9A" w:rsidRDefault="002A4506" w:rsidP="00971933">
            <w:pPr>
              <w:rPr>
                <w:rFonts w:ascii="Arial" w:hAnsi="Arial" w:cs="Arial"/>
                <w:b/>
              </w:rPr>
            </w:pPr>
            <w:r w:rsidRPr="001B2F9A">
              <w:rPr>
                <w:rFonts w:ascii="Arial" w:hAnsi="Arial" w:cs="Arial"/>
                <w:b/>
              </w:rPr>
              <w:t>Povprečen hektarski pridelek sadja (kg/ha)</w:t>
            </w:r>
          </w:p>
        </w:tc>
        <w:tc>
          <w:tcPr>
            <w:tcW w:w="1985" w:type="dxa"/>
          </w:tcPr>
          <w:p w:rsidR="002A4506" w:rsidRDefault="00944B17" w:rsidP="00D45E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28 737</w:t>
            </w:r>
          </w:p>
        </w:tc>
      </w:tr>
      <w:tr w:rsidR="002A4506" w:rsidTr="00A75E8C">
        <w:tc>
          <w:tcPr>
            <w:tcW w:w="7479" w:type="dxa"/>
          </w:tcPr>
          <w:p w:rsidR="002A4506" w:rsidRPr="001B2F9A" w:rsidRDefault="002A4506" w:rsidP="00971933">
            <w:pPr>
              <w:rPr>
                <w:rFonts w:ascii="Arial" w:hAnsi="Arial" w:cs="Arial"/>
                <w:b/>
              </w:rPr>
            </w:pPr>
            <w:r w:rsidRPr="001B2F9A">
              <w:rPr>
                <w:rFonts w:ascii="Arial" w:hAnsi="Arial" w:cs="Arial"/>
                <w:b/>
              </w:rPr>
              <w:t>Povprečen hektarski pridelek zelenjave (kg/ha)</w:t>
            </w:r>
          </w:p>
        </w:tc>
        <w:tc>
          <w:tcPr>
            <w:tcW w:w="1985" w:type="dxa"/>
          </w:tcPr>
          <w:p w:rsidR="002A4506" w:rsidRDefault="00566A69" w:rsidP="00D45E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24 042</w:t>
            </w:r>
          </w:p>
        </w:tc>
      </w:tr>
      <w:tr w:rsidR="002A4506" w:rsidTr="00A75E8C">
        <w:tc>
          <w:tcPr>
            <w:tcW w:w="7479" w:type="dxa"/>
          </w:tcPr>
          <w:p w:rsidR="002A4506" w:rsidRPr="001B2F9A" w:rsidRDefault="002A4506" w:rsidP="00971933">
            <w:pPr>
              <w:rPr>
                <w:rFonts w:ascii="Arial" w:hAnsi="Arial" w:cs="Arial"/>
                <w:b/>
              </w:rPr>
            </w:pPr>
            <w:r w:rsidRPr="001B2F9A">
              <w:rPr>
                <w:rFonts w:ascii="Arial" w:hAnsi="Arial" w:cs="Arial"/>
                <w:b/>
              </w:rPr>
              <w:t>Povprečen hektarski pridelek za ekstenzivne sadovnjake (kg/ha)</w:t>
            </w:r>
          </w:p>
        </w:tc>
        <w:tc>
          <w:tcPr>
            <w:tcW w:w="1985" w:type="dxa"/>
          </w:tcPr>
          <w:p w:rsidR="002A4506" w:rsidRDefault="00566A69" w:rsidP="00D45E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8 914</w:t>
            </w:r>
          </w:p>
        </w:tc>
      </w:tr>
      <w:tr w:rsidR="002A4506" w:rsidTr="00A75E8C">
        <w:tc>
          <w:tcPr>
            <w:tcW w:w="7479" w:type="dxa"/>
          </w:tcPr>
          <w:p w:rsidR="002A4506" w:rsidRPr="001B2F9A" w:rsidRDefault="002A4506" w:rsidP="00971933">
            <w:pPr>
              <w:rPr>
                <w:rFonts w:ascii="Arial" w:hAnsi="Arial" w:cs="Arial"/>
                <w:b/>
              </w:rPr>
            </w:pPr>
            <w:r w:rsidRPr="001B2F9A">
              <w:rPr>
                <w:rFonts w:ascii="Arial" w:hAnsi="Arial" w:cs="Arial"/>
                <w:b/>
              </w:rPr>
              <w:t>Povprečna odkupna cena sadja (</w:t>
            </w:r>
            <w:proofErr w:type="spellStart"/>
            <w:r w:rsidRPr="001B2F9A">
              <w:rPr>
                <w:rFonts w:ascii="Arial" w:hAnsi="Arial" w:cs="Arial"/>
                <w:b/>
              </w:rPr>
              <w:t>eurov</w:t>
            </w:r>
            <w:proofErr w:type="spellEnd"/>
            <w:r w:rsidRPr="001B2F9A">
              <w:rPr>
                <w:rFonts w:ascii="Arial" w:hAnsi="Arial" w:cs="Arial"/>
                <w:b/>
              </w:rPr>
              <w:t>/kg)</w:t>
            </w:r>
          </w:p>
        </w:tc>
        <w:tc>
          <w:tcPr>
            <w:tcW w:w="1985" w:type="dxa"/>
          </w:tcPr>
          <w:p w:rsidR="002A4506" w:rsidRDefault="00944B17" w:rsidP="00D45E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</w:tr>
      <w:tr w:rsidR="002A4506" w:rsidTr="00A75E8C">
        <w:tc>
          <w:tcPr>
            <w:tcW w:w="7479" w:type="dxa"/>
          </w:tcPr>
          <w:p w:rsidR="002A4506" w:rsidRPr="001B2F9A" w:rsidRDefault="002A4506" w:rsidP="00971933">
            <w:pPr>
              <w:rPr>
                <w:rFonts w:ascii="Arial" w:hAnsi="Arial" w:cs="Arial"/>
                <w:b/>
              </w:rPr>
            </w:pPr>
            <w:r w:rsidRPr="001B2F9A">
              <w:rPr>
                <w:rFonts w:ascii="Arial" w:hAnsi="Arial" w:cs="Arial"/>
                <w:b/>
              </w:rPr>
              <w:t>Povprečna odkupna cena zelenjave (</w:t>
            </w:r>
            <w:proofErr w:type="spellStart"/>
            <w:r w:rsidRPr="001B2F9A">
              <w:rPr>
                <w:rFonts w:ascii="Arial" w:hAnsi="Arial" w:cs="Arial"/>
                <w:b/>
              </w:rPr>
              <w:t>eurov</w:t>
            </w:r>
            <w:proofErr w:type="spellEnd"/>
            <w:r w:rsidRPr="001B2F9A">
              <w:rPr>
                <w:rFonts w:ascii="Arial" w:hAnsi="Arial" w:cs="Arial"/>
                <w:b/>
              </w:rPr>
              <w:t>/kg)</w:t>
            </w:r>
          </w:p>
        </w:tc>
        <w:tc>
          <w:tcPr>
            <w:tcW w:w="1985" w:type="dxa"/>
          </w:tcPr>
          <w:p w:rsidR="002A4506" w:rsidRDefault="00566A69" w:rsidP="00D45E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</w:tr>
    </w:tbl>
    <w:p w:rsidR="00971933" w:rsidRDefault="00C8355F" w:rsidP="0097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55F">
        <w:rPr>
          <w:rFonts w:ascii="Arial" w:hAnsi="Arial" w:cs="Arial"/>
          <w:sz w:val="24"/>
          <w:szCs w:val="24"/>
        </w:rPr>
        <w:t>«.</w:t>
      </w:r>
    </w:p>
    <w:p w:rsidR="00971933" w:rsidRDefault="00971933" w:rsidP="0097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933" w:rsidRDefault="00971933" w:rsidP="0097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933" w:rsidRDefault="00971933" w:rsidP="0097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D08" w:rsidRPr="008658AA" w:rsidRDefault="00F07D08" w:rsidP="00971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07D08" w:rsidRPr="0086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D74"/>
    <w:multiLevelType w:val="hybridMultilevel"/>
    <w:tmpl w:val="7504A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AA"/>
    <w:rsid w:val="00037A9C"/>
    <w:rsid w:val="00175E2C"/>
    <w:rsid w:val="001B2F9A"/>
    <w:rsid w:val="00242FCE"/>
    <w:rsid w:val="002A4506"/>
    <w:rsid w:val="00315B25"/>
    <w:rsid w:val="00360EC4"/>
    <w:rsid w:val="003918A7"/>
    <w:rsid w:val="00397867"/>
    <w:rsid w:val="003E4EA4"/>
    <w:rsid w:val="00566A69"/>
    <w:rsid w:val="00672FF5"/>
    <w:rsid w:val="008658AA"/>
    <w:rsid w:val="008E6F8C"/>
    <w:rsid w:val="00944B17"/>
    <w:rsid w:val="00971933"/>
    <w:rsid w:val="00A75E8C"/>
    <w:rsid w:val="00A8343C"/>
    <w:rsid w:val="00A90EC2"/>
    <w:rsid w:val="00B458EB"/>
    <w:rsid w:val="00C8355F"/>
    <w:rsid w:val="00C97FB8"/>
    <w:rsid w:val="00CD250C"/>
    <w:rsid w:val="00D1785B"/>
    <w:rsid w:val="00D31465"/>
    <w:rsid w:val="00D45E8E"/>
    <w:rsid w:val="00E0412F"/>
    <w:rsid w:val="00E91B02"/>
    <w:rsid w:val="00F07D08"/>
    <w:rsid w:val="00F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1">
    <w:name w:val="vrstapredpisa1"/>
    <w:basedOn w:val="Navaden"/>
    <w:rsid w:val="008E6F8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8E6F8C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8E6F8C"/>
    <w:pPr>
      <w:ind w:left="720"/>
      <w:contextualSpacing/>
    </w:pPr>
  </w:style>
  <w:style w:type="paragraph" w:customStyle="1" w:styleId="odstavek1">
    <w:name w:val="odstavek1"/>
    <w:basedOn w:val="Navaden"/>
    <w:rsid w:val="00A90EC2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nazivpodpisnika1">
    <w:name w:val="nazivpodpisnika1"/>
    <w:basedOn w:val="Navaden"/>
    <w:rsid w:val="00A90EC2"/>
    <w:pPr>
      <w:spacing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tevilkanakoncupredpisa1">
    <w:name w:val="tevilkanakoncupredpisa1"/>
    <w:basedOn w:val="Navaden"/>
    <w:rsid w:val="00A90EC2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A90EC2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A90EC2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A90EC2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podpisnik1">
    <w:name w:val="podpisnik1"/>
    <w:basedOn w:val="Navaden"/>
    <w:rsid w:val="00A90EC2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avaden"/>
    <w:link w:val="EVAZnak"/>
    <w:qFormat/>
    <w:rsid w:val="00A90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EVAZnak">
    <w:name w:val="EVA Znak"/>
    <w:link w:val="EVA"/>
    <w:rsid w:val="00A90EC2"/>
    <w:rPr>
      <w:rFonts w:ascii="Arial" w:eastAsia="Times New Roman" w:hAnsi="Arial" w:cs="Times New Roman"/>
    </w:rPr>
  </w:style>
  <w:style w:type="table" w:styleId="Tabelamrea">
    <w:name w:val="Table Grid"/>
    <w:basedOn w:val="Navadnatabela"/>
    <w:uiPriority w:val="59"/>
    <w:rsid w:val="0097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1">
    <w:name w:val="vrstapredpisa1"/>
    <w:basedOn w:val="Navaden"/>
    <w:rsid w:val="008E6F8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8E6F8C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8E6F8C"/>
    <w:pPr>
      <w:ind w:left="720"/>
      <w:contextualSpacing/>
    </w:pPr>
  </w:style>
  <w:style w:type="paragraph" w:customStyle="1" w:styleId="odstavek1">
    <w:name w:val="odstavek1"/>
    <w:basedOn w:val="Navaden"/>
    <w:rsid w:val="00A90EC2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nazivpodpisnika1">
    <w:name w:val="nazivpodpisnika1"/>
    <w:basedOn w:val="Navaden"/>
    <w:rsid w:val="00A90EC2"/>
    <w:pPr>
      <w:spacing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tevilkanakoncupredpisa1">
    <w:name w:val="tevilkanakoncupredpisa1"/>
    <w:basedOn w:val="Navaden"/>
    <w:rsid w:val="00A90EC2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A90EC2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A90EC2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A90EC2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podpisnik1">
    <w:name w:val="podpisnik1"/>
    <w:basedOn w:val="Navaden"/>
    <w:rsid w:val="00A90EC2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avaden"/>
    <w:link w:val="EVAZnak"/>
    <w:qFormat/>
    <w:rsid w:val="00A90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EVAZnak">
    <w:name w:val="EVA Znak"/>
    <w:link w:val="EVA"/>
    <w:rsid w:val="00A90EC2"/>
    <w:rPr>
      <w:rFonts w:ascii="Arial" w:eastAsia="Times New Roman" w:hAnsi="Arial" w:cs="Times New Roman"/>
    </w:rPr>
  </w:style>
  <w:style w:type="table" w:styleId="Tabelamrea">
    <w:name w:val="Table Grid"/>
    <w:basedOn w:val="Navadnatabela"/>
    <w:uiPriority w:val="59"/>
    <w:rsid w:val="0097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Marjetič-Žnider</dc:creator>
  <cp:lastModifiedBy>Alenka Marjetič-Žnider</cp:lastModifiedBy>
  <cp:revision>4</cp:revision>
  <dcterms:created xsi:type="dcterms:W3CDTF">2018-04-25T08:50:00Z</dcterms:created>
  <dcterms:modified xsi:type="dcterms:W3CDTF">2018-04-26T11:20:00Z</dcterms:modified>
</cp:coreProperties>
</file>