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59" w:rsidRPr="003F1703" w:rsidRDefault="009E7A59" w:rsidP="009E7A59">
      <w:pPr>
        <w:tabs>
          <w:tab w:val="left" w:pos="708"/>
        </w:tabs>
        <w:ind w:left="6012"/>
        <w:rPr>
          <w:rFonts w:cs="Arial"/>
          <w:b/>
          <w:szCs w:val="20"/>
        </w:rPr>
      </w:pPr>
      <w:r w:rsidRPr="003F1703">
        <w:rPr>
          <w:rFonts w:cs="Arial"/>
          <w:b/>
          <w:szCs w:val="20"/>
        </w:rPr>
        <w:t>PREDLOG</w:t>
      </w:r>
      <w:r w:rsidR="007D4FA0">
        <w:rPr>
          <w:rFonts w:cs="Arial"/>
          <w:b/>
          <w:szCs w:val="20"/>
        </w:rPr>
        <w:t xml:space="preserve"> 14.11.2017</w:t>
      </w:r>
      <w:bookmarkStart w:id="0" w:name="_GoBack"/>
      <w:bookmarkEnd w:id="0"/>
    </w:p>
    <w:p w:rsidR="009E7A59" w:rsidRPr="003F1703" w:rsidRDefault="009E7A59" w:rsidP="009E7A59">
      <w:pPr>
        <w:tabs>
          <w:tab w:val="left" w:pos="708"/>
        </w:tabs>
        <w:ind w:left="6012"/>
        <w:rPr>
          <w:rFonts w:cs="Arial"/>
          <w:b/>
          <w:szCs w:val="20"/>
        </w:rPr>
      </w:pPr>
      <w:r w:rsidRPr="003F1703">
        <w:rPr>
          <w:rFonts w:cs="Arial"/>
          <w:b/>
          <w:szCs w:val="20"/>
        </w:rPr>
        <w:t xml:space="preserve"> (EVA</w:t>
      </w:r>
      <w:r w:rsidR="00A07C70">
        <w:rPr>
          <w:rFonts w:cs="Arial"/>
          <w:b/>
          <w:szCs w:val="20"/>
        </w:rPr>
        <w:t xml:space="preserve"> 2017-3130-0048</w:t>
      </w:r>
      <w:r w:rsidRPr="003F1703">
        <w:rPr>
          <w:rFonts w:cs="Arial"/>
          <w:b/>
          <w:szCs w:val="20"/>
        </w:rPr>
        <w:t>)</w:t>
      </w:r>
    </w:p>
    <w:p w:rsidR="009E7A59" w:rsidRPr="003F1703" w:rsidRDefault="009E7A59" w:rsidP="009E7A59">
      <w:pPr>
        <w:tabs>
          <w:tab w:val="left" w:pos="708"/>
        </w:tabs>
        <w:rPr>
          <w:rFonts w:cs="Arial"/>
          <w:b/>
          <w:szCs w:val="20"/>
        </w:rPr>
      </w:pPr>
    </w:p>
    <w:p w:rsidR="00A07C70" w:rsidRPr="00894E03" w:rsidRDefault="00A07C70" w:rsidP="00A07C70">
      <w:pPr>
        <w:pStyle w:val="pravnapodlaga"/>
        <w:rPr>
          <w:rFonts w:ascii="Arial" w:hAnsi="Arial" w:cs="Arial"/>
          <w:sz w:val="20"/>
          <w:szCs w:val="20"/>
        </w:rPr>
      </w:pPr>
      <w:r w:rsidRPr="00894E03">
        <w:rPr>
          <w:rFonts w:ascii="Arial" w:hAnsi="Arial" w:cs="Arial"/>
          <w:sz w:val="20"/>
          <w:szCs w:val="20"/>
        </w:rPr>
        <w:t>Na podlagi drugega odstavka 6.</w:t>
      </w:r>
      <w:r>
        <w:rPr>
          <w:rFonts w:ascii="Arial" w:hAnsi="Arial" w:cs="Arial"/>
          <w:sz w:val="20"/>
          <w:szCs w:val="20"/>
        </w:rPr>
        <w:t>a</w:t>
      </w:r>
      <w:r w:rsidRPr="00894E03">
        <w:rPr>
          <w:rFonts w:ascii="Arial" w:hAnsi="Arial" w:cs="Arial"/>
          <w:sz w:val="20"/>
          <w:szCs w:val="20"/>
        </w:rPr>
        <w:t xml:space="preserve"> člena Zakona o glavnem mestu Republike Slovenije (Uradni list RS, št. 22/04</w:t>
      </w:r>
      <w:r>
        <w:rPr>
          <w:rFonts w:ascii="Arial" w:hAnsi="Arial" w:cs="Arial"/>
          <w:sz w:val="20"/>
          <w:szCs w:val="20"/>
        </w:rPr>
        <w:t>,</w:t>
      </w:r>
      <w:r w:rsidRPr="00894E03">
        <w:rPr>
          <w:rFonts w:ascii="Arial" w:hAnsi="Arial" w:cs="Arial"/>
          <w:sz w:val="20"/>
          <w:szCs w:val="20"/>
        </w:rPr>
        <w:t xml:space="preserve"> 110/09</w:t>
      </w:r>
      <w:r w:rsidRPr="007362BD">
        <w:rPr>
          <w:rFonts w:ascii="Arial" w:hAnsi="Arial" w:cs="Arial"/>
          <w:sz w:val="20"/>
          <w:szCs w:val="20"/>
        </w:rPr>
        <w:t xml:space="preserve"> </w:t>
      </w:r>
      <w:r w:rsidRPr="00894E03">
        <w:rPr>
          <w:rFonts w:ascii="Arial" w:hAnsi="Arial" w:cs="Arial"/>
          <w:sz w:val="20"/>
          <w:szCs w:val="20"/>
        </w:rPr>
        <w:t>in</w:t>
      </w:r>
      <w:r>
        <w:rPr>
          <w:rFonts w:ascii="Arial" w:hAnsi="Arial" w:cs="Arial"/>
          <w:sz w:val="20"/>
          <w:szCs w:val="20"/>
        </w:rPr>
        <w:t xml:space="preserve"> 59/17</w:t>
      </w:r>
      <w:r w:rsidRPr="00894E03">
        <w:rPr>
          <w:rFonts w:ascii="Arial" w:hAnsi="Arial" w:cs="Arial"/>
          <w:sz w:val="20"/>
          <w:szCs w:val="20"/>
        </w:rPr>
        <w:t>) izdaja Vlada Republike Slovenije</w:t>
      </w:r>
    </w:p>
    <w:p w:rsidR="00A07C70" w:rsidRPr="00B859C6" w:rsidRDefault="00A07C70" w:rsidP="00A07C70">
      <w:pPr>
        <w:suppressAutoHyphens/>
        <w:overflowPunct w:val="0"/>
        <w:autoSpaceDE w:val="0"/>
        <w:autoSpaceDN w:val="0"/>
        <w:adjustRightInd w:val="0"/>
        <w:spacing w:before="360" w:line="220" w:lineRule="exact"/>
        <w:jc w:val="center"/>
        <w:textAlignment w:val="baseline"/>
        <w:rPr>
          <w:rFonts w:cs="Arial"/>
          <w:b/>
          <w:bCs/>
          <w:color w:val="000000"/>
          <w:spacing w:val="40"/>
          <w:szCs w:val="20"/>
          <w:lang w:eastAsia="sl-SI"/>
        </w:rPr>
      </w:pPr>
      <w:r w:rsidRPr="00B859C6">
        <w:rPr>
          <w:rFonts w:cs="Arial"/>
          <w:b/>
          <w:bCs/>
          <w:color w:val="000000"/>
          <w:spacing w:val="40"/>
          <w:szCs w:val="20"/>
          <w:lang w:eastAsia="sl-SI"/>
        </w:rPr>
        <w:t>UREDBO</w:t>
      </w:r>
    </w:p>
    <w:p w:rsidR="00A07C70" w:rsidRPr="00B859C6" w:rsidRDefault="00A07C70" w:rsidP="00A07C70">
      <w:pPr>
        <w:suppressAutoHyphens/>
        <w:overflowPunct w:val="0"/>
        <w:autoSpaceDE w:val="0"/>
        <w:autoSpaceDN w:val="0"/>
        <w:adjustRightInd w:val="0"/>
        <w:spacing w:before="120" w:line="200" w:lineRule="exact"/>
        <w:jc w:val="center"/>
        <w:textAlignment w:val="baseline"/>
        <w:rPr>
          <w:rFonts w:cs="Arial"/>
          <w:b/>
          <w:szCs w:val="20"/>
          <w:lang w:eastAsia="sl-SI"/>
        </w:rPr>
      </w:pPr>
      <w:r w:rsidRPr="00B859C6">
        <w:rPr>
          <w:rFonts w:cs="Arial"/>
          <w:b/>
          <w:szCs w:val="20"/>
          <w:lang w:eastAsia="sl-SI"/>
        </w:rPr>
        <w:t>o metodologiji za izračun deleža dohodnine, ki pripada Mestni občini Ljubljana</w:t>
      </w:r>
      <w:r w:rsidRPr="00B859C6" w:rsidDel="006E0A56">
        <w:rPr>
          <w:rFonts w:cs="Arial"/>
          <w:b/>
          <w:szCs w:val="20"/>
          <w:lang w:eastAsia="sl-SI"/>
        </w:rPr>
        <w:t xml:space="preserve"> </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sidRPr="00B859C6">
        <w:rPr>
          <w:rFonts w:cs="Arial"/>
          <w:b/>
          <w:szCs w:val="20"/>
          <w:lang w:eastAsia="sl-SI"/>
        </w:rPr>
        <w:t>1.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(vsebina)</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sidRPr="00B859C6">
        <w:rPr>
          <w:rFonts w:cs="Arial"/>
          <w:szCs w:val="20"/>
          <w:lang w:eastAsia="sl-SI"/>
        </w:rPr>
        <w:t xml:space="preserve">Ta uredba določa metodologijo za izračun povprečnih vrednosti tekočih stroškov vseh občin, tekočih stroškov Mestne občine Ljubljana (v nadaljnjem besedilu: MO Ljubljana), tekočih stroškov mestnih občin, tekočih prihodkov MO Ljubljana in tekočih prihodkov mestnih občin za namen določitve deleža dohodnine, ki za posamezno proračunsko leto pripada MO Ljubljana po 6.a členu Zakona o glavnem mestu Republike Slovenije (Uradni list RS, št. 22/04, 110/09 in </w:t>
      </w:r>
      <w:r>
        <w:rPr>
          <w:rFonts w:cs="Arial"/>
          <w:szCs w:val="20"/>
          <w:lang w:eastAsia="sl-SI"/>
        </w:rPr>
        <w:t xml:space="preserve">59/17). </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sidRPr="00B859C6">
        <w:rPr>
          <w:rFonts w:cs="Arial"/>
          <w:b/>
          <w:szCs w:val="20"/>
          <w:lang w:eastAsia="sl-SI"/>
        </w:rPr>
        <w:t>2.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(podatki)</w:t>
      </w:r>
    </w:p>
    <w:p w:rsidR="00A07C70" w:rsidRDefault="00A07C70" w:rsidP="00A07C70">
      <w:pPr>
        <w:overflowPunct w:val="0"/>
        <w:autoSpaceDE w:val="0"/>
        <w:autoSpaceDN w:val="0"/>
        <w:adjustRightInd w:val="0"/>
        <w:spacing w:before="240" w:line="240" w:lineRule="auto"/>
        <w:jc w:val="both"/>
        <w:textAlignment w:val="baseline"/>
        <w:rPr>
          <w:rFonts w:cs="Arial"/>
          <w:szCs w:val="20"/>
          <w:lang w:eastAsia="sl-SI"/>
        </w:rPr>
      </w:pPr>
      <w:r w:rsidRPr="00B859C6">
        <w:rPr>
          <w:rFonts w:cs="Arial"/>
          <w:szCs w:val="20"/>
          <w:lang w:eastAsia="sl-SI"/>
        </w:rPr>
        <w:t>Osnov</w:t>
      </w:r>
      <w:r>
        <w:rPr>
          <w:rFonts w:cs="Arial"/>
          <w:szCs w:val="20"/>
          <w:lang w:eastAsia="sl-SI"/>
        </w:rPr>
        <w:t>e</w:t>
      </w:r>
      <w:r w:rsidRPr="00B859C6">
        <w:rPr>
          <w:rFonts w:cs="Arial"/>
          <w:szCs w:val="20"/>
          <w:lang w:eastAsia="sl-SI"/>
        </w:rPr>
        <w:t xml:space="preserve"> za izračune po tej metodologiji so</w:t>
      </w:r>
      <w:r>
        <w:rPr>
          <w:rFonts w:cs="Arial"/>
          <w:szCs w:val="20"/>
          <w:lang w:eastAsia="sl-SI"/>
        </w:rPr>
        <w:t>:</w:t>
      </w:r>
    </w:p>
    <w:p w:rsidR="00A07C70"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a)</w:t>
      </w:r>
      <w:r w:rsidRPr="00B859C6">
        <w:rPr>
          <w:rFonts w:cs="Arial"/>
          <w:szCs w:val="20"/>
          <w:lang w:eastAsia="sl-SI"/>
        </w:rPr>
        <w:t xml:space="preserve"> </w:t>
      </w:r>
      <w:r>
        <w:rPr>
          <w:rFonts w:cs="Arial"/>
          <w:szCs w:val="20"/>
          <w:lang w:eastAsia="sl-SI"/>
        </w:rPr>
        <w:t>povprečni stroški za financiranje občinskih nalog</w:t>
      </w:r>
      <w:r w:rsidR="005B2ADE">
        <w:rPr>
          <w:rFonts w:cs="Arial"/>
          <w:szCs w:val="20"/>
          <w:lang w:eastAsia="sl-SI"/>
        </w:rPr>
        <w:t xml:space="preserve"> </w:t>
      </w:r>
      <w:r w:rsidRPr="00B859C6">
        <w:rPr>
          <w:rFonts w:cs="Arial"/>
          <w:szCs w:val="20"/>
          <w:lang w:eastAsia="sl-SI"/>
        </w:rPr>
        <w:t>(v nadaljnjem besedilu: tekoči stroški)</w:t>
      </w:r>
      <w:r>
        <w:rPr>
          <w:rFonts w:cs="Arial"/>
          <w:szCs w:val="20"/>
          <w:lang w:eastAsia="sl-SI"/>
        </w:rPr>
        <w:t xml:space="preserve">, določeni v skladu z zakonom, ki ureja financiranje občin </w:t>
      </w:r>
      <w:r w:rsidRPr="00DC39DC">
        <w:rPr>
          <w:rFonts w:cs="Arial"/>
          <w:szCs w:val="20"/>
          <w:lang w:eastAsia="sl-SI"/>
        </w:rPr>
        <w:t>v letih od (t-5) do (t-2)</w:t>
      </w:r>
      <w:r w:rsidRPr="00B859C6">
        <w:rPr>
          <w:rFonts w:cs="Arial"/>
          <w:szCs w:val="20"/>
          <w:lang w:eastAsia="sl-SI"/>
        </w:rPr>
        <w:t xml:space="preserve"> </w:t>
      </w:r>
      <w:r>
        <w:rPr>
          <w:rFonts w:cs="Arial"/>
          <w:szCs w:val="20"/>
          <w:lang w:eastAsia="sl-SI"/>
        </w:rPr>
        <w:t xml:space="preserve">in </w:t>
      </w:r>
      <w:r w:rsidRPr="00B859C6">
        <w:rPr>
          <w:rFonts w:cs="Arial"/>
          <w:szCs w:val="20"/>
          <w:lang w:eastAsia="sl-SI"/>
        </w:rPr>
        <w:t>po podprogramih, določenih v pravilniku, ki določa podprograme, ki jih občine sporočajo ministrstvu, pristojnemu za finance, na podlagi zakona oziroma predpisa, izdanega na njegovi podlagi</w:t>
      </w:r>
      <w:r>
        <w:rPr>
          <w:rFonts w:cs="Arial"/>
          <w:szCs w:val="20"/>
          <w:lang w:eastAsia="sl-SI"/>
        </w:rPr>
        <w:t>,</w:t>
      </w:r>
      <w:r w:rsidRPr="00B859C6">
        <w:rPr>
          <w:rFonts w:cs="Arial"/>
          <w:szCs w:val="20"/>
          <w:lang w:eastAsia="sl-SI"/>
        </w:rPr>
        <w:t xml:space="preserve"> </w:t>
      </w:r>
      <w:r>
        <w:rPr>
          <w:rFonts w:cs="Arial"/>
          <w:szCs w:val="20"/>
          <w:lang w:eastAsia="sl-SI"/>
        </w:rPr>
        <w:t>ter</w:t>
      </w:r>
      <w:r w:rsidRPr="00B859C6">
        <w:rPr>
          <w:rFonts w:cs="Arial"/>
          <w:szCs w:val="20"/>
          <w:lang w:eastAsia="sl-SI"/>
        </w:rPr>
        <w:t xml:space="preserve"> se v skladu </w:t>
      </w:r>
      <w:r>
        <w:rPr>
          <w:rFonts w:cs="Arial"/>
          <w:szCs w:val="20"/>
          <w:lang w:eastAsia="sl-SI"/>
        </w:rPr>
        <w:t>z uredbo, ki določa metodologijo za izračun povprečnih stroškov za financiranje občinskih nalog</w:t>
      </w:r>
      <w:r w:rsidR="005B2ADE">
        <w:rPr>
          <w:rFonts w:cs="Arial"/>
          <w:szCs w:val="20"/>
          <w:lang w:eastAsia="sl-SI"/>
        </w:rPr>
        <w:t>,</w:t>
      </w:r>
      <w:r>
        <w:rPr>
          <w:rFonts w:cs="Arial"/>
          <w:szCs w:val="20"/>
          <w:lang w:eastAsia="sl-SI"/>
        </w:rPr>
        <w:t xml:space="preserve"> </w:t>
      </w:r>
      <w:r w:rsidRPr="00B859C6">
        <w:rPr>
          <w:rFonts w:cs="Arial"/>
          <w:szCs w:val="20"/>
          <w:lang w:eastAsia="sl-SI"/>
        </w:rPr>
        <w:t xml:space="preserve">upoštevajo za </w:t>
      </w:r>
      <w:r>
        <w:rPr>
          <w:rFonts w:eastAsia="Calibri" w:cs="Arial"/>
          <w:szCs w:val="20"/>
          <w:lang w:eastAsia="sl-SI"/>
        </w:rPr>
        <w:t>izračun povprečnih stroškov za financiranje občinskih nalog</w:t>
      </w:r>
      <w:r>
        <w:rPr>
          <w:rFonts w:cs="Arial"/>
          <w:szCs w:val="20"/>
          <w:lang w:eastAsia="sl-SI"/>
        </w:rPr>
        <w:t>,</w:t>
      </w:r>
    </w:p>
    <w:p w:rsidR="00A07C70"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b)</w:t>
      </w:r>
      <w:r w:rsidRPr="00B859C6">
        <w:rPr>
          <w:rFonts w:cs="Arial"/>
          <w:szCs w:val="20"/>
          <w:lang w:eastAsia="sl-SI"/>
        </w:rPr>
        <w:t xml:space="preserve"> prihodk</w:t>
      </w:r>
      <w:r>
        <w:rPr>
          <w:rFonts w:cs="Arial"/>
          <w:szCs w:val="20"/>
          <w:lang w:eastAsia="sl-SI"/>
        </w:rPr>
        <w:t>i</w:t>
      </w:r>
      <w:r w:rsidRPr="00B859C6">
        <w:rPr>
          <w:rFonts w:cs="Arial"/>
          <w:szCs w:val="20"/>
          <w:lang w:eastAsia="sl-SI"/>
        </w:rPr>
        <w:t xml:space="preserve"> občin za financiranje primerne porabe</w:t>
      </w:r>
      <w:r>
        <w:rPr>
          <w:rFonts w:cs="Arial"/>
          <w:szCs w:val="20"/>
          <w:lang w:eastAsia="sl-SI"/>
        </w:rPr>
        <w:t xml:space="preserve"> </w:t>
      </w:r>
      <w:r w:rsidR="005B2ADE">
        <w:rPr>
          <w:rFonts w:cs="Arial"/>
          <w:szCs w:val="20"/>
          <w:lang w:eastAsia="sl-SI"/>
        </w:rPr>
        <w:t>oziroma primernega obsega sredstev za financiranje primerne porabe</w:t>
      </w:r>
      <w:r w:rsidR="00CE552C">
        <w:rPr>
          <w:rFonts w:cs="Arial"/>
          <w:szCs w:val="20"/>
          <w:lang w:eastAsia="sl-SI"/>
        </w:rPr>
        <w:t xml:space="preserve"> </w:t>
      </w:r>
      <w:r>
        <w:rPr>
          <w:rFonts w:cs="Arial"/>
          <w:szCs w:val="20"/>
          <w:lang w:eastAsia="sl-SI"/>
        </w:rPr>
        <w:t>(v nadaljnjem besedilu: tekoči prihodki)</w:t>
      </w:r>
      <w:r w:rsidRPr="00B859C6">
        <w:rPr>
          <w:rFonts w:cs="Arial"/>
          <w:szCs w:val="20"/>
          <w:lang w:eastAsia="sl-SI"/>
        </w:rPr>
        <w:t xml:space="preserve"> </w:t>
      </w:r>
      <w:r w:rsidRPr="00DC39DC">
        <w:rPr>
          <w:rFonts w:cs="Arial"/>
          <w:szCs w:val="20"/>
          <w:lang w:eastAsia="sl-SI"/>
        </w:rPr>
        <w:t>v letih od (t-5) do (t-2)</w:t>
      </w:r>
      <w:r w:rsidRPr="00B859C6">
        <w:rPr>
          <w:rFonts w:cs="Arial"/>
          <w:szCs w:val="20"/>
          <w:lang w:eastAsia="sl-SI"/>
        </w:rPr>
        <w:t xml:space="preserve"> glede na leto</w:t>
      </w:r>
      <w:r>
        <w:rPr>
          <w:rFonts w:cs="Arial"/>
          <w:szCs w:val="20"/>
          <w:lang w:eastAsia="sl-SI"/>
        </w:rPr>
        <w:t xml:space="preserve"> (t)</w:t>
      </w:r>
      <w:r w:rsidRPr="00B859C6">
        <w:rPr>
          <w:rFonts w:cs="Arial"/>
          <w:szCs w:val="20"/>
          <w:lang w:eastAsia="sl-SI"/>
        </w:rPr>
        <w:t xml:space="preserve">, za katerega se </w:t>
      </w:r>
      <w:r>
        <w:rPr>
          <w:rFonts w:cs="Arial"/>
          <w:szCs w:val="20"/>
          <w:lang w:eastAsia="sl-SI"/>
        </w:rPr>
        <w:t>do 1. avgusta leta (t-1)  izračuna</w:t>
      </w:r>
      <w:r w:rsidRPr="00B859C6">
        <w:rPr>
          <w:rFonts w:cs="Arial"/>
          <w:szCs w:val="20"/>
          <w:lang w:eastAsia="sl-SI"/>
        </w:rPr>
        <w:t xml:space="preserve"> delež dohodnine, ki pripada MO Ljubljana</w:t>
      </w:r>
      <w:r>
        <w:rPr>
          <w:rFonts w:cs="Arial"/>
          <w:szCs w:val="20"/>
          <w:lang w:eastAsia="sl-SI"/>
        </w:rPr>
        <w:t xml:space="preserve"> za leto (t),</w:t>
      </w:r>
    </w:p>
    <w:p w:rsidR="00A07C70"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c) dohodnina, vplačana v letu (t-2) in</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d) število prebivalcev na dan 1. januarja</w:t>
      </w:r>
      <w:r w:rsidR="005B2ADE">
        <w:rPr>
          <w:rFonts w:cs="Arial"/>
          <w:szCs w:val="20"/>
          <w:lang w:eastAsia="sl-SI"/>
        </w:rPr>
        <w:t>.</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3</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stroškov)</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stroškov (</w:t>
      </w:r>
      <w:proofErr w:type="spellStart"/>
      <w:r w:rsidRPr="00B859C6">
        <w:rPr>
          <w:rFonts w:cs="Arial"/>
          <w:szCs w:val="20"/>
          <w:lang w:eastAsia="sl-SI"/>
        </w:rPr>
        <w:t>TStr</w:t>
      </w:r>
      <w:proofErr w:type="spellEnd"/>
      <w:r w:rsidRPr="00B859C6">
        <w:rPr>
          <w:rFonts w:cs="Arial"/>
          <w:szCs w:val="20"/>
          <w:lang w:eastAsia="sl-SI"/>
        </w:rPr>
        <w:t>) za obdobje od leta (t-5) do leta (t-2) se izračuna po formuli:</w:t>
      </w:r>
    </w:p>
    <w:p w:rsidR="00A07C70" w:rsidRPr="00B859C6" w:rsidRDefault="00A07C70" w:rsidP="00A07C70">
      <w:pPr>
        <w:spacing w:before="400" w:after="400"/>
        <w:jc w:val="center"/>
        <w:rPr>
          <w:rFonts w:eastAsia="Calibri" w:cs="Arial"/>
          <w:szCs w:val="20"/>
        </w:rPr>
      </w:pPr>
      <w:proofErr w:type="spellStart"/>
      <w:r w:rsidRPr="00B859C6">
        <w:rPr>
          <w:rFonts w:eastAsia="Calibri" w:cs="Arial"/>
          <w:szCs w:val="20"/>
        </w:rPr>
        <w:t>TStr</w:t>
      </w:r>
      <w:proofErr w:type="spellEnd"/>
      <w:r w:rsidRPr="00B859C6">
        <w:rPr>
          <w:rFonts w:eastAsia="Calibri" w:cs="Arial"/>
          <w:szCs w:val="20"/>
        </w:rPr>
        <w:t xml:space="preserve"> = ¼Σ(</w:t>
      </w:r>
      <w:proofErr w:type="spellStart"/>
      <w:r w:rsidRPr="00B859C6">
        <w:rPr>
          <w:rFonts w:eastAsia="Calibri" w:cs="Arial"/>
          <w:szCs w:val="20"/>
        </w:rPr>
        <w:t>TStr</w:t>
      </w:r>
      <w:r w:rsidRPr="00B859C6">
        <w:rPr>
          <w:rFonts w:eastAsia="Calibri" w:cs="Arial"/>
          <w:szCs w:val="20"/>
          <w:vertAlign w:val="subscript"/>
        </w:rPr>
        <w:t>a</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TStr</w:t>
      </w:r>
      <w:r w:rsidRPr="00B859C6">
        <w:rPr>
          <w:rFonts w:eastAsia="Calibri" w:cs="Arial"/>
          <w:szCs w:val="20"/>
          <w:vertAlign w:val="subscript"/>
          <w:lang w:eastAsia="sl-SI"/>
        </w:rPr>
        <w:t>a</w:t>
      </w:r>
      <w:proofErr w:type="spellEnd"/>
      <w:r w:rsidRPr="00B859C6">
        <w:rPr>
          <w:rFonts w:eastAsia="Calibri" w:cs="Arial"/>
          <w:szCs w:val="20"/>
          <w:lang w:eastAsia="sl-SI"/>
        </w:rPr>
        <w:t>,</w:t>
      </w:r>
      <w:r w:rsidRPr="00B859C6">
        <w:rPr>
          <w:rFonts w:eastAsia="Calibri" w:cs="Arial"/>
          <w:szCs w:val="20"/>
          <w:lang w:eastAsia="sl-SI"/>
        </w:rPr>
        <w:tab/>
        <w:t>povprečna vrednost tekočih stroškov vseh občin na prebivalca za posamezno leto (a) znotraj obdobja od (t</w:t>
      </w:r>
      <w:r w:rsidRPr="00B859C6">
        <w:rPr>
          <w:rFonts w:eastAsia="MS Mincho" w:hAnsi="MS Mincho" w:cs="Arial"/>
          <w:szCs w:val="20"/>
          <w:lang w:eastAsia="sl-SI"/>
        </w:rPr>
        <w:t>‑</w:t>
      </w:r>
      <w:r w:rsidRPr="00B859C6">
        <w:rPr>
          <w:rFonts w:eastAsia="Calibri" w:cs="Arial"/>
          <w:szCs w:val="20"/>
          <w:lang w:eastAsia="sl-SI"/>
        </w:rPr>
        <w:t>5) do (t</w:t>
      </w:r>
      <w:r w:rsidRPr="00B859C6">
        <w:rPr>
          <w:rFonts w:eastAsia="MS Mincho" w:hAnsi="MS Mincho" w:cs="Arial"/>
          <w:szCs w:val="20"/>
          <w:lang w:eastAsia="sl-SI"/>
        </w:rPr>
        <w:t>‑</w:t>
      </w:r>
      <w:r w:rsidRPr="00B859C6">
        <w:rPr>
          <w:rFonts w:eastAsia="Calibri" w:cs="Arial"/>
          <w:szCs w:val="20"/>
          <w:lang w:eastAsia="sl-SI"/>
        </w:rPr>
        <w:t>2) in se izračuna po formuli</w:t>
      </w:r>
    </w:p>
    <w:p w:rsidR="00A07C70" w:rsidRPr="00B859C6" w:rsidRDefault="00A07C70" w:rsidP="00A07C70">
      <w:pPr>
        <w:spacing w:before="400" w:after="400"/>
        <w:jc w:val="center"/>
        <w:rPr>
          <w:rFonts w:eastAsia="Calibri" w:cs="Arial"/>
          <w:szCs w:val="20"/>
        </w:rPr>
      </w:pPr>
      <w:proofErr w:type="spellStart"/>
      <w:r w:rsidRPr="00B859C6">
        <w:rPr>
          <w:rFonts w:eastAsia="Calibri" w:cs="Arial"/>
          <w:szCs w:val="20"/>
        </w:rPr>
        <w:t>TStr</w:t>
      </w:r>
      <w:r w:rsidRPr="00B859C6">
        <w:rPr>
          <w:rFonts w:eastAsia="Calibri" w:cs="Arial"/>
          <w:szCs w:val="20"/>
          <w:vertAlign w:val="subscript"/>
        </w:rPr>
        <w:t>a</w:t>
      </w:r>
      <w:proofErr w:type="spellEnd"/>
      <w:r w:rsidR="005B2ADE">
        <w:rPr>
          <w:rFonts w:eastAsia="Calibri" w:cs="Arial"/>
          <w:szCs w:val="20"/>
          <w:vertAlign w:val="subscript"/>
        </w:rPr>
        <w:t xml:space="preserve"> </w:t>
      </w:r>
      <w:r w:rsidRPr="00B859C6">
        <w:rPr>
          <w:rFonts w:eastAsia="Calibri" w:cs="Arial"/>
          <w:szCs w:val="20"/>
        </w:rPr>
        <w:t>=</w:t>
      </w:r>
      <w:r w:rsidR="005B2ADE">
        <w:rPr>
          <w:rFonts w:eastAsia="Calibri" w:cs="Arial"/>
          <w:szCs w:val="20"/>
        </w:rPr>
        <w:t xml:space="preserve"> </w:t>
      </w:r>
      <w:r w:rsidRPr="00B859C6">
        <w:rPr>
          <w:rFonts w:eastAsia="Calibri" w:cs="Arial"/>
          <w:szCs w:val="20"/>
        </w:rPr>
        <w:t>(</w:t>
      </w:r>
      <w:proofErr w:type="spellStart"/>
      <w:r w:rsidRPr="00B859C6">
        <w:rPr>
          <w:rFonts w:eastAsia="Calibri" w:cs="Arial"/>
          <w:szCs w:val="20"/>
        </w:rPr>
        <w:t>ΣΣTStr</w:t>
      </w:r>
      <w:r w:rsidRPr="00B859C6">
        <w:rPr>
          <w:rFonts w:eastAsia="Calibri" w:cs="Arial"/>
          <w:szCs w:val="20"/>
          <w:vertAlign w:val="subscript"/>
        </w:rPr>
        <w:t>ij</w:t>
      </w:r>
      <w:proofErr w:type="spellEnd"/>
      <w:r w:rsidRPr="00B859C6">
        <w:rPr>
          <w:rFonts w:eastAsia="Calibri" w:cs="Arial"/>
          <w:szCs w:val="20"/>
        </w:rPr>
        <w:t>)/O.</w:t>
      </w:r>
    </w:p>
    <w:p w:rsidR="00A07C70" w:rsidRPr="00B859C6" w:rsidRDefault="00A07C70" w:rsidP="00A07C70">
      <w:pPr>
        <w:overflowPunct w:val="0"/>
        <w:autoSpaceDE w:val="0"/>
        <w:autoSpaceDN w:val="0"/>
        <w:adjustRightInd w:val="0"/>
        <w:spacing w:before="240" w:line="240" w:lineRule="auto"/>
        <w:ind w:firstLine="1021"/>
        <w:jc w:val="both"/>
        <w:textAlignment w:val="baseline"/>
        <w:rPr>
          <w:rFonts w:eastAsia="Calibri" w:cs="Arial"/>
          <w:szCs w:val="20"/>
          <w:lang w:eastAsia="sl-SI"/>
        </w:rPr>
      </w:pPr>
      <w:r w:rsidRPr="00B859C6">
        <w:rPr>
          <w:rFonts w:eastAsia="Calibri" w:cs="Arial"/>
          <w:szCs w:val="20"/>
          <w:lang w:eastAsia="sl-SI"/>
        </w:rPr>
        <w:lastRenderedPageBreak/>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ΣΣTStr</w:t>
      </w:r>
      <w:r w:rsidRPr="00B859C6">
        <w:rPr>
          <w:rFonts w:eastAsia="Calibri" w:cs="Arial"/>
          <w:szCs w:val="20"/>
          <w:vertAlign w:val="subscript"/>
          <w:lang w:eastAsia="sl-SI"/>
        </w:rPr>
        <w:t>ij</w:t>
      </w:r>
      <w:proofErr w:type="spellEnd"/>
      <w:r w:rsidRPr="00B859C6" w:rsidDel="00FB1AEB">
        <w:rPr>
          <w:rFonts w:eastAsia="Calibri" w:cs="Arial"/>
          <w:szCs w:val="20"/>
          <w:lang w:eastAsia="sl-SI"/>
        </w:rPr>
        <w:t xml:space="preserve"> </w:t>
      </w:r>
      <w:r w:rsidRPr="00B859C6">
        <w:rPr>
          <w:rFonts w:eastAsia="Calibri" w:cs="Arial"/>
          <w:szCs w:val="20"/>
          <w:lang w:eastAsia="sl-SI"/>
        </w:rPr>
        <w:t>,</w:t>
      </w:r>
      <w:r w:rsidRPr="00B859C6">
        <w:rPr>
          <w:rFonts w:eastAsia="Calibri" w:cs="Arial"/>
          <w:szCs w:val="20"/>
          <w:lang w:eastAsia="sl-SI"/>
        </w:rPr>
        <w:tab/>
        <w:t xml:space="preserve">vsota tekočih stroškov vseh občin (i) za </w:t>
      </w:r>
      <w:r>
        <w:rPr>
          <w:rFonts w:eastAsia="Calibri" w:cs="Arial"/>
          <w:szCs w:val="20"/>
          <w:lang w:eastAsia="sl-SI"/>
        </w:rPr>
        <w:t xml:space="preserve">financiranje občinskih nalog, določenih v skladu z zakonom, ki ureja financiranje občin, in </w:t>
      </w:r>
      <w:r w:rsidRPr="00B859C6">
        <w:rPr>
          <w:rFonts w:eastAsia="Calibri" w:cs="Arial"/>
          <w:szCs w:val="20"/>
          <w:lang w:eastAsia="sl-SI"/>
        </w:rPr>
        <w:t xml:space="preserve">po vseh podprogramih, določenih v pravilniku, ki določa podprograme, ki se upoštevajo za </w:t>
      </w:r>
      <w:r>
        <w:rPr>
          <w:rFonts w:eastAsia="Calibri" w:cs="Arial"/>
          <w:szCs w:val="20"/>
          <w:lang w:eastAsia="sl-SI"/>
        </w:rPr>
        <w:t>izračun povprečnih stroškov za financiranje občinskih nalog</w:t>
      </w:r>
      <w:r w:rsidRPr="00B859C6">
        <w:rPr>
          <w:rFonts w:eastAsia="Calibri" w:cs="Arial"/>
          <w:szCs w:val="20"/>
          <w:lang w:eastAsia="sl-SI"/>
        </w:rPr>
        <w:t xml:space="preserve"> (j);</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O,</w:t>
      </w:r>
      <w:r w:rsidRPr="00B859C6">
        <w:rPr>
          <w:rFonts w:eastAsia="Calibri" w:cs="Arial"/>
          <w:szCs w:val="20"/>
          <w:lang w:eastAsia="sl-SI"/>
        </w:rPr>
        <w:tab/>
        <w:t>število prebivalcev v državi po podatkih Statističnega urada Republike Slovenije na dan 1. januarja leta, za katerega se računa povprečna vrednost tekočih stroškov na prebivalca.</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4</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stroškov MO Ljubljana)</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stroškov MO Ljubljana (TS</w:t>
      </w:r>
      <w:r w:rsidRPr="00B859C6">
        <w:rPr>
          <w:rFonts w:cs="Arial"/>
          <w:szCs w:val="20"/>
          <w:vertAlign w:val="subscript"/>
          <w:lang w:eastAsia="sl-SI"/>
        </w:rPr>
        <w:t>MOL</w:t>
      </w:r>
      <w:r w:rsidRPr="00B859C6">
        <w:rPr>
          <w:rFonts w:cs="Arial"/>
          <w:szCs w:val="20"/>
          <w:lang w:eastAsia="sl-SI"/>
        </w:rPr>
        <w:t>) za obdobje od leta (t-5) do leta (t-2) se izračuna po formuli:</w:t>
      </w:r>
    </w:p>
    <w:p w:rsidR="00A07C70" w:rsidRPr="00B859C6" w:rsidRDefault="00A07C70" w:rsidP="00A07C70">
      <w:pPr>
        <w:spacing w:before="400" w:after="400"/>
        <w:jc w:val="center"/>
        <w:rPr>
          <w:rFonts w:eastAsia="Calibri" w:cs="Arial"/>
          <w:szCs w:val="20"/>
        </w:rPr>
      </w:pPr>
      <w:r w:rsidRPr="00B859C6">
        <w:rPr>
          <w:rFonts w:eastAsia="Calibri" w:cs="Arial"/>
          <w:szCs w:val="20"/>
        </w:rPr>
        <w:t>TS</w:t>
      </w:r>
      <w:r w:rsidRPr="00B859C6">
        <w:rPr>
          <w:rFonts w:eastAsia="Calibri" w:cs="Arial"/>
          <w:szCs w:val="20"/>
          <w:vertAlign w:val="subscript"/>
        </w:rPr>
        <w:t>MOL</w:t>
      </w:r>
      <w:r w:rsidRPr="00B859C6">
        <w:rPr>
          <w:rFonts w:eastAsia="Calibri" w:cs="Arial"/>
          <w:szCs w:val="20"/>
        </w:rPr>
        <w:t xml:space="preserve"> = ¼Σ(</w:t>
      </w:r>
      <w:proofErr w:type="spellStart"/>
      <w:r w:rsidRPr="00B859C6">
        <w:rPr>
          <w:rFonts w:eastAsia="Calibri" w:cs="Arial"/>
          <w:szCs w:val="20"/>
        </w:rPr>
        <w:t>TS</w:t>
      </w:r>
      <w:r w:rsidRPr="00B859C6">
        <w:rPr>
          <w:rFonts w:eastAsia="Calibri" w:cs="Arial"/>
          <w:szCs w:val="20"/>
          <w:vertAlign w:val="subscript"/>
        </w:rPr>
        <w:t>MOLa</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w:t>
      </w:r>
      <w:r w:rsidRPr="00B859C6">
        <w:rPr>
          <w:rFonts w:eastAsia="Calibri" w:cs="Arial"/>
          <w:szCs w:val="20"/>
          <w:vertAlign w:val="subscript"/>
          <w:lang w:eastAsia="sl-SI"/>
        </w:rPr>
        <w:t>MOLa</w:t>
      </w:r>
      <w:proofErr w:type="spellEnd"/>
      <w:r w:rsidRPr="00B859C6">
        <w:rPr>
          <w:rFonts w:eastAsia="Calibri" w:cs="Arial"/>
          <w:szCs w:val="20"/>
          <w:lang w:eastAsia="sl-SI"/>
        </w:rPr>
        <w:t>,</w:t>
      </w:r>
      <w:r w:rsidRPr="00B859C6">
        <w:rPr>
          <w:rFonts w:eastAsia="Calibri" w:cs="Arial"/>
          <w:szCs w:val="20"/>
          <w:lang w:eastAsia="sl-SI"/>
        </w:rPr>
        <w:tab/>
        <w:t>povprečna vrednost tekočih stroškov MO Ljubljana na prebivalca za posamezno leto (a) znotraj obdobja od (t</w:t>
      </w:r>
      <w:r w:rsidRPr="00B859C6">
        <w:rPr>
          <w:rFonts w:ascii="MS Gothic" w:eastAsia="MS Gothic" w:hAnsi="MS Gothic" w:cs="MS Gothic" w:hint="eastAsia"/>
          <w:szCs w:val="20"/>
          <w:lang w:eastAsia="sl-SI"/>
        </w:rPr>
        <w:t>‑</w:t>
      </w:r>
      <w:r w:rsidRPr="00B859C6">
        <w:rPr>
          <w:rFonts w:eastAsia="Calibri" w:cs="Arial"/>
          <w:szCs w:val="20"/>
          <w:lang w:eastAsia="sl-SI"/>
        </w:rPr>
        <w:t>5) do (t</w:t>
      </w:r>
      <w:r w:rsidRPr="00B859C6">
        <w:rPr>
          <w:rFonts w:ascii="MS Gothic" w:eastAsia="MS Gothic" w:hAnsi="MS Gothic" w:cs="MS Gothic" w:hint="eastAsia"/>
          <w:szCs w:val="20"/>
          <w:lang w:eastAsia="sl-SI"/>
        </w:rPr>
        <w:t>‑</w:t>
      </w:r>
      <w:r w:rsidRPr="00B859C6">
        <w:rPr>
          <w:rFonts w:eastAsia="Calibri" w:cs="Arial"/>
          <w:szCs w:val="20"/>
          <w:lang w:eastAsia="sl-SI"/>
        </w:rPr>
        <w:t>2) in se izračuna po formuli</w:t>
      </w:r>
    </w:p>
    <w:p w:rsidR="00A07C70" w:rsidRPr="00B859C6" w:rsidRDefault="00A07C70" w:rsidP="00A07C70">
      <w:pPr>
        <w:spacing w:before="400" w:after="400"/>
        <w:jc w:val="center"/>
        <w:rPr>
          <w:rFonts w:eastAsia="Calibri" w:cs="Arial"/>
          <w:szCs w:val="20"/>
        </w:rPr>
      </w:pPr>
      <w:proofErr w:type="spellStart"/>
      <w:r w:rsidRPr="00B859C6">
        <w:rPr>
          <w:rFonts w:eastAsia="Calibri" w:cs="Arial"/>
          <w:szCs w:val="20"/>
        </w:rPr>
        <w:t>TS</w:t>
      </w:r>
      <w:r w:rsidRPr="00B859C6">
        <w:rPr>
          <w:rFonts w:eastAsia="Calibri" w:cs="Arial"/>
          <w:szCs w:val="20"/>
          <w:vertAlign w:val="subscript"/>
        </w:rPr>
        <w:t>MOLa</w:t>
      </w:r>
      <w:proofErr w:type="spellEnd"/>
      <w:r w:rsidR="005B2ADE">
        <w:rPr>
          <w:rFonts w:eastAsia="Calibri" w:cs="Arial"/>
          <w:szCs w:val="20"/>
          <w:vertAlign w:val="subscript"/>
        </w:rPr>
        <w:t xml:space="preserve"> </w:t>
      </w:r>
      <w:r w:rsidRPr="00B859C6">
        <w:rPr>
          <w:rFonts w:eastAsia="Calibri" w:cs="Arial"/>
          <w:szCs w:val="20"/>
        </w:rPr>
        <w:t>=</w:t>
      </w:r>
      <w:r w:rsidR="005B2ADE">
        <w:rPr>
          <w:rFonts w:eastAsia="Calibri" w:cs="Arial"/>
          <w:szCs w:val="20"/>
        </w:rPr>
        <w:t xml:space="preserve"> </w:t>
      </w:r>
      <w:r w:rsidRPr="00B859C6">
        <w:rPr>
          <w:rFonts w:eastAsia="Calibri" w:cs="Arial"/>
          <w:szCs w:val="20"/>
        </w:rPr>
        <w:t>(</w:t>
      </w:r>
      <w:proofErr w:type="spellStart"/>
      <w:r w:rsidRPr="00B859C6">
        <w:rPr>
          <w:rFonts w:eastAsia="Calibri" w:cs="Arial"/>
          <w:szCs w:val="20"/>
        </w:rPr>
        <w:t>ΣΣTS</w:t>
      </w:r>
      <w:r w:rsidRPr="00B859C6">
        <w:rPr>
          <w:rFonts w:eastAsia="Calibri" w:cs="Arial"/>
          <w:szCs w:val="20"/>
          <w:vertAlign w:val="subscript"/>
        </w:rPr>
        <w:t>MOLij</w:t>
      </w:r>
      <w:proofErr w:type="spellEnd"/>
      <w:r w:rsidRPr="00B859C6">
        <w:rPr>
          <w:rFonts w:eastAsia="Calibri" w:cs="Arial"/>
          <w:szCs w:val="20"/>
        </w:rPr>
        <w:t>)/</w:t>
      </w:r>
      <w:proofErr w:type="spellStart"/>
      <w:r w:rsidRPr="00B859C6">
        <w:rPr>
          <w:rFonts w:eastAsia="Calibri" w:cs="Arial"/>
          <w:szCs w:val="20"/>
        </w:rPr>
        <w:t>O</w:t>
      </w:r>
      <w:r w:rsidRPr="00B859C6">
        <w:rPr>
          <w:rFonts w:eastAsia="Calibri" w:cs="Arial"/>
          <w:szCs w:val="20"/>
          <w:vertAlign w:val="subscript"/>
        </w:rPr>
        <w:t>i</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ΣΣTS</w:t>
      </w:r>
      <w:r w:rsidRPr="00B859C6">
        <w:rPr>
          <w:rFonts w:eastAsia="Calibri" w:cs="Arial"/>
          <w:szCs w:val="20"/>
          <w:vertAlign w:val="subscript"/>
          <w:lang w:eastAsia="sl-SI"/>
        </w:rPr>
        <w:t>MOLij</w:t>
      </w:r>
      <w:proofErr w:type="spellEnd"/>
      <w:r w:rsidRPr="00B859C6">
        <w:rPr>
          <w:rFonts w:eastAsia="Calibri" w:cs="Arial"/>
          <w:szCs w:val="20"/>
          <w:lang w:eastAsia="sl-SI"/>
        </w:rPr>
        <w:t>,</w:t>
      </w:r>
      <w:r w:rsidRPr="00B859C6">
        <w:rPr>
          <w:rFonts w:eastAsia="Calibri" w:cs="Arial"/>
          <w:szCs w:val="20"/>
          <w:lang w:eastAsia="sl-SI"/>
        </w:rPr>
        <w:tab/>
        <w:t xml:space="preserve">vsota tekočih stroškov MO Ljubljana (i) za </w:t>
      </w:r>
      <w:r>
        <w:rPr>
          <w:rFonts w:eastAsia="Calibri" w:cs="Arial"/>
          <w:szCs w:val="20"/>
          <w:lang w:eastAsia="sl-SI"/>
        </w:rPr>
        <w:t xml:space="preserve">financiranje občinskih nalog, določenih v skladu z zakonom, ki ureja financiranje občin, in </w:t>
      </w:r>
      <w:r w:rsidRPr="00B859C6">
        <w:rPr>
          <w:rFonts w:eastAsia="Calibri" w:cs="Arial"/>
          <w:szCs w:val="20"/>
          <w:lang w:eastAsia="sl-SI"/>
        </w:rPr>
        <w:t xml:space="preserve">po vseh podprogramih, določenih v pravilniku, ki določa podprograme, ki se upoštevajo za </w:t>
      </w:r>
      <w:r>
        <w:rPr>
          <w:rFonts w:eastAsia="Calibri" w:cs="Arial"/>
          <w:szCs w:val="20"/>
          <w:lang w:eastAsia="sl-SI"/>
        </w:rPr>
        <w:t xml:space="preserve"> izračun povprečnih stroškov za financiranje občinskih nalog</w:t>
      </w:r>
      <w:r w:rsidRPr="00B859C6">
        <w:rPr>
          <w:rFonts w:eastAsia="Calibri" w:cs="Arial"/>
          <w:szCs w:val="20"/>
          <w:lang w:eastAsia="sl-SI"/>
        </w:rPr>
        <w:t xml:space="preserve"> (j);</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O</w:t>
      </w:r>
      <w:r w:rsidRPr="00B859C6">
        <w:rPr>
          <w:rFonts w:eastAsia="Calibri" w:cs="Arial"/>
          <w:szCs w:val="20"/>
          <w:vertAlign w:val="subscript"/>
          <w:lang w:eastAsia="sl-SI"/>
        </w:rPr>
        <w:t>i</w:t>
      </w:r>
      <w:proofErr w:type="spellEnd"/>
      <w:r w:rsidRPr="00B859C6">
        <w:rPr>
          <w:rFonts w:eastAsia="Calibri" w:cs="Arial"/>
          <w:szCs w:val="20"/>
          <w:lang w:eastAsia="sl-SI"/>
        </w:rPr>
        <w:t>,</w:t>
      </w:r>
      <w:r w:rsidRPr="00B859C6">
        <w:rPr>
          <w:rFonts w:eastAsia="Calibri" w:cs="Arial"/>
          <w:szCs w:val="20"/>
          <w:lang w:eastAsia="sl-SI"/>
        </w:rPr>
        <w:tab/>
        <w:t>število prebivalcev MO Ljubljana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katerega se računa povprečna vrednost tekočih stroškov na prebivalca.</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5</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stroškov mestnih občin)</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stroškov mestnih občin (TS</w:t>
      </w:r>
      <w:r w:rsidRPr="00B859C6">
        <w:rPr>
          <w:rFonts w:cs="Arial"/>
          <w:szCs w:val="20"/>
          <w:vertAlign w:val="subscript"/>
          <w:lang w:eastAsia="sl-SI"/>
        </w:rPr>
        <w:t>MO</w:t>
      </w:r>
      <w:r w:rsidRPr="00B859C6">
        <w:rPr>
          <w:rFonts w:cs="Arial"/>
          <w:szCs w:val="20"/>
          <w:lang w:eastAsia="sl-SI"/>
        </w:rPr>
        <w:t>) za obdobje od leta (t-5) do leta (t-2) se izračuna po formuli:</w:t>
      </w:r>
    </w:p>
    <w:p w:rsidR="00A07C70" w:rsidRPr="00B859C6" w:rsidRDefault="00A07C70" w:rsidP="00A07C70">
      <w:pPr>
        <w:spacing w:before="400" w:after="400"/>
        <w:jc w:val="center"/>
        <w:rPr>
          <w:rFonts w:eastAsia="Calibri" w:cs="Arial"/>
          <w:szCs w:val="20"/>
        </w:rPr>
      </w:pPr>
      <w:r w:rsidRPr="00B859C6">
        <w:rPr>
          <w:rFonts w:eastAsia="Calibri" w:cs="Arial"/>
          <w:szCs w:val="20"/>
        </w:rPr>
        <w:t>TS</w:t>
      </w:r>
      <w:r w:rsidRPr="00B859C6">
        <w:rPr>
          <w:rFonts w:eastAsia="Calibri" w:cs="Arial"/>
          <w:szCs w:val="20"/>
          <w:vertAlign w:val="subscript"/>
        </w:rPr>
        <w:t>MO</w:t>
      </w:r>
      <w:r w:rsidRPr="00B859C6">
        <w:rPr>
          <w:rFonts w:eastAsia="Calibri" w:cs="Arial"/>
          <w:szCs w:val="20"/>
        </w:rPr>
        <w:t xml:space="preserve"> = ¼Σ(</w:t>
      </w:r>
      <w:proofErr w:type="spellStart"/>
      <w:r w:rsidRPr="00B859C6">
        <w:rPr>
          <w:rFonts w:eastAsia="Calibri" w:cs="Arial"/>
          <w:szCs w:val="20"/>
        </w:rPr>
        <w:t>TS</w:t>
      </w:r>
      <w:r w:rsidRPr="00B859C6">
        <w:rPr>
          <w:rFonts w:eastAsia="Calibri" w:cs="Arial"/>
          <w:szCs w:val="20"/>
          <w:vertAlign w:val="subscript"/>
        </w:rPr>
        <w:t>MOa</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w:t>
      </w:r>
      <w:r w:rsidRPr="00B859C6">
        <w:rPr>
          <w:rFonts w:eastAsia="Calibri" w:cs="Arial"/>
          <w:szCs w:val="20"/>
          <w:vertAlign w:val="subscript"/>
          <w:lang w:eastAsia="sl-SI"/>
        </w:rPr>
        <w:t>MOa</w:t>
      </w:r>
      <w:proofErr w:type="spellEnd"/>
      <w:r w:rsidRPr="00B859C6">
        <w:rPr>
          <w:rFonts w:eastAsia="Calibri" w:cs="Arial"/>
          <w:szCs w:val="20"/>
          <w:lang w:eastAsia="sl-SI"/>
        </w:rPr>
        <w:t>,</w:t>
      </w:r>
      <w:r w:rsidRPr="00B859C6">
        <w:rPr>
          <w:rFonts w:eastAsia="Calibri" w:cs="Arial"/>
          <w:szCs w:val="20"/>
          <w:lang w:eastAsia="sl-SI"/>
        </w:rPr>
        <w:tab/>
        <w:t>povprečna vrednost tekočih stroškov mestnih občin na prebivalca za posamezno leto (a) znotraj obdobja od (t</w:t>
      </w:r>
      <w:r w:rsidRPr="00B859C6">
        <w:rPr>
          <w:rFonts w:eastAsia="MS Mincho" w:hAnsi="MS Mincho" w:cs="Arial"/>
          <w:szCs w:val="20"/>
          <w:lang w:eastAsia="sl-SI"/>
        </w:rPr>
        <w:t>‑</w:t>
      </w:r>
      <w:r>
        <w:rPr>
          <w:rFonts w:eastAsia="MS Mincho" w:hAnsi="MS Mincho" w:cs="Arial"/>
          <w:szCs w:val="20"/>
          <w:lang w:eastAsia="sl-SI"/>
        </w:rPr>
        <w:t>5</w:t>
      </w:r>
      <w:r w:rsidRPr="00B859C6">
        <w:rPr>
          <w:rFonts w:eastAsia="Calibri" w:cs="Arial"/>
          <w:szCs w:val="20"/>
          <w:lang w:eastAsia="sl-SI"/>
        </w:rPr>
        <w:t>) do (t</w:t>
      </w:r>
      <w:r w:rsidRPr="00B859C6">
        <w:rPr>
          <w:rFonts w:eastAsia="MS Mincho" w:hAnsi="MS Mincho" w:cs="Arial"/>
          <w:szCs w:val="20"/>
          <w:lang w:eastAsia="sl-SI"/>
        </w:rPr>
        <w:t>‑</w:t>
      </w:r>
      <w:r>
        <w:rPr>
          <w:rFonts w:eastAsia="MS Mincho" w:hAnsi="MS Mincho" w:cs="Arial"/>
          <w:szCs w:val="20"/>
          <w:lang w:eastAsia="sl-SI"/>
        </w:rPr>
        <w:t>2</w:t>
      </w:r>
      <w:r w:rsidRPr="00B859C6">
        <w:rPr>
          <w:rFonts w:eastAsia="Calibri" w:cs="Arial"/>
          <w:szCs w:val="20"/>
          <w:lang w:eastAsia="sl-SI"/>
        </w:rPr>
        <w:t>) in se izračuna po formuli</w:t>
      </w:r>
    </w:p>
    <w:p w:rsidR="00A07C70" w:rsidRPr="00B859C6" w:rsidRDefault="00A07C70" w:rsidP="00A07C70">
      <w:pPr>
        <w:spacing w:before="400" w:after="400"/>
        <w:jc w:val="center"/>
        <w:rPr>
          <w:rFonts w:eastAsia="Calibri" w:cs="Arial"/>
          <w:szCs w:val="20"/>
        </w:rPr>
      </w:pPr>
      <w:proofErr w:type="spellStart"/>
      <w:r w:rsidRPr="00B859C6">
        <w:rPr>
          <w:rFonts w:eastAsia="Calibri" w:cs="Arial"/>
          <w:szCs w:val="20"/>
        </w:rPr>
        <w:t>TS</w:t>
      </w:r>
      <w:r w:rsidRPr="00B859C6">
        <w:rPr>
          <w:rFonts w:eastAsia="Calibri" w:cs="Arial"/>
          <w:szCs w:val="20"/>
          <w:vertAlign w:val="subscript"/>
        </w:rPr>
        <w:t>MOa</w:t>
      </w:r>
      <w:proofErr w:type="spellEnd"/>
      <w:r w:rsidR="005B2ADE">
        <w:rPr>
          <w:rFonts w:eastAsia="Calibri" w:cs="Arial"/>
          <w:szCs w:val="20"/>
          <w:vertAlign w:val="subscript"/>
        </w:rPr>
        <w:t xml:space="preserve"> </w:t>
      </w:r>
      <w:r w:rsidRPr="00B859C6">
        <w:rPr>
          <w:rFonts w:eastAsia="Calibri" w:cs="Arial"/>
          <w:szCs w:val="20"/>
        </w:rPr>
        <w:t>=</w:t>
      </w:r>
      <w:r w:rsidR="005B2ADE">
        <w:rPr>
          <w:rFonts w:eastAsia="Calibri" w:cs="Arial"/>
          <w:szCs w:val="20"/>
        </w:rPr>
        <w:t xml:space="preserve"> </w:t>
      </w:r>
      <w:r w:rsidRPr="00B859C6">
        <w:rPr>
          <w:rFonts w:eastAsia="Calibri" w:cs="Arial"/>
          <w:szCs w:val="20"/>
        </w:rPr>
        <w:t>(</w:t>
      </w:r>
      <w:proofErr w:type="spellStart"/>
      <w:r w:rsidRPr="00B859C6">
        <w:rPr>
          <w:rFonts w:eastAsia="Calibri" w:cs="Arial"/>
          <w:szCs w:val="20"/>
        </w:rPr>
        <w:t>ΣΣTS</w:t>
      </w:r>
      <w:r w:rsidRPr="00B859C6">
        <w:rPr>
          <w:rFonts w:eastAsia="Calibri" w:cs="Arial"/>
          <w:szCs w:val="20"/>
          <w:vertAlign w:val="subscript"/>
        </w:rPr>
        <w:t>MOij</w:t>
      </w:r>
      <w:proofErr w:type="spellEnd"/>
      <w:r w:rsidRPr="00B859C6">
        <w:rPr>
          <w:rFonts w:eastAsia="Calibri" w:cs="Arial"/>
          <w:szCs w:val="20"/>
        </w:rPr>
        <w:t>)/O</w:t>
      </w:r>
      <w:r w:rsidRPr="00B859C6">
        <w:rPr>
          <w:rFonts w:eastAsia="Calibri" w:cs="Arial"/>
          <w:szCs w:val="20"/>
          <w:vertAlign w:val="subscript"/>
        </w:rPr>
        <w:t>mi</w:t>
      </w:r>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ΣΣTS</w:t>
      </w:r>
      <w:r w:rsidRPr="00B859C6">
        <w:rPr>
          <w:rFonts w:eastAsia="Calibri" w:cs="Arial"/>
          <w:szCs w:val="20"/>
          <w:vertAlign w:val="subscript"/>
          <w:lang w:eastAsia="sl-SI"/>
        </w:rPr>
        <w:t>MOij</w:t>
      </w:r>
      <w:proofErr w:type="spellEnd"/>
      <w:r w:rsidRPr="00B859C6">
        <w:rPr>
          <w:rFonts w:eastAsia="Calibri" w:cs="Arial"/>
          <w:szCs w:val="20"/>
          <w:lang w:eastAsia="sl-SI"/>
        </w:rPr>
        <w:t>,</w:t>
      </w:r>
      <w:r w:rsidRPr="00B859C6">
        <w:rPr>
          <w:rFonts w:eastAsia="Calibri" w:cs="Arial"/>
          <w:szCs w:val="20"/>
          <w:lang w:eastAsia="sl-SI"/>
        </w:rPr>
        <w:tab/>
        <w:t xml:space="preserve">vsota tekočih stroškov mestnih občin (i) za </w:t>
      </w:r>
      <w:r>
        <w:rPr>
          <w:rFonts w:eastAsia="Calibri" w:cs="Arial"/>
          <w:szCs w:val="20"/>
          <w:lang w:eastAsia="sl-SI"/>
        </w:rPr>
        <w:t>financiranje občinskih nalog, določenih v skladu z zakonom, ki ureja financiranje občin, in</w:t>
      </w:r>
      <w:r w:rsidRPr="00B859C6">
        <w:rPr>
          <w:rFonts w:eastAsia="Calibri" w:cs="Arial"/>
          <w:szCs w:val="20"/>
          <w:lang w:eastAsia="sl-SI"/>
        </w:rPr>
        <w:t xml:space="preserve"> po vseh podprogramih, določenih v pravilniku, ki določa podprograme, ki se upoštevajo za </w:t>
      </w:r>
      <w:r>
        <w:rPr>
          <w:rFonts w:eastAsia="Calibri" w:cs="Arial"/>
          <w:szCs w:val="20"/>
          <w:lang w:eastAsia="sl-SI"/>
        </w:rPr>
        <w:t xml:space="preserve"> izračun povprečnih stroškov za financiranje občinskih nalog</w:t>
      </w:r>
      <w:r w:rsidRPr="00B859C6">
        <w:rPr>
          <w:rFonts w:eastAsia="Calibri" w:cs="Arial"/>
          <w:szCs w:val="20"/>
          <w:lang w:eastAsia="sl-SI"/>
        </w:rPr>
        <w:t xml:space="preserve"> (j);</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lastRenderedPageBreak/>
        <w:t>O</w:t>
      </w:r>
      <w:r w:rsidRPr="00B859C6">
        <w:rPr>
          <w:rFonts w:eastAsia="Calibri" w:cs="Arial"/>
          <w:szCs w:val="20"/>
          <w:vertAlign w:val="subscript"/>
          <w:lang w:eastAsia="sl-SI"/>
        </w:rPr>
        <w:t>mi</w:t>
      </w:r>
      <w:r w:rsidRPr="00B859C6">
        <w:rPr>
          <w:rFonts w:eastAsia="Calibri" w:cs="Arial"/>
          <w:szCs w:val="20"/>
          <w:lang w:eastAsia="sl-SI"/>
        </w:rPr>
        <w:t>,</w:t>
      </w:r>
      <w:r w:rsidRPr="00B859C6">
        <w:rPr>
          <w:rFonts w:eastAsia="Calibri" w:cs="Arial"/>
          <w:szCs w:val="20"/>
          <w:lang w:eastAsia="sl-SI"/>
        </w:rPr>
        <w:tab/>
        <w:t>število prebivalcev mestnih občin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katerega se računa povprečna vrednost tekočih stroškov na prebivalca.</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6</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prihodkov MO Ljubljana)</w:t>
      </w:r>
    </w:p>
    <w:p w:rsidR="00A07C70" w:rsidRPr="00B859C6" w:rsidRDefault="00A07C70" w:rsidP="00A07C70">
      <w:pPr>
        <w:overflowPunct w:val="0"/>
        <w:autoSpaceDE w:val="0"/>
        <w:autoSpaceDN w:val="0"/>
        <w:adjustRightInd w:val="0"/>
        <w:spacing w:before="240" w:line="240" w:lineRule="auto"/>
        <w:ind w:firstLine="1021"/>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prihodkov MO Ljubljana (TP</w:t>
      </w:r>
      <w:r w:rsidRPr="00B859C6">
        <w:rPr>
          <w:rFonts w:cs="Arial"/>
          <w:szCs w:val="20"/>
          <w:vertAlign w:val="subscript"/>
          <w:lang w:eastAsia="sl-SI"/>
        </w:rPr>
        <w:t>MOL</w:t>
      </w:r>
      <w:r w:rsidRPr="00B859C6">
        <w:rPr>
          <w:rFonts w:cs="Arial"/>
          <w:szCs w:val="20"/>
          <w:lang w:eastAsia="sl-SI"/>
        </w:rPr>
        <w:t>) za obdobje od leta (t-5) do leta (t-2) se izračuna po formuli:</w:t>
      </w:r>
    </w:p>
    <w:p w:rsidR="00A07C70" w:rsidRPr="00B859C6" w:rsidRDefault="00A07C70" w:rsidP="00A07C70">
      <w:pPr>
        <w:spacing w:before="400" w:after="400"/>
        <w:jc w:val="center"/>
        <w:rPr>
          <w:rFonts w:eastAsia="Calibri" w:cs="Arial"/>
          <w:szCs w:val="20"/>
        </w:rPr>
      </w:pPr>
      <w:r w:rsidRPr="00B859C6">
        <w:rPr>
          <w:rFonts w:eastAsia="Calibri" w:cs="Arial"/>
          <w:szCs w:val="20"/>
        </w:rPr>
        <w:t>TP</w:t>
      </w:r>
      <w:r w:rsidRPr="00B859C6">
        <w:rPr>
          <w:rFonts w:eastAsia="Calibri" w:cs="Arial"/>
          <w:szCs w:val="20"/>
          <w:vertAlign w:val="subscript"/>
        </w:rPr>
        <w:t>MOL</w:t>
      </w:r>
      <w:r w:rsidRPr="00B859C6">
        <w:rPr>
          <w:rFonts w:eastAsia="Calibri" w:cs="Arial"/>
          <w:szCs w:val="20"/>
        </w:rPr>
        <w:t xml:space="preserve"> = ¼Σ(</w:t>
      </w:r>
      <w:proofErr w:type="spellStart"/>
      <w:r w:rsidRPr="00B859C6">
        <w:rPr>
          <w:rFonts w:eastAsia="Calibri" w:cs="Arial"/>
          <w:szCs w:val="20"/>
        </w:rPr>
        <w:t>TP</w:t>
      </w:r>
      <w:r w:rsidRPr="00B859C6">
        <w:rPr>
          <w:rFonts w:eastAsia="Calibri" w:cs="Arial"/>
          <w:szCs w:val="20"/>
          <w:vertAlign w:val="subscript"/>
        </w:rPr>
        <w:t>MOLa</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TP</w:t>
      </w:r>
      <w:r w:rsidRPr="00B859C6">
        <w:rPr>
          <w:rFonts w:eastAsia="Calibri" w:cs="Arial"/>
          <w:szCs w:val="20"/>
          <w:vertAlign w:val="subscript"/>
          <w:lang w:eastAsia="sl-SI"/>
        </w:rPr>
        <w:t>MOLa</w:t>
      </w:r>
      <w:proofErr w:type="spellEnd"/>
      <w:r w:rsidRPr="00B859C6">
        <w:rPr>
          <w:rFonts w:eastAsia="Calibri" w:cs="Arial"/>
          <w:szCs w:val="20"/>
          <w:lang w:eastAsia="sl-SI"/>
        </w:rPr>
        <w:t>,</w:t>
      </w:r>
      <w:r w:rsidRPr="00B859C6">
        <w:rPr>
          <w:rFonts w:eastAsia="Calibri" w:cs="Arial"/>
          <w:szCs w:val="20"/>
          <w:lang w:eastAsia="sl-SI"/>
        </w:rPr>
        <w:tab/>
        <w:t>povprečna vrednost tekočih prihodkov MO Ljubljana na prebivalca za posamezno leto (a) znotraj obdobja od (t</w:t>
      </w:r>
      <w:r w:rsidRPr="00B859C6">
        <w:rPr>
          <w:rFonts w:eastAsia="MS Mincho" w:hAnsi="MS Mincho" w:cs="Arial"/>
          <w:szCs w:val="20"/>
          <w:lang w:eastAsia="sl-SI"/>
        </w:rPr>
        <w:t>‑</w:t>
      </w:r>
      <w:r w:rsidRPr="00B859C6">
        <w:rPr>
          <w:rFonts w:eastAsia="Calibri" w:cs="Arial"/>
          <w:szCs w:val="20"/>
          <w:lang w:eastAsia="sl-SI"/>
        </w:rPr>
        <w:t>5) do (t</w:t>
      </w:r>
      <w:r w:rsidRPr="00B859C6">
        <w:rPr>
          <w:rFonts w:eastAsia="MS Mincho" w:hAnsi="MS Mincho" w:cs="Arial"/>
          <w:szCs w:val="20"/>
          <w:lang w:eastAsia="sl-SI"/>
        </w:rPr>
        <w:t>‑</w:t>
      </w:r>
      <w:r w:rsidRPr="00B859C6">
        <w:rPr>
          <w:rFonts w:eastAsia="Calibri" w:cs="Arial"/>
          <w:szCs w:val="20"/>
          <w:lang w:eastAsia="sl-SI"/>
        </w:rPr>
        <w:t>2) in se izračuna po formuli</w:t>
      </w:r>
    </w:p>
    <w:p w:rsidR="00A07C70" w:rsidRPr="00B859C6" w:rsidRDefault="00A07C70" w:rsidP="00A07C70">
      <w:pPr>
        <w:spacing w:before="400" w:after="400"/>
        <w:jc w:val="center"/>
        <w:rPr>
          <w:rFonts w:eastAsia="Calibri" w:cs="Arial"/>
          <w:szCs w:val="20"/>
        </w:rPr>
      </w:pPr>
      <w:proofErr w:type="spellStart"/>
      <w:r w:rsidRPr="00B859C6">
        <w:rPr>
          <w:rFonts w:eastAsia="Calibri" w:cs="Arial"/>
          <w:szCs w:val="20"/>
        </w:rPr>
        <w:t>TP</w:t>
      </w:r>
      <w:r w:rsidRPr="00B859C6">
        <w:rPr>
          <w:rFonts w:eastAsia="Calibri" w:cs="Arial"/>
          <w:szCs w:val="20"/>
          <w:vertAlign w:val="subscript"/>
        </w:rPr>
        <w:t>MOLa</w:t>
      </w:r>
      <w:proofErr w:type="spellEnd"/>
      <w:r w:rsidR="005B2ADE">
        <w:rPr>
          <w:rFonts w:eastAsia="Calibri" w:cs="Arial"/>
          <w:szCs w:val="20"/>
          <w:vertAlign w:val="subscript"/>
        </w:rPr>
        <w:t xml:space="preserve"> </w:t>
      </w:r>
      <w:r w:rsidRPr="00B859C6">
        <w:rPr>
          <w:rFonts w:eastAsia="Calibri" w:cs="Arial"/>
          <w:szCs w:val="20"/>
        </w:rPr>
        <w:t>=</w:t>
      </w:r>
      <w:r w:rsidR="005B2ADE">
        <w:rPr>
          <w:rFonts w:eastAsia="Calibri" w:cs="Arial"/>
          <w:szCs w:val="20"/>
        </w:rPr>
        <w:t xml:space="preserve"> </w:t>
      </w:r>
      <w:r w:rsidRPr="00B859C6">
        <w:rPr>
          <w:rFonts w:eastAsia="Calibri" w:cs="Arial"/>
          <w:szCs w:val="20"/>
        </w:rPr>
        <w:t>(</w:t>
      </w:r>
      <w:proofErr w:type="spellStart"/>
      <w:r w:rsidRPr="00B859C6">
        <w:rPr>
          <w:rFonts w:eastAsia="Calibri" w:cs="Arial"/>
          <w:szCs w:val="20"/>
        </w:rPr>
        <w:t>ΣΣTP</w:t>
      </w:r>
      <w:r w:rsidRPr="00B859C6">
        <w:rPr>
          <w:rFonts w:eastAsia="Calibri" w:cs="Arial"/>
          <w:szCs w:val="20"/>
          <w:vertAlign w:val="subscript"/>
        </w:rPr>
        <w:t>MOLi</w:t>
      </w:r>
      <w:proofErr w:type="spellEnd"/>
      <w:r w:rsidRPr="00B859C6">
        <w:rPr>
          <w:rFonts w:eastAsia="Calibri" w:cs="Arial"/>
          <w:szCs w:val="20"/>
        </w:rPr>
        <w:t>)/</w:t>
      </w:r>
      <w:proofErr w:type="spellStart"/>
      <w:r w:rsidRPr="00B859C6">
        <w:rPr>
          <w:rFonts w:eastAsia="Calibri" w:cs="Arial"/>
          <w:szCs w:val="20"/>
        </w:rPr>
        <w:t>O</w:t>
      </w:r>
      <w:r w:rsidRPr="00B859C6">
        <w:rPr>
          <w:rFonts w:eastAsia="Calibri" w:cs="Arial"/>
          <w:szCs w:val="20"/>
          <w:vertAlign w:val="subscript"/>
        </w:rPr>
        <w:t>i</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ΣΣTP</w:t>
      </w:r>
      <w:r w:rsidRPr="00B859C6">
        <w:rPr>
          <w:rFonts w:eastAsia="Calibri" w:cs="Arial"/>
          <w:szCs w:val="20"/>
          <w:vertAlign w:val="subscript"/>
          <w:lang w:eastAsia="sl-SI"/>
        </w:rPr>
        <w:t>MOLi</w:t>
      </w:r>
      <w:proofErr w:type="spellEnd"/>
      <w:r w:rsidRPr="00B859C6">
        <w:rPr>
          <w:rFonts w:eastAsia="Calibri" w:cs="Arial"/>
          <w:szCs w:val="20"/>
          <w:lang w:eastAsia="sl-SI"/>
        </w:rPr>
        <w:t>,</w:t>
      </w:r>
      <w:r w:rsidRPr="00B859C6">
        <w:rPr>
          <w:rFonts w:eastAsia="Calibri" w:cs="Arial"/>
          <w:szCs w:val="20"/>
          <w:lang w:eastAsia="sl-SI"/>
        </w:rPr>
        <w:tab/>
        <w:t>vsota tekočih prihodkov MO Ljubljana (i) za izvajanje z zakonom določenih obveznih nalog občine;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O</w:t>
      </w:r>
      <w:r w:rsidRPr="00B859C6">
        <w:rPr>
          <w:rFonts w:eastAsia="Calibri" w:cs="Arial"/>
          <w:szCs w:val="20"/>
          <w:vertAlign w:val="subscript"/>
          <w:lang w:eastAsia="sl-SI"/>
        </w:rPr>
        <w:t>i</w:t>
      </w:r>
      <w:proofErr w:type="spellEnd"/>
      <w:r w:rsidRPr="00B859C6">
        <w:rPr>
          <w:rFonts w:eastAsia="Calibri" w:cs="Arial"/>
          <w:szCs w:val="20"/>
          <w:lang w:eastAsia="sl-SI"/>
        </w:rPr>
        <w:t>,</w:t>
      </w:r>
      <w:r w:rsidRPr="00B859C6">
        <w:rPr>
          <w:rFonts w:eastAsia="Calibri" w:cs="Arial"/>
          <w:szCs w:val="20"/>
          <w:lang w:eastAsia="sl-SI"/>
        </w:rPr>
        <w:tab/>
        <w:t>število prebivalcev MO Ljubljana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katerega se računa povprečna vrednost tekočih stroškov na prebivalca.</w:t>
      </w:r>
    </w:p>
    <w:p w:rsidR="00A07C70" w:rsidRPr="00B859C6" w:rsidRDefault="00A07C70" w:rsidP="00A07C70">
      <w:pPr>
        <w:tabs>
          <w:tab w:val="left" w:pos="2127"/>
        </w:tabs>
        <w:spacing w:line="240" w:lineRule="auto"/>
        <w:ind w:left="2127" w:hanging="1134"/>
        <w:jc w:val="both"/>
        <w:rPr>
          <w:rFonts w:eastAsia="Calibri" w:cs="Arial"/>
          <w:szCs w:val="20"/>
          <w:lang w:eastAsia="sl-SI"/>
        </w:rPr>
      </w:pP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7</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prihodkov mestnih občin)</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prihodkov mestnih občin (TP</w:t>
      </w:r>
      <w:r w:rsidRPr="00B859C6">
        <w:rPr>
          <w:rFonts w:cs="Arial"/>
          <w:szCs w:val="20"/>
          <w:vertAlign w:val="subscript"/>
          <w:lang w:eastAsia="sl-SI"/>
        </w:rPr>
        <w:t>MO</w:t>
      </w:r>
      <w:r w:rsidRPr="00B859C6">
        <w:rPr>
          <w:rFonts w:cs="Arial"/>
          <w:szCs w:val="20"/>
          <w:lang w:eastAsia="sl-SI"/>
        </w:rPr>
        <w:t>) za obdobje od leta (t-5) do leta (t-2) se izračuna po formuli:</w:t>
      </w:r>
    </w:p>
    <w:p w:rsidR="00A07C70" w:rsidRPr="00B859C6" w:rsidRDefault="00A07C70" w:rsidP="00A07C70">
      <w:pPr>
        <w:spacing w:before="400" w:after="400"/>
        <w:jc w:val="center"/>
        <w:rPr>
          <w:rFonts w:eastAsia="Calibri" w:cs="Arial"/>
          <w:szCs w:val="20"/>
        </w:rPr>
      </w:pPr>
      <w:r w:rsidRPr="00B859C6">
        <w:rPr>
          <w:rFonts w:eastAsia="Calibri" w:cs="Arial"/>
          <w:szCs w:val="20"/>
        </w:rPr>
        <w:t>TP</w:t>
      </w:r>
      <w:r w:rsidRPr="00B859C6">
        <w:rPr>
          <w:rFonts w:eastAsia="Calibri" w:cs="Arial"/>
          <w:szCs w:val="20"/>
          <w:vertAlign w:val="subscript"/>
        </w:rPr>
        <w:t>MO</w:t>
      </w:r>
      <w:r w:rsidRPr="00B859C6">
        <w:rPr>
          <w:rFonts w:eastAsia="Calibri" w:cs="Arial"/>
          <w:szCs w:val="20"/>
        </w:rPr>
        <w:t xml:space="preserve"> = ¼Σ(</w:t>
      </w:r>
      <w:proofErr w:type="spellStart"/>
      <w:r w:rsidRPr="00B859C6">
        <w:rPr>
          <w:rFonts w:eastAsia="Calibri" w:cs="Arial"/>
          <w:szCs w:val="20"/>
        </w:rPr>
        <w:t>TP</w:t>
      </w:r>
      <w:r w:rsidRPr="00B859C6">
        <w:rPr>
          <w:rFonts w:eastAsia="Calibri" w:cs="Arial"/>
          <w:szCs w:val="20"/>
          <w:vertAlign w:val="subscript"/>
        </w:rPr>
        <w:t>MOa</w:t>
      </w:r>
      <w:proofErr w:type="spellEnd"/>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TP</w:t>
      </w:r>
      <w:r w:rsidRPr="00B859C6">
        <w:rPr>
          <w:rFonts w:eastAsia="Calibri" w:cs="Arial"/>
          <w:szCs w:val="20"/>
          <w:vertAlign w:val="subscript"/>
          <w:lang w:eastAsia="sl-SI"/>
        </w:rPr>
        <w:t>MOa</w:t>
      </w:r>
      <w:proofErr w:type="spellEnd"/>
      <w:r w:rsidRPr="00B859C6">
        <w:rPr>
          <w:rFonts w:eastAsia="Calibri" w:cs="Arial"/>
          <w:szCs w:val="20"/>
          <w:lang w:eastAsia="sl-SI"/>
        </w:rPr>
        <w:t>,</w:t>
      </w:r>
      <w:r w:rsidRPr="00B859C6">
        <w:rPr>
          <w:rFonts w:eastAsia="Calibri" w:cs="Arial"/>
          <w:szCs w:val="20"/>
          <w:lang w:eastAsia="sl-SI"/>
        </w:rPr>
        <w:tab/>
        <w:t>povprečna vrednost tekočih prihodkov mestnih občin na prebivalca za posamezno leto (a) znotraj obdobja od (t</w:t>
      </w:r>
      <w:r w:rsidRPr="00B859C6">
        <w:rPr>
          <w:rFonts w:eastAsia="MS Mincho" w:hAnsi="MS Mincho" w:cs="Arial"/>
          <w:szCs w:val="20"/>
          <w:lang w:eastAsia="sl-SI"/>
        </w:rPr>
        <w:t>‑</w:t>
      </w:r>
      <w:r w:rsidRPr="00B859C6">
        <w:rPr>
          <w:rFonts w:eastAsia="Calibri" w:cs="Arial"/>
          <w:szCs w:val="20"/>
          <w:lang w:eastAsia="sl-SI"/>
        </w:rPr>
        <w:t>5) do (t</w:t>
      </w:r>
      <w:r w:rsidRPr="00B859C6">
        <w:rPr>
          <w:rFonts w:eastAsia="MS Mincho" w:hAnsi="MS Mincho" w:cs="Arial"/>
          <w:szCs w:val="20"/>
          <w:lang w:eastAsia="sl-SI"/>
        </w:rPr>
        <w:t>‑</w:t>
      </w:r>
      <w:r w:rsidRPr="00B859C6">
        <w:rPr>
          <w:rFonts w:eastAsia="Calibri" w:cs="Arial"/>
          <w:szCs w:val="20"/>
          <w:lang w:eastAsia="sl-SI"/>
        </w:rPr>
        <w:t>2) in se izračuna po formuli</w:t>
      </w:r>
    </w:p>
    <w:p w:rsidR="00A07C70" w:rsidRPr="00B859C6" w:rsidRDefault="00A07C70" w:rsidP="00A07C70">
      <w:pPr>
        <w:spacing w:before="400" w:after="400"/>
        <w:jc w:val="center"/>
        <w:rPr>
          <w:rFonts w:eastAsia="Calibri" w:cs="Arial"/>
          <w:szCs w:val="20"/>
        </w:rPr>
      </w:pPr>
      <w:proofErr w:type="spellStart"/>
      <w:r w:rsidRPr="00B859C6">
        <w:rPr>
          <w:rFonts w:eastAsia="Calibri" w:cs="Arial"/>
          <w:szCs w:val="20"/>
        </w:rPr>
        <w:t>TP</w:t>
      </w:r>
      <w:r w:rsidRPr="00B859C6">
        <w:rPr>
          <w:rFonts w:eastAsia="Calibri" w:cs="Arial"/>
          <w:szCs w:val="20"/>
          <w:vertAlign w:val="subscript"/>
        </w:rPr>
        <w:t>MOa</w:t>
      </w:r>
      <w:proofErr w:type="spellEnd"/>
      <w:r w:rsidRPr="00B859C6">
        <w:rPr>
          <w:rFonts w:eastAsia="Calibri" w:cs="Arial"/>
          <w:szCs w:val="20"/>
        </w:rPr>
        <w:t>=(</w:t>
      </w:r>
      <w:proofErr w:type="spellStart"/>
      <w:r w:rsidRPr="00B859C6">
        <w:rPr>
          <w:rFonts w:eastAsia="Calibri" w:cs="Arial"/>
          <w:szCs w:val="20"/>
        </w:rPr>
        <w:t>ΣΣTP</w:t>
      </w:r>
      <w:r w:rsidRPr="00B859C6">
        <w:rPr>
          <w:rFonts w:eastAsia="Calibri" w:cs="Arial"/>
          <w:szCs w:val="20"/>
          <w:vertAlign w:val="subscript"/>
        </w:rPr>
        <w:t>MOi</w:t>
      </w:r>
      <w:proofErr w:type="spellEnd"/>
      <w:r w:rsidRPr="00B859C6">
        <w:rPr>
          <w:rFonts w:eastAsia="Calibri" w:cs="Arial"/>
          <w:szCs w:val="20"/>
        </w:rPr>
        <w:t>)/O</w:t>
      </w:r>
      <w:r w:rsidRPr="00B859C6">
        <w:rPr>
          <w:rFonts w:eastAsia="Calibri" w:cs="Arial"/>
          <w:szCs w:val="20"/>
          <w:vertAlign w:val="subscript"/>
        </w:rPr>
        <w:t>mi</w:t>
      </w:r>
      <w:r w:rsidRPr="00B859C6">
        <w:rPr>
          <w:rFonts w:eastAsia="Calibri" w:cs="Arial"/>
          <w:szCs w:val="20"/>
        </w:rPr>
        <w:t>.</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ΣΣTP</w:t>
      </w:r>
      <w:r w:rsidRPr="00B859C6">
        <w:rPr>
          <w:rFonts w:eastAsia="Calibri" w:cs="Arial"/>
          <w:szCs w:val="20"/>
          <w:vertAlign w:val="subscript"/>
          <w:lang w:eastAsia="sl-SI"/>
        </w:rPr>
        <w:t>MOi</w:t>
      </w:r>
      <w:proofErr w:type="spellEnd"/>
      <w:r w:rsidRPr="00B859C6">
        <w:rPr>
          <w:rFonts w:eastAsia="Calibri" w:cs="Arial"/>
          <w:szCs w:val="20"/>
          <w:lang w:eastAsia="sl-SI"/>
        </w:rPr>
        <w:t>,</w:t>
      </w:r>
      <w:r w:rsidRPr="00B859C6">
        <w:rPr>
          <w:rFonts w:eastAsia="Calibri" w:cs="Arial"/>
          <w:szCs w:val="20"/>
          <w:lang w:eastAsia="sl-SI"/>
        </w:rPr>
        <w:tab/>
        <w:t>vsota tekočih prihodkov mestnih občin (i) za izvajanje z zakonom določenih obveznih nalog občin;</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O</w:t>
      </w:r>
      <w:r w:rsidRPr="00B859C6">
        <w:rPr>
          <w:rFonts w:eastAsia="Calibri" w:cs="Arial"/>
          <w:szCs w:val="20"/>
          <w:vertAlign w:val="subscript"/>
          <w:lang w:eastAsia="sl-SI"/>
        </w:rPr>
        <w:t>mi</w:t>
      </w:r>
      <w:r w:rsidRPr="00B859C6">
        <w:rPr>
          <w:rFonts w:eastAsia="Calibri" w:cs="Arial"/>
          <w:szCs w:val="20"/>
          <w:lang w:eastAsia="sl-SI"/>
        </w:rPr>
        <w:t>,</w:t>
      </w:r>
      <w:r w:rsidRPr="00B859C6">
        <w:rPr>
          <w:rFonts w:eastAsia="Calibri" w:cs="Arial"/>
          <w:szCs w:val="20"/>
          <w:lang w:eastAsia="sl-SI"/>
        </w:rPr>
        <w:tab/>
        <w:t>število prebivalcev mestnih občin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katerega se računa povprečna vrednost tekočih stroškov na prebivalca.</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8</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(izračun deleža)</w:t>
      </w:r>
    </w:p>
    <w:p w:rsidR="00A07C70" w:rsidRPr="00B859C6" w:rsidRDefault="00A07C70" w:rsidP="00A07C70">
      <w:pPr>
        <w:overflowPunct w:val="0"/>
        <w:autoSpaceDE w:val="0"/>
        <w:autoSpaceDN w:val="0"/>
        <w:adjustRightInd w:val="0"/>
        <w:spacing w:before="240" w:line="240" w:lineRule="auto"/>
        <w:ind w:firstLine="1021"/>
        <w:jc w:val="both"/>
        <w:textAlignment w:val="baseline"/>
        <w:rPr>
          <w:rFonts w:cs="Arial"/>
          <w:szCs w:val="20"/>
          <w:lang w:eastAsia="sl-SI"/>
        </w:rPr>
      </w:pPr>
      <w:r w:rsidRPr="00B859C6">
        <w:rPr>
          <w:rFonts w:cs="Arial"/>
          <w:szCs w:val="20"/>
          <w:lang w:eastAsia="sl-SI"/>
        </w:rPr>
        <w:lastRenderedPageBreak/>
        <w:t>Delež dohodnine se izračuna po formuli:</w:t>
      </w:r>
    </w:p>
    <w:p w:rsidR="00A07C70" w:rsidRPr="00B859C6" w:rsidRDefault="00A07C70" w:rsidP="00A07C70">
      <w:pPr>
        <w:spacing w:before="400" w:after="400"/>
        <w:jc w:val="center"/>
        <w:rPr>
          <w:rFonts w:eastAsia="Calibri" w:cs="Arial"/>
          <w:szCs w:val="20"/>
        </w:rPr>
      </w:pPr>
      <w:r w:rsidRPr="00B859C6">
        <w:rPr>
          <w:rFonts w:eastAsia="Calibri" w:cs="Arial"/>
          <w:szCs w:val="20"/>
        </w:rPr>
        <w:t>R</w:t>
      </w:r>
      <w:r w:rsidRPr="00B859C6">
        <w:rPr>
          <w:rFonts w:eastAsia="Calibri" w:cs="Arial"/>
          <w:szCs w:val="20"/>
          <w:vertAlign w:val="subscript"/>
        </w:rPr>
        <w:t>t</w:t>
      </w:r>
      <w:r w:rsidRPr="00B859C6">
        <w:rPr>
          <w:rFonts w:eastAsia="Calibri" w:cs="Arial"/>
          <w:szCs w:val="20"/>
        </w:rPr>
        <w:t xml:space="preserve"> =(1,15*(</w:t>
      </w:r>
      <w:proofErr w:type="spellStart"/>
      <w:r w:rsidRPr="00B859C6">
        <w:rPr>
          <w:rFonts w:eastAsia="Calibri" w:cs="Arial"/>
          <w:szCs w:val="20"/>
        </w:rPr>
        <w:t>TStr</w:t>
      </w:r>
      <w:proofErr w:type="spellEnd"/>
      <w:r w:rsidRPr="00B859C6">
        <w:rPr>
          <w:rFonts w:eastAsia="Calibri" w:cs="Arial"/>
          <w:szCs w:val="20"/>
        </w:rPr>
        <w:t>/TS</w:t>
      </w:r>
      <w:r w:rsidRPr="00B859C6">
        <w:rPr>
          <w:rFonts w:eastAsia="Calibri" w:cs="Arial"/>
          <w:szCs w:val="20"/>
          <w:vertAlign w:val="subscript"/>
        </w:rPr>
        <w:t>MOL</w:t>
      </w:r>
      <w:r w:rsidRPr="00B859C6">
        <w:rPr>
          <w:rFonts w:eastAsia="Calibri" w:cs="Arial"/>
          <w:szCs w:val="20"/>
        </w:rPr>
        <w:t>)*</w:t>
      </w:r>
      <w:proofErr w:type="spellStart"/>
      <w:r w:rsidRPr="00B859C6">
        <w:rPr>
          <w:rFonts w:eastAsia="Calibri" w:cs="Arial"/>
          <w:szCs w:val="20"/>
        </w:rPr>
        <w:t>O</w:t>
      </w:r>
      <w:r w:rsidRPr="00B859C6">
        <w:rPr>
          <w:rFonts w:eastAsia="Calibri" w:cs="Arial"/>
          <w:szCs w:val="20"/>
          <w:vertAlign w:val="subscript"/>
        </w:rPr>
        <w:t>i</w:t>
      </w:r>
      <w:proofErr w:type="spellEnd"/>
      <w:r w:rsidRPr="00B859C6">
        <w:rPr>
          <w:rFonts w:eastAsia="Calibri" w:cs="Arial"/>
          <w:szCs w:val="20"/>
        </w:rPr>
        <w:t>*((TS</w:t>
      </w:r>
      <w:r w:rsidRPr="00B859C6">
        <w:rPr>
          <w:rFonts w:eastAsia="Calibri" w:cs="Arial"/>
          <w:szCs w:val="20"/>
          <w:vertAlign w:val="subscript"/>
        </w:rPr>
        <w:t>MOL</w:t>
      </w:r>
      <w:r w:rsidRPr="00B859C6">
        <w:rPr>
          <w:rFonts w:eastAsia="Calibri" w:cs="Arial"/>
          <w:szCs w:val="20"/>
        </w:rPr>
        <w:t xml:space="preserve"> </w:t>
      </w:r>
      <w:r w:rsidRPr="00B859C6">
        <w:rPr>
          <w:rFonts w:eastAsia="MS Mincho" w:hAnsi="MS Mincho" w:cs="Arial"/>
          <w:szCs w:val="20"/>
        </w:rPr>
        <w:t>‑</w:t>
      </w:r>
      <w:r w:rsidR="00794086">
        <w:rPr>
          <w:rFonts w:eastAsia="MS Mincho" w:hAnsi="MS Mincho" w:cs="Arial"/>
          <w:szCs w:val="20"/>
        </w:rPr>
        <w:t xml:space="preserve"> </w:t>
      </w:r>
      <w:r w:rsidRPr="00B859C6">
        <w:rPr>
          <w:rFonts w:eastAsia="Calibri" w:cs="Arial"/>
          <w:szCs w:val="20"/>
        </w:rPr>
        <w:t>TS</w:t>
      </w:r>
      <w:r w:rsidRPr="00B859C6">
        <w:rPr>
          <w:rFonts w:eastAsia="Calibri" w:cs="Arial"/>
          <w:szCs w:val="20"/>
          <w:vertAlign w:val="subscript"/>
        </w:rPr>
        <w:t>MO</w:t>
      </w:r>
      <w:r w:rsidRPr="00B859C6">
        <w:rPr>
          <w:rFonts w:eastAsia="Calibri" w:cs="Arial"/>
          <w:szCs w:val="20"/>
        </w:rPr>
        <w:t>)</w:t>
      </w:r>
      <w:r w:rsidRPr="00B859C6">
        <w:rPr>
          <w:rFonts w:eastAsia="MS Mincho" w:hAnsi="MS Mincho" w:cs="Arial"/>
          <w:szCs w:val="20"/>
        </w:rPr>
        <w:t>‑</w:t>
      </w:r>
      <w:r w:rsidRPr="00B859C6">
        <w:rPr>
          <w:rFonts w:eastAsia="Calibri" w:cs="Arial"/>
          <w:szCs w:val="20"/>
        </w:rPr>
        <w:t>(TP</w:t>
      </w:r>
      <w:r w:rsidRPr="00B859C6">
        <w:rPr>
          <w:rFonts w:eastAsia="Calibri" w:cs="Arial"/>
          <w:szCs w:val="20"/>
          <w:vertAlign w:val="subscript"/>
        </w:rPr>
        <w:t>MOL</w:t>
      </w:r>
      <w:r w:rsidRPr="00B859C6">
        <w:rPr>
          <w:rFonts w:eastAsia="Calibri" w:cs="Arial"/>
          <w:szCs w:val="20"/>
        </w:rPr>
        <w:t xml:space="preserve"> </w:t>
      </w:r>
      <w:r w:rsidRPr="00B859C6">
        <w:rPr>
          <w:rFonts w:eastAsia="MS Mincho" w:hAnsi="MS Mincho" w:cs="Arial"/>
          <w:szCs w:val="20"/>
        </w:rPr>
        <w:t>‑</w:t>
      </w:r>
      <w:r w:rsidR="00794086">
        <w:rPr>
          <w:rFonts w:eastAsia="MS Mincho" w:hAnsi="MS Mincho" w:cs="Arial"/>
          <w:szCs w:val="20"/>
        </w:rPr>
        <w:t xml:space="preserve"> </w:t>
      </w:r>
      <w:r w:rsidRPr="00B859C6">
        <w:rPr>
          <w:rFonts w:eastAsia="Calibri" w:cs="Arial"/>
          <w:szCs w:val="20"/>
        </w:rPr>
        <w:t>TP</w:t>
      </w:r>
      <w:r w:rsidRPr="00B859C6">
        <w:rPr>
          <w:rFonts w:eastAsia="Calibri" w:cs="Arial"/>
          <w:szCs w:val="20"/>
          <w:vertAlign w:val="subscript"/>
        </w:rPr>
        <w:t>MO</w:t>
      </w:r>
      <w:r w:rsidRPr="00B859C6">
        <w:rPr>
          <w:rFonts w:eastAsia="Calibri" w:cs="Arial"/>
          <w:szCs w:val="20"/>
        </w:rPr>
        <w:t>)))/D</w:t>
      </w:r>
      <w:r w:rsidRPr="00B859C6">
        <w:rPr>
          <w:rFonts w:eastAsia="Calibri" w:cs="Arial"/>
          <w:szCs w:val="20"/>
          <w:vertAlign w:val="subscript"/>
        </w:rPr>
        <w:t>(t</w:t>
      </w:r>
      <w:r w:rsidRPr="00B859C6">
        <w:rPr>
          <w:rFonts w:eastAsia="MS Mincho" w:hAnsi="MS Mincho" w:cs="Arial"/>
          <w:szCs w:val="20"/>
          <w:vertAlign w:val="subscript"/>
        </w:rPr>
        <w:t>‑</w:t>
      </w:r>
      <w:r w:rsidRPr="00B859C6">
        <w:rPr>
          <w:rFonts w:eastAsia="Calibri" w:cs="Arial"/>
          <w:szCs w:val="20"/>
          <w:vertAlign w:val="subscript"/>
        </w:rPr>
        <w:t>2).</w:t>
      </w:r>
    </w:p>
    <w:p w:rsidR="00A07C70" w:rsidRPr="00B859C6" w:rsidRDefault="00A07C70" w:rsidP="00A07C70">
      <w:pPr>
        <w:spacing w:line="240" w:lineRule="auto"/>
        <w:ind w:left="993"/>
        <w:jc w:val="both"/>
        <w:rPr>
          <w:rFonts w:eastAsia="Calibri" w:cs="Arial"/>
          <w:szCs w:val="20"/>
          <w:lang w:eastAsia="sl-SI"/>
        </w:rPr>
      </w:pPr>
      <w:r w:rsidRPr="00B859C6">
        <w:rPr>
          <w:rFonts w:eastAsia="Calibri" w:cs="Arial"/>
          <w:szCs w:val="20"/>
          <w:lang w:eastAsia="sl-SI"/>
        </w:rPr>
        <w:t>Pri tem je:</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R</w:t>
      </w:r>
      <w:r w:rsidRPr="00B859C6">
        <w:rPr>
          <w:rFonts w:eastAsia="Calibri" w:cs="Arial"/>
          <w:szCs w:val="20"/>
          <w:vertAlign w:val="subscript"/>
          <w:lang w:eastAsia="sl-SI"/>
        </w:rPr>
        <w:t>t</w:t>
      </w:r>
      <w:r w:rsidRPr="00B859C6">
        <w:rPr>
          <w:rFonts w:eastAsia="Calibri" w:cs="Arial"/>
          <w:szCs w:val="20"/>
          <w:lang w:eastAsia="sl-SI"/>
        </w:rPr>
        <w:t>,</w:t>
      </w:r>
      <w:r w:rsidRPr="00B859C6">
        <w:rPr>
          <w:rFonts w:eastAsia="Calibri" w:cs="Arial"/>
          <w:szCs w:val="20"/>
          <w:lang w:eastAsia="sl-SI"/>
        </w:rPr>
        <w:tab/>
        <w:t>delež dohodnine, ki pripada MO Ljubljana v letu</w:t>
      </w:r>
      <w:r>
        <w:rPr>
          <w:rFonts w:eastAsia="Calibri" w:cs="Arial"/>
          <w:szCs w:val="20"/>
          <w:lang w:eastAsia="sl-SI"/>
        </w:rPr>
        <w:t xml:space="preserve"> (t)</w:t>
      </w:r>
      <w:r w:rsidRPr="00B859C6">
        <w:rPr>
          <w:rFonts w:eastAsia="Calibri" w:cs="Arial"/>
          <w:szCs w:val="20"/>
          <w:lang w:eastAsia="sl-SI"/>
        </w:rPr>
        <w:t>;</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TStr</w:t>
      </w:r>
      <w:proofErr w:type="spellEnd"/>
      <w:r w:rsidRPr="00B859C6">
        <w:rPr>
          <w:rFonts w:eastAsia="Calibri" w:cs="Arial"/>
          <w:szCs w:val="20"/>
          <w:lang w:eastAsia="sl-SI"/>
        </w:rPr>
        <w:t>,</w:t>
      </w:r>
      <w:r w:rsidRPr="00B859C6">
        <w:rPr>
          <w:rFonts w:eastAsia="Calibri" w:cs="Arial"/>
          <w:szCs w:val="20"/>
          <w:lang w:eastAsia="sl-SI"/>
        </w:rPr>
        <w:tab/>
        <w:t>povprečna vrednost tekočih stroškov vseh občin;</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TS</w:t>
      </w:r>
      <w:r w:rsidRPr="00B859C6">
        <w:rPr>
          <w:rFonts w:eastAsia="Calibri" w:cs="Arial"/>
          <w:szCs w:val="20"/>
          <w:vertAlign w:val="subscript"/>
          <w:lang w:eastAsia="sl-SI"/>
        </w:rPr>
        <w:t>MOL</w:t>
      </w:r>
      <w:r w:rsidRPr="00B859C6">
        <w:rPr>
          <w:rFonts w:eastAsia="Calibri" w:cs="Arial"/>
          <w:szCs w:val="20"/>
          <w:lang w:eastAsia="sl-SI"/>
        </w:rPr>
        <w:t>,</w:t>
      </w:r>
      <w:r w:rsidRPr="00B859C6">
        <w:rPr>
          <w:rFonts w:eastAsia="Calibri" w:cs="Arial"/>
          <w:szCs w:val="20"/>
          <w:lang w:eastAsia="sl-SI"/>
        </w:rPr>
        <w:tab/>
        <w:t>povprečna vrednost tekočih stroškov MO Ljubljana;</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TS</w:t>
      </w:r>
      <w:r w:rsidRPr="00B859C6">
        <w:rPr>
          <w:rFonts w:eastAsia="Calibri" w:cs="Arial"/>
          <w:szCs w:val="20"/>
          <w:vertAlign w:val="subscript"/>
          <w:lang w:eastAsia="sl-SI"/>
        </w:rPr>
        <w:t>MO</w:t>
      </w:r>
      <w:r w:rsidRPr="00B859C6">
        <w:rPr>
          <w:rFonts w:eastAsia="Calibri" w:cs="Arial"/>
          <w:szCs w:val="20"/>
          <w:lang w:eastAsia="sl-SI"/>
        </w:rPr>
        <w:t>,</w:t>
      </w:r>
      <w:r w:rsidRPr="00B859C6">
        <w:rPr>
          <w:rFonts w:eastAsia="Calibri" w:cs="Arial"/>
          <w:szCs w:val="20"/>
          <w:lang w:eastAsia="sl-SI"/>
        </w:rPr>
        <w:tab/>
        <w:t>povprečna vrednost tekočih stroškov mestnih občin;</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TP</w:t>
      </w:r>
      <w:r w:rsidRPr="00B859C6">
        <w:rPr>
          <w:rFonts w:eastAsia="Calibri" w:cs="Arial"/>
          <w:szCs w:val="20"/>
          <w:vertAlign w:val="subscript"/>
          <w:lang w:eastAsia="sl-SI"/>
        </w:rPr>
        <w:t>MOL</w:t>
      </w:r>
      <w:r w:rsidRPr="00B859C6">
        <w:rPr>
          <w:rFonts w:eastAsia="Calibri" w:cs="Arial"/>
          <w:szCs w:val="20"/>
          <w:lang w:eastAsia="sl-SI"/>
        </w:rPr>
        <w:t>,</w:t>
      </w:r>
      <w:r w:rsidRPr="00B859C6">
        <w:rPr>
          <w:rFonts w:eastAsia="Calibri" w:cs="Arial"/>
          <w:szCs w:val="20"/>
          <w:lang w:eastAsia="sl-SI"/>
        </w:rPr>
        <w:tab/>
        <w:t>povprečna vrednost tekočih prihodkov MO Ljubljana;</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TP</w:t>
      </w:r>
      <w:r w:rsidRPr="00B859C6">
        <w:rPr>
          <w:rFonts w:eastAsia="Calibri" w:cs="Arial"/>
          <w:szCs w:val="20"/>
          <w:vertAlign w:val="subscript"/>
          <w:lang w:eastAsia="sl-SI"/>
        </w:rPr>
        <w:t>MO</w:t>
      </w:r>
      <w:r w:rsidRPr="00B859C6">
        <w:rPr>
          <w:rFonts w:eastAsia="Calibri" w:cs="Arial"/>
          <w:szCs w:val="20"/>
          <w:lang w:eastAsia="sl-SI"/>
        </w:rPr>
        <w:t>,</w:t>
      </w:r>
      <w:r w:rsidRPr="00B859C6">
        <w:rPr>
          <w:rFonts w:eastAsia="Calibri" w:cs="Arial"/>
          <w:szCs w:val="20"/>
          <w:lang w:eastAsia="sl-SI"/>
        </w:rPr>
        <w:tab/>
        <w:t>povprečna vrednost tekočih prihodkov mestnih občin,</w:t>
      </w:r>
    </w:p>
    <w:p w:rsidR="00A07C70" w:rsidRPr="00B859C6" w:rsidRDefault="00A07C70" w:rsidP="00A07C70">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O</w:t>
      </w:r>
      <w:r w:rsidRPr="00B859C6">
        <w:rPr>
          <w:rFonts w:eastAsia="Calibri" w:cs="Arial"/>
          <w:szCs w:val="20"/>
          <w:vertAlign w:val="subscript"/>
          <w:lang w:eastAsia="sl-SI"/>
        </w:rPr>
        <w:t>i</w:t>
      </w:r>
      <w:proofErr w:type="spellEnd"/>
      <w:r w:rsidRPr="00B859C6">
        <w:rPr>
          <w:rFonts w:eastAsia="Calibri" w:cs="Arial"/>
          <w:szCs w:val="20"/>
          <w:lang w:eastAsia="sl-SI"/>
        </w:rPr>
        <w:t>,</w:t>
      </w:r>
      <w:r w:rsidRPr="00B859C6">
        <w:rPr>
          <w:rFonts w:eastAsia="Calibri" w:cs="Arial"/>
          <w:szCs w:val="20"/>
          <w:lang w:eastAsia="sl-SI"/>
        </w:rPr>
        <w:tab/>
        <w:t>število prebivalcev glavnega mesta po podatkih Statističnega urada Republike Slovenije na dan 1. januarja leta (t</w:t>
      </w:r>
      <w:r w:rsidRPr="00B859C6">
        <w:rPr>
          <w:rFonts w:ascii="MS Gothic" w:eastAsia="MS Gothic" w:hAnsi="MS Gothic" w:cs="MS Gothic" w:hint="eastAsia"/>
          <w:szCs w:val="20"/>
          <w:lang w:eastAsia="sl-SI"/>
        </w:rPr>
        <w:t>‑</w:t>
      </w:r>
      <w:r w:rsidRPr="00B859C6">
        <w:rPr>
          <w:rFonts w:eastAsia="Calibri" w:cs="Arial"/>
          <w:szCs w:val="20"/>
          <w:lang w:eastAsia="sl-SI"/>
        </w:rPr>
        <w:t>1);</w:t>
      </w:r>
    </w:p>
    <w:p w:rsidR="00A07C70" w:rsidRPr="00B859C6" w:rsidRDefault="00A07C70" w:rsidP="00A07C70">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D</w:t>
      </w:r>
      <w:r w:rsidRPr="00B859C6">
        <w:rPr>
          <w:rFonts w:eastAsia="Calibri" w:cs="Arial"/>
          <w:szCs w:val="20"/>
          <w:vertAlign w:val="subscript"/>
          <w:lang w:eastAsia="sl-SI"/>
        </w:rPr>
        <w:t>(t</w:t>
      </w:r>
      <w:r w:rsidRPr="00B859C6">
        <w:rPr>
          <w:rFonts w:ascii="MS Gothic" w:eastAsia="MS Gothic" w:hAnsi="MS Gothic" w:cs="MS Gothic" w:hint="eastAsia"/>
          <w:szCs w:val="20"/>
          <w:vertAlign w:val="subscript"/>
          <w:lang w:eastAsia="sl-SI"/>
        </w:rPr>
        <w:t>‑</w:t>
      </w:r>
      <w:r w:rsidRPr="00B859C6">
        <w:rPr>
          <w:rFonts w:eastAsia="Calibri" w:cs="Arial"/>
          <w:szCs w:val="20"/>
          <w:vertAlign w:val="subscript"/>
          <w:lang w:eastAsia="sl-SI"/>
        </w:rPr>
        <w:t>2)</w:t>
      </w:r>
      <w:r w:rsidRPr="00B859C6">
        <w:rPr>
          <w:rFonts w:eastAsia="Calibri" w:cs="Arial"/>
          <w:szCs w:val="20"/>
          <w:lang w:eastAsia="sl-SI"/>
        </w:rPr>
        <w:t>,</w:t>
      </w:r>
      <w:r w:rsidRPr="00B859C6">
        <w:rPr>
          <w:rFonts w:eastAsia="Calibri" w:cs="Arial"/>
          <w:szCs w:val="20"/>
          <w:lang w:eastAsia="sl-SI"/>
        </w:rPr>
        <w:tab/>
        <w:t>dohodnina, vplačana v predpreteklem letu pred letom, za katero se ji izračunava delež.</w:t>
      </w:r>
    </w:p>
    <w:p w:rsidR="00A07C70" w:rsidRPr="00B859C6" w:rsidRDefault="00A07C70" w:rsidP="00A07C70">
      <w:pPr>
        <w:suppressAutoHyphens/>
        <w:overflowPunct w:val="0"/>
        <w:autoSpaceDE w:val="0"/>
        <w:autoSpaceDN w:val="0"/>
        <w:adjustRightInd w:val="0"/>
        <w:spacing w:before="360" w:after="60" w:line="200" w:lineRule="exact"/>
        <w:textAlignment w:val="baseline"/>
        <w:outlineLvl w:val="3"/>
        <w:rPr>
          <w:rFonts w:cs="Arial"/>
          <w:b/>
          <w:szCs w:val="20"/>
          <w:lang w:eastAsia="sl-SI"/>
        </w:rPr>
      </w:pPr>
      <w:r w:rsidRPr="00B859C6">
        <w:rPr>
          <w:rFonts w:cs="Arial"/>
          <w:b/>
          <w:szCs w:val="20"/>
          <w:lang w:eastAsia="sl-SI"/>
        </w:rPr>
        <w:t>III. KONČNA DOLOČBA</w:t>
      </w:r>
    </w:p>
    <w:p w:rsidR="00A07C70" w:rsidRPr="00B859C6" w:rsidRDefault="00A07C70" w:rsidP="00A07C70">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9</w:t>
      </w:r>
      <w:r w:rsidRPr="00B859C6">
        <w:rPr>
          <w:rFonts w:cs="Arial"/>
          <w:b/>
          <w:szCs w:val="20"/>
          <w:lang w:eastAsia="sl-SI"/>
        </w:rPr>
        <w:t>. člen</w:t>
      </w:r>
    </w:p>
    <w:p w:rsidR="00A07C70" w:rsidRPr="00B859C6" w:rsidRDefault="00A07C70" w:rsidP="00A07C70">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(začetek veljavnosti)</w:t>
      </w:r>
    </w:p>
    <w:p w:rsidR="00A07C70" w:rsidRPr="00B859C6" w:rsidRDefault="00A07C70" w:rsidP="00A07C70">
      <w:pPr>
        <w:overflowPunct w:val="0"/>
        <w:autoSpaceDE w:val="0"/>
        <w:autoSpaceDN w:val="0"/>
        <w:adjustRightInd w:val="0"/>
        <w:spacing w:before="240" w:line="240" w:lineRule="auto"/>
        <w:jc w:val="both"/>
        <w:textAlignment w:val="baseline"/>
        <w:rPr>
          <w:rFonts w:cs="Arial"/>
          <w:szCs w:val="20"/>
          <w:lang w:eastAsia="sl-SI"/>
        </w:rPr>
      </w:pPr>
      <w:r w:rsidRPr="00B859C6">
        <w:rPr>
          <w:rFonts w:cs="Arial"/>
          <w:szCs w:val="20"/>
          <w:lang w:eastAsia="sl-SI"/>
        </w:rPr>
        <w:t>Ta uredba začne veljati petnajsti dan po objavi v Uradnem listu Republike Slovenije, prvič pa se uporabi za izračun deleža dohodnine, ki pripada MO Ljubljana za leto 201</w:t>
      </w:r>
      <w:r>
        <w:rPr>
          <w:rFonts w:cs="Arial"/>
          <w:szCs w:val="20"/>
          <w:lang w:eastAsia="sl-SI"/>
        </w:rPr>
        <w:t>9</w:t>
      </w:r>
      <w:r w:rsidRPr="00B859C6">
        <w:rPr>
          <w:rFonts w:cs="Arial"/>
          <w:szCs w:val="20"/>
          <w:lang w:eastAsia="sl-SI"/>
        </w:rPr>
        <w:t>.</w:t>
      </w:r>
    </w:p>
    <w:p w:rsidR="00A07C70" w:rsidRPr="00B859C6" w:rsidRDefault="00A07C70" w:rsidP="00A07C70">
      <w:pPr>
        <w:overflowPunct w:val="0"/>
        <w:autoSpaceDE w:val="0"/>
        <w:autoSpaceDN w:val="0"/>
        <w:adjustRightInd w:val="0"/>
        <w:spacing w:before="480" w:line="240" w:lineRule="auto"/>
        <w:jc w:val="both"/>
        <w:textAlignment w:val="baseline"/>
        <w:rPr>
          <w:rFonts w:cs="Arial"/>
          <w:snapToGrid w:val="0"/>
          <w:color w:val="000000"/>
          <w:szCs w:val="20"/>
          <w:lang w:eastAsia="sl-SI"/>
        </w:rPr>
      </w:pPr>
      <w:r w:rsidRPr="00B859C6">
        <w:rPr>
          <w:rFonts w:cs="Arial"/>
          <w:snapToGrid w:val="0"/>
          <w:color w:val="000000"/>
          <w:szCs w:val="20"/>
          <w:lang w:eastAsia="sl-SI"/>
        </w:rPr>
        <w:t xml:space="preserve">Št. </w:t>
      </w:r>
    </w:p>
    <w:p w:rsidR="00A07C70" w:rsidRPr="00B859C6" w:rsidRDefault="00A07C70" w:rsidP="00A07C70">
      <w:pPr>
        <w:overflowPunct w:val="0"/>
        <w:autoSpaceDE w:val="0"/>
        <w:autoSpaceDN w:val="0"/>
        <w:adjustRightInd w:val="0"/>
        <w:spacing w:line="240" w:lineRule="auto"/>
        <w:jc w:val="both"/>
        <w:textAlignment w:val="baseline"/>
        <w:rPr>
          <w:rFonts w:cs="Arial"/>
          <w:snapToGrid w:val="0"/>
          <w:color w:val="000000"/>
          <w:szCs w:val="20"/>
          <w:lang w:eastAsia="sl-SI"/>
        </w:rPr>
      </w:pPr>
      <w:r w:rsidRPr="00B859C6">
        <w:rPr>
          <w:rFonts w:cs="Arial"/>
          <w:snapToGrid w:val="0"/>
          <w:color w:val="000000"/>
          <w:szCs w:val="20"/>
          <w:lang w:eastAsia="sl-SI"/>
        </w:rPr>
        <w:t xml:space="preserve">Ljubljana, dne </w:t>
      </w:r>
    </w:p>
    <w:p w:rsidR="00A07C70" w:rsidRPr="00B859C6" w:rsidRDefault="00A07C70" w:rsidP="00A07C70">
      <w:pPr>
        <w:overflowPunct w:val="0"/>
        <w:autoSpaceDE w:val="0"/>
        <w:autoSpaceDN w:val="0"/>
        <w:adjustRightInd w:val="0"/>
        <w:spacing w:line="240" w:lineRule="auto"/>
        <w:jc w:val="both"/>
        <w:textAlignment w:val="baseline"/>
        <w:rPr>
          <w:rFonts w:cs="Arial"/>
          <w:szCs w:val="20"/>
          <w:lang w:eastAsia="sl-SI"/>
        </w:rPr>
      </w:pPr>
      <w:r w:rsidRPr="00B859C6">
        <w:rPr>
          <w:rFonts w:cs="Arial"/>
          <w:szCs w:val="20"/>
          <w:lang w:eastAsia="sl-SI"/>
        </w:rPr>
        <w:t xml:space="preserve">EVA </w:t>
      </w:r>
    </w:p>
    <w:p w:rsidR="00A07C70" w:rsidRDefault="00A07C70" w:rsidP="00A07C70">
      <w:pPr>
        <w:overflowPunct w:val="0"/>
        <w:autoSpaceDE w:val="0"/>
        <w:autoSpaceDN w:val="0"/>
        <w:adjustRightInd w:val="0"/>
        <w:spacing w:before="480" w:line="240" w:lineRule="auto"/>
        <w:ind w:left="5670"/>
        <w:jc w:val="center"/>
        <w:textAlignment w:val="baseline"/>
        <w:rPr>
          <w:rFonts w:cs="Arial"/>
          <w:szCs w:val="20"/>
          <w:lang w:eastAsia="sl-SI"/>
        </w:rPr>
      </w:pPr>
      <w:r w:rsidRPr="00B859C6">
        <w:rPr>
          <w:rFonts w:cs="Arial"/>
          <w:szCs w:val="20"/>
          <w:lang w:eastAsia="sl-SI"/>
        </w:rPr>
        <w:t>Vlada Republike Slovenije</w:t>
      </w:r>
    </w:p>
    <w:p w:rsidR="00A07C70" w:rsidRPr="004F0FB8" w:rsidRDefault="00A07C70" w:rsidP="00A07C70">
      <w:pPr>
        <w:overflowPunct w:val="0"/>
        <w:autoSpaceDE w:val="0"/>
        <w:autoSpaceDN w:val="0"/>
        <w:adjustRightInd w:val="0"/>
        <w:spacing w:before="480" w:line="240" w:lineRule="auto"/>
        <w:ind w:left="5670"/>
        <w:jc w:val="center"/>
        <w:textAlignment w:val="baseline"/>
        <w:rPr>
          <w:rFonts w:cs="Arial"/>
          <w:szCs w:val="20"/>
          <w:lang w:eastAsia="sl-SI"/>
        </w:rPr>
      </w:pPr>
      <w:r w:rsidRPr="00B859C6">
        <w:rPr>
          <w:rFonts w:cs="Arial"/>
          <w:szCs w:val="20"/>
          <w:lang w:eastAsia="sl-SI"/>
        </w:rPr>
        <w:t>Predsednik</w:t>
      </w:r>
    </w:p>
    <w:p w:rsidR="00A07C70" w:rsidRPr="00B859C6" w:rsidRDefault="00A07C70" w:rsidP="00A07C70"/>
    <w:p w:rsidR="00A07C70" w:rsidRDefault="00A07C70" w:rsidP="00A07C70"/>
    <w:p w:rsidR="00A07C70" w:rsidRDefault="00A07C70" w:rsidP="00A07C70"/>
    <w:p w:rsidR="00A07C70" w:rsidRDefault="00A07C70" w:rsidP="00A07C70"/>
    <w:p w:rsidR="00A07C70" w:rsidRPr="007377DD" w:rsidRDefault="00A07C70" w:rsidP="00A07C70"/>
    <w:p w:rsidR="00A07C70" w:rsidRDefault="00A07C70" w:rsidP="00A07C70"/>
    <w:p w:rsidR="00A07C70" w:rsidRDefault="00A07C70" w:rsidP="00A07C70"/>
    <w:p w:rsidR="00A07C70" w:rsidRDefault="00A07C70">
      <w:pPr>
        <w:spacing w:after="160" w:line="259" w:lineRule="auto"/>
        <w:rPr>
          <w:rFonts w:cs="Arial"/>
          <w:szCs w:val="20"/>
        </w:rPr>
      </w:pPr>
      <w:r>
        <w:rPr>
          <w:rFonts w:cs="Arial"/>
          <w:szCs w:val="20"/>
        </w:rPr>
        <w:br w:type="page"/>
      </w:r>
    </w:p>
    <w:p w:rsidR="009E7A59" w:rsidRPr="003F1703" w:rsidRDefault="009E7A59" w:rsidP="009E7A59">
      <w:pPr>
        <w:tabs>
          <w:tab w:val="left" w:pos="708"/>
        </w:tabs>
        <w:rPr>
          <w:rFonts w:cs="Arial"/>
          <w:szCs w:val="20"/>
        </w:rPr>
      </w:pPr>
    </w:p>
    <w:p w:rsidR="009E7A59" w:rsidRPr="003F1703" w:rsidRDefault="009E7A59" w:rsidP="009E7A59">
      <w:pPr>
        <w:tabs>
          <w:tab w:val="left" w:pos="708"/>
        </w:tabs>
        <w:rPr>
          <w:rFonts w:cs="Arial"/>
          <w:szCs w:val="20"/>
        </w:rPr>
      </w:pPr>
    </w:p>
    <w:p w:rsidR="009E7A59" w:rsidRPr="003F1703" w:rsidRDefault="009E7A59" w:rsidP="00DB727E">
      <w:pPr>
        <w:tabs>
          <w:tab w:val="left" w:pos="708"/>
        </w:tabs>
        <w:jc w:val="both"/>
        <w:rPr>
          <w:rFonts w:cs="Arial"/>
          <w:b/>
          <w:szCs w:val="20"/>
        </w:rPr>
      </w:pPr>
      <w:r w:rsidRPr="003F1703">
        <w:rPr>
          <w:rFonts w:cs="Arial"/>
          <w:b/>
          <w:szCs w:val="20"/>
        </w:rPr>
        <w:t>OBRAZLOŽITEV</w:t>
      </w:r>
    </w:p>
    <w:p w:rsidR="009E7A59" w:rsidRPr="003F1703" w:rsidRDefault="009E7A59" w:rsidP="00DB727E">
      <w:pPr>
        <w:tabs>
          <w:tab w:val="left" w:pos="708"/>
        </w:tabs>
        <w:jc w:val="both"/>
        <w:rPr>
          <w:rFonts w:cs="Arial"/>
          <w:b/>
          <w:szCs w:val="20"/>
        </w:rPr>
      </w:pPr>
    </w:p>
    <w:p w:rsidR="009E7A59" w:rsidRPr="00DB727E" w:rsidRDefault="009E7A59" w:rsidP="00DB727E">
      <w:pPr>
        <w:tabs>
          <w:tab w:val="left" w:pos="708"/>
        </w:tabs>
        <w:jc w:val="both"/>
        <w:rPr>
          <w:rFonts w:cs="Arial"/>
          <w:b/>
          <w:szCs w:val="20"/>
        </w:rPr>
      </w:pPr>
      <w:r w:rsidRPr="00DB727E">
        <w:rPr>
          <w:rFonts w:cs="Arial"/>
          <w:b/>
          <w:szCs w:val="20"/>
        </w:rPr>
        <w:t>I. UVOD</w:t>
      </w:r>
    </w:p>
    <w:p w:rsidR="00A07C70" w:rsidRDefault="00A07C70" w:rsidP="00DB727E">
      <w:pPr>
        <w:jc w:val="both"/>
        <w:rPr>
          <w:rFonts w:cs="Arial"/>
          <w:iCs/>
          <w:color w:val="000000" w:themeColor="text1"/>
          <w:szCs w:val="20"/>
          <w:lang w:eastAsia="sl-SI"/>
        </w:rPr>
      </w:pPr>
    </w:p>
    <w:p w:rsidR="00A07C70" w:rsidRPr="00A07C70" w:rsidRDefault="00A07C70" w:rsidP="00DB727E">
      <w:pPr>
        <w:jc w:val="both"/>
        <w:rPr>
          <w:rFonts w:cs="Arial"/>
          <w:color w:val="000000" w:themeColor="text1"/>
          <w:szCs w:val="20"/>
        </w:rPr>
      </w:pPr>
      <w:r w:rsidRPr="00A07C70">
        <w:rPr>
          <w:rFonts w:cs="Arial"/>
          <w:iCs/>
          <w:color w:val="000000" w:themeColor="text1"/>
          <w:szCs w:val="20"/>
          <w:lang w:eastAsia="sl-SI"/>
        </w:rPr>
        <w:t xml:space="preserve">Državni zbor Republike Slovenije je 27. oktobra 2017 sprejel </w:t>
      </w:r>
      <w:r w:rsidRPr="00A07C70">
        <w:rPr>
          <w:rFonts w:cs="Arial"/>
          <w:color w:val="000000" w:themeColor="text1"/>
          <w:szCs w:val="20"/>
        </w:rPr>
        <w:t>Zakona o spremembah zakona glavnem mestu Republike Slovenije (ZGMRS-B) (Uradni list RS, št. 59/17), ki med drugim spreminja način izračunavanja deleža dohodnine, ki pripada Mestni občini Ljubljana (</w:t>
      </w:r>
      <w:r w:rsidRPr="00A07C70">
        <w:rPr>
          <w:rFonts w:cs="Arial"/>
          <w:color w:val="000000" w:themeColor="text1"/>
          <w:szCs w:val="20"/>
          <w:lang w:eastAsia="sl-SI"/>
        </w:rPr>
        <w:t>v nadaljnjem besedilu: MO Ljubljana</w:t>
      </w:r>
      <w:r w:rsidRPr="00A07C70">
        <w:rPr>
          <w:rFonts w:cs="Arial"/>
          <w:color w:val="000000" w:themeColor="text1"/>
          <w:szCs w:val="20"/>
        </w:rPr>
        <w:t xml:space="preserve">) za posamezno proračunsko leto. Po novem pripada MO Ljubljana med 0,60 % in 0,80 % dohodnine, konkretni znesek pa se izračunava vsako leto. ZGMRS-B določa, da Vlada Republike Slovenije v 30 dneh po uveljavitvi zakona sprejme uredbo, s katero določi metodologijo </w:t>
      </w:r>
      <w:r w:rsidRPr="00A07C70">
        <w:rPr>
          <w:rFonts w:cs="Arial"/>
          <w:color w:val="000000" w:themeColor="text1"/>
          <w:szCs w:val="20"/>
          <w:lang w:eastAsia="sl-SI"/>
        </w:rPr>
        <w:t>za izračun deleža dohodnine, ki pripada MO Ljubljana na podlagi 6.a člena zakona.</w:t>
      </w:r>
      <w:r w:rsidRPr="00A07C70">
        <w:rPr>
          <w:rFonts w:cs="Arial"/>
          <w:color w:val="000000" w:themeColor="text1"/>
          <w:szCs w:val="20"/>
        </w:rPr>
        <w:t xml:space="preserve"> Novela ZGMRS-B je pričela veljati 11. 11. 2017.  </w:t>
      </w:r>
    </w:p>
    <w:p w:rsidR="00A07C70" w:rsidRPr="00A07C70" w:rsidRDefault="00A07C70" w:rsidP="00DB727E">
      <w:pPr>
        <w:jc w:val="both"/>
        <w:rPr>
          <w:rFonts w:cs="Arial"/>
          <w:color w:val="000000" w:themeColor="text1"/>
          <w:szCs w:val="20"/>
        </w:rPr>
      </w:pPr>
    </w:p>
    <w:p w:rsidR="00A07C70" w:rsidRPr="00A07C70" w:rsidRDefault="00A07C70" w:rsidP="00DB727E">
      <w:pPr>
        <w:jc w:val="both"/>
        <w:rPr>
          <w:rFonts w:cs="Arial"/>
          <w:color w:val="000000" w:themeColor="text1"/>
          <w:szCs w:val="20"/>
        </w:rPr>
      </w:pPr>
      <w:r w:rsidRPr="00A07C70">
        <w:rPr>
          <w:rFonts w:cs="Arial"/>
          <w:color w:val="000000" w:themeColor="text1"/>
          <w:szCs w:val="20"/>
        </w:rPr>
        <w:t xml:space="preserve">Z dnem </w:t>
      </w:r>
      <w:r w:rsidRPr="00A07C70">
        <w:rPr>
          <w:rFonts w:cs="Arial"/>
          <w:color w:val="000000" w:themeColor="text1"/>
        </w:rPr>
        <w:t>uveljavitve ZGRMS–B je prenehala veljati dosedanja Uredba o metodologiji za izračun razmerja med ocenjenimi stroški financiranja nalog in programov glavnega mesta in dohodnino (Uradni list RS, št. 14/10), ne glede na to pa se uporablja do uveljavitve predpisa iz spremenjenega 6.a člena zakona.</w:t>
      </w:r>
      <w:r w:rsidRPr="00A07C70">
        <w:rPr>
          <w:rFonts w:cs="Arial"/>
          <w:color w:val="000000" w:themeColor="text1"/>
          <w:szCs w:val="20"/>
        </w:rPr>
        <w:t xml:space="preserve"> Na tej podlagi je pripravljen predlog nove Uredbe o metodologiji za izračun deleža dohodnine, ki pripada MO Ljubljana.</w:t>
      </w:r>
    </w:p>
    <w:p w:rsidR="009E7A59" w:rsidRDefault="009E7A59" w:rsidP="00DB727E">
      <w:pPr>
        <w:tabs>
          <w:tab w:val="left" w:pos="708"/>
        </w:tabs>
        <w:ind w:left="720"/>
        <w:jc w:val="both"/>
        <w:rPr>
          <w:rFonts w:cs="Arial"/>
          <w:szCs w:val="20"/>
        </w:rPr>
      </w:pPr>
    </w:p>
    <w:p w:rsidR="00A07C70" w:rsidRPr="003F1703" w:rsidRDefault="00A07C70" w:rsidP="00DB727E">
      <w:pPr>
        <w:tabs>
          <w:tab w:val="left" w:pos="708"/>
        </w:tabs>
        <w:ind w:left="720"/>
        <w:jc w:val="both"/>
        <w:rPr>
          <w:rFonts w:cs="Arial"/>
          <w:szCs w:val="20"/>
        </w:rPr>
      </w:pPr>
    </w:p>
    <w:p w:rsidR="009E7A59" w:rsidRPr="00DB727E" w:rsidRDefault="009E7A59" w:rsidP="00DB727E">
      <w:pPr>
        <w:numPr>
          <w:ilvl w:val="0"/>
          <w:numId w:val="1"/>
        </w:numPr>
        <w:tabs>
          <w:tab w:val="clear" w:pos="720"/>
          <w:tab w:val="num" w:pos="-360"/>
        </w:tabs>
        <w:ind w:left="360"/>
        <w:jc w:val="both"/>
        <w:rPr>
          <w:rFonts w:cs="Arial"/>
          <w:b/>
          <w:szCs w:val="20"/>
        </w:rPr>
      </w:pPr>
      <w:r w:rsidRPr="00DB727E">
        <w:rPr>
          <w:rFonts w:cs="Arial"/>
          <w:b/>
          <w:szCs w:val="20"/>
        </w:rPr>
        <w:t>Pravna podlaga (besedilo, vsebina zakonske določbe, ki je podlaga za izdajo uredbe)</w:t>
      </w:r>
    </w:p>
    <w:p w:rsidR="009E7A59" w:rsidRDefault="009E7A59" w:rsidP="00DB727E">
      <w:pPr>
        <w:tabs>
          <w:tab w:val="left" w:pos="708"/>
        </w:tabs>
        <w:jc w:val="both"/>
        <w:rPr>
          <w:rFonts w:cs="Arial"/>
          <w:szCs w:val="20"/>
        </w:rPr>
      </w:pPr>
    </w:p>
    <w:p w:rsidR="00CD031D" w:rsidRDefault="00DB727E" w:rsidP="00DB727E">
      <w:pPr>
        <w:tabs>
          <w:tab w:val="left" w:pos="708"/>
        </w:tabs>
        <w:jc w:val="both"/>
        <w:rPr>
          <w:rFonts w:cs="Arial"/>
          <w:szCs w:val="20"/>
        </w:rPr>
      </w:pPr>
      <w:r>
        <w:rPr>
          <w:rFonts w:cs="Arial"/>
          <w:color w:val="000000" w:themeColor="text1"/>
          <w:szCs w:val="20"/>
        </w:rPr>
        <w:t xml:space="preserve">Pravna podlaga je 6.a člen </w:t>
      </w:r>
      <w:r w:rsidRPr="00894E03">
        <w:rPr>
          <w:rFonts w:cs="Arial"/>
          <w:szCs w:val="20"/>
        </w:rPr>
        <w:t>Zakona o glavnem mestu Republike Slovenije (Uradni list RS, št. 22/04</w:t>
      </w:r>
      <w:r>
        <w:rPr>
          <w:rFonts w:cs="Arial"/>
          <w:szCs w:val="20"/>
        </w:rPr>
        <w:t>,</w:t>
      </w:r>
      <w:r w:rsidRPr="00894E03">
        <w:rPr>
          <w:rFonts w:cs="Arial"/>
          <w:szCs w:val="20"/>
        </w:rPr>
        <w:t xml:space="preserve"> 110/09</w:t>
      </w:r>
      <w:r w:rsidRPr="007362BD">
        <w:rPr>
          <w:rFonts w:cs="Arial"/>
          <w:szCs w:val="20"/>
        </w:rPr>
        <w:t xml:space="preserve"> </w:t>
      </w:r>
      <w:r w:rsidRPr="00894E03">
        <w:rPr>
          <w:rFonts w:cs="Arial"/>
          <w:szCs w:val="20"/>
        </w:rPr>
        <w:t>in</w:t>
      </w:r>
      <w:r>
        <w:rPr>
          <w:rFonts w:cs="Arial"/>
          <w:szCs w:val="20"/>
        </w:rPr>
        <w:t xml:space="preserve"> 59/17</w:t>
      </w:r>
      <w:r w:rsidRPr="00894E03">
        <w:rPr>
          <w:rFonts w:cs="Arial"/>
          <w:szCs w:val="20"/>
        </w:rPr>
        <w:t>)</w:t>
      </w:r>
      <w:r>
        <w:rPr>
          <w:rFonts w:cs="Arial"/>
          <w:color w:val="000000" w:themeColor="text1"/>
          <w:szCs w:val="20"/>
        </w:rPr>
        <w:t xml:space="preserve"> in </w:t>
      </w:r>
      <w:r w:rsidRPr="00A07C70">
        <w:rPr>
          <w:rFonts w:cs="Arial"/>
          <w:color w:val="000000" w:themeColor="text1"/>
          <w:szCs w:val="20"/>
        </w:rPr>
        <w:t xml:space="preserve">Zakon </w:t>
      </w:r>
      <w:r w:rsidRPr="00DB727E">
        <w:rPr>
          <w:rFonts w:cs="Arial"/>
          <w:szCs w:val="20"/>
        </w:rPr>
        <w:t xml:space="preserve">o spremembah zakona glavnem mestu Republike Slovenije (ZGMRS-B) (Uradni list RS, št. 59/17), ki v 5. členu določa, da z dnem uveljavitve ZGMRS-B preneha veljati </w:t>
      </w:r>
      <w:r w:rsidRPr="00DB727E">
        <w:rPr>
          <w:rFonts w:cs="Arial"/>
        </w:rPr>
        <w:t>Uredba o metodologiji za izračun razmerja med ocenjenimi stroški financiranja nalog in programov glavnega mesta in dohodnino (Uradni list RS, št. 14/10)</w:t>
      </w:r>
      <w:r>
        <w:rPr>
          <w:rFonts w:cs="Arial"/>
        </w:rPr>
        <w:t xml:space="preserve"> </w:t>
      </w:r>
      <w:r w:rsidRPr="00DB727E">
        <w:rPr>
          <w:rFonts w:cs="Arial"/>
        </w:rPr>
        <w:t xml:space="preserve">, v 3. členu pa, da vlada sprejme novo uredbo o metodologiji za izračun deleža dohodnine, ki pripada MO Ljubljana, v 30 dneh po uveljavitvi zakona. </w:t>
      </w:r>
    </w:p>
    <w:p w:rsidR="00CD031D" w:rsidRPr="003F1703" w:rsidRDefault="00CD031D" w:rsidP="00DB727E">
      <w:pPr>
        <w:tabs>
          <w:tab w:val="left" w:pos="708"/>
        </w:tabs>
        <w:jc w:val="both"/>
        <w:rPr>
          <w:rFonts w:cs="Arial"/>
          <w:szCs w:val="20"/>
        </w:rPr>
      </w:pPr>
    </w:p>
    <w:p w:rsidR="009E7A59" w:rsidRPr="00DB727E" w:rsidRDefault="009E7A59" w:rsidP="00DB727E">
      <w:pPr>
        <w:numPr>
          <w:ilvl w:val="0"/>
          <w:numId w:val="1"/>
        </w:numPr>
        <w:tabs>
          <w:tab w:val="clear" w:pos="720"/>
          <w:tab w:val="num" w:pos="-360"/>
        </w:tabs>
        <w:ind w:left="360"/>
        <w:jc w:val="both"/>
        <w:rPr>
          <w:rFonts w:cs="Arial"/>
          <w:b/>
          <w:szCs w:val="20"/>
        </w:rPr>
      </w:pPr>
      <w:r w:rsidRPr="00DB727E">
        <w:rPr>
          <w:rFonts w:cs="Arial"/>
          <w:b/>
          <w:szCs w:val="20"/>
        </w:rPr>
        <w:t>Rok za izdajo uredbe, določen z zakonom</w:t>
      </w:r>
    </w:p>
    <w:p w:rsidR="00DB727E" w:rsidRDefault="00DB727E" w:rsidP="00DB727E">
      <w:pPr>
        <w:tabs>
          <w:tab w:val="left" w:pos="708"/>
        </w:tabs>
        <w:jc w:val="both"/>
        <w:rPr>
          <w:rFonts w:cs="Arial"/>
          <w:color w:val="000000" w:themeColor="text1"/>
          <w:szCs w:val="20"/>
        </w:rPr>
      </w:pPr>
    </w:p>
    <w:p w:rsidR="009E7A59" w:rsidRDefault="00DB727E" w:rsidP="00DB727E">
      <w:pPr>
        <w:tabs>
          <w:tab w:val="left" w:pos="708"/>
        </w:tabs>
        <w:jc w:val="both"/>
        <w:rPr>
          <w:rFonts w:cs="Arial"/>
        </w:rPr>
      </w:pPr>
      <w:r w:rsidRPr="00A07C70">
        <w:rPr>
          <w:rFonts w:cs="Arial"/>
          <w:color w:val="000000" w:themeColor="text1"/>
          <w:szCs w:val="20"/>
        </w:rPr>
        <w:t xml:space="preserve">Zakon </w:t>
      </w:r>
      <w:r w:rsidRPr="00DB727E">
        <w:rPr>
          <w:rFonts w:cs="Arial"/>
          <w:szCs w:val="20"/>
        </w:rPr>
        <w:t>o spremembah zakona glavnem mestu Republike Slovenije (ZGMRS-B) (Uradni list RS, št. 59/17</w:t>
      </w:r>
      <w:r>
        <w:rPr>
          <w:rFonts w:cs="Arial"/>
          <w:szCs w:val="20"/>
        </w:rPr>
        <w:t xml:space="preserve">) </w:t>
      </w:r>
      <w:r w:rsidRPr="00DB727E">
        <w:rPr>
          <w:rFonts w:cs="Arial"/>
        </w:rPr>
        <w:t xml:space="preserve">v 3. členu </w:t>
      </w:r>
      <w:r>
        <w:rPr>
          <w:rFonts w:cs="Arial"/>
        </w:rPr>
        <w:t>določa</w:t>
      </w:r>
      <w:r w:rsidRPr="00DB727E">
        <w:rPr>
          <w:rFonts w:cs="Arial"/>
        </w:rPr>
        <w:t>, da vlada sprejme novo uredbo o metodologiji za izračun deleža dohodnine, ki pripada MO Ljubljana, v 30 dneh po uveljavitvi zakona.</w:t>
      </w:r>
      <w:r>
        <w:rPr>
          <w:rFonts w:cs="Arial"/>
        </w:rPr>
        <w:t xml:space="preserve"> Zakon je pričel veljati 11. 11. 2017. Uredba </w:t>
      </w:r>
      <w:r w:rsidR="000A1A85">
        <w:rPr>
          <w:rFonts w:cs="Arial"/>
        </w:rPr>
        <w:t xml:space="preserve">prične veljati petnajsti dan po objavi v Uradnem listu RS, prvič pa se uporabi za izračun deleža dohodnine, ki pripada MO Ljubljana za leto 2019. </w:t>
      </w:r>
    </w:p>
    <w:p w:rsidR="00DB727E" w:rsidRPr="003F1703" w:rsidRDefault="00DB727E" w:rsidP="00DB727E">
      <w:pPr>
        <w:tabs>
          <w:tab w:val="left" w:pos="708"/>
        </w:tabs>
        <w:jc w:val="both"/>
        <w:rPr>
          <w:rFonts w:cs="Arial"/>
          <w:szCs w:val="20"/>
        </w:rPr>
      </w:pPr>
    </w:p>
    <w:p w:rsidR="009E7A59" w:rsidRPr="00DB727E" w:rsidRDefault="009E7A59" w:rsidP="00DB727E">
      <w:pPr>
        <w:numPr>
          <w:ilvl w:val="0"/>
          <w:numId w:val="1"/>
        </w:numPr>
        <w:tabs>
          <w:tab w:val="clear" w:pos="720"/>
          <w:tab w:val="num" w:pos="0"/>
        </w:tabs>
        <w:ind w:left="360"/>
        <w:jc w:val="both"/>
        <w:rPr>
          <w:rFonts w:cs="Arial"/>
          <w:b/>
          <w:szCs w:val="20"/>
        </w:rPr>
      </w:pPr>
      <w:r w:rsidRPr="00DB727E">
        <w:rPr>
          <w:rFonts w:cs="Arial"/>
          <w:b/>
          <w:szCs w:val="20"/>
        </w:rPr>
        <w:t>Splošna obrazložitev predloga uredbe, če je potrebna</w:t>
      </w:r>
    </w:p>
    <w:p w:rsidR="009E7A59" w:rsidRDefault="009E7A59" w:rsidP="00DB727E">
      <w:pPr>
        <w:tabs>
          <w:tab w:val="left" w:pos="708"/>
        </w:tabs>
        <w:jc w:val="both"/>
        <w:rPr>
          <w:rFonts w:cs="Arial"/>
          <w:szCs w:val="20"/>
        </w:rPr>
      </w:pPr>
    </w:p>
    <w:p w:rsidR="00DB727E" w:rsidRDefault="000A1A85" w:rsidP="00DB727E">
      <w:pPr>
        <w:tabs>
          <w:tab w:val="left" w:pos="708"/>
        </w:tabs>
        <w:jc w:val="both"/>
        <w:rPr>
          <w:rFonts w:cs="Arial"/>
          <w:szCs w:val="20"/>
        </w:rPr>
      </w:pPr>
      <w:r>
        <w:rPr>
          <w:rFonts w:cs="Arial"/>
          <w:szCs w:val="20"/>
        </w:rPr>
        <w:t xml:space="preserve">/ </w:t>
      </w:r>
    </w:p>
    <w:p w:rsidR="000A1A85" w:rsidRPr="003F1703" w:rsidRDefault="000A1A85" w:rsidP="00DB727E">
      <w:pPr>
        <w:tabs>
          <w:tab w:val="left" w:pos="708"/>
        </w:tabs>
        <w:jc w:val="both"/>
        <w:rPr>
          <w:rFonts w:cs="Arial"/>
          <w:szCs w:val="20"/>
        </w:rPr>
      </w:pPr>
    </w:p>
    <w:p w:rsidR="009E7A59" w:rsidRPr="00DB727E" w:rsidRDefault="009E7A59" w:rsidP="00DB727E">
      <w:pPr>
        <w:numPr>
          <w:ilvl w:val="0"/>
          <w:numId w:val="1"/>
        </w:numPr>
        <w:tabs>
          <w:tab w:val="clear" w:pos="720"/>
          <w:tab w:val="num" w:pos="0"/>
        </w:tabs>
        <w:ind w:left="360"/>
        <w:jc w:val="both"/>
        <w:rPr>
          <w:rFonts w:cs="Arial"/>
          <w:b/>
          <w:szCs w:val="20"/>
        </w:rPr>
      </w:pPr>
      <w:r w:rsidRPr="00DB727E">
        <w:rPr>
          <w:rFonts w:cs="Arial"/>
          <w:b/>
          <w:szCs w:val="20"/>
        </w:rPr>
        <w:t>Predstavitev presoje posledic za posamezna področja, če te niso mogle biti celovito predstavljene v predlogu zakona</w:t>
      </w:r>
    </w:p>
    <w:p w:rsidR="009E7A59" w:rsidRPr="003F1703" w:rsidRDefault="009E7A59" w:rsidP="00DB727E">
      <w:pPr>
        <w:jc w:val="both"/>
        <w:rPr>
          <w:rFonts w:cs="Arial"/>
          <w:szCs w:val="20"/>
          <w:lang w:eastAsia="sl-SI"/>
        </w:rPr>
      </w:pPr>
    </w:p>
    <w:p w:rsidR="009E7A59" w:rsidRPr="003F1703" w:rsidRDefault="000A1A85" w:rsidP="000A1A85">
      <w:pPr>
        <w:jc w:val="both"/>
        <w:rPr>
          <w:rFonts w:cs="Arial"/>
          <w:szCs w:val="20"/>
        </w:rPr>
      </w:pPr>
      <w:r w:rsidRPr="000A1A85">
        <w:t xml:space="preserve">Finančne posledice bodo za državni proračun in mestno občino. Finančne posledice bodo prvič nastale v letu 2017, ko bo treba mestni občini iz državnega proračuna zagotoviti od dneva uveljavitve zakona sorazmerni del 0,60 % dohodnine, vplačane v letu 2015, za leto 2018 pa bo pripadalo mestni občini 0,60 % dohodnine vplačane v letu 2016. To pomeni, da se bodo državnemu proračunu prihodki iz naslova dohodnine v letu 2017 znižali za 0,6 mio EUR, v letu 2018 pa za 4,8 mio eur, mestni občini pa se bodo prihodki v teh dveh letih povečali za navedene zneske. Za leti 2019 in 2020 se ocenjuje, </w:t>
      </w:r>
      <w:r w:rsidRPr="000A1A85">
        <w:lastRenderedPageBreak/>
        <w:t>da bodo finančne posledice za državni proračun in proračun mestne občine na ravni iz leta 2018, kot zgoraj navedeno.</w:t>
      </w:r>
    </w:p>
    <w:p w:rsidR="009E7A59" w:rsidRPr="003F1703" w:rsidRDefault="009E7A59" w:rsidP="00DB727E">
      <w:pPr>
        <w:pStyle w:val="Odstavekseznama1"/>
        <w:spacing w:line="260" w:lineRule="exact"/>
        <w:ind w:left="0"/>
        <w:jc w:val="both"/>
        <w:rPr>
          <w:rFonts w:ascii="Arial" w:hAnsi="Arial" w:cs="Arial"/>
          <w:sz w:val="20"/>
          <w:szCs w:val="20"/>
        </w:rPr>
      </w:pPr>
    </w:p>
    <w:p w:rsidR="009E7A59" w:rsidRPr="003F1703" w:rsidRDefault="009E7A59" w:rsidP="00DB727E">
      <w:pPr>
        <w:tabs>
          <w:tab w:val="left" w:pos="708"/>
        </w:tabs>
        <w:jc w:val="both"/>
        <w:rPr>
          <w:rFonts w:cs="Arial"/>
          <w:szCs w:val="20"/>
        </w:rPr>
      </w:pPr>
      <w:r w:rsidRPr="003F1703">
        <w:rPr>
          <w:rFonts w:cs="Arial"/>
          <w:szCs w:val="20"/>
        </w:rPr>
        <w:t>II. VSEBINSKA OBRAZLOŽITEV PREDLAGANIH REŠITEV</w:t>
      </w:r>
    </w:p>
    <w:p w:rsidR="009E7A59" w:rsidRPr="003F1703" w:rsidRDefault="009E7A59" w:rsidP="00DB727E">
      <w:pPr>
        <w:tabs>
          <w:tab w:val="left" w:pos="708"/>
        </w:tabs>
        <w:jc w:val="both"/>
        <w:rPr>
          <w:rFonts w:cs="Arial"/>
          <w:b/>
          <w:szCs w:val="20"/>
        </w:rPr>
      </w:pPr>
    </w:p>
    <w:p w:rsidR="009E7A59" w:rsidRPr="00503FEA" w:rsidRDefault="009E7A59" w:rsidP="00DB727E">
      <w:pPr>
        <w:jc w:val="both"/>
        <w:rPr>
          <w:rFonts w:cs="Arial"/>
          <w:szCs w:val="20"/>
        </w:rPr>
      </w:pPr>
    </w:p>
    <w:p w:rsidR="00A07C70" w:rsidRPr="00503FEA" w:rsidRDefault="00A07C70" w:rsidP="000A1A85">
      <w:pPr>
        <w:suppressAutoHyphens/>
        <w:overflowPunct w:val="0"/>
        <w:autoSpaceDE w:val="0"/>
        <w:autoSpaceDN w:val="0"/>
        <w:adjustRightInd w:val="0"/>
        <w:jc w:val="both"/>
        <w:textAlignment w:val="baseline"/>
        <w:rPr>
          <w:rFonts w:cs="Arial"/>
          <w:szCs w:val="20"/>
        </w:rPr>
      </w:pPr>
      <w:r w:rsidRPr="00503FEA">
        <w:rPr>
          <w:rFonts w:cs="Arial"/>
          <w:iCs/>
          <w:szCs w:val="20"/>
          <w:lang w:eastAsia="sl-SI"/>
        </w:rPr>
        <w:t xml:space="preserve">Predlog Uredbe </w:t>
      </w:r>
      <w:r w:rsidRPr="00503FEA">
        <w:rPr>
          <w:rFonts w:cs="Arial"/>
          <w:szCs w:val="20"/>
          <w:lang w:eastAsia="sl-SI"/>
        </w:rPr>
        <w:t xml:space="preserve">o metodologiji za izračun deleža dohodnine, ki pripada MO Ljubljana določa metodologijo za izračun povprečnih vrednosti tekočih stroškov vseh občin, tekočih stroškov MO Ljubljana (), tekočih stroškov mestnih občin, tekočih prihodkov MO Ljubljana in tekočih prihodkov mestnih občin za namen določitve deleža dohodnine, ki za posamezno proračunsko leto pripada MO Ljubljana po 6.a členu </w:t>
      </w:r>
      <w:r w:rsidRPr="00503FEA">
        <w:rPr>
          <w:rFonts w:cs="Arial"/>
          <w:szCs w:val="20"/>
        </w:rPr>
        <w:t>ZGMRS-B.</w:t>
      </w:r>
      <w:r w:rsidR="000A1A85" w:rsidRPr="00503FEA">
        <w:rPr>
          <w:rFonts w:cs="Arial"/>
          <w:szCs w:val="20"/>
        </w:rPr>
        <w:t xml:space="preserve"> </w:t>
      </w:r>
      <w:r w:rsidRPr="00503FEA">
        <w:rPr>
          <w:rFonts w:cs="Arial"/>
          <w:szCs w:val="20"/>
        </w:rPr>
        <w:t xml:space="preserve">V primerjavi z </w:t>
      </w:r>
      <w:r w:rsidRPr="00503FEA">
        <w:rPr>
          <w:rFonts w:cs="Arial"/>
        </w:rPr>
        <w:t>dosedanjo Uredbo o metodologiji za izračun razmerja med ocenjenimi stroški financiranja nalog in programov glavnega mesta in dohodnino (Uradni list RS, št. 14/10) prinaša nov</w:t>
      </w:r>
      <w:r w:rsidR="00CE552C">
        <w:rPr>
          <w:rFonts w:cs="Arial"/>
        </w:rPr>
        <w:t>i</w:t>
      </w:r>
      <w:r w:rsidRPr="00503FEA">
        <w:rPr>
          <w:rFonts w:cs="Arial"/>
        </w:rPr>
        <w:t xml:space="preserve"> predlog </w:t>
      </w:r>
      <w:r w:rsidRPr="00503FEA">
        <w:rPr>
          <w:rFonts w:cs="Arial"/>
          <w:iCs/>
          <w:szCs w:val="20"/>
          <w:lang w:eastAsia="sl-SI"/>
        </w:rPr>
        <w:t xml:space="preserve">Uredbe </w:t>
      </w:r>
      <w:r w:rsidRPr="00503FEA">
        <w:rPr>
          <w:rFonts w:cs="Arial"/>
          <w:szCs w:val="20"/>
          <w:lang w:eastAsia="sl-SI"/>
        </w:rPr>
        <w:t xml:space="preserve">o metodologiji za izračun deleža dohodnine, ki pripada MO Ljubljana </w:t>
      </w:r>
      <w:r w:rsidR="000A1A85" w:rsidRPr="00503FEA">
        <w:rPr>
          <w:rFonts w:cs="Arial"/>
          <w:szCs w:val="20"/>
          <w:lang w:eastAsia="sl-SI"/>
        </w:rPr>
        <w:t>spremenjen</w:t>
      </w:r>
      <w:r w:rsidRPr="00503FEA">
        <w:rPr>
          <w:rFonts w:cs="Arial"/>
          <w:szCs w:val="20"/>
          <w:lang w:eastAsia="sl-SI"/>
        </w:rPr>
        <w:t xml:space="preserve"> naslov uredbe</w:t>
      </w:r>
      <w:r w:rsidR="000A1A85" w:rsidRPr="00503FEA">
        <w:rPr>
          <w:rFonts w:cs="Arial"/>
          <w:szCs w:val="20"/>
          <w:lang w:eastAsia="sl-SI"/>
        </w:rPr>
        <w:t xml:space="preserve"> ter</w:t>
      </w:r>
      <w:r w:rsidRPr="00503FEA">
        <w:rPr>
          <w:rFonts w:cs="Arial"/>
          <w:szCs w:val="20"/>
          <w:lang w:eastAsia="sl-SI"/>
        </w:rPr>
        <w:t xml:space="preserve"> nekatere nomotehnične in vsebinske </w:t>
      </w:r>
      <w:r w:rsidR="000A1A85" w:rsidRPr="00503FEA">
        <w:rPr>
          <w:rFonts w:cs="Arial"/>
          <w:szCs w:val="20"/>
          <w:lang w:eastAsia="sl-SI"/>
        </w:rPr>
        <w:t>spremembe oziroma dopolnitve.</w:t>
      </w:r>
      <w:r w:rsidRPr="00503FEA">
        <w:rPr>
          <w:rFonts w:cs="Arial"/>
          <w:szCs w:val="20"/>
          <w:lang w:eastAsia="sl-SI"/>
        </w:rPr>
        <w:t xml:space="preserve"> </w:t>
      </w:r>
    </w:p>
    <w:p w:rsidR="00A07C70" w:rsidRPr="00503FEA" w:rsidRDefault="00A07C70" w:rsidP="00DB727E">
      <w:pPr>
        <w:jc w:val="both"/>
        <w:rPr>
          <w:rFonts w:cs="Arial"/>
          <w:szCs w:val="20"/>
        </w:rPr>
      </w:pPr>
    </w:p>
    <w:p w:rsidR="0044552E" w:rsidRDefault="000A1A85" w:rsidP="0044552E">
      <w:pPr>
        <w:jc w:val="both"/>
        <w:rPr>
          <w:rFonts w:cs="Arial"/>
          <w:color w:val="00B050"/>
          <w:szCs w:val="20"/>
        </w:rPr>
      </w:pPr>
      <w:r w:rsidRPr="00503FEA">
        <w:rPr>
          <w:rFonts w:cs="Arial"/>
          <w:szCs w:val="20"/>
        </w:rPr>
        <w:t xml:space="preserve">V </w:t>
      </w:r>
      <w:r w:rsidR="00503FEA" w:rsidRPr="00503FEA">
        <w:rPr>
          <w:rFonts w:cs="Arial"/>
          <w:szCs w:val="20"/>
        </w:rPr>
        <w:t xml:space="preserve">novi uredbi je v primerjavi </w:t>
      </w:r>
      <w:r w:rsidRPr="00503FEA">
        <w:rPr>
          <w:rFonts w:cs="Arial"/>
          <w:szCs w:val="20"/>
        </w:rPr>
        <w:t xml:space="preserve"> </w:t>
      </w:r>
      <w:r w:rsidR="00503FEA" w:rsidRPr="00503FEA">
        <w:rPr>
          <w:rFonts w:cs="Arial"/>
          <w:szCs w:val="20"/>
        </w:rPr>
        <w:t>z Uredb</w:t>
      </w:r>
      <w:r w:rsidR="00503FEA">
        <w:rPr>
          <w:rFonts w:cs="Arial"/>
          <w:szCs w:val="20"/>
        </w:rPr>
        <w:t>o</w:t>
      </w:r>
      <w:r w:rsidR="00503FEA" w:rsidRPr="00503FEA">
        <w:rPr>
          <w:rFonts w:cs="Arial"/>
          <w:szCs w:val="20"/>
        </w:rPr>
        <w:t xml:space="preserve"> o metodologiji za izračun razmerja med ocenjenimi stroški financiranja nalog in programov glavnega mesta in dohodnino (Uradni list RS, št. 14/10)</w:t>
      </w:r>
      <w:r w:rsidRPr="00503FEA">
        <w:rPr>
          <w:rFonts w:cs="Arial"/>
          <w:szCs w:val="20"/>
        </w:rPr>
        <w:t xml:space="preserve"> zajem podatkov </w:t>
      </w:r>
      <w:r w:rsidR="00503FEA">
        <w:rPr>
          <w:rFonts w:cs="Arial"/>
          <w:szCs w:val="20"/>
        </w:rPr>
        <w:t>usklajen</w:t>
      </w:r>
      <w:r w:rsidRPr="00503FEA">
        <w:rPr>
          <w:rFonts w:cs="Arial"/>
          <w:szCs w:val="20"/>
        </w:rPr>
        <w:t xml:space="preserve"> s spremenjenim 6.a členom zakona, saj ta določa, da se po novem izračun deleža dohodnine, ki pripada MO Ljubljana, izračunava vsako leto</w:t>
      </w:r>
      <w:r w:rsidR="00503FEA" w:rsidRPr="00503FEA">
        <w:rPr>
          <w:rFonts w:cs="Arial"/>
          <w:szCs w:val="20"/>
        </w:rPr>
        <w:t xml:space="preserve"> in ne več vsaka štiri leta. </w:t>
      </w:r>
      <w:r w:rsidR="00CE552C">
        <w:rPr>
          <w:rFonts w:cs="Arial"/>
          <w:szCs w:val="20"/>
        </w:rPr>
        <w:t>D</w:t>
      </w:r>
      <w:r w:rsidR="0044552E" w:rsidRPr="0044552E">
        <w:rPr>
          <w:rFonts w:cs="Arial"/>
          <w:szCs w:val="20"/>
        </w:rPr>
        <w:t xml:space="preserve">elež dohodnine, ki pripada MO Ljubljana, se izračunava na podlagi podatkov za pretekla štiri leta, vendar je z novo uredbo iz metodologije izračuna deleža dohodnine, ki pripada MO Ljubljana, črtana inflacija. T. i. indeksacija je bila v zadnjih letih postopno odpravljena v vseh predpisih v zvezi z odhodki blagajn javnega financiranja. </w:t>
      </w:r>
    </w:p>
    <w:p w:rsidR="0044552E" w:rsidRDefault="0044552E" w:rsidP="0044552E">
      <w:pPr>
        <w:jc w:val="both"/>
        <w:rPr>
          <w:rFonts w:cs="Arial"/>
          <w:color w:val="00B050"/>
          <w:szCs w:val="20"/>
        </w:rPr>
      </w:pPr>
    </w:p>
    <w:p w:rsidR="00A07C70" w:rsidRPr="00503FEA" w:rsidRDefault="00503FEA" w:rsidP="00DB727E">
      <w:pPr>
        <w:jc w:val="both"/>
        <w:rPr>
          <w:rFonts w:cs="Arial"/>
          <w:szCs w:val="20"/>
        </w:rPr>
      </w:pPr>
      <w:r w:rsidRPr="00503FEA">
        <w:rPr>
          <w:rFonts w:cs="Arial"/>
          <w:szCs w:val="20"/>
        </w:rPr>
        <w:t xml:space="preserve">Nova uredba še določa, da se </w:t>
      </w:r>
      <w:r w:rsidR="0044552E">
        <w:rPr>
          <w:rFonts w:cs="Arial"/>
          <w:szCs w:val="20"/>
        </w:rPr>
        <w:t xml:space="preserve">za </w:t>
      </w:r>
      <w:r w:rsidRPr="00503FEA">
        <w:rPr>
          <w:rFonts w:cs="Arial"/>
          <w:szCs w:val="20"/>
        </w:rPr>
        <w:t xml:space="preserve">število prebivalcev, ki </w:t>
      </w:r>
      <w:r w:rsidR="0044552E">
        <w:rPr>
          <w:rFonts w:cs="Arial"/>
          <w:szCs w:val="20"/>
        </w:rPr>
        <w:t xml:space="preserve">se ugotavlja </w:t>
      </w:r>
      <w:r w:rsidRPr="00503FEA">
        <w:rPr>
          <w:rFonts w:cs="Arial"/>
          <w:szCs w:val="20"/>
        </w:rPr>
        <w:t xml:space="preserve">za leto pred letom, ko se izračuna nova vrednost  </w:t>
      </w:r>
      <w:r w:rsidR="00A07C70" w:rsidRPr="00503FEA">
        <w:rPr>
          <w:rFonts w:cs="Arial"/>
          <w:szCs w:val="20"/>
        </w:rPr>
        <w:t>(t-2)</w:t>
      </w:r>
      <w:r>
        <w:rPr>
          <w:rFonts w:cs="Arial"/>
          <w:szCs w:val="20"/>
        </w:rPr>
        <w:t>,</w:t>
      </w:r>
      <w:r w:rsidRPr="00503FEA">
        <w:rPr>
          <w:rFonts w:cs="Arial"/>
          <w:szCs w:val="20"/>
        </w:rPr>
        <w:t xml:space="preserve"> </w:t>
      </w:r>
      <w:r w:rsidR="00A07C70" w:rsidRPr="00503FEA">
        <w:rPr>
          <w:rFonts w:cs="Arial"/>
          <w:szCs w:val="20"/>
        </w:rPr>
        <w:t>šte</w:t>
      </w:r>
      <w:r w:rsidRPr="00503FEA">
        <w:rPr>
          <w:rFonts w:cs="Arial"/>
          <w:szCs w:val="20"/>
        </w:rPr>
        <w:t xml:space="preserve">jejo </w:t>
      </w:r>
      <w:r w:rsidR="00A07C70" w:rsidRPr="00503FEA">
        <w:rPr>
          <w:rFonts w:cs="Arial"/>
          <w:szCs w:val="20"/>
        </w:rPr>
        <w:t>prebivalc</w:t>
      </w:r>
      <w:r w:rsidRPr="00503FEA">
        <w:rPr>
          <w:rFonts w:cs="Arial"/>
          <w:szCs w:val="20"/>
        </w:rPr>
        <w:t xml:space="preserve">i na dan 1. januarja tistega leta, ko je znan </w:t>
      </w:r>
      <w:r>
        <w:rPr>
          <w:rFonts w:cs="Arial"/>
          <w:szCs w:val="20"/>
        </w:rPr>
        <w:t xml:space="preserve">uradni </w:t>
      </w:r>
      <w:r w:rsidRPr="00503FEA">
        <w:rPr>
          <w:rFonts w:cs="Arial"/>
          <w:szCs w:val="20"/>
        </w:rPr>
        <w:t>podatek Statističnega urada Republike Slovenije</w:t>
      </w:r>
      <w:r w:rsidR="00A07C70" w:rsidRPr="00503FEA">
        <w:rPr>
          <w:rFonts w:cs="Arial"/>
          <w:szCs w:val="20"/>
        </w:rPr>
        <w:t>.</w:t>
      </w:r>
      <w:r w:rsidRPr="00503FEA">
        <w:rPr>
          <w:rFonts w:cs="Arial"/>
          <w:szCs w:val="20"/>
        </w:rPr>
        <w:t xml:space="preserve"> </w:t>
      </w:r>
    </w:p>
    <w:p w:rsidR="00503FEA" w:rsidRPr="00503FEA" w:rsidRDefault="00503FEA" w:rsidP="00DB727E">
      <w:pPr>
        <w:jc w:val="both"/>
        <w:rPr>
          <w:rFonts w:cs="Arial"/>
          <w:szCs w:val="20"/>
        </w:rPr>
      </w:pPr>
    </w:p>
    <w:p w:rsidR="0044552E" w:rsidRPr="00503FEA" w:rsidRDefault="0044552E" w:rsidP="0044552E">
      <w:pPr>
        <w:jc w:val="both"/>
        <w:rPr>
          <w:rFonts w:cs="Arial"/>
          <w:szCs w:val="20"/>
        </w:rPr>
      </w:pPr>
      <w:r w:rsidRPr="00503FEA">
        <w:rPr>
          <w:rFonts w:cs="Arial"/>
          <w:szCs w:val="20"/>
        </w:rPr>
        <w:t>Nova uredba je terminološko usklajena s Pravilnikom o določitvi podprogramov, ki se upoštevajo za izračun povprečnih stroškov za financiranje nalog občin (Uradni list RS, št. 48/17)</w:t>
      </w:r>
      <w:r>
        <w:rPr>
          <w:rFonts w:cs="Arial"/>
          <w:szCs w:val="20"/>
        </w:rPr>
        <w:t>.</w:t>
      </w:r>
      <w:r w:rsidRPr="00503FEA">
        <w:rPr>
          <w:rFonts w:cs="Arial"/>
          <w:szCs w:val="20"/>
        </w:rPr>
        <w:t xml:space="preserve"> </w:t>
      </w:r>
    </w:p>
    <w:p w:rsidR="00CF261E" w:rsidRDefault="00CF261E"/>
    <w:sectPr w:rsidR="00CF2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59"/>
    <w:rsid w:val="0001199F"/>
    <w:rsid w:val="00031C74"/>
    <w:rsid w:val="0005198F"/>
    <w:rsid w:val="00072215"/>
    <w:rsid w:val="000A1A85"/>
    <w:rsid w:val="000E36B3"/>
    <w:rsid w:val="00167214"/>
    <w:rsid w:val="001D4395"/>
    <w:rsid w:val="0021341A"/>
    <w:rsid w:val="00231ADD"/>
    <w:rsid w:val="00270223"/>
    <w:rsid w:val="00292ACA"/>
    <w:rsid w:val="002B308F"/>
    <w:rsid w:val="002C09AA"/>
    <w:rsid w:val="00381190"/>
    <w:rsid w:val="003C2C06"/>
    <w:rsid w:val="0044552E"/>
    <w:rsid w:val="00503FEA"/>
    <w:rsid w:val="005474EC"/>
    <w:rsid w:val="00554C0F"/>
    <w:rsid w:val="00590E3B"/>
    <w:rsid w:val="005B2ADE"/>
    <w:rsid w:val="00626295"/>
    <w:rsid w:val="00794086"/>
    <w:rsid w:val="007A0115"/>
    <w:rsid w:val="007C7E5B"/>
    <w:rsid w:val="007D4FA0"/>
    <w:rsid w:val="00837551"/>
    <w:rsid w:val="008933C2"/>
    <w:rsid w:val="008D049D"/>
    <w:rsid w:val="00934542"/>
    <w:rsid w:val="009A2E73"/>
    <w:rsid w:val="009A4254"/>
    <w:rsid w:val="009D4C26"/>
    <w:rsid w:val="009E61E1"/>
    <w:rsid w:val="009E7A59"/>
    <w:rsid w:val="00A07C70"/>
    <w:rsid w:val="00AB3D3A"/>
    <w:rsid w:val="00B50FDA"/>
    <w:rsid w:val="00BE47CF"/>
    <w:rsid w:val="00C03ADA"/>
    <w:rsid w:val="00C04C84"/>
    <w:rsid w:val="00C902D4"/>
    <w:rsid w:val="00CD031D"/>
    <w:rsid w:val="00CE552C"/>
    <w:rsid w:val="00CF261E"/>
    <w:rsid w:val="00D92BB6"/>
    <w:rsid w:val="00DB727E"/>
    <w:rsid w:val="00E0240C"/>
    <w:rsid w:val="00E57D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3EC0"/>
  <w15:docId w15:val="{7162C8D7-F755-4627-A9D6-8816F8D2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7A5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qFormat/>
    <w:rsid w:val="009E7A59"/>
    <w:pPr>
      <w:spacing w:line="240" w:lineRule="auto"/>
      <w:ind w:left="720"/>
      <w:contextualSpacing/>
    </w:pPr>
    <w:rPr>
      <w:rFonts w:ascii="Times New Roman" w:hAnsi="Times New Roman"/>
      <w:sz w:val="24"/>
      <w:lang w:eastAsia="sl-SI"/>
    </w:rPr>
  </w:style>
  <w:style w:type="paragraph" w:customStyle="1" w:styleId="pravnapodlaga">
    <w:name w:val="pravnapodlaga"/>
    <w:basedOn w:val="Navaden"/>
    <w:rsid w:val="00A07C70"/>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10159</Characters>
  <Application>Microsoft Office Word</Application>
  <DocSecurity>4</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Boršič</dc:creator>
  <cp:keywords/>
  <dc:description/>
  <cp:lastModifiedBy>Roman Lavtar</cp:lastModifiedBy>
  <cp:revision>2</cp:revision>
  <dcterms:created xsi:type="dcterms:W3CDTF">2017-11-14T13:18:00Z</dcterms:created>
  <dcterms:modified xsi:type="dcterms:W3CDTF">2017-11-14T13:18:00Z</dcterms:modified>
</cp:coreProperties>
</file>