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C" w:rsidRPr="00D9548D" w:rsidRDefault="007640EC" w:rsidP="00CE6BFD">
      <w:pPr>
        <w:spacing w:line="276" w:lineRule="auto"/>
        <w:jc w:val="both"/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Na podlagi </w:t>
      </w:r>
      <w:r w:rsidR="008957B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tretjega odstavka 78. </w:t>
      </w:r>
      <w:r w:rsidR="00C02004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člena in</w:t>
      </w:r>
      <w:r w:rsidR="00C02004" w:rsidRPr="00D9548D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 </w:t>
      </w:r>
      <w:r w:rsidR="00C02004" w:rsidRP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šeste aline</w:t>
      </w:r>
      <w:r w:rsidR="00C02004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j</w:t>
      </w:r>
      <w:r w:rsidR="00C02004" w:rsidRP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e prvega odstavka </w:t>
      </w:r>
      <w:proofErr w:type="spellStart"/>
      <w:r w:rsidR="00C02004" w:rsidRP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87.c</w:t>
      </w:r>
      <w:proofErr w:type="spellEnd"/>
      <w:r w:rsidR="00C02004" w:rsidRP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 </w:t>
      </w:r>
      <w:r w:rsidRPr="00D9548D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člena Zakona o zdravstveni dejavnosti (Uradni list RS, </w:t>
      </w:r>
      <w:r w:rsidR="00C02004" w:rsidRPr="00C02004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št. 23/05 – uradno prečiščeno besedilo, 15/08 – </w:t>
      </w:r>
      <w:proofErr w:type="spellStart"/>
      <w:r w:rsidR="00C02004" w:rsidRPr="00C02004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ZPacP</w:t>
      </w:r>
      <w:proofErr w:type="spellEnd"/>
      <w:r w:rsidR="00C02004" w:rsidRPr="00C02004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, 23/08, 58/08 – ZZdrS-E, 77/08 – </w:t>
      </w:r>
      <w:proofErr w:type="spellStart"/>
      <w:r w:rsidR="00C02004" w:rsidRPr="00C02004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ZDZdr</w:t>
      </w:r>
      <w:proofErr w:type="spellEnd"/>
      <w:r w:rsidR="00C02004" w:rsidRPr="00C02004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, 40/12 – ZUJF, 14/13 in 88/16</w:t>
      </w:r>
      <w:r w:rsidR="006216C8" w:rsidRP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 </w:t>
      </w:r>
      <w:r w:rsidR="00C02004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ter</w:t>
      </w:r>
      <w:r w:rsidR="006216C8" w:rsidRP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 8. člena Statuta Zbornice laboratorijske medicine Slovenije (sprejet na 11. seji skupščine dne 9. 6. 2006) je skupščina Zbornice laboratorijske medicine Slovenije na </w:t>
      </w:r>
      <w:r w:rsid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----</w:t>
      </w:r>
      <w:r w:rsidR="006216C8" w:rsidRP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 seji dne </w:t>
      </w:r>
      <w:r w:rsid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-------</w:t>
      </w:r>
      <w:r w:rsidR="006216C8" w:rsidRP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 xml:space="preserve"> </w:t>
      </w:r>
      <w:r w:rsidRPr="00D9548D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v soglasju z ministrico za zdravje sprejel</w:t>
      </w:r>
      <w:r w:rsidR="006216C8"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  <w:t>a</w:t>
      </w:r>
    </w:p>
    <w:p w:rsidR="00143BB3" w:rsidRPr="00D9548D" w:rsidRDefault="00143BB3" w:rsidP="00CE6BFD">
      <w:pPr>
        <w:shd w:val="clear" w:color="auto" w:fill="FFFFFF"/>
        <w:spacing w:line="276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</w:pPr>
    </w:p>
    <w:p w:rsidR="00143BB3" w:rsidRPr="00D9548D" w:rsidRDefault="00143BB3" w:rsidP="00CE6BFD">
      <w:pPr>
        <w:shd w:val="clear" w:color="auto" w:fill="FFFFFF"/>
        <w:spacing w:line="276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</w:pPr>
    </w:p>
    <w:p w:rsidR="00143BB3" w:rsidRPr="00D9548D" w:rsidRDefault="00143BB3" w:rsidP="00CE6BFD">
      <w:pPr>
        <w:shd w:val="clear" w:color="auto" w:fill="FFFFFF"/>
        <w:spacing w:line="276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sl-SI"/>
        </w:rPr>
      </w:pPr>
    </w:p>
    <w:p w:rsidR="006216C8" w:rsidRPr="006216C8" w:rsidRDefault="00BE1D13" w:rsidP="006216C8">
      <w:pPr>
        <w:pStyle w:val="Naslovpredpisa"/>
        <w:rPr>
          <w:sz w:val="20"/>
          <w:szCs w:val="20"/>
        </w:rPr>
      </w:pPr>
      <w:r w:rsidRPr="006216C8">
        <w:rPr>
          <w:bCs/>
          <w:kern w:val="36"/>
          <w:sz w:val="20"/>
          <w:szCs w:val="20"/>
        </w:rPr>
        <w:t xml:space="preserve">Pravilnik o izvajanju strokovnega nadzora s svetovanjem </w:t>
      </w:r>
      <w:r w:rsidRPr="006216C8">
        <w:rPr>
          <w:sz w:val="20"/>
          <w:szCs w:val="20"/>
        </w:rPr>
        <w:t>v dejavnosti</w:t>
      </w:r>
      <w:r w:rsidR="006216C8" w:rsidRPr="006216C8">
        <w:rPr>
          <w:sz w:val="20"/>
          <w:szCs w:val="20"/>
        </w:rPr>
        <w:t xml:space="preserve"> laboratorijske medicine</w:t>
      </w:r>
    </w:p>
    <w:p w:rsidR="00EA1478" w:rsidRPr="00D9548D" w:rsidRDefault="00BE1D13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br/>
      </w:r>
      <w:r w:rsidR="00EA1478"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I. SPLOŠNE DOLOČBE</w:t>
      </w:r>
    </w:p>
    <w:p w:rsidR="00EA1478" w:rsidRPr="00D9548D" w:rsidRDefault="00EA1478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1. člen</w:t>
      </w:r>
    </w:p>
    <w:p w:rsidR="00461CBC" w:rsidRPr="00D9548D" w:rsidRDefault="00461CBC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Ta pravilnik ureja postopek in določa ukrepe strokovnega nadzora s svetovanjem (v dejavnosti </w:t>
      </w:r>
      <w:r w:rsidR="006216C8" w:rsidRPr="006216C8">
        <w:rPr>
          <w:rFonts w:ascii="Arial" w:eastAsia="Times New Roman" w:hAnsi="Arial" w:cs="Arial"/>
          <w:sz w:val="20"/>
          <w:szCs w:val="20"/>
          <w:lang w:eastAsia="sl-SI"/>
        </w:rPr>
        <w:t>laboratorijske medicine</w:t>
      </w:r>
      <w:r w:rsidR="006216C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216C8" w:rsidRPr="00D9548D">
        <w:rPr>
          <w:rFonts w:ascii="Arial" w:eastAsia="Times New Roman" w:hAnsi="Arial" w:cs="Arial"/>
          <w:sz w:val="20"/>
          <w:szCs w:val="20"/>
          <w:lang w:eastAsia="sl-SI"/>
        </w:rPr>
        <w:t>(v nadaljnjem besedilu: strokovni nadzor)</w:t>
      </w:r>
      <w:r w:rsidR="006216C8" w:rsidRPr="006216C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2. člen</w:t>
      </w:r>
    </w:p>
    <w:p w:rsidR="00EA1478" w:rsidRPr="00D9548D" w:rsidRDefault="00FC4E09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(1) </w:t>
      </w:r>
      <w:r w:rsidR="006216C8" w:rsidRPr="006216C8">
        <w:rPr>
          <w:rFonts w:ascii="Arial" w:eastAsia="Times New Roman" w:hAnsi="Arial" w:cs="Arial"/>
          <w:sz w:val="20"/>
          <w:szCs w:val="20"/>
          <w:lang w:eastAsia="sl-SI"/>
        </w:rPr>
        <w:t xml:space="preserve">Zbornica laboratorijske medicine Slovenije (v nadaljnjem besedilu: Zbornica) </w:t>
      </w:r>
      <w:r w:rsidR="00EA1478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opravlja strokovni nadzor z namenom: </w:t>
      </w:r>
    </w:p>
    <w:p w:rsidR="00EA1478" w:rsidRPr="00D9548D" w:rsidRDefault="00EA1478" w:rsidP="00CE6BF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nadzora nad </w:t>
      </w:r>
      <w:r w:rsidR="0036203A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opravljanjem strokovne in poklicne dejavnosti ter </w:t>
      </w:r>
      <w:r w:rsidR="00143BB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poklicnih </w:t>
      </w:r>
      <w:r w:rsidR="0036203A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kompetenc izvajalcev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>laboratorijske medicine,</w:t>
      </w:r>
    </w:p>
    <w:p w:rsidR="00EA1478" w:rsidRPr="00D9548D" w:rsidRDefault="00EA1478" w:rsidP="00CE6BF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preverjanja ustreznosti poklicnih kvalifikacij, strokovnih izpopolnjevanj in organizacije dela, </w:t>
      </w:r>
    </w:p>
    <w:p w:rsidR="00EA1478" w:rsidRPr="008441D6" w:rsidRDefault="00EA1478" w:rsidP="00CE6BF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441D6">
        <w:rPr>
          <w:rFonts w:ascii="Arial" w:eastAsia="Times New Roman" w:hAnsi="Arial" w:cs="Arial"/>
          <w:sz w:val="20"/>
          <w:szCs w:val="20"/>
          <w:lang w:eastAsia="sl-SI"/>
        </w:rPr>
        <w:t xml:space="preserve">preverjanja </w:t>
      </w:r>
      <w:r w:rsidR="0036203A" w:rsidRPr="008441D6">
        <w:rPr>
          <w:rFonts w:ascii="Arial" w:eastAsia="Times New Roman" w:hAnsi="Arial" w:cs="Arial"/>
          <w:sz w:val="20"/>
          <w:szCs w:val="20"/>
          <w:lang w:eastAsia="sl-SI"/>
        </w:rPr>
        <w:t>zagotavljanja</w:t>
      </w:r>
      <w:r w:rsidRPr="008441D6">
        <w:rPr>
          <w:rFonts w:ascii="Arial" w:eastAsia="Times New Roman" w:hAnsi="Arial" w:cs="Arial"/>
          <w:sz w:val="20"/>
          <w:szCs w:val="20"/>
          <w:lang w:eastAsia="sl-SI"/>
        </w:rPr>
        <w:t xml:space="preserve"> kakovosti in varnosti na strokovnem področju, </w:t>
      </w:r>
      <w:r w:rsidR="008441D6" w:rsidRPr="008441D6">
        <w:rPr>
          <w:rFonts w:ascii="Arial" w:eastAsia="Times New Roman" w:hAnsi="Arial" w:cs="Arial"/>
          <w:sz w:val="20"/>
          <w:szCs w:val="20"/>
          <w:lang w:eastAsia="sl-SI"/>
        </w:rPr>
        <w:t>in sicer se preverja uporaba strokovno preverjenih in standardiziranih metod dela in metodološko priporočenih postopkov, aparatur in reagentov,</w:t>
      </w:r>
    </w:p>
    <w:p w:rsidR="00EA1478" w:rsidRPr="00D9548D" w:rsidRDefault="00EA1478" w:rsidP="00CE6BF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preverjanja stalnega sledenja razvoja stroke, </w:t>
      </w:r>
    </w:p>
    <w:p w:rsidR="00EA1478" w:rsidRPr="00D9548D" w:rsidRDefault="00EA1478" w:rsidP="00CE6BF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preverjanja in upoštevanja doktrin</w:t>
      </w:r>
      <w:r w:rsidR="0036203A" w:rsidRPr="00D9548D">
        <w:rPr>
          <w:rFonts w:ascii="Arial" w:eastAsia="Times New Roman" w:hAnsi="Arial" w:cs="Arial"/>
          <w:sz w:val="20"/>
          <w:szCs w:val="20"/>
          <w:lang w:eastAsia="sl-SI"/>
        </w:rPr>
        <w:t>, standardov, protokolov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smernic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>, navodil in drugih</w:t>
      </w:r>
      <w:r w:rsidR="0032085E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dokumentov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na</w:t>
      </w:r>
      <w:r w:rsidR="00BE1D1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področju dela, </w:t>
      </w:r>
    </w:p>
    <w:p w:rsidR="00EA1478" w:rsidRPr="00D9548D" w:rsidRDefault="00EA1478" w:rsidP="00CE6BF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preverjanja opravljanja dejavnosti v skladu 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>z etičnim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kodeks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>om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EA1478" w:rsidRDefault="00EA1478" w:rsidP="00CE6BF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preverjanja ustrezne kadrovske zasedenosti, </w:t>
      </w:r>
    </w:p>
    <w:p w:rsidR="00F51489" w:rsidRPr="00D9548D" w:rsidRDefault="00EA1478" w:rsidP="00CE6BFD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svetovanja na podlagi ugotovitev strokovnega nadzora.</w:t>
      </w:r>
    </w:p>
    <w:p w:rsidR="00050685" w:rsidRPr="00D9548D" w:rsidRDefault="00FC4E09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(2) Za zagotovitev strokovnosti dela izvajalcev lahko strokovni nadzor v dejavnosti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 xml:space="preserve">laboratorijske medicine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>poteka sočasno s strokovnim nadzorom za druge poklicne skupine zdravstvenih delavcev</w:t>
      </w:r>
      <w:r w:rsidR="00B4694A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2257" w:rsidRPr="00D9548D">
        <w:rPr>
          <w:rFonts w:ascii="Arial" w:eastAsia="Times New Roman" w:hAnsi="Arial" w:cs="Arial"/>
          <w:sz w:val="20"/>
          <w:szCs w:val="20"/>
          <w:lang w:eastAsia="sl-SI"/>
        </w:rPr>
        <w:t>oziroma</w:t>
      </w:r>
      <w:r w:rsidR="00B4694A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2085E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="00B4694A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upravnim nadzorom </w:t>
      </w:r>
      <w:r w:rsidR="00050685" w:rsidRPr="00D9548D">
        <w:rPr>
          <w:rFonts w:ascii="Arial" w:eastAsia="Times New Roman" w:hAnsi="Arial" w:cs="Arial"/>
          <w:sz w:val="20"/>
          <w:szCs w:val="20"/>
          <w:lang w:eastAsia="sl-SI"/>
        </w:rPr>
        <w:t>ministrstva, pristojnega za zdravje (v nadaljnjem besedilu: ministrstvo).</w:t>
      </w:r>
    </w:p>
    <w:p w:rsidR="00050685" w:rsidRPr="00D9548D" w:rsidRDefault="00050685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A1478" w:rsidRPr="00D9548D" w:rsidRDefault="00EA1478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3. člen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(1) Strokovni nadzor je lahko redni ali izredni.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(2) Redni strokovni nadzor se opravlja po programu, ki ga 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pripravi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 xml:space="preserve">Zbornica 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>v soglasju z ministrom</w:t>
      </w:r>
      <w:r w:rsidR="007640EC" w:rsidRPr="00D9548D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pristojnim za zdravje (v nadaljnjem besedilu: minister).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 xml:space="preserve">Zbornica 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>naj</w:t>
      </w:r>
      <w:r w:rsidR="008957B8">
        <w:rPr>
          <w:rFonts w:ascii="Arial" w:eastAsia="Times New Roman" w:hAnsi="Arial" w:cs="Arial"/>
          <w:sz w:val="20"/>
          <w:szCs w:val="20"/>
          <w:lang w:eastAsia="sl-SI"/>
        </w:rPr>
        <w:t>poz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>neje do 15. decembra pošlje program</w:t>
      </w:r>
      <w:r w:rsidR="00EE22C5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2257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strokovnih </w:t>
      </w:r>
      <w:r w:rsidR="00EE22C5" w:rsidRPr="00D9548D">
        <w:rPr>
          <w:rFonts w:ascii="Arial" w:eastAsia="Times New Roman" w:hAnsi="Arial" w:cs="Arial"/>
          <w:sz w:val="20"/>
          <w:szCs w:val="20"/>
          <w:lang w:eastAsia="sl-SI"/>
        </w:rPr>
        <w:t>nadzorov za naslednje leto</w:t>
      </w:r>
      <w:r w:rsidR="00F51489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ministru v soglasje. </w:t>
      </w:r>
      <w:r w:rsidR="00EE22C5" w:rsidRPr="00D9548D">
        <w:rPr>
          <w:rFonts w:ascii="Arial" w:eastAsia="Times New Roman" w:hAnsi="Arial" w:cs="Arial"/>
          <w:sz w:val="20"/>
          <w:szCs w:val="20"/>
          <w:lang w:eastAsia="sl-SI"/>
        </w:rPr>
        <w:t>Po danem soglasju se sprejeti letni program rednih strokovnih nadzorov objavi na spletnih straneh Zbornice.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(3) Izredni strokovni nadzor </w:t>
      </w:r>
      <w:r w:rsidR="0032085E" w:rsidRPr="00D9548D">
        <w:rPr>
          <w:rFonts w:ascii="Arial" w:eastAsia="Times New Roman" w:hAnsi="Arial" w:cs="Arial"/>
          <w:sz w:val="20"/>
          <w:szCs w:val="20"/>
          <w:lang w:eastAsia="sl-SI"/>
        </w:rPr>
        <w:t>se opravi</w:t>
      </w:r>
      <w:r w:rsidR="00EE22C5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izven sprejetega letnega programa iz prejšnjega odstavka.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 xml:space="preserve">Zbornica </w:t>
      </w:r>
      <w:r w:rsidR="008957B8">
        <w:rPr>
          <w:rFonts w:ascii="Arial" w:eastAsia="Times New Roman" w:hAnsi="Arial" w:cs="Arial"/>
          <w:sz w:val="20"/>
          <w:szCs w:val="20"/>
          <w:lang w:eastAsia="sl-SI"/>
        </w:rPr>
        <w:t>ga o</w:t>
      </w:r>
      <w:r w:rsidR="008957B8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pravi </w:t>
      </w:r>
      <w:r w:rsidR="00EE22C5" w:rsidRPr="00D9548D">
        <w:rPr>
          <w:rFonts w:ascii="Arial" w:eastAsia="Times New Roman" w:hAnsi="Arial" w:cs="Arial"/>
          <w:sz w:val="20"/>
          <w:szCs w:val="20"/>
          <w:lang w:eastAsia="sl-SI"/>
        </w:rPr>
        <w:t>po lastni presoji</w:t>
      </w:r>
      <w:r w:rsidR="003A1574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ali na predlog </w:t>
      </w:r>
      <w:r w:rsidR="00143BB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ministra, </w:t>
      </w:r>
      <w:r w:rsidR="003A1574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pacienta, njegovega svojca ali skrbnika, zdravstvenega zavoda,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delodajalca, zdravstvenega delavca, sodišča ali na drug predlog. </w:t>
      </w:r>
    </w:p>
    <w:p w:rsidR="00B03B7A" w:rsidRPr="00D9548D" w:rsidRDefault="00B03B7A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(4)</w:t>
      </w:r>
      <w:r w:rsidRPr="00D9548D">
        <w:rPr>
          <w:sz w:val="20"/>
          <w:szCs w:val="20"/>
        </w:rPr>
        <w:t xml:space="preserve">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 xml:space="preserve">Zbornica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lahko še pred nadzorom od izvajalca, za katerega je podan predlog za </w:t>
      </w:r>
      <w:r w:rsidR="0032085E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izredni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>strokovni nadzor, zahteva pojasnilo glede navedb v predlogu iz prejšnjega odstavka.</w:t>
      </w:r>
    </w:p>
    <w:p w:rsidR="00931DC0" w:rsidRPr="00D9548D" w:rsidRDefault="00931DC0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A1478" w:rsidRPr="00D9548D" w:rsidRDefault="00EA1478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II. POSTOPEK STROKOVNEGA NADZORA</w:t>
      </w:r>
    </w:p>
    <w:p w:rsidR="00EA1478" w:rsidRPr="00D9548D" w:rsidRDefault="00EA1478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4. člen</w:t>
      </w:r>
    </w:p>
    <w:p w:rsidR="00EA1478" w:rsidRPr="00D9548D" w:rsidRDefault="007A527E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(1) </w:t>
      </w:r>
      <w:r w:rsidR="00EA1478" w:rsidRPr="00D9548D">
        <w:rPr>
          <w:rFonts w:ascii="Arial" w:eastAsia="Times New Roman" w:hAnsi="Arial" w:cs="Arial"/>
          <w:sz w:val="20"/>
          <w:szCs w:val="20"/>
          <w:lang w:eastAsia="sl-SI"/>
        </w:rPr>
        <w:t>Strokovni nadzor se začne z izdajo sklepa</w:t>
      </w:r>
      <w:r w:rsidR="00591BF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o začetku strokovnega nadzora, v katerem</w:t>
      </w:r>
      <w:r w:rsidR="00143BB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A1574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predsednik </w:t>
      </w:r>
      <w:r w:rsidR="00591BF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Zbornice </w:t>
      </w:r>
      <w:r w:rsidR="003A1574" w:rsidRPr="00D9548D">
        <w:rPr>
          <w:rFonts w:ascii="Arial" w:eastAsia="Times New Roman" w:hAnsi="Arial" w:cs="Arial"/>
          <w:sz w:val="20"/>
          <w:szCs w:val="20"/>
          <w:lang w:eastAsia="sl-SI"/>
        </w:rPr>
        <w:t>določi:</w:t>
      </w:r>
      <w:r w:rsidR="00EA1478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– izvajalca, pri katerem se opravi strokovni nadzor,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– člane komisije,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– namen</w:t>
      </w:r>
      <w:r w:rsidR="003A1574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in vrsto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strokovnega nadzora</w:t>
      </w:r>
      <w:r w:rsidR="004D75B9" w:rsidRPr="00D9548D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– rok, do katerega se opravi strokovni nadzor.</w:t>
      </w:r>
    </w:p>
    <w:p w:rsidR="00864849" w:rsidRDefault="004E11C9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(3) </w:t>
      </w:r>
      <w:r w:rsidR="003B450F" w:rsidRPr="00D9548D">
        <w:rPr>
          <w:rFonts w:ascii="Arial" w:eastAsia="Times New Roman" w:hAnsi="Arial" w:cs="Arial"/>
          <w:sz w:val="20"/>
          <w:szCs w:val="20"/>
          <w:lang w:eastAsia="sl-SI"/>
        </w:rPr>
        <w:t>Sklep iz prvega odstavka tega člena se posreduje izvajalcu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864849">
        <w:rPr>
          <w:rFonts w:ascii="Arial" w:eastAsia="Times New Roman" w:hAnsi="Arial" w:cs="Arial"/>
          <w:sz w:val="20"/>
          <w:szCs w:val="20"/>
          <w:lang w:eastAsia="sl-SI"/>
        </w:rPr>
        <w:t xml:space="preserve">odgovorni osebi, kjer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>izvajalec</w:t>
      </w:r>
      <w:r w:rsidR="00864849">
        <w:rPr>
          <w:rFonts w:ascii="Arial" w:eastAsia="Times New Roman" w:hAnsi="Arial" w:cs="Arial"/>
          <w:sz w:val="20"/>
          <w:szCs w:val="20"/>
          <w:lang w:eastAsia="sl-SI"/>
        </w:rPr>
        <w:t xml:space="preserve"> dela.</w:t>
      </w:r>
    </w:p>
    <w:p w:rsidR="007A527E" w:rsidRPr="00D9548D" w:rsidRDefault="007A527E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sl-SI"/>
        </w:rPr>
      </w:pPr>
    </w:p>
    <w:p w:rsidR="00EA1478" w:rsidRPr="00D9548D" w:rsidRDefault="00EA1478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5. člen</w:t>
      </w:r>
    </w:p>
    <w:p w:rsidR="00875A5A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(1) Nadzorna dejanja iz 6. člena tega pravilnika opravi najmanj tričlanska komisija, ki jo, glede na </w:t>
      </w:r>
      <w:r w:rsidR="003A1574" w:rsidRPr="00D9548D">
        <w:rPr>
          <w:rFonts w:ascii="Arial" w:eastAsia="Times New Roman" w:hAnsi="Arial" w:cs="Arial"/>
          <w:sz w:val="20"/>
          <w:szCs w:val="20"/>
          <w:lang w:eastAsia="sl-SI"/>
        </w:rPr>
        <w:t>predmet strokovnega nadzora</w:t>
      </w:r>
      <w:r w:rsidR="008957B8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3A1574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za vsak posamezni </w:t>
      </w:r>
      <w:r w:rsidR="0032085E" w:rsidRPr="00D9548D">
        <w:rPr>
          <w:rFonts w:ascii="Arial" w:eastAsia="Times New Roman" w:hAnsi="Arial" w:cs="Arial"/>
          <w:sz w:val="20"/>
          <w:szCs w:val="20"/>
          <w:lang w:eastAsia="sl-SI"/>
        </w:rPr>
        <w:t>nadzor</w:t>
      </w:r>
      <w:r w:rsidR="003A1574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posebej imenu</w:t>
      </w:r>
      <w:r w:rsidR="007640EC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je predsednik Zbornice. </w:t>
      </w:r>
      <w:r w:rsidR="00875A5A" w:rsidRPr="00D9548D">
        <w:rPr>
          <w:rFonts w:ascii="Arial" w:eastAsia="Times New Roman" w:hAnsi="Arial" w:cs="Arial"/>
          <w:sz w:val="20"/>
          <w:szCs w:val="20"/>
          <w:lang w:eastAsia="sl-SI"/>
        </w:rPr>
        <w:t>Vsaj en član komisije mora biti iz ožjega strokovnega področja, ki se nadzoruje.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(2) Za člana komisije se lahko imenuje osebo, ki izpolnjuje naslednje pogoje: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(3) Za člana komisije iz prejšnjega odstavka ne more biti imenovana oseba: </w:t>
      </w:r>
    </w:p>
    <w:p w:rsidR="00EA1478" w:rsidRPr="00D9548D" w:rsidRDefault="00EA1478" w:rsidP="00CE6BFD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ki je v zadnjih treh letih z izvajalcem, pri katerem naj se opravi strokovni nadzor, poslovno sodelovala; </w:t>
      </w:r>
    </w:p>
    <w:p w:rsidR="00EA1478" w:rsidRPr="00D9548D" w:rsidRDefault="00EA1478" w:rsidP="00CE6BFD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ki je o vsebini, ki je predmet strokovnega nadzora, predhodno odločala v okviru druge institucije; </w:t>
      </w:r>
    </w:p>
    <w:p w:rsidR="00EA1478" w:rsidRPr="00D9548D" w:rsidRDefault="00EA1478" w:rsidP="00CE6BFD">
      <w:pPr>
        <w:pStyle w:val="Odstavekseznama"/>
        <w:numPr>
          <w:ilvl w:val="0"/>
          <w:numId w:val="5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za katero so podane druge okoliščine, ki vzbujajo dvom o njeni nepristranskosti.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(4) Član komisije </w:t>
      </w:r>
      <w:r w:rsidR="0031025C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Zbornici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>posreduje izjavo, da pri njem ne obstajajo razlogi iz prejšnjega odstavka, v petih dneh od prejema sklepa o začetku strokovnega nadzora.</w:t>
      </w:r>
    </w:p>
    <w:p w:rsidR="00EA1478" w:rsidRPr="00D9548D" w:rsidRDefault="00EA1478" w:rsidP="00CE6BF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6. člen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(1) Pri opravljanju strokovnega </w:t>
      </w:r>
      <w:r w:rsidR="00591BF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nadzora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komisija opravi naslednja nadzorna dejanja: </w:t>
      </w:r>
    </w:p>
    <w:p w:rsidR="00183D41" w:rsidRPr="00D9548D" w:rsidRDefault="00EA1478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lastRenderedPageBreak/>
        <w:t>pregled dokumentacije izvajalca ter ugotavlj</w:t>
      </w:r>
      <w:r w:rsidR="00183D41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anje strokovnosti, kakovosti,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varnosti </w:t>
      </w:r>
      <w:r w:rsidR="00183D41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in etičnosti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izvajanja </w:t>
      </w:r>
      <w:r w:rsidR="00183D41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dejavnosti </w:t>
      </w:r>
      <w:r w:rsidR="008E2CE7">
        <w:rPr>
          <w:rFonts w:ascii="Arial" w:eastAsia="Times New Roman" w:hAnsi="Arial" w:cs="Arial"/>
          <w:sz w:val="20"/>
          <w:szCs w:val="20"/>
          <w:lang w:eastAsia="sl-SI"/>
        </w:rPr>
        <w:t>laboratorijske medicine</w:t>
      </w:r>
      <w:r w:rsidR="00183D41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:rsidR="00EA1478" w:rsidRPr="00D9548D" w:rsidRDefault="00EA1478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ugotovitev strokovne usposobljenosti na podlagi dokazil in razgovorov, </w:t>
      </w:r>
    </w:p>
    <w:p w:rsidR="00EA1478" w:rsidRPr="00D9548D" w:rsidRDefault="00EA1478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ugotovitev zagotavljanja ustrezne organizacijske in kadrovske razporejenosti, </w:t>
      </w:r>
    </w:p>
    <w:p w:rsidR="00EA1478" w:rsidRPr="00D9548D" w:rsidRDefault="00EA1478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pregled skladnosti plana in realizacije strokovnega izpopolnjevanja, </w:t>
      </w:r>
    </w:p>
    <w:p w:rsidR="008E2CE7" w:rsidRPr="008E2CE7" w:rsidRDefault="008E2CE7" w:rsidP="008E2CE7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8E2CE7">
        <w:rPr>
          <w:rFonts w:ascii="Arial" w:eastAsia="Times New Roman" w:hAnsi="Arial" w:cs="Arial"/>
          <w:sz w:val="20"/>
          <w:szCs w:val="20"/>
          <w:lang w:eastAsia="sl-SI"/>
        </w:rPr>
        <w:t>pregled dokumentacije laboratorijske medicine ter ugotavljanje strokovnosti in kakovosti na njenem temelju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183D41" w:rsidRPr="00D9548D" w:rsidRDefault="00183D41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razgovor o povezovanju z drugimi izvajalci zdravstvene dejavnosti, </w:t>
      </w:r>
    </w:p>
    <w:p w:rsidR="00EA1478" w:rsidRPr="00D9548D" w:rsidRDefault="00EA1478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razgovor o ugotovljenih nepravilnostih, </w:t>
      </w:r>
    </w:p>
    <w:p w:rsidR="00EA1478" w:rsidRPr="00D9548D" w:rsidRDefault="00EA1478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svetovanje za izboljšanje strokovnega dela ali pogojev dela, </w:t>
      </w:r>
    </w:p>
    <w:p w:rsidR="00EA1478" w:rsidRPr="00D9548D" w:rsidRDefault="00EA1478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ogled posameznih objektov, prostorov ali opreme izvajalca, </w:t>
      </w:r>
    </w:p>
    <w:p w:rsidR="00EA1478" w:rsidRPr="00D9548D" w:rsidRDefault="00EA1478" w:rsidP="00CE6BFD">
      <w:pPr>
        <w:pStyle w:val="Odstavekseznama"/>
        <w:numPr>
          <w:ilvl w:val="0"/>
          <w:numId w:val="6"/>
        </w:num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druga nadzorna dejanja glede na namen strokovnega nadzora.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(2) Komisija lahko poleg nadzornih dejanj iz prejšnjega odstavka opravi tudi razgovor s predlagatelji strokovnega nadzora.</w:t>
      </w:r>
    </w:p>
    <w:p w:rsidR="00EA1478" w:rsidRPr="00D9548D" w:rsidRDefault="00EA1478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7. člen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(1) Strokovni nadzor praviloma poteka v prostorih izvajalca, določena nadzorna dejanja pa se lahko opravijo tudi drugje.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(2) Izvajalec ima pravico in dolžnost sodelovati s člani komisije, zagotoviti dostop v prostore, omogočiti pregled zahtevane dokumentacije in nemoteno delo komisije.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(3) Komisija ima pravico, da opravi nadzorna dejanja v prostorih izvajalca tudi brez vnaprejšnje napovedi.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(4) Strokovni nadzor se opravi v navzočnosti izvajalca, izjemoma pa se opravi tudi v njegovi odsotnosti, če ta svoje odsotnosti ne opraviči oziroma</w:t>
      </w:r>
      <w:r w:rsidR="004D09BE" w:rsidRPr="00D9548D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če se ta očitno izmika izvedbi strokovnega nadzora.</w:t>
      </w:r>
    </w:p>
    <w:p w:rsidR="00EA1478" w:rsidRPr="00D9548D" w:rsidRDefault="00EA1478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8. člen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(1) Komisija najpozneje v 15 dneh po opravljenih nadzornih dejanjih iz 6. člena tega pravilnika sestavi ugotovitveni zapisnik s predlogi ukrepov in rokih za odpravo pomanjkljivosti, ki se posreduje izvajalcu</w:t>
      </w:r>
      <w:r w:rsidR="00050685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D19D0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="007D19D0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821DE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odgovorni osebi, kjer 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>izvajalec</w:t>
      </w:r>
      <w:r w:rsidR="0086484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>dela</w:t>
      </w:r>
      <w:r w:rsidR="0086484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(2) Izvajalec morebitne pripombe na ugotovitveni zapisnik poda v osmih dneh od prejema ugotovitvenega zapisnika. 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(3) Komisija lahko izvajalca, pri katerem se je opravil strokovni nadzor, v zvezi s pripombami iz prejšnjega odstavka, povabi na usklajevalni sestanek. </w:t>
      </w:r>
    </w:p>
    <w:p w:rsidR="00461CBC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(4)</w:t>
      </w:r>
      <w:r w:rsidR="00461CBC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Komisija ugotovitveni zapisnik in morebitne pripombe izvajalca na ugotovitveni zapisnik ter morebitno poročilo o usklajevalnem sestanku pošlje Zbornici in ministrstvu.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931DC0" w:rsidRPr="00D9548D" w:rsidRDefault="00931DC0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:rsidR="00EA1478" w:rsidRPr="00D9548D" w:rsidRDefault="00EA1478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9. člen</w:t>
      </w:r>
    </w:p>
    <w:p w:rsidR="004D09BE" w:rsidRPr="00D9548D" w:rsidRDefault="004D09BE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Komisija lahko predlaga naslednje ukrepe: </w:t>
      </w:r>
    </w:p>
    <w:p w:rsidR="004D09BE" w:rsidRPr="00D9548D" w:rsidRDefault="004D09BE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1. opomin; </w:t>
      </w:r>
    </w:p>
    <w:p w:rsidR="004D09BE" w:rsidRPr="00D9548D" w:rsidRDefault="004D09BE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2. dodatno strokovno izobraževanje, izpopolnjevanje ali usposabljanje; </w:t>
      </w:r>
    </w:p>
    <w:p w:rsidR="00461CBC" w:rsidRPr="00D9548D" w:rsidRDefault="004D09BE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3. 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>naloži predsedniku Zbornice</w:t>
      </w:r>
      <w:r w:rsidR="00461CBC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, da v 60 dneh od izdaje poročila o zaključku strokovnega nadzora začne s postopkom izbrisa iz registra izvajalcev 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>laboratorijske medicine</w:t>
      </w:r>
      <w:r w:rsidR="00461CBC" w:rsidRPr="00D9548D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4D09BE" w:rsidRPr="00D9548D" w:rsidRDefault="00414EDB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4D09BE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. odpravo organizacijskih, materialnih in drugih pomanjkljivosti, ki pogojujejo neustrezno kakovost ali strokovnost dela; </w:t>
      </w:r>
    </w:p>
    <w:p w:rsidR="004D09BE" w:rsidRPr="00D9548D" w:rsidRDefault="00414EDB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="004D09BE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. začasno, dokler niso odpravljene ugotovljene pomanjkljivosti, prepove opravljanje dejavnosti </w:t>
      </w:r>
      <w:r>
        <w:rPr>
          <w:rFonts w:ascii="Arial" w:eastAsia="Times New Roman" w:hAnsi="Arial" w:cs="Arial"/>
          <w:sz w:val="20"/>
          <w:szCs w:val="20"/>
          <w:lang w:eastAsia="sl-SI"/>
        </w:rPr>
        <w:t>laboratorijske medicine</w:t>
      </w:r>
      <w:r w:rsidR="004D09BE" w:rsidRPr="00D9548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0F52D7" w:rsidRPr="00D9548D" w:rsidRDefault="000F52D7" w:rsidP="00CE6BFD">
      <w:pPr>
        <w:spacing w:after="210" w:line="276" w:lineRule="auto"/>
        <w:jc w:val="both"/>
        <w:rPr>
          <w:rFonts w:ascii="Arial" w:eastAsia="Times New Roman" w:hAnsi="Arial" w:cs="Arial"/>
          <w:color w:val="6600CC"/>
          <w:sz w:val="20"/>
          <w:szCs w:val="20"/>
          <w:lang w:eastAsia="sl-SI"/>
        </w:rPr>
      </w:pPr>
    </w:p>
    <w:p w:rsidR="000F52D7" w:rsidRPr="00D9548D" w:rsidRDefault="000F52D7" w:rsidP="00ED4714">
      <w:pPr>
        <w:spacing w:after="210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10. člen</w:t>
      </w:r>
    </w:p>
    <w:p w:rsidR="00461CBC" w:rsidRPr="00D9548D" w:rsidRDefault="00461CBC" w:rsidP="00CE6BFD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(1) </w:t>
      </w:r>
      <w:r w:rsidR="00591BF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>podlagi ugotovitvenega zapisnika</w:t>
      </w:r>
      <w:r w:rsidR="00591BF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se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>izda poročilo o zaključku strokovnega nadzora</w:t>
      </w:r>
      <w:r w:rsidR="00591BF3" w:rsidRPr="00D9548D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0F52D7" w:rsidRPr="00D9548D" w:rsidRDefault="003B450F" w:rsidP="00CE6BFD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61CBC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(2)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>Zbornica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F52D7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izda </w:t>
      </w:r>
      <w:r w:rsidR="00461CBC" w:rsidRPr="00D9548D">
        <w:rPr>
          <w:rFonts w:ascii="Arial" w:eastAsia="Times New Roman" w:hAnsi="Arial" w:cs="Arial"/>
          <w:sz w:val="20"/>
          <w:szCs w:val="20"/>
          <w:lang w:eastAsia="sl-SI"/>
        </w:rPr>
        <w:t>poročilo o zaključku strokovnega nadzora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F52D7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v naslednjih primerih: </w:t>
      </w:r>
    </w:p>
    <w:p w:rsidR="000F52D7" w:rsidRPr="00D9548D" w:rsidRDefault="000F52D7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 xml:space="preserve"> kadar izreče ukrepe iz 1., 2. ali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3. točke prejšnjega člena; </w:t>
      </w:r>
    </w:p>
    <w:p w:rsidR="000F52D7" w:rsidRPr="00D9548D" w:rsidRDefault="000F52D7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– kadar pri strokovnem nadzoru niso bile ugotovljene nepravilnosti. </w:t>
      </w:r>
    </w:p>
    <w:p w:rsidR="000F52D7" w:rsidRPr="00D9548D" w:rsidRDefault="00461CBC" w:rsidP="00CE6BFD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(3) </w:t>
      </w:r>
      <w:r w:rsidR="000F52D7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Ministrstvo izda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poročilo o zaključku strokovnega nadzora </w:t>
      </w:r>
      <w:r w:rsidR="000F52D7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v naslednjih primerih: </w:t>
      </w:r>
    </w:p>
    <w:p w:rsidR="000F52D7" w:rsidRPr="00D9548D" w:rsidRDefault="000F52D7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– kadar izreče ukrep iz 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B0BBD" w:rsidRPr="00D9548D">
        <w:rPr>
          <w:rFonts w:ascii="Arial" w:eastAsia="Times New Roman" w:hAnsi="Arial" w:cs="Arial"/>
          <w:sz w:val="20"/>
          <w:szCs w:val="20"/>
          <w:lang w:eastAsia="sl-SI"/>
        </w:rPr>
        <w:t>ali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 xml:space="preserve"> 5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. točke prejšnjega člena; </w:t>
      </w:r>
    </w:p>
    <w:p w:rsidR="000F52D7" w:rsidRPr="00D9548D" w:rsidRDefault="000F52D7" w:rsidP="00CE6BFD">
      <w:pPr>
        <w:spacing w:after="210" w:line="276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– kadar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>Zbornica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in ministrstvo hkrati izrečeta ukrepe. </w:t>
      </w:r>
    </w:p>
    <w:p w:rsidR="004D09BE" w:rsidRPr="00D9548D" w:rsidRDefault="00461CBC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(4) Poročilo o zaključku strokovnega nadzora </w:t>
      </w:r>
      <w:r w:rsidR="00931DC0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BE31AE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posreduje </w:t>
      </w:r>
      <w:r w:rsidR="00591BF3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izvajalcu </w:t>
      </w:r>
      <w:r w:rsidR="00931DC0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="00214A22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odgovorni osebi, kjer 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>izvajalec dela</w:t>
      </w:r>
      <w:r w:rsidR="000C55EE" w:rsidRPr="00D9548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Poročilo o zaključku strokovnega nadzora </w:t>
      </w:r>
      <w:r w:rsidR="000F52D7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BE31AE" w:rsidRPr="00D9548D">
        <w:rPr>
          <w:rFonts w:ascii="Arial" w:eastAsia="Times New Roman" w:hAnsi="Arial" w:cs="Arial"/>
          <w:sz w:val="20"/>
          <w:szCs w:val="20"/>
          <w:lang w:eastAsia="sl-SI"/>
        </w:rPr>
        <w:t>posreduje</w:t>
      </w:r>
      <w:r w:rsidR="000F52D7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Zbornici ali ministrstvu.</w:t>
      </w:r>
    </w:p>
    <w:p w:rsidR="00EA1478" w:rsidRPr="00D9548D" w:rsidRDefault="000F52D7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11. člen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(1) Izvajalec o posameznih izvedenih ukrepih za odpravo pomanjkljivosti, v skladu z roki, določenimi v ugotovitvenem zapisniku</w:t>
      </w:r>
      <w:r w:rsidR="00461CBC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oziroma v poročilu o zaključku strokovnega nadzora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, obvesti </w:t>
      </w:r>
      <w:r w:rsidR="000F52D7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Zbornico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proofErr w:type="spellStart"/>
      <w:r w:rsidRPr="00D9548D">
        <w:rPr>
          <w:rFonts w:ascii="Arial" w:eastAsia="Times New Roman" w:hAnsi="Arial" w:cs="Arial"/>
          <w:sz w:val="20"/>
          <w:szCs w:val="20"/>
          <w:lang w:eastAsia="sl-SI"/>
        </w:rPr>
        <w:t>evalvacijskim</w:t>
      </w:r>
      <w:proofErr w:type="spellEnd"/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poročilom. </w:t>
      </w:r>
    </w:p>
    <w:p w:rsidR="000F52D7" w:rsidRPr="00D9548D" w:rsidRDefault="00EA1478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(2) Če je bil strokovni nadzor opravljen v javnem zavodu, o ugotovitvah strokovnega nadzora, ukrepih in realizaciji ukrepov direktor javnega </w:t>
      </w:r>
      <w:r w:rsidR="00C024F6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zavoda obvesti </w:t>
      </w:r>
      <w:r w:rsidR="007D19D0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>vet zavoda.</w:t>
      </w:r>
    </w:p>
    <w:p w:rsidR="00CF714F" w:rsidRPr="00D9548D" w:rsidRDefault="00CF714F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(3) Če je iz </w:t>
      </w:r>
      <w:proofErr w:type="spellStart"/>
      <w:r w:rsidRPr="00D9548D">
        <w:rPr>
          <w:rFonts w:ascii="Arial" w:eastAsia="Times New Roman" w:hAnsi="Arial" w:cs="Arial"/>
          <w:sz w:val="20"/>
          <w:szCs w:val="20"/>
          <w:lang w:eastAsia="sl-SI"/>
        </w:rPr>
        <w:t>evalvacijskega</w:t>
      </w:r>
      <w:proofErr w:type="spellEnd"/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poročila razvidno, da izvedeni ukrepi niso zadovoljivi</w:t>
      </w:r>
      <w:r w:rsidR="00143660" w:rsidRPr="00D9548D">
        <w:rPr>
          <w:rFonts w:ascii="Arial" w:eastAsia="Times New Roman" w:hAnsi="Arial" w:cs="Arial"/>
          <w:sz w:val="20"/>
          <w:szCs w:val="20"/>
          <w:lang w:eastAsia="sl-SI"/>
        </w:rPr>
        <w:t>, oziroma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pomanjkljivosti niso bile o</w:t>
      </w:r>
      <w:r w:rsidR="002B4E8F" w:rsidRPr="00D9548D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="00272D7F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pravljene, vzroki za </w:t>
      </w:r>
      <w:proofErr w:type="spellStart"/>
      <w:r w:rsidR="00272D7F" w:rsidRPr="00D9548D">
        <w:rPr>
          <w:rFonts w:ascii="Arial" w:eastAsia="Times New Roman" w:hAnsi="Arial" w:cs="Arial"/>
          <w:sz w:val="20"/>
          <w:szCs w:val="20"/>
          <w:lang w:eastAsia="sl-SI"/>
        </w:rPr>
        <w:t>ne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>izvedbo</w:t>
      </w:r>
      <w:proofErr w:type="spellEnd"/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ukrepov oziroma odpravo pomanjkljivosti pa so na strani izvajalca, </w:t>
      </w:r>
      <w:r w:rsidR="008441D6">
        <w:rPr>
          <w:rFonts w:ascii="Arial" w:eastAsia="Times New Roman" w:hAnsi="Arial" w:cs="Arial"/>
          <w:sz w:val="20"/>
          <w:szCs w:val="20"/>
          <w:lang w:eastAsia="sl-SI"/>
        </w:rPr>
        <w:t>Zbornica</w:t>
      </w:r>
      <w:r w:rsidR="00414ED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16FC9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lahko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>predlaga ministrstvu ponovno izvedbo strokovnega nadzora.</w:t>
      </w:r>
    </w:p>
    <w:p w:rsidR="00EA1478" w:rsidRPr="00D9548D" w:rsidRDefault="00F837E4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 w:rsidR="00635DC6"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EA1478"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. člen</w:t>
      </w:r>
    </w:p>
    <w:p w:rsidR="000F52D7" w:rsidRPr="00D9548D" w:rsidRDefault="000F52D7" w:rsidP="00CE6BFD">
      <w:pPr>
        <w:pStyle w:val="odstavek1"/>
        <w:spacing w:line="276" w:lineRule="auto"/>
        <w:ind w:firstLine="0"/>
        <w:rPr>
          <w:sz w:val="20"/>
          <w:szCs w:val="20"/>
        </w:rPr>
      </w:pPr>
      <w:r w:rsidRPr="00D9548D">
        <w:rPr>
          <w:sz w:val="20"/>
          <w:szCs w:val="20"/>
        </w:rPr>
        <w:t xml:space="preserve">(1) Strokovni nadzor, ki se izvaja po rednem letnem programu, se financira iz državnega proračuna. </w:t>
      </w:r>
    </w:p>
    <w:p w:rsidR="00F81825" w:rsidRPr="00D9548D" w:rsidRDefault="000F52D7" w:rsidP="00CE6BFD">
      <w:pPr>
        <w:pStyle w:val="odstavek1"/>
        <w:spacing w:line="276" w:lineRule="auto"/>
        <w:ind w:firstLine="0"/>
        <w:rPr>
          <w:sz w:val="20"/>
          <w:szCs w:val="20"/>
        </w:rPr>
      </w:pPr>
      <w:r w:rsidRPr="00D9548D">
        <w:rPr>
          <w:sz w:val="20"/>
          <w:szCs w:val="20"/>
        </w:rPr>
        <w:t>(2) Izredni strokovni nadzor, ki se opravlja izven rednega letnega programa</w:t>
      </w:r>
      <w:r w:rsidR="00AA70E9" w:rsidRPr="00D9548D">
        <w:rPr>
          <w:sz w:val="20"/>
          <w:szCs w:val="20"/>
        </w:rPr>
        <w:t>,</w:t>
      </w:r>
      <w:r w:rsidRPr="00D9548D">
        <w:rPr>
          <w:sz w:val="20"/>
          <w:szCs w:val="20"/>
        </w:rPr>
        <w:t xml:space="preserve"> plač</w:t>
      </w:r>
      <w:r w:rsidR="0003671C" w:rsidRPr="00D9548D">
        <w:rPr>
          <w:sz w:val="20"/>
          <w:szCs w:val="20"/>
        </w:rPr>
        <w:t>a pr</w:t>
      </w:r>
      <w:r w:rsidR="00CE6BFD" w:rsidRPr="00D9548D">
        <w:rPr>
          <w:sz w:val="20"/>
          <w:szCs w:val="20"/>
        </w:rPr>
        <w:t>edlagatelj.</w:t>
      </w:r>
    </w:p>
    <w:p w:rsidR="00C024F6" w:rsidRPr="00D9548D" w:rsidRDefault="00F837E4" w:rsidP="00CE6BFD">
      <w:p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</w:t>
      </w:r>
    </w:p>
    <w:p w:rsidR="00EA1478" w:rsidRPr="00D9548D" w:rsidRDefault="00EA1478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III. </w:t>
      </w:r>
      <w:r w:rsidR="009604D5"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PREHODNI IN </w:t>
      </w:r>
      <w:r w:rsidR="00F81825">
        <w:rPr>
          <w:rFonts w:ascii="Arial" w:eastAsia="Times New Roman" w:hAnsi="Arial" w:cs="Arial"/>
          <w:b/>
          <w:sz w:val="20"/>
          <w:szCs w:val="20"/>
          <w:lang w:eastAsia="sl-SI"/>
        </w:rPr>
        <w:t>KONČ</w:t>
      </w: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N</w:t>
      </w:r>
      <w:r w:rsidR="007D19D0"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DOLOČB</w:t>
      </w:r>
      <w:r w:rsidR="007D19D0"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</w:p>
    <w:p w:rsidR="00EA1478" w:rsidRPr="00D9548D" w:rsidRDefault="00EA1478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 w:rsidR="009604D5"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. člen</w:t>
      </w:r>
    </w:p>
    <w:p w:rsidR="004E11C9" w:rsidRPr="00D9548D" w:rsidRDefault="007D19D0" w:rsidP="00143660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4E11C9" w:rsidRPr="00D9548D">
        <w:rPr>
          <w:rFonts w:ascii="Arial" w:eastAsia="Times New Roman" w:hAnsi="Arial" w:cs="Arial"/>
          <w:sz w:val="20"/>
          <w:szCs w:val="20"/>
          <w:lang w:eastAsia="sl-SI"/>
        </w:rPr>
        <w:t>trokovn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4E11C9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nadzor</w:t>
      </w:r>
      <w:r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0764A8" w:rsidRPr="00D9548D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AE792C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glede katerih je bil že izdan sklep o začetku strokovnega nadzora </w:t>
      </w:r>
      <w:r w:rsidR="004E11C9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in </w:t>
      </w:r>
      <w:r w:rsidR="00CE6BFD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do uveljavitve tega pravilnika </w:t>
      </w:r>
      <w:r w:rsidR="004E11C9" w:rsidRPr="00D9548D">
        <w:rPr>
          <w:rFonts w:ascii="Arial" w:eastAsia="Times New Roman" w:hAnsi="Arial" w:cs="Arial"/>
          <w:sz w:val="20"/>
          <w:szCs w:val="20"/>
          <w:lang w:eastAsia="sl-SI"/>
        </w:rPr>
        <w:t>še niso bili zaključeni</w:t>
      </w:r>
      <w:r>
        <w:rPr>
          <w:rFonts w:ascii="Arial" w:eastAsia="Times New Roman" w:hAnsi="Arial" w:cs="Arial"/>
          <w:sz w:val="20"/>
          <w:szCs w:val="20"/>
          <w:lang w:eastAsia="sl-SI"/>
        </w:rPr>
        <w:t>, se zaključijo po dosedanjih predpisih</w:t>
      </w:r>
      <w:r w:rsidR="00F8182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A1478" w:rsidRPr="00D9548D" w:rsidRDefault="00EA1478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 w:rsidR="009604D5"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. člen</w:t>
      </w:r>
    </w:p>
    <w:p w:rsidR="008B4851" w:rsidRPr="00414EDB" w:rsidRDefault="00414EDB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4EDB">
        <w:rPr>
          <w:rFonts w:ascii="Arial" w:eastAsia="Times New Roman" w:hAnsi="Arial" w:cs="Arial"/>
          <w:sz w:val="20"/>
          <w:szCs w:val="20"/>
          <w:lang w:eastAsia="sl-SI"/>
        </w:rPr>
        <w:t xml:space="preserve">(1) </w:t>
      </w:r>
      <w:r w:rsidR="008441D6" w:rsidRPr="00414EDB">
        <w:rPr>
          <w:rFonts w:ascii="Arial" w:eastAsia="Times New Roman" w:hAnsi="Arial" w:cs="Arial"/>
          <w:sz w:val="20"/>
          <w:szCs w:val="20"/>
          <w:lang w:eastAsia="sl-SI"/>
        </w:rPr>
        <w:t>Zbornica</w:t>
      </w:r>
      <w:r w:rsidRPr="00414ED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B4851" w:rsidRPr="00414EDB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9302B6" w:rsidRPr="00414EDB">
        <w:rPr>
          <w:rFonts w:ascii="Arial" w:eastAsia="Times New Roman" w:hAnsi="Arial" w:cs="Arial"/>
          <w:sz w:val="20"/>
          <w:szCs w:val="20"/>
          <w:lang w:eastAsia="sl-SI"/>
        </w:rPr>
        <w:t>petnajstih</w:t>
      </w:r>
      <w:r w:rsidR="008B4851" w:rsidRPr="00414EDB">
        <w:rPr>
          <w:rFonts w:ascii="Arial" w:eastAsia="Times New Roman" w:hAnsi="Arial" w:cs="Arial"/>
          <w:sz w:val="20"/>
          <w:szCs w:val="20"/>
          <w:lang w:eastAsia="sl-SI"/>
        </w:rPr>
        <w:t xml:space="preserve"> dneh od uveljavitve tega pravilnika ministr</w:t>
      </w:r>
      <w:r w:rsidR="00216FC9" w:rsidRPr="00414EDB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8B4851" w:rsidRPr="00414EDB">
        <w:rPr>
          <w:rFonts w:ascii="Arial" w:eastAsia="Times New Roman" w:hAnsi="Arial" w:cs="Arial"/>
          <w:sz w:val="20"/>
          <w:szCs w:val="20"/>
          <w:lang w:eastAsia="sl-SI"/>
        </w:rPr>
        <w:t xml:space="preserve"> v soglasje posreduje program strokovnih nadzorov za leto 2016.</w:t>
      </w:r>
    </w:p>
    <w:p w:rsidR="00414EDB" w:rsidRPr="00414EDB" w:rsidRDefault="00414EDB" w:rsidP="00CE6BF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4EDB">
        <w:rPr>
          <w:rFonts w:ascii="Arial" w:hAnsi="Arial" w:cs="Arial"/>
          <w:sz w:val="20"/>
          <w:szCs w:val="20"/>
        </w:rPr>
        <w:t>(2) Z dnem uveljavitve tega pravilnika preneha veljati Pravilnik o izvajanju strokovnega nadzora s svetovanjem za posamezne poklicne skupine zdravstvenih delavcev, ki niso organizirani v poklicnih zbornicah oziroma strokovnih združenjih z javnim pooblastilom (Uradni list RS, št. 60/13 in 3/15).</w:t>
      </w:r>
    </w:p>
    <w:p w:rsidR="00CE6BFD" w:rsidRPr="00D9548D" w:rsidRDefault="00CE6BFD" w:rsidP="00ED4714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b/>
          <w:sz w:val="20"/>
          <w:szCs w:val="20"/>
          <w:lang w:eastAsia="sl-SI"/>
        </w:rPr>
        <w:t>15. člen</w:t>
      </w:r>
    </w:p>
    <w:p w:rsidR="00EA1478" w:rsidRPr="00D9548D" w:rsidRDefault="00EA1478" w:rsidP="00CE6BFD">
      <w:p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Ta pravilnik začne veljati </w:t>
      </w:r>
      <w:r w:rsidR="00F4104C">
        <w:rPr>
          <w:rFonts w:ascii="Arial" w:eastAsia="Times New Roman" w:hAnsi="Arial" w:cs="Arial"/>
          <w:sz w:val="20"/>
          <w:szCs w:val="20"/>
          <w:lang w:eastAsia="sl-SI"/>
        </w:rPr>
        <w:t>naslednji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dan po objavi v Uradnem listu Republike Slovenije.</w:t>
      </w:r>
    </w:p>
    <w:p w:rsidR="000C55EE" w:rsidRPr="00D9548D" w:rsidRDefault="000C55EE" w:rsidP="00CE6BFD">
      <w:pPr>
        <w:spacing w:before="100" w:beforeAutospacing="1" w:after="100" w:afterAutospacing="1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35DC6" w:rsidRPr="00D9548D" w:rsidRDefault="00414EDB" w:rsidP="00D9548D">
      <w:pPr>
        <w:spacing w:line="276" w:lineRule="auto"/>
        <w:ind w:left="2832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Barbara Možina </w:t>
      </w:r>
      <w:r w:rsidR="00635DC6"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 l..r.</w:t>
      </w:r>
    </w:p>
    <w:p w:rsidR="00635DC6" w:rsidRPr="00D9548D" w:rsidRDefault="00414EDB" w:rsidP="00D9548D">
      <w:pPr>
        <w:spacing w:line="276" w:lineRule="auto"/>
        <w:ind w:left="3540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Predsednica Zbornice</w:t>
      </w:r>
    </w:p>
    <w:p w:rsidR="00635DC6" w:rsidRPr="00D9548D" w:rsidRDefault="00635DC6" w:rsidP="00CE6BFD">
      <w:pPr>
        <w:spacing w:after="21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</w:t>
      </w:r>
    </w:p>
    <w:p w:rsidR="00414EDB" w:rsidRDefault="00CE6BFD" w:rsidP="00CE6BFD">
      <w:pPr>
        <w:pStyle w:val="esegment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548D">
        <w:rPr>
          <w:rFonts w:ascii="Arial" w:hAnsi="Arial" w:cs="Arial"/>
          <w:sz w:val="20"/>
          <w:szCs w:val="20"/>
        </w:rPr>
        <w:t>Št.</w:t>
      </w:r>
      <w:r w:rsidR="00962803">
        <w:rPr>
          <w:rFonts w:ascii="Arial" w:hAnsi="Arial" w:cs="Arial"/>
          <w:sz w:val="20"/>
          <w:szCs w:val="20"/>
        </w:rPr>
        <w:t>:</w:t>
      </w:r>
      <w:r w:rsidR="00903036">
        <w:rPr>
          <w:rFonts w:ascii="Arial" w:hAnsi="Arial" w:cs="Arial"/>
          <w:sz w:val="20"/>
          <w:szCs w:val="20"/>
        </w:rPr>
        <w:t xml:space="preserve"> 0070-4/2017</w:t>
      </w:r>
      <w:r w:rsidRPr="00D9548D">
        <w:rPr>
          <w:rFonts w:ascii="Arial" w:hAnsi="Arial" w:cs="Arial"/>
          <w:sz w:val="20"/>
          <w:szCs w:val="20"/>
        </w:rPr>
        <w:t xml:space="preserve"> </w:t>
      </w:r>
    </w:p>
    <w:p w:rsidR="00CE6BFD" w:rsidRPr="00D9548D" w:rsidRDefault="00CE6BFD" w:rsidP="00CE6BFD">
      <w:pPr>
        <w:pStyle w:val="esegment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548D">
        <w:rPr>
          <w:rFonts w:ascii="Arial" w:hAnsi="Arial" w:cs="Arial"/>
          <w:sz w:val="20"/>
          <w:szCs w:val="20"/>
        </w:rPr>
        <w:t>Ljubljana, dne</w:t>
      </w:r>
      <w:r w:rsidR="00903036">
        <w:rPr>
          <w:rFonts w:ascii="Arial" w:hAnsi="Arial" w:cs="Arial"/>
          <w:sz w:val="20"/>
          <w:szCs w:val="20"/>
        </w:rPr>
        <w:t xml:space="preserve"> 16. januarja</w:t>
      </w:r>
      <w:bookmarkStart w:id="0" w:name="_GoBack"/>
      <w:bookmarkEnd w:id="0"/>
      <w:r w:rsidR="00414EDB">
        <w:rPr>
          <w:rFonts w:ascii="Arial" w:hAnsi="Arial" w:cs="Arial"/>
          <w:sz w:val="20"/>
          <w:szCs w:val="20"/>
        </w:rPr>
        <w:t xml:space="preserve"> </w:t>
      </w:r>
      <w:r w:rsidRPr="00D9548D">
        <w:rPr>
          <w:rFonts w:ascii="Arial" w:hAnsi="Arial" w:cs="Arial"/>
          <w:sz w:val="20"/>
          <w:szCs w:val="20"/>
        </w:rPr>
        <w:t>201</w:t>
      </w:r>
      <w:r w:rsidR="00962803">
        <w:rPr>
          <w:rFonts w:ascii="Arial" w:hAnsi="Arial" w:cs="Arial"/>
          <w:sz w:val="20"/>
          <w:szCs w:val="20"/>
        </w:rPr>
        <w:t>7</w:t>
      </w:r>
      <w:r w:rsidRPr="00D9548D">
        <w:rPr>
          <w:rFonts w:ascii="Arial" w:hAnsi="Arial" w:cs="Arial"/>
          <w:sz w:val="20"/>
          <w:szCs w:val="20"/>
        </w:rPr>
        <w:t xml:space="preserve"> </w:t>
      </w:r>
      <w:r w:rsidRPr="00D9548D">
        <w:rPr>
          <w:rFonts w:ascii="Arial" w:hAnsi="Arial" w:cs="Arial"/>
          <w:sz w:val="20"/>
          <w:szCs w:val="20"/>
        </w:rPr>
        <w:tab/>
      </w:r>
    </w:p>
    <w:p w:rsidR="00CE6BFD" w:rsidRPr="00D9548D" w:rsidRDefault="00CE6BFD" w:rsidP="00CE6BFD">
      <w:pPr>
        <w:pStyle w:val="esegment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548D">
        <w:rPr>
          <w:rFonts w:ascii="Arial" w:hAnsi="Arial" w:cs="Arial"/>
          <w:sz w:val="20"/>
          <w:szCs w:val="20"/>
        </w:rPr>
        <w:t>EVA</w:t>
      </w:r>
      <w:r w:rsidR="00962803">
        <w:rPr>
          <w:rFonts w:ascii="Arial" w:hAnsi="Arial" w:cs="Arial"/>
          <w:sz w:val="20"/>
          <w:szCs w:val="20"/>
        </w:rPr>
        <w:t>:</w:t>
      </w:r>
      <w:r w:rsidR="00962803">
        <w:rPr>
          <w:rFonts w:ascii="Helv" w:hAnsi="Helv" w:cs="Helv"/>
          <w:color w:val="000000"/>
          <w:sz w:val="20"/>
          <w:szCs w:val="20"/>
        </w:rPr>
        <w:t xml:space="preserve"> 2017-2711-0014</w:t>
      </w:r>
    </w:p>
    <w:p w:rsidR="00CE6BFD" w:rsidRPr="00D9548D" w:rsidRDefault="00CE6BFD" w:rsidP="00CE6BFD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35DC6" w:rsidRPr="00D9548D" w:rsidRDefault="00635DC6" w:rsidP="00CE6BFD">
      <w:pPr>
        <w:spacing w:after="21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35DC6" w:rsidRPr="00D9548D" w:rsidRDefault="00635DC6" w:rsidP="00CE6BFD">
      <w:pPr>
        <w:spacing w:after="21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635DC6" w:rsidRPr="00D9548D" w:rsidRDefault="00635DC6" w:rsidP="00CE6BFD">
      <w:pPr>
        <w:spacing w:after="210" w:line="276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>Soglašam!</w:t>
      </w:r>
    </w:p>
    <w:p w:rsidR="00635DC6" w:rsidRPr="00D9548D" w:rsidRDefault="00635DC6" w:rsidP="00CE6BFD">
      <w:pPr>
        <w:spacing w:after="210" w:line="276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 w:rsidRPr="00D9548D">
        <w:rPr>
          <w:rFonts w:ascii="Arial" w:eastAsia="Times New Roman" w:hAnsi="Arial" w:cs="Arial"/>
          <w:sz w:val="20"/>
          <w:szCs w:val="20"/>
          <w:lang w:eastAsia="sl-SI"/>
        </w:rPr>
        <w:t xml:space="preserve">Milojka Kolar Celarc l.r.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br/>
        <w:t xml:space="preserve">Ministrica </w:t>
      </w:r>
      <w:r w:rsidRPr="00D9548D">
        <w:rPr>
          <w:rFonts w:ascii="Arial" w:eastAsia="Times New Roman" w:hAnsi="Arial" w:cs="Arial"/>
          <w:sz w:val="20"/>
          <w:szCs w:val="20"/>
          <w:lang w:eastAsia="sl-SI"/>
        </w:rPr>
        <w:br/>
        <w:t>za zdravje</w:t>
      </w:r>
    </w:p>
    <w:p w:rsidR="00635DC6" w:rsidRPr="00D9548D" w:rsidRDefault="00635DC6" w:rsidP="00CE6BFD">
      <w:pPr>
        <w:spacing w:line="276" w:lineRule="auto"/>
        <w:rPr>
          <w:rFonts w:ascii="Arial" w:hAnsi="Arial" w:cs="Arial"/>
          <w:color w:val="6600CC"/>
          <w:sz w:val="20"/>
          <w:szCs w:val="20"/>
        </w:rPr>
      </w:pPr>
      <w:r w:rsidRPr="00D9548D">
        <w:rPr>
          <w:rFonts w:ascii="Arial" w:hAnsi="Arial" w:cs="Arial"/>
          <w:sz w:val="20"/>
          <w:szCs w:val="20"/>
        </w:rPr>
        <w:tab/>
      </w:r>
      <w:r w:rsidRPr="00D9548D">
        <w:rPr>
          <w:rFonts w:ascii="Arial" w:hAnsi="Arial" w:cs="Arial"/>
          <w:sz w:val="20"/>
          <w:szCs w:val="20"/>
        </w:rPr>
        <w:tab/>
      </w:r>
      <w:r w:rsidRPr="00D9548D">
        <w:rPr>
          <w:rFonts w:ascii="Arial" w:hAnsi="Arial" w:cs="Arial"/>
          <w:sz w:val="20"/>
          <w:szCs w:val="20"/>
        </w:rPr>
        <w:tab/>
      </w:r>
      <w:r w:rsidRPr="00D9548D">
        <w:rPr>
          <w:rFonts w:ascii="Arial" w:hAnsi="Arial" w:cs="Arial"/>
          <w:color w:val="6600CC"/>
          <w:sz w:val="20"/>
          <w:szCs w:val="20"/>
        </w:rPr>
        <w:tab/>
      </w:r>
      <w:r w:rsidRPr="00D9548D">
        <w:rPr>
          <w:rFonts w:ascii="Arial" w:hAnsi="Arial" w:cs="Arial"/>
          <w:color w:val="6600CC"/>
          <w:sz w:val="20"/>
          <w:szCs w:val="20"/>
        </w:rPr>
        <w:tab/>
      </w:r>
    </w:p>
    <w:p w:rsidR="00AF61F9" w:rsidRPr="00D9548D" w:rsidRDefault="00AF61F9" w:rsidP="00CE6B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F61F9" w:rsidRPr="00D9548D" w:rsidSect="00AF61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29" w:rsidRDefault="00EE6A29" w:rsidP="009302B6">
      <w:r>
        <w:separator/>
      </w:r>
    </w:p>
  </w:endnote>
  <w:endnote w:type="continuationSeparator" w:id="0">
    <w:p w:rsidR="00EE6A29" w:rsidRDefault="00EE6A29" w:rsidP="0093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25593"/>
      <w:docPartObj>
        <w:docPartGallery w:val="Page Numbers (Bottom of Page)"/>
        <w:docPartUnique/>
      </w:docPartObj>
    </w:sdtPr>
    <w:sdtContent>
      <w:p w:rsidR="00EE6A29" w:rsidRDefault="00EE6A29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036">
          <w:rPr>
            <w:noProof/>
          </w:rPr>
          <w:t>5</w:t>
        </w:r>
        <w:r>
          <w:fldChar w:fldCharType="end"/>
        </w:r>
      </w:p>
    </w:sdtContent>
  </w:sdt>
  <w:p w:rsidR="00EE6A29" w:rsidRDefault="00EE6A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29" w:rsidRDefault="00EE6A29" w:rsidP="009302B6">
      <w:r>
        <w:separator/>
      </w:r>
    </w:p>
  </w:footnote>
  <w:footnote w:type="continuationSeparator" w:id="0">
    <w:p w:rsidR="00EE6A29" w:rsidRDefault="00EE6A29" w:rsidP="0093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AF7"/>
    <w:multiLevelType w:val="hybridMultilevel"/>
    <w:tmpl w:val="EDB26852"/>
    <w:lvl w:ilvl="0" w:tplc="F482E13C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0E1B"/>
    <w:multiLevelType w:val="hybridMultilevel"/>
    <w:tmpl w:val="4E42C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2E13C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58C4"/>
    <w:multiLevelType w:val="hybridMultilevel"/>
    <w:tmpl w:val="627A71E6"/>
    <w:lvl w:ilvl="0" w:tplc="F482E13C">
      <w:numFmt w:val="bullet"/>
      <w:lvlText w:val="–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103AB"/>
    <w:multiLevelType w:val="hybridMultilevel"/>
    <w:tmpl w:val="EC1EC11A"/>
    <w:lvl w:ilvl="0" w:tplc="F482E13C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6624"/>
    <w:multiLevelType w:val="hybridMultilevel"/>
    <w:tmpl w:val="B71C1B5C"/>
    <w:lvl w:ilvl="0" w:tplc="CD0CFE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2AA1"/>
    <w:multiLevelType w:val="multilevel"/>
    <w:tmpl w:val="9E6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94B77"/>
    <w:multiLevelType w:val="hybridMultilevel"/>
    <w:tmpl w:val="8BEEA670"/>
    <w:lvl w:ilvl="0" w:tplc="F482E13C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8"/>
    <w:rsid w:val="0003671C"/>
    <w:rsid w:val="00050685"/>
    <w:rsid w:val="000764A8"/>
    <w:rsid w:val="000821DE"/>
    <w:rsid w:val="000A0A5A"/>
    <w:rsid w:val="000C55EE"/>
    <w:rsid w:val="000F52D7"/>
    <w:rsid w:val="000F664E"/>
    <w:rsid w:val="001011EC"/>
    <w:rsid w:val="00134821"/>
    <w:rsid w:val="00143660"/>
    <w:rsid w:val="00143BB3"/>
    <w:rsid w:val="00183D41"/>
    <w:rsid w:val="001C3B69"/>
    <w:rsid w:val="00214A22"/>
    <w:rsid w:val="00216FC9"/>
    <w:rsid w:val="00231FC4"/>
    <w:rsid w:val="0024026E"/>
    <w:rsid w:val="00272D7F"/>
    <w:rsid w:val="002B4E8F"/>
    <w:rsid w:val="002B4FCE"/>
    <w:rsid w:val="002E238D"/>
    <w:rsid w:val="0031025C"/>
    <w:rsid w:val="0032085E"/>
    <w:rsid w:val="003602FC"/>
    <w:rsid w:val="0036203A"/>
    <w:rsid w:val="00362843"/>
    <w:rsid w:val="00386C2A"/>
    <w:rsid w:val="003A1574"/>
    <w:rsid w:val="003B450F"/>
    <w:rsid w:val="00414EDB"/>
    <w:rsid w:val="00461CBC"/>
    <w:rsid w:val="0046473A"/>
    <w:rsid w:val="004945B5"/>
    <w:rsid w:val="004B05DC"/>
    <w:rsid w:val="004D09BE"/>
    <w:rsid w:val="004D75B9"/>
    <w:rsid w:val="004E11C9"/>
    <w:rsid w:val="00531097"/>
    <w:rsid w:val="005346B9"/>
    <w:rsid w:val="00591BF3"/>
    <w:rsid w:val="00596189"/>
    <w:rsid w:val="005A5A73"/>
    <w:rsid w:val="005D2528"/>
    <w:rsid w:val="006216C8"/>
    <w:rsid w:val="006237B7"/>
    <w:rsid w:val="0062681A"/>
    <w:rsid w:val="00635DC6"/>
    <w:rsid w:val="0064141D"/>
    <w:rsid w:val="00696780"/>
    <w:rsid w:val="006A183D"/>
    <w:rsid w:val="006D5B11"/>
    <w:rsid w:val="006E5BA3"/>
    <w:rsid w:val="006F4023"/>
    <w:rsid w:val="007354CA"/>
    <w:rsid w:val="007640EC"/>
    <w:rsid w:val="00772FB8"/>
    <w:rsid w:val="00792015"/>
    <w:rsid w:val="007A527E"/>
    <w:rsid w:val="007B67D1"/>
    <w:rsid w:val="007D19D0"/>
    <w:rsid w:val="007F13DE"/>
    <w:rsid w:val="00831E40"/>
    <w:rsid w:val="008441D6"/>
    <w:rsid w:val="00864849"/>
    <w:rsid w:val="00875A5A"/>
    <w:rsid w:val="0088052B"/>
    <w:rsid w:val="008957B8"/>
    <w:rsid w:val="008A4023"/>
    <w:rsid w:val="008B0BBD"/>
    <w:rsid w:val="008B4851"/>
    <w:rsid w:val="008E2CE7"/>
    <w:rsid w:val="008F16EF"/>
    <w:rsid w:val="00903036"/>
    <w:rsid w:val="00926237"/>
    <w:rsid w:val="009302B6"/>
    <w:rsid w:val="00931DC0"/>
    <w:rsid w:val="009604D5"/>
    <w:rsid w:val="00962803"/>
    <w:rsid w:val="009949BA"/>
    <w:rsid w:val="009A2C0F"/>
    <w:rsid w:val="009D17EA"/>
    <w:rsid w:val="00A75332"/>
    <w:rsid w:val="00AA70E9"/>
    <w:rsid w:val="00AE5B16"/>
    <w:rsid w:val="00AE792C"/>
    <w:rsid w:val="00AF61F9"/>
    <w:rsid w:val="00B02130"/>
    <w:rsid w:val="00B03B7A"/>
    <w:rsid w:val="00B27743"/>
    <w:rsid w:val="00B4694A"/>
    <w:rsid w:val="00B5294B"/>
    <w:rsid w:val="00BB0BFB"/>
    <w:rsid w:val="00BB2257"/>
    <w:rsid w:val="00BE1D13"/>
    <w:rsid w:val="00BE31AE"/>
    <w:rsid w:val="00C02004"/>
    <w:rsid w:val="00C024F6"/>
    <w:rsid w:val="00C13849"/>
    <w:rsid w:val="00C5011A"/>
    <w:rsid w:val="00C92A70"/>
    <w:rsid w:val="00CE6BFD"/>
    <w:rsid w:val="00CF2761"/>
    <w:rsid w:val="00CF714F"/>
    <w:rsid w:val="00D4445A"/>
    <w:rsid w:val="00D46B89"/>
    <w:rsid w:val="00D55768"/>
    <w:rsid w:val="00D65DDC"/>
    <w:rsid w:val="00D74868"/>
    <w:rsid w:val="00D9548D"/>
    <w:rsid w:val="00DE0F34"/>
    <w:rsid w:val="00E00467"/>
    <w:rsid w:val="00E240A9"/>
    <w:rsid w:val="00E45680"/>
    <w:rsid w:val="00E518F0"/>
    <w:rsid w:val="00E77E5B"/>
    <w:rsid w:val="00E80F0F"/>
    <w:rsid w:val="00EA1478"/>
    <w:rsid w:val="00ED42BA"/>
    <w:rsid w:val="00ED4714"/>
    <w:rsid w:val="00EE22C5"/>
    <w:rsid w:val="00EE6A29"/>
    <w:rsid w:val="00F353CA"/>
    <w:rsid w:val="00F4104C"/>
    <w:rsid w:val="00F51489"/>
    <w:rsid w:val="00F63A5E"/>
    <w:rsid w:val="00F81825"/>
    <w:rsid w:val="00F837E4"/>
    <w:rsid w:val="00F87ADA"/>
    <w:rsid w:val="00F95A05"/>
    <w:rsid w:val="00FB5A7C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61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">
    <w:name w:val="esegment_t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esegmenth4">
    <w:name w:val="esegment_h4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esegmentc1">
    <w:name w:val="esegment_c1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esegmentp1">
    <w:name w:val="esegment_p1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toptool">
    <w:name w:val="top_tool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A1478"/>
    <w:rPr>
      <w:color w:val="0000FF"/>
      <w:u w:val="single"/>
    </w:rPr>
  </w:style>
  <w:style w:type="paragraph" w:customStyle="1" w:styleId="textright">
    <w:name w:val="textright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EA1478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EA1478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EA1478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EA1478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83D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09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09B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09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09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09B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9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9BE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0F52D7"/>
    <w:pPr>
      <w:spacing w:before="240"/>
      <w:ind w:firstLine="1021"/>
      <w:jc w:val="both"/>
    </w:pPr>
    <w:rPr>
      <w:rFonts w:ascii="Arial" w:eastAsia="Times New Roman" w:hAnsi="Arial" w:cs="Arial"/>
      <w:sz w:val="2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02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02B6"/>
  </w:style>
  <w:style w:type="paragraph" w:styleId="Noga">
    <w:name w:val="footer"/>
    <w:basedOn w:val="Navaden"/>
    <w:link w:val="NogaZnak"/>
    <w:uiPriority w:val="99"/>
    <w:unhideWhenUsed/>
    <w:rsid w:val="009302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02B6"/>
  </w:style>
  <w:style w:type="paragraph" w:customStyle="1" w:styleId="Naslovpredpisa">
    <w:name w:val="Naslov_predpisa"/>
    <w:basedOn w:val="Navaden"/>
    <w:link w:val="NaslovpredpisaZnak"/>
    <w:qFormat/>
    <w:rsid w:val="006216C8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sz w:val="22"/>
      <w:lang w:eastAsia="sl-SI"/>
    </w:rPr>
  </w:style>
  <w:style w:type="character" w:customStyle="1" w:styleId="NaslovpredpisaZnak">
    <w:name w:val="Naslov_predpisa Znak"/>
    <w:link w:val="Naslovpredpisa"/>
    <w:rsid w:val="006216C8"/>
    <w:rPr>
      <w:rFonts w:ascii="Arial" w:eastAsia="Times New Roman" w:hAnsi="Arial" w:cs="Arial"/>
      <w:b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61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">
    <w:name w:val="esegment_t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esegmenth4">
    <w:name w:val="esegment_h4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esegmentc1">
    <w:name w:val="esegment_c1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esegmentp1">
    <w:name w:val="esegment_p1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customStyle="1" w:styleId="toptool">
    <w:name w:val="top_tool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A1478"/>
    <w:rPr>
      <w:color w:val="0000FF"/>
      <w:u w:val="single"/>
    </w:rPr>
  </w:style>
  <w:style w:type="paragraph" w:customStyle="1" w:styleId="textright">
    <w:name w:val="textright"/>
    <w:basedOn w:val="Navaden"/>
    <w:rsid w:val="00EA147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EA1478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EA1478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EA1478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EA1478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83D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09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09B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09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09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09B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9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9BE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0F52D7"/>
    <w:pPr>
      <w:spacing w:before="240"/>
      <w:ind w:firstLine="1021"/>
      <w:jc w:val="both"/>
    </w:pPr>
    <w:rPr>
      <w:rFonts w:ascii="Arial" w:eastAsia="Times New Roman" w:hAnsi="Arial" w:cs="Arial"/>
      <w:sz w:val="2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02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02B6"/>
  </w:style>
  <w:style w:type="paragraph" w:styleId="Noga">
    <w:name w:val="footer"/>
    <w:basedOn w:val="Navaden"/>
    <w:link w:val="NogaZnak"/>
    <w:uiPriority w:val="99"/>
    <w:unhideWhenUsed/>
    <w:rsid w:val="009302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02B6"/>
  </w:style>
  <w:style w:type="paragraph" w:customStyle="1" w:styleId="Naslovpredpisa">
    <w:name w:val="Naslov_predpisa"/>
    <w:basedOn w:val="Navaden"/>
    <w:link w:val="NaslovpredpisaZnak"/>
    <w:qFormat/>
    <w:rsid w:val="006216C8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sz w:val="22"/>
      <w:lang w:eastAsia="sl-SI"/>
    </w:rPr>
  </w:style>
  <w:style w:type="character" w:customStyle="1" w:styleId="NaslovpredpisaZnak">
    <w:name w:val="Naslov_predpisa Znak"/>
    <w:link w:val="Naslovpredpisa"/>
    <w:rsid w:val="006216C8"/>
    <w:rPr>
      <w:rFonts w:ascii="Arial" w:eastAsia="Times New Roman" w:hAnsi="Arial" w:cs="Arial"/>
      <w:b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74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8945-F7C2-4447-92C7-7013EA7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Tjaša Barbara Kump</cp:lastModifiedBy>
  <cp:revision>3</cp:revision>
  <cp:lastPrinted>2016-05-25T09:00:00Z</cp:lastPrinted>
  <dcterms:created xsi:type="dcterms:W3CDTF">2017-01-16T12:18:00Z</dcterms:created>
  <dcterms:modified xsi:type="dcterms:W3CDTF">2017-01-16T14:12:00Z</dcterms:modified>
</cp:coreProperties>
</file>