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43063" w14:textId="77777777" w:rsidR="00366039" w:rsidRDefault="00366039">
      <w:pPr>
        <w:spacing w:after="0" w:line="260" w:lineRule="auto"/>
        <w:rPr>
          <w:rFonts w:cs="Arial"/>
        </w:rPr>
      </w:pPr>
    </w:p>
    <w:p w14:paraId="31D13576" w14:textId="77777777" w:rsidR="00366039" w:rsidRDefault="00366039">
      <w:pPr>
        <w:spacing w:after="0" w:line="260" w:lineRule="auto"/>
        <w:rPr>
          <w:rFonts w:cs="Arial"/>
        </w:rPr>
      </w:pPr>
    </w:p>
    <w:p w14:paraId="41FCAE22" w14:textId="77777777" w:rsidR="00366039" w:rsidRDefault="00366039">
      <w:pPr>
        <w:spacing w:after="0" w:line="260" w:lineRule="auto"/>
        <w:rPr>
          <w:rFonts w:cs="Arial"/>
        </w:rPr>
      </w:pPr>
    </w:p>
    <w:p w14:paraId="15B12605" w14:textId="77777777" w:rsidR="00366039" w:rsidRDefault="00366039">
      <w:pPr>
        <w:spacing w:after="0" w:line="260" w:lineRule="auto"/>
        <w:rPr>
          <w:rFonts w:cs="Arial"/>
        </w:rPr>
      </w:pPr>
    </w:p>
    <w:p w14:paraId="480C5539" w14:textId="77777777" w:rsidR="00366039" w:rsidRDefault="00366039">
      <w:pPr>
        <w:spacing w:after="0" w:line="260" w:lineRule="auto"/>
        <w:rPr>
          <w:rFonts w:cs="Arial"/>
        </w:rPr>
      </w:pPr>
    </w:p>
    <w:p w14:paraId="1C2E4985" w14:textId="77777777" w:rsidR="00366039" w:rsidRDefault="00366039">
      <w:pPr>
        <w:spacing w:after="0" w:line="260" w:lineRule="auto"/>
        <w:rPr>
          <w:rFonts w:cs="Arial"/>
        </w:rPr>
      </w:pPr>
    </w:p>
    <w:p w14:paraId="36C736AE" w14:textId="77777777" w:rsidR="00366039" w:rsidRDefault="00366039">
      <w:pPr>
        <w:spacing w:after="0" w:line="260" w:lineRule="auto"/>
        <w:rPr>
          <w:rFonts w:cs="Arial"/>
        </w:rPr>
      </w:pPr>
    </w:p>
    <w:p w14:paraId="13897001" w14:textId="77777777" w:rsidR="00366039" w:rsidRDefault="00366039">
      <w:pPr>
        <w:spacing w:after="0" w:line="260" w:lineRule="auto"/>
        <w:rPr>
          <w:rFonts w:cs="Arial"/>
        </w:rPr>
      </w:pPr>
    </w:p>
    <w:p w14:paraId="1A9A9215" w14:textId="77777777" w:rsidR="00366039" w:rsidRDefault="00366039">
      <w:pPr>
        <w:spacing w:after="0" w:line="260" w:lineRule="auto"/>
        <w:rPr>
          <w:rFonts w:cs="Arial"/>
        </w:rPr>
      </w:pPr>
    </w:p>
    <w:p w14:paraId="36E3008D" w14:textId="77777777" w:rsidR="00366039" w:rsidRDefault="00366039">
      <w:pPr>
        <w:spacing w:after="0" w:line="260" w:lineRule="auto"/>
        <w:rPr>
          <w:rFonts w:cs="Arial"/>
        </w:rPr>
      </w:pPr>
    </w:p>
    <w:p w14:paraId="3D9901A8" w14:textId="77777777" w:rsidR="00366039" w:rsidRDefault="00366039">
      <w:pPr>
        <w:spacing w:after="0" w:line="260" w:lineRule="auto"/>
        <w:rPr>
          <w:rFonts w:cs="Arial"/>
        </w:rPr>
      </w:pPr>
    </w:p>
    <w:p w14:paraId="31E15B1B" w14:textId="77777777" w:rsidR="00366039" w:rsidRDefault="00366039">
      <w:pPr>
        <w:spacing w:after="0" w:line="260" w:lineRule="auto"/>
        <w:rPr>
          <w:rFonts w:cs="Arial"/>
        </w:rPr>
      </w:pPr>
    </w:p>
    <w:p w14:paraId="2D70E2D1" w14:textId="77777777" w:rsidR="00366039" w:rsidRDefault="00366039">
      <w:pPr>
        <w:spacing w:after="0" w:line="260" w:lineRule="auto"/>
        <w:rPr>
          <w:rFonts w:cs="Arial"/>
        </w:rPr>
      </w:pPr>
    </w:p>
    <w:p w14:paraId="5EBA34C1" w14:textId="77777777" w:rsidR="00366039" w:rsidRDefault="00366039">
      <w:pPr>
        <w:spacing w:after="0" w:line="260" w:lineRule="auto"/>
        <w:rPr>
          <w:rFonts w:cs="Arial"/>
        </w:rPr>
      </w:pPr>
    </w:p>
    <w:p w14:paraId="2886BF3C" w14:textId="77777777" w:rsidR="00366039" w:rsidRDefault="00B1370D">
      <w:pPr>
        <w:pStyle w:val="SredinskoOdebeljeno"/>
        <w:spacing w:line="260" w:lineRule="auto"/>
      </w:pPr>
      <w:r>
        <w:t>PRAVILNIK O BLAGU, ZA KATERO SE IZDA GARANCIJA ZA BREZHIBNO DELOVANJE IN O BLAGU, KI IZPOLNJUJE ZAHTEVE GLEDE POPRAVLJIVOSTI</w:t>
      </w:r>
    </w:p>
    <w:p w14:paraId="54632295" w14:textId="77777777" w:rsidR="00366039" w:rsidRDefault="00366039">
      <w:pPr>
        <w:spacing w:after="0" w:line="260" w:lineRule="auto"/>
        <w:rPr>
          <w:rFonts w:cs="Arial"/>
        </w:rPr>
      </w:pPr>
    </w:p>
    <w:p w14:paraId="7A329A66" w14:textId="77777777" w:rsidR="00366039" w:rsidRDefault="00B1370D">
      <w:pPr>
        <w:pStyle w:val="Sredinsko"/>
        <w:spacing w:line="260" w:lineRule="auto"/>
      </w:pPr>
      <w:r>
        <w:t>PREDLOG</w:t>
      </w:r>
    </w:p>
    <w:p w14:paraId="025A26F5" w14:textId="77777777" w:rsidR="00366039" w:rsidRDefault="00366039">
      <w:pPr>
        <w:spacing w:after="0" w:line="260" w:lineRule="auto"/>
        <w:rPr>
          <w:rFonts w:cs="Arial"/>
        </w:rPr>
      </w:pPr>
    </w:p>
    <w:p w14:paraId="579527B2" w14:textId="77777777" w:rsidR="00366039" w:rsidRDefault="00366039">
      <w:pPr>
        <w:spacing w:after="0" w:line="260" w:lineRule="auto"/>
        <w:rPr>
          <w:rFonts w:cs="Arial"/>
        </w:rPr>
      </w:pPr>
    </w:p>
    <w:p w14:paraId="1020B554" w14:textId="77777777" w:rsidR="00366039" w:rsidRDefault="00B1370D">
      <w:pPr>
        <w:pStyle w:val="Sredinsko"/>
        <w:spacing w:line="260" w:lineRule="auto"/>
      </w:pPr>
      <w:r>
        <w:t>EVA: 2026-2190-0034</w:t>
      </w:r>
    </w:p>
    <w:p w14:paraId="51D923F1" w14:textId="77777777" w:rsidR="00366039" w:rsidRDefault="00B1370D">
      <w:r>
        <w:br w:type="page"/>
      </w:r>
    </w:p>
    <w:p w14:paraId="1244B8E2" w14:textId="77777777" w:rsidR="00366039" w:rsidRDefault="00B1370D">
      <w:pPr>
        <w:pStyle w:val="Odebeljeno"/>
        <w:spacing w:line="260" w:lineRule="auto"/>
      </w:pPr>
      <w:r>
        <w:lastRenderedPageBreak/>
        <w:t>I.</w:t>
      </w:r>
      <w:r>
        <w:tab/>
        <w:t>UVOD</w:t>
      </w:r>
    </w:p>
    <w:p w14:paraId="717571E4" w14:textId="77777777" w:rsidR="00366039" w:rsidRDefault="00B1370D">
      <w:pPr>
        <w:pStyle w:val="Odebeljeno"/>
        <w:spacing w:line="260" w:lineRule="auto"/>
      </w:pPr>
      <w:r>
        <w:t>1.</w:t>
      </w:r>
      <w:r>
        <w:tab/>
        <w:t>Razlogi in podlage za izdajo</w:t>
      </w:r>
    </w:p>
    <w:p w14:paraId="419F3615" w14:textId="77777777" w:rsidR="00366039" w:rsidRDefault="00366039">
      <w:pPr>
        <w:spacing w:after="0" w:line="260" w:lineRule="auto"/>
        <w:rPr>
          <w:rFonts w:cs="Arial"/>
        </w:rPr>
      </w:pPr>
    </w:p>
    <w:p w14:paraId="13EAA005" w14:textId="77777777" w:rsidR="00366039" w:rsidRDefault="00B1370D">
      <w:pPr>
        <w:spacing w:after="0" w:line="260" w:lineRule="auto"/>
      </w:pPr>
      <w:r>
        <w:t>Pravna podlaga:</w:t>
      </w:r>
    </w:p>
    <w:p w14:paraId="2B0991DF" w14:textId="77777777" w:rsidR="00366039" w:rsidRDefault="00B1370D">
      <w:pPr>
        <w:spacing w:after="0" w:line="240" w:lineRule="auto"/>
      </w:pPr>
      <w:r>
        <w:t>Pravilnik o blagu, za katero se izda garancija za brezhibno delovanje in o blagu, ki izpolnjuje zahteve glede popravljivosti (v nadaljnjem besedilu: pravilnik) se izdaja na podlagi 94. in drugega odstavka 98.a člena ter za izvrševanje 95. člena Zakona o varstvu potrošnikov (Uradni list RS, št. 130/22 in ___, v nadaljnjem besedilu: ZVPot-1A).</w:t>
      </w:r>
    </w:p>
    <w:p w14:paraId="292DD860" w14:textId="77777777" w:rsidR="00366039" w:rsidRDefault="00366039">
      <w:pPr>
        <w:spacing w:after="0" w:line="260" w:lineRule="auto"/>
        <w:rPr>
          <w:rFonts w:cs="Arial"/>
        </w:rPr>
      </w:pPr>
    </w:p>
    <w:p w14:paraId="5ED2B5D6" w14:textId="77777777" w:rsidR="00366039" w:rsidRDefault="00B1370D">
      <w:pPr>
        <w:spacing w:after="0" w:line="260" w:lineRule="auto"/>
      </w:pPr>
      <w:r>
        <w:t>Rok za izdajo:</w:t>
      </w:r>
    </w:p>
    <w:p w14:paraId="5496C036" w14:textId="77777777" w:rsidR="00366039" w:rsidRDefault="00B1370D">
      <w:pPr>
        <w:spacing w:after="0" w:line="240" w:lineRule="auto"/>
      </w:pPr>
      <w:r>
        <w:t>Minister, pristojen za varstvo potrošnikov, izda pravilnik v šestih mesecih od uveljavitve ZVPot-1A.</w:t>
      </w:r>
    </w:p>
    <w:p w14:paraId="3658BFEB" w14:textId="77777777" w:rsidR="00366039" w:rsidRDefault="00366039">
      <w:pPr>
        <w:spacing w:after="0" w:line="260" w:lineRule="auto"/>
        <w:rPr>
          <w:rFonts w:cs="Arial"/>
        </w:rPr>
      </w:pPr>
    </w:p>
    <w:p w14:paraId="05C76E38" w14:textId="77777777" w:rsidR="00366039" w:rsidRDefault="00B1370D">
      <w:pPr>
        <w:spacing w:after="0" w:line="260" w:lineRule="auto"/>
      </w:pPr>
      <w:r>
        <w:t>Glavni razlogi za izdajo:</w:t>
      </w:r>
    </w:p>
    <w:p w14:paraId="4EDC17A2" w14:textId="77777777" w:rsidR="00366039" w:rsidRDefault="00B1370D">
      <w:pPr>
        <w:spacing w:after="0" w:line="240" w:lineRule="auto"/>
      </w:pPr>
      <w:r>
        <w:t>Pravilnik se izdaja za zagotovitev popolnega prenosa Direktive (EU) 2024/1799 Evropskega parlamenta in Sveta z dne 13. junija 2024 o skupnih pravilih za spodbujanje popravila blaga in o spremembi Uredbe (EU) 2017/2394 ter direktiv (EU) 2019/771 in (EU) 2020/1828 (UL L št. 2024/1799 z dne 10. 7. 2024; v nadaljnjem besedilu: Direktiva 2024/1799/EU) ter Delegirane direktive Komisije (EU) 2026/74 z dne 12. januarja 2026 o spremembi Priloge II k Direktivi 2024/1799/EU.</w:t>
      </w:r>
    </w:p>
    <w:p w14:paraId="6C839204" w14:textId="77777777" w:rsidR="00366039" w:rsidRDefault="00366039">
      <w:pPr>
        <w:spacing w:after="0" w:line="260" w:lineRule="auto"/>
        <w:rPr>
          <w:rFonts w:cs="Arial"/>
        </w:rPr>
      </w:pPr>
    </w:p>
    <w:p w14:paraId="0E85A070" w14:textId="77777777" w:rsidR="00366039" w:rsidRDefault="00B1370D">
      <w:pPr>
        <w:pStyle w:val="Odebeljeno"/>
        <w:spacing w:line="260" w:lineRule="auto"/>
      </w:pPr>
      <w:r>
        <w:t>2.</w:t>
      </w:r>
      <w:r>
        <w:tab/>
        <w:t>Ocena finančnih posledic predloga akta za državni proračun in druga javna finančna sredstva</w:t>
      </w:r>
    </w:p>
    <w:p w14:paraId="37689B44" w14:textId="77777777" w:rsidR="00366039" w:rsidRDefault="00366039">
      <w:pPr>
        <w:spacing w:after="0" w:line="260" w:lineRule="auto"/>
        <w:rPr>
          <w:rFonts w:cs="Arial"/>
        </w:rPr>
      </w:pPr>
    </w:p>
    <w:p w14:paraId="43194A7B" w14:textId="77777777" w:rsidR="00366039" w:rsidRDefault="00B1370D">
      <w:pPr>
        <w:spacing w:after="0" w:line="260" w:lineRule="auto"/>
      </w:pPr>
      <w:r>
        <w:t>Presoja posledic je bila opravljena ob sprejemanju zakona, ki je podlaga za izdajo tega predloga.</w:t>
      </w:r>
    </w:p>
    <w:p w14:paraId="0BAFA4B0" w14:textId="77777777" w:rsidR="00594999" w:rsidRDefault="00594999">
      <w:pPr>
        <w:spacing w:after="0" w:line="260" w:lineRule="auto"/>
      </w:pPr>
    </w:p>
    <w:p w14:paraId="3C4B352A" w14:textId="77777777" w:rsidR="00366039" w:rsidRDefault="00B1370D">
      <w:pPr>
        <w:pStyle w:val="Odebeljeno"/>
        <w:spacing w:line="260" w:lineRule="auto"/>
      </w:pPr>
      <w:r>
        <w:t>3.</w:t>
      </w:r>
      <w:r>
        <w:tab/>
        <w:t>Prikaz ureditve v drugih pravnih sistemih in prilagojenosti predlagane ureditve pravu Evropske unije</w:t>
      </w:r>
    </w:p>
    <w:p w14:paraId="2C4355FD" w14:textId="77777777" w:rsidR="00366039" w:rsidRDefault="00366039">
      <w:pPr>
        <w:spacing w:after="0" w:line="260" w:lineRule="auto"/>
        <w:rPr>
          <w:rFonts w:cs="Arial"/>
        </w:rPr>
      </w:pPr>
    </w:p>
    <w:p w14:paraId="2E469A8F" w14:textId="77777777" w:rsidR="00366039" w:rsidRDefault="00B1370D">
      <w:pPr>
        <w:pStyle w:val="Odebeljeno"/>
        <w:spacing w:line="260" w:lineRule="auto"/>
      </w:pPr>
      <w:r>
        <w:t>3.1</w:t>
      </w:r>
      <w:r>
        <w:tab/>
        <w:t>Prikaz ureditve v drugih pravnih sistemih</w:t>
      </w:r>
    </w:p>
    <w:p w14:paraId="65A43D02" w14:textId="77777777" w:rsidR="00366039" w:rsidRDefault="00366039">
      <w:pPr>
        <w:spacing w:after="0" w:line="260" w:lineRule="auto"/>
        <w:rPr>
          <w:rFonts w:cs="Arial"/>
        </w:rPr>
      </w:pPr>
    </w:p>
    <w:p w14:paraId="68C5667E" w14:textId="77777777" w:rsidR="00366039" w:rsidRDefault="00B1370D">
      <w:pPr>
        <w:spacing w:after="0" w:line="260" w:lineRule="auto"/>
      </w:pPr>
      <w:r>
        <w:t>/</w:t>
      </w:r>
    </w:p>
    <w:p w14:paraId="77F9D7C5" w14:textId="77777777" w:rsidR="00366039" w:rsidRDefault="00366039">
      <w:pPr>
        <w:spacing w:after="0" w:line="260" w:lineRule="auto"/>
        <w:rPr>
          <w:rFonts w:cs="Arial"/>
        </w:rPr>
      </w:pPr>
    </w:p>
    <w:p w14:paraId="46D7A544" w14:textId="77777777" w:rsidR="00366039" w:rsidRDefault="00B1370D">
      <w:pPr>
        <w:pStyle w:val="Odebeljeno"/>
        <w:spacing w:line="260" w:lineRule="auto"/>
      </w:pPr>
      <w:r>
        <w:t>3.2</w:t>
      </w:r>
      <w:r>
        <w:tab/>
        <w:t>Prikaz ureditve v pravnem redu Evropske unije</w:t>
      </w:r>
    </w:p>
    <w:p w14:paraId="59EBEF8D" w14:textId="77777777" w:rsidR="00366039" w:rsidRDefault="00366039">
      <w:pPr>
        <w:spacing w:after="0" w:line="260" w:lineRule="auto"/>
        <w:rPr>
          <w:rFonts w:cs="Arial"/>
        </w:rPr>
      </w:pPr>
    </w:p>
    <w:p w14:paraId="4B51E9DC" w14:textId="77777777" w:rsidR="00366039" w:rsidRDefault="00B1370D">
      <w:pPr>
        <w:spacing w:after="0" w:line="260" w:lineRule="auto"/>
      </w:pPr>
      <w:r>
        <w:t>Predlog je predmet usklajevanja s pravnim redom EU.</w:t>
      </w:r>
    </w:p>
    <w:p w14:paraId="20857D82" w14:textId="77777777" w:rsidR="00366039" w:rsidRDefault="00366039">
      <w:pPr>
        <w:spacing w:after="0" w:line="260" w:lineRule="auto"/>
        <w:rPr>
          <w:rFonts w:cs="Arial"/>
        </w:rPr>
      </w:pPr>
    </w:p>
    <w:tbl>
      <w:tblPr>
        <w:tblStyle w:val="Tabelamrea"/>
        <w:tblW w:w="0" w:type="auto"/>
        <w:tblLook w:val="04A0" w:firstRow="1" w:lastRow="0" w:firstColumn="1" w:lastColumn="0" w:noHBand="0" w:noVBand="1"/>
      </w:tblPr>
      <w:tblGrid>
        <w:gridCol w:w="9062"/>
      </w:tblGrid>
      <w:tr w:rsidR="00366039" w14:paraId="168AFD24" w14:textId="77777777" w:rsidTr="00E91806">
        <w:trPr>
          <w:trHeight w:val="416"/>
        </w:trPr>
        <w:tc>
          <w:tcPr>
            <w:tcW w:w="9062" w:type="dxa"/>
            <w:tcBorders>
              <w:bottom w:val="triple" w:sz="4" w:space="0" w:color="auto"/>
            </w:tcBorders>
            <w:vAlign w:val="center"/>
          </w:tcPr>
          <w:p w14:paraId="3C2C9CDF" w14:textId="77777777" w:rsidR="00366039" w:rsidRDefault="00B1370D">
            <w:pPr>
              <w:jc w:val="center"/>
              <w:rPr>
                <w:b/>
              </w:rPr>
            </w:pPr>
            <w:r>
              <w:rPr>
                <w:b/>
              </w:rPr>
              <w:t>IZJAVA O SKLADNOSTI S PRAVNIM REDOM EU</w:t>
            </w:r>
          </w:p>
        </w:tc>
      </w:tr>
    </w:tbl>
    <w:p w14:paraId="6D1E17A8" w14:textId="77777777" w:rsidR="00366039" w:rsidRDefault="00B1370D">
      <w:pPr>
        <w:spacing w:after="0"/>
        <w:rPr>
          <w:b/>
          <w:u w:val="single"/>
        </w:rPr>
      </w:pPr>
      <w:r>
        <w:rPr>
          <w:b/>
          <w:u w:val="single"/>
        </w:rPr>
        <w:t>NASLOV PREDPISA RS</w:t>
      </w:r>
    </w:p>
    <w:p w14:paraId="367E701C" w14:textId="77777777" w:rsidR="00366039" w:rsidRDefault="00366039">
      <w:pPr>
        <w:spacing w:after="0"/>
      </w:pPr>
    </w:p>
    <w:p w14:paraId="2B9FA130" w14:textId="77777777" w:rsidR="00366039" w:rsidRDefault="00B1370D">
      <w:pPr>
        <w:spacing w:after="0" w:line="360" w:lineRule="auto"/>
      </w:pPr>
      <w:r>
        <w:t>Pravilnik o blagu, za katero se izda garancija za brezhibno delovanje in o blagu, ki izpolnjuje zahteve glede popravljivosti</w:t>
      </w:r>
    </w:p>
    <w:p w14:paraId="25F77F10" w14:textId="77777777" w:rsidR="00366039" w:rsidRDefault="00366039">
      <w:pPr>
        <w:spacing w:after="0"/>
      </w:pPr>
    </w:p>
    <w:p w14:paraId="22D24D60" w14:textId="77777777" w:rsidR="00366039" w:rsidRDefault="00B1370D">
      <w:pPr>
        <w:spacing w:after="0"/>
        <w:rPr>
          <w:b/>
        </w:rPr>
      </w:pPr>
      <w:r>
        <w:rPr>
          <w:b/>
          <w:u w:val="single"/>
        </w:rPr>
        <w:t>EVA</w:t>
      </w:r>
    </w:p>
    <w:p w14:paraId="78EF1711" w14:textId="77777777" w:rsidR="00366039" w:rsidRDefault="00B1370D">
      <w:pPr>
        <w:spacing w:after="0"/>
      </w:pPr>
      <w:r>
        <w:t>2026-2190-0034</w:t>
      </w:r>
    </w:p>
    <w:p w14:paraId="0754D40D" w14:textId="77777777" w:rsidR="00366039" w:rsidRDefault="00366039">
      <w:pPr>
        <w:spacing w:after="0"/>
      </w:pPr>
    </w:p>
    <w:p w14:paraId="5C57A75A" w14:textId="77777777" w:rsidR="00366039" w:rsidRDefault="00B1370D">
      <w:pPr>
        <w:spacing w:after="0"/>
        <w:rPr>
          <w:b/>
          <w:u w:val="single"/>
        </w:rPr>
      </w:pPr>
      <w:r>
        <w:rPr>
          <w:b/>
          <w:u w:val="single"/>
        </w:rPr>
        <w:t>AKTI EU, KATERIH PRENOS ALI IZVAJANJE SE ZAGOTAVLJA S PREDPISOM RS</w:t>
      </w:r>
    </w:p>
    <w:p w14:paraId="29BBFD1E" w14:textId="77777777" w:rsidR="00366039" w:rsidRDefault="00366039">
      <w:pPr>
        <w:spacing w:after="0"/>
      </w:pPr>
    </w:p>
    <w:tbl>
      <w:tblPr>
        <w:tblStyle w:val="Navadnatabela11"/>
        <w:tblW w:w="8628" w:type="dxa"/>
        <w:tblInd w:w="127" w:type="dxa"/>
        <w:tblLook w:val="04A0" w:firstRow="1" w:lastRow="0" w:firstColumn="1" w:lastColumn="0" w:noHBand="0" w:noVBand="1"/>
      </w:tblPr>
      <w:tblGrid>
        <w:gridCol w:w="671"/>
        <w:gridCol w:w="1534"/>
        <w:gridCol w:w="4761"/>
        <w:gridCol w:w="1662"/>
      </w:tblGrid>
      <w:tr w:rsidR="00366039" w14:paraId="3616915C" w14:textId="77777777" w:rsidTr="00366039">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2BEA1E13" w14:textId="77777777" w:rsidR="00366039" w:rsidRDefault="00B1370D">
            <w:pPr>
              <w:jc w:val="center"/>
            </w:pPr>
            <w:r>
              <w:t>Št.</w:t>
            </w:r>
          </w:p>
        </w:tc>
        <w:tc>
          <w:tcPr>
            <w:tcW w:w="1559" w:type="dxa"/>
            <w:shd w:val="clear" w:color="auto" w:fill="808080"/>
          </w:tcPr>
          <w:p w14:paraId="4F907EE4" w14:textId="77777777" w:rsidR="00366039" w:rsidRDefault="00B1370D">
            <w:pPr>
              <w:jc w:val="center"/>
            </w:pPr>
            <w:r>
              <w:t>CELEX</w:t>
            </w:r>
          </w:p>
        </w:tc>
        <w:tc>
          <w:tcPr>
            <w:tcW w:w="4816" w:type="dxa"/>
            <w:shd w:val="clear" w:color="auto" w:fill="808080"/>
          </w:tcPr>
          <w:p w14:paraId="7560CF4F" w14:textId="77777777" w:rsidR="00366039" w:rsidRDefault="00B1370D">
            <w:pPr>
              <w:jc w:val="center"/>
            </w:pPr>
            <w:r>
              <w:t>Naslov</w:t>
            </w:r>
          </w:p>
        </w:tc>
        <w:tc>
          <w:tcPr>
            <w:tcW w:w="1559" w:type="dxa"/>
            <w:shd w:val="clear" w:color="auto" w:fill="808080"/>
          </w:tcPr>
          <w:p w14:paraId="1DFE0BC7" w14:textId="77777777" w:rsidR="00366039" w:rsidRDefault="00B1370D">
            <w:pPr>
              <w:jc w:val="center"/>
            </w:pPr>
            <w:r>
              <w:t>Zadnjič spremenjen z (CELEX)</w:t>
            </w:r>
          </w:p>
        </w:tc>
      </w:tr>
      <w:tr w:rsidR="00366039" w14:paraId="3FB773AA" w14:textId="77777777" w:rsidTr="00366039">
        <w:trPr>
          <w:cnfStyle w:val="000000100000" w:firstRow="0" w:lastRow="0" w:firstColumn="0" w:lastColumn="0" w:oddVBand="0" w:evenVBand="0" w:oddHBand="1" w:evenHBand="0" w:firstRowFirstColumn="0" w:firstRowLastColumn="0" w:lastRowFirstColumn="0" w:lastRowLastColumn="0"/>
        </w:trPr>
        <w:tc>
          <w:tcPr>
            <w:tcW w:w="694" w:type="dxa"/>
          </w:tcPr>
          <w:p w14:paraId="1AD33584" w14:textId="77777777" w:rsidR="00366039" w:rsidRDefault="00B1370D">
            <w:r>
              <w:t>1</w:t>
            </w:r>
          </w:p>
        </w:tc>
        <w:tc>
          <w:tcPr>
            <w:tcW w:w="1559" w:type="dxa"/>
          </w:tcPr>
          <w:p w14:paraId="33B8BA2F" w14:textId="77777777" w:rsidR="00366039" w:rsidRDefault="00B1370D">
            <w:r>
              <w:t>32024L1799</w:t>
            </w:r>
          </w:p>
        </w:tc>
        <w:tc>
          <w:tcPr>
            <w:tcW w:w="5099" w:type="dxa"/>
          </w:tcPr>
          <w:p w14:paraId="50CB5D83" w14:textId="77777777" w:rsidR="00366039" w:rsidRDefault="00B1370D">
            <w:r>
              <w:t xml:space="preserve">Direktiva (EU) 2024/1799 Evropskega parlamenta in Sveta z dne 13. junija 2024 o skupnih pravilih za </w:t>
            </w:r>
            <w:r>
              <w:lastRenderedPageBreak/>
              <w:t>spodbujanje popravila blaga in o spremembi Uredbe (EU) 2017/2394 ter direktiv (EU) 2019/771 in (EU) 2020/1828Besedilo velja za EGP.</w:t>
            </w:r>
          </w:p>
        </w:tc>
        <w:tc>
          <w:tcPr>
            <w:tcW w:w="1701" w:type="dxa"/>
          </w:tcPr>
          <w:p w14:paraId="24CF4C86" w14:textId="77777777" w:rsidR="00366039" w:rsidRDefault="00B1370D">
            <w:r>
              <w:lastRenderedPageBreak/>
              <w:t>32026L0074</w:t>
            </w:r>
          </w:p>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366039" w14:paraId="236750D0" w14:textId="77777777">
        <w:trPr>
          <w:trHeight w:val="452"/>
          <w:tblHeader/>
        </w:trPr>
        <w:tc>
          <w:tcPr>
            <w:tcW w:w="3529" w:type="dxa"/>
            <w:gridSpan w:val="4"/>
            <w:shd w:val="clear" w:color="auto" w:fill="808080"/>
          </w:tcPr>
          <w:p w14:paraId="7BDD296E" w14:textId="77777777" w:rsidR="00366039" w:rsidRDefault="00B1370D">
            <w:pPr>
              <w:jc w:val="center"/>
              <w:rPr>
                <w:b/>
              </w:rPr>
            </w:pPr>
            <w:r>
              <w:rPr>
                <w:b/>
              </w:rPr>
              <w:t>Predpis RS</w:t>
            </w:r>
          </w:p>
        </w:tc>
        <w:tc>
          <w:tcPr>
            <w:tcW w:w="1559" w:type="dxa"/>
            <w:vMerge w:val="restart"/>
            <w:shd w:val="clear" w:color="auto" w:fill="808080"/>
          </w:tcPr>
          <w:p w14:paraId="6E8B57A5" w14:textId="77777777" w:rsidR="00366039" w:rsidRDefault="00B1370D">
            <w:pPr>
              <w:jc w:val="center"/>
              <w:rPr>
                <w:b/>
              </w:rPr>
            </w:pPr>
            <w:r>
              <w:rPr>
                <w:b/>
              </w:rPr>
              <w:t>Opomba ali CELEX akta EU predpisa</w:t>
            </w:r>
          </w:p>
        </w:tc>
        <w:tc>
          <w:tcPr>
            <w:tcW w:w="3528" w:type="dxa"/>
            <w:gridSpan w:val="4"/>
            <w:shd w:val="clear" w:color="auto" w:fill="808080"/>
          </w:tcPr>
          <w:p w14:paraId="72AE4A5A" w14:textId="77777777" w:rsidR="00366039" w:rsidRDefault="00B1370D">
            <w:pPr>
              <w:jc w:val="center"/>
              <w:rPr>
                <w:b/>
              </w:rPr>
            </w:pPr>
            <w:r>
              <w:rPr>
                <w:b/>
              </w:rPr>
              <w:t>Akt EU</w:t>
            </w:r>
          </w:p>
        </w:tc>
      </w:tr>
      <w:tr w:rsidR="00366039" w14:paraId="1DD3F87F" w14:textId="77777777">
        <w:trPr>
          <w:trHeight w:val="250"/>
          <w:tblHeader/>
        </w:trPr>
        <w:tc>
          <w:tcPr>
            <w:tcW w:w="709" w:type="dxa"/>
            <w:tcBorders>
              <w:bottom w:val="double" w:sz="4" w:space="0" w:color="auto"/>
            </w:tcBorders>
            <w:shd w:val="clear" w:color="auto" w:fill="808080"/>
          </w:tcPr>
          <w:p w14:paraId="4D94079D" w14:textId="77777777" w:rsidR="00366039" w:rsidRDefault="00B1370D">
            <w:r>
              <w:t>Člen</w:t>
            </w:r>
          </w:p>
        </w:tc>
        <w:tc>
          <w:tcPr>
            <w:tcW w:w="1134" w:type="dxa"/>
            <w:tcBorders>
              <w:bottom w:val="double" w:sz="4" w:space="0" w:color="auto"/>
            </w:tcBorders>
            <w:shd w:val="clear" w:color="auto" w:fill="808080"/>
          </w:tcPr>
          <w:p w14:paraId="42F4F9E3" w14:textId="77777777" w:rsidR="00366039" w:rsidRDefault="00B1370D">
            <w:r>
              <w:t>Odstavek</w:t>
            </w:r>
          </w:p>
        </w:tc>
        <w:tc>
          <w:tcPr>
            <w:tcW w:w="851" w:type="dxa"/>
            <w:tcBorders>
              <w:bottom w:val="double" w:sz="4" w:space="0" w:color="auto"/>
            </w:tcBorders>
            <w:shd w:val="clear" w:color="auto" w:fill="808080"/>
          </w:tcPr>
          <w:p w14:paraId="4B2349DD" w14:textId="77777777" w:rsidR="00366039" w:rsidRDefault="00B1370D">
            <w:r>
              <w:t>Točka</w:t>
            </w:r>
          </w:p>
        </w:tc>
        <w:tc>
          <w:tcPr>
            <w:tcW w:w="850" w:type="dxa"/>
            <w:tcBorders>
              <w:bottom w:val="double" w:sz="4" w:space="0" w:color="auto"/>
            </w:tcBorders>
            <w:shd w:val="clear" w:color="auto" w:fill="808080"/>
          </w:tcPr>
          <w:p w14:paraId="23D5794E" w14:textId="77777777" w:rsidR="00366039" w:rsidRDefault="00B1370D">
            <w:r>
              <w:t>Alinea</w:t>
            </w:r>
          </w:p>
        </w:tc>
        <w:tc>
          <w:tcPr>
            <w:tcW w:w="1985" w:type="dxa"/>
            <w:vMerge/>
            <w:tcBorders>
              <w:bottom w:val="double" w:sz="4" w:space="0" w:color="auto"/>
            </w:tcBorders>
            <w:shd w:val="clear" w:color="auto" w:fill="808080"/>
          </w:tcPr>
          <w:p w14:paraId="4F9B6CE4" w14:textId="77777777" w:rsidR="00366039" w:rsidRDefault="00366039">
            <w:pPr>
              <w:rPr>
                <w:b/>
              </w:rPr>
            </w:pPr>
          </w:p>
        </w:tc>
        <w:tc>
          <w:tcPr>
            <w:tcW w:w="709" w:type="dxa"/>
            <w:tcBorders>
              <w:bottom w:val="double" w:sz="4" w:space="0" w:color="auto"/>
            </w:tcBorders>
            <w:shd w:val="clear" w:color="auto" w:fill="808080"/>
          </w:tcPr>
          <w:p w14:paraId="18AD5294" w14:textId="77777777" w:rsidR="00366039" w:rsidRDefault="00B1370D">
            <w:r>
              <w:t>Člen</w:t>
            </w:r>
          </w:p>
        </w:tc>
        <w:tc>
          <w:tcPr>
            <w:tcW w:w="1134" w:type="dxa"/>
            <w:tcBorders>
              <w:bottom w:val="double" w:sz="4" w:space="0" w:color="auto"/>
            </w:tcBorders>
            <w:shd w:val="clear" w:color="auto" w:fill="808080"/>
          </w:tcPr>
          <w:p w14:paraId="4C45B2E2" w14:textId="77777777" w:rsidR="00366039" w:rsidRDefault="00B1370D">
            <w:r>
              <w:t>Odstavek</w:t>
            </w:r>
          </w:p>
        </w:tc>
        <w:tc>
          <w:tcPr>
            <w:tcW w:w="851" w:type="dxa"/>
            <w:tcBorders>
              <w:bottom w:val="double" w:sz="4" w:space="0" w:color="auto"/>
            </w:tcBorders>
            <w:shd w:val="clear" w:color="auto" w:fill="808080"/>
          </w:tcPr>
          <w:p w14:paraId="28EC6E01" w14:textId="77777777" w:rsidR="00366039" w:rsidRDefault="00B1370D">
            <w:r>
              <w:t>Točka</w:t>
            </w:r>
          </w:p>
        </w:tc>
        <w:tc>
          <w:tcPr>
            <w:tcW w:w="850" w:type="dxa"/>
            <w:tcBorders>
              <w:bottom w:val="double" w:sz="4" w:space="0" w:color="auto"/>
            </w:tcBorders>
            <w:shd w:val="clear" w:color="auto" w:fill="808080"/>
          </w:tcPr>
          <w:p w14:paraId="1144F768" w14:textId="77777777" w:rsidR="00366039" w:rsidRDefault="00B1370D">
            <w:r>
              <w:t>Alinea</w:t>
            </w:r>
          </w:p>
        </w:tc>
      </w:tr>
      <w:tr w:rsidR="00366039" w14:paraId="035619F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0DDF3" w14:textId="77777777" w:rsidR="00366039" w:rsidRDefault="00B1370D">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FADDD"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DB10F"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E41A7"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955CB" w14:textId="77777777" w:rsidR="00366039" w:rsidRDefault="00B1370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D3A71" w14:textId="77777777" w:rsidR="00366039" w:rsidRDefault="0036603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7D7E4"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233AD"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53244" w14:textId="77777777" w:rsidR="00366039" w:rsidRDefault="00366039">
            <w:pPr>
              <w:jc w:val="center"/>
            </w:pPr>
          </w:p>
        </w:tc>
      </w:tr>
      <w:tr w:rsidR="00366039" w14:paraId="3078C58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E1815" w14:textId="77777777" w:rsidR="00366039" w:rsidRDefault="00B1370D">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E95D4"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6A254"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E7930"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BE5E6" w14:textId="77777777" w:rsidR="00366039" w:rsidRDefault="00B1370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FA2FC" w14:textId="77777777" w:rsidR="00366039" w:rsidRDefault="0036603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C961C"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76DB1"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7D7A5" w14:textId="77777777" w:rsidR="00366039" w:rsidRDefault="00366039">
            <w:pPr>
              <w:jc w:val="center"/>
            </w:pPr>
          </w:p>
        </w:tc>
      </w:tr>
      <w:tr w:rsidR="00366039" w14:paraId="1B10D4F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FD904" w14:textId="77777777" w:rsidR="00366039" w:rsidRDefault="00B1370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52EAB"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C2325"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D3828"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017B7" w14:textId="77777777" w:rsidR="00366039" w:rsidRDefault="00B1370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AC8BB" w14:textId="77777777" w:rsidR="00366039" w:rsidRDefault="0036603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39483"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5329E"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3A6C0" w14:textId="77777777" w:rsidR="00366039" w:rsidRDefault="00366039">
            <w:pPr>
              <w:jc w:val="center"/>
            </w:pPr>
          </w:p>
        </w:tc>
      </w:tr>
      <w:tr w:rsidR="00366039" w14:paraId="29C5AFC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5D613" w14:textId="77777777" w:rsidR="00366039" w:rsidRDefault="00B1370D">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27D68"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1C4D7"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93F94"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8D195" w14:textId="77777777" w:rsidR="00366039" w:rsidRDefault="00B1370D">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CF92D" w14:textId="77777777" w:rsidR="00366039" w:rsidRDefault="00B1370D">
            <w:pPr>
              <w:jc w:val="center"/>
            </w:pPr>
            <w:r>
              <w:t>P2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00817"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344E7"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736FF" w14:textId="77777777" w:rsidR="00366039" w:rsidRDefault="00366039">
            <w:pPr>
              <w:jc w:val="center"/>
            </w:pPr>
          </w:p>
        </w:tc>
      </w:tr>
      <w:tr w:rsidR="00366039" w14:paraId="074352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42DCC" w14:textId="77777777" w:rsidR="00366039" w:rsidRDefault="00B1370D">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DA4CD"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8476E"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923A6"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9653C" w14:textId="77777777" w:rsidR="00366039" w:rsidRDefault="00B1370D">
            <w:pPr>
              <w:jc w:val="center"/>
            </w:pPr>
            <w:r>
              <w:t>32024L1799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D5EAD" w14:textId="77777777" w:rsidR="00366039" w:rsidRDefault="00B1370D">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5EF50" w14:textId="77777777" w:rsidR="00366039" w:rsidRDefault="00B1370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A8916"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9CD3D" w14:textId="77777777" w:rsidR="00366039" w:rsidRDefault="00366039">
            <w:pPr>
              <w:jc w:val="center"/>
            </w:pPr>
          </w:p>
        </w:tc>
      </w:tr>
      <w:tr w:rsidR="00366039" w14:paraId="6944978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2CC4D" w14:textId="77777777" w:rsidR="00366039" w:rsidRDefault="00B1370D">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479AB"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C6AD6"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B8C27"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C8A1C" w14:textId="77777777" w:rsidR="00366039" w:rsidRDefault="00B1370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B3B1F" w14:textId="77777777" w:rsidR="00366039" w:rsidRDefault="0036603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80421"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3472B"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E2D17" w14:textId="77777777" w:rsidR="00366039" w:rsidRDefault="00366039">
            <w:pPr>
              <w:jc w:val="center"/>
            </w:pPr>
          </w:p>
        </w:tc>
      </w:tr>
      <w:tr w:rsidR="00366039" w14:paraId="1DF49B6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71861" w14:textId="77777777" w:rsidR="00366039" w:rsidRDefault="00B1370D">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EE307"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880AD"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D2D82" w14:textId="77777777" w:rsidR="00366039" w:rsidRDefault="00366039">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7CB10" w14:textId="77777777" w:rsidR="00366039" w:rsidRDefault="00B1370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01CC" w14:textId="77777777" w:rsidR="00366039" w:rsidRDefault="00366039">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FD8E8" w14:textId="77777777" w:rsidR="00366039" w:rsidRDefault="00366039">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12867" w14:textId="77777777" w:rsidR="00366039" w:rsidRDefault="00366039">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7D575" w14:textId="77777777" w:rsidR="00366039" w:rsidRDefault="00366039">
            <w:pPr>
              <w:jc w:val="center"/>
            </w:pPr>
          </w:p>
        </w:tc>
      </w:tr>
    </w:tbl>
    <w:p w14:paraId="4BFABD92" w14:textId="77777777" w:rsidR="00366039" w:rsidRDefault="00366039">
      <w:pPr>
        <w:spacing w:after="0"/>
        <w:rPr>
          <w:b/>
        </w:rPr>
      </w:pPr>
    </w:p>
    <w:p w14:paraId="6D476D3E" w14:textId="77777777" w:rsidR="00366039" w:rsidRDefault="00366039">
      <w:pPr>
        <w:spacing w:after="0" w:line="260" w:lineRule="auto"/>
        <w:rPr>
          <w:rFonts w:cs="Arial"/>
        </w:rPr>
      </w:pPr>
    </w:p>
    <w:p w14:paraId="6836D03E" w14:textId="77777777" w:rsidR="00366039" w:rsidRDefault="00B1370D">
      <w:pPr>
        <w:pStyle w:val="SrajckaNaslovZamik"/>
        <w:spacing w:line="260" w:lineRule="auto"/>
      </w:pPr>
      <w:r>
        <w:t>3.3</w:t>
      </w:r>
      <w:r>
        <w:tab/>
        <w:t>Prikaz ureditve v posameznih državah članicah Evropske unije</w:t>
      </w:r>
    </w:p>
    <w:p w14:paraId="19DFC9F2" w14:textId="77777777" w:rsidR="00366039" w:rsidRDefault="00366039">
      <w:pPr>
        <w:spacing w:after="0" w:line="260" w:lineRule="auto"/>
        <w:rPr>
          <w:rFonts w:cs="Arial"/>
        </w:rPr>
      </w:pPr>
    </w:p>
    <w:p w14:paraId="39530036" w14:textId="77777777" w:rsidR="00366039" w:rsidRDefault="00B1370D">
      <w:pPr>
        <w:spacing w:after="0" w:line="260" w:lineRule="auto"/>
      </w:pPr>
      <w:r>
        <w:t>/</w:t>
      </w:r>
    </w:p>
    <w:p w14:paraId="403BF368" w14:textId="77777777" w:rsidR="00366039" w:rsidRDefault="00366039">
      <w:pPr>
        <w:spacing w:after="0" w:line="260" w:lineRule="auto"/>
        <w:rPr>
          <w:rFonts w:cs="Arial"/>
        </w:rPr>
      </w:pPr>
    </w:p>
    <w:p w14:paraId="56F5A3D0" w14:textId="77777777" w:rsidR="00366039" w:rsidRDefault="00B1370D">
      <w:pPr>
        <w:pStyle w:val="Odebeljeno"/>
        <w:spacing w:line="260" w:lineRule="auto"/>
      </w:pPr>
      <w:r>
        <w:t>4.</w:t>
      </w:r>
      <w:r>
        <w:tab/>
        <w:t>Presoja posledic</w:t>
      </w:r>
    </w:p>
    <w:p w14:paraId="289A43E5" w14:textId="77777777" w:rsidR="00366039" w:rsidRDefault="00366039">
      <w:pPr>
        <w:spacing w:after="0" w:line="260" w:lineRule="auto"/>
        <w:rPr>
          <w:rFonts w:cs="Arial"/>
        </w:rPr>
      </w:pPr>
    </w:p>
    <w:p w14:paraId="412B8028" w14:textId="77777777" w:rsidR="00366039" w:rsidRDefault="00B1370D">
      <w:pPr>
        <w:spacing w:after="0" w:line="260" w:lineRule="auto"/>
      </w:pPr>
      <w:r>
        <w:t>Presoja posledic je bila opravljena ob sprejemanju zakona, ki je podlaga za izdajo tega predloga.</w:t>
      </w:r>
    </w:p>
    <w:p w14:paraId="3CE061D0" w14:textId="77777777" w:rsidR="00366039" w:rsidRDefault="00366039">
      <w:pPr>
        <w:spacing w:after="0" w:line="260" w:lineRule="auto"/>
        <w:rPr>
          <w:rFonts w:cs="Arial"/>
        </w:rPr>
      </w:pPr>
    </w:p>
    <w:p w14:paraId="071535E4" w14:textId="77777777" w:rsidR="00366039" w:rsidRDefault="00B1370D">
      <w:pPr>
        <w:pStyle w:val="Odebeljeno"/>
        <w:spacing w:line="260" w:lineRule="auto"/>
      </w:pPr>
      <w:r>
        <w:t>5.</w:t>
      </w:r>
      <w:r>
        <w:tab/>
        <w:t>Prikaz sodelovanja javnosti</w:t>
      </w:r>
    </w:p>
    <w:p w14:paraId="53C130B0" w14:textId="77777777" w:rsidR="00366039" w:rsidRDefault="00366039">
      <w:pPr>
        <w:spacing w:after="0" w:line="260" w:lineRule="auto"/>
        <w:rPr>
          <w:rFonts w:cs="Arial"/>
        </w:rPr>
      </w:pPr>
    </w:p>
    <w:p w14:paraId="3575A701" w14:textId="77777777" w:rsidR="00366039" w:rsidRDefault="00B1370D">
      <w:pPr>
        <w:spacing w:after="0" w:line="260" w:lineRule="auto"/>
      </w:pPr>
      <w:r>
        <w:t>Gradivo je bilo predmet sodelovanja z javnostjo.</w:t>
      </w:r>
    </w:p>
    <w:p w14:paraId="7D94ADBF" w14:textId="77777777" w:rsidR="00366039" w:rsidRDefault="00366039">
      <w:pPr>
        <w:spacing w:after="0" w:line="260" w:lineRule="auto"/>
        <w:rPr>
          <w:rFonts w:cs="Arial"/>
        </w:rPr>
      </w:pPr>
    </w:p>
    <w:p w14:paraId="4BDA772A" w14:textId="77777777" w:rsidR="00366039" w:rsidRDefault="00B1370D">
      <w:pPr>
        <w:spacing w:after="0" w:line="260" w:lineRule="auto"/>
      </w:pPr>
      <w:r>
        <w:t>Datum objave na portalu eDemokracija:</w:t>
      </w:r>
    </w:p>
    <w:p w14:paraId="171A6CFD" w14:textId="77777777" w:rsidR="00366039" w:rsidRDefault="00B1370D">
      <w:pPr>
        <w:spacing w:after="0" w:line="260" w:lineRule="auto"/>
      </w:pPr>
      <w:r>
        <w:t>Ni podatka.</w:t>
      </w:r>
    </w:p>
    <w:p w14:paraId="6BD3DA82" w14:textId="77777777" w:rsidR="00366039" w:rsidRDefault="00366039">
      <w:pPr>
        <w:spacing w:after="0" w:line="260" w:lineRule="auto"/>
      </w:pPr>
    </w:p>
    <w:p w14:paraId="39729AB3" w14:textId="77777777" w:rsidR="00366039" w:rsidRDefault="00366039">
      <w:pPr>
        <w:spacing w:after="0" w:line="260" w:lineRule="auto"/>
        <w:rPr>
          <w:rFonts w:cs="Arial"/>
        </w:rPr>
      </w:pPr>
    </w:p>
    <w:p w14:paraId="7CA58709" w14:textId="77777777" w:rsidR="00366039" w:rsidRDefault="00B1370D">
      <w:pPr>
        <w:spacing w:after="0" w:line="260" w:lineRule="auto"/>
      </w:pPr>
      <w:r>
        <w:t>Na gradivo niso bila podana mnenja, predlogi in pripombe.</w:t>
      </w:r>
    </w:p>
    <w:p w14:paraId="753A6571" w14:textId="77777777" w:rsidR="00366039" w:rsidRDefault="00366039">
      <w:pPr>
        <w:spacing w:after="0" w:line="260" w:lineRule="auto"/>
        <w:rPr>
          <w:rFonts w:cs="Arial"/>
        </w:rPr>
      </w:pPr>
    </w:p>
    <w:p w14:paraId="5C52A5F2" w14:textId="77777777" w:rsidR="00366039" w:rsidRDefault="00B1370D">
      <w:r>
        <w:br w:type="page"/>
      </w:r>
    </w:p>
    <w:p w14:paraId="69B52587" w14:textId="77777777" w:rsidR="00366039" w:rsidRDefault="00B1370D">
      <w:pPr>
        <w:pStyle w:val="Odebeljeno"/>
        <w:spacing w:line="260" w:lineRule="auto"/>
      </w:pPr>
      <w:r>
        <w:lastRenderedPageBreak/>
        <w:t>II.</w:t>
      </w:r>
      <w:r>
        <w:tab/>
        <w:t>BESEDILO ČLENOV</w:t>
      </w:r>
    </w:p>
    <w:p w14:paraId="656DAC78" w14:textId="77777777" w:rsidR="00366039" w:rsidRDefault="00B1370D">
      <w:pPr>
        <w:pStyle w:val="Odstavek"/>
        <w:spacing w:line="260" w:lineRule="auto"/>
      </w:pPr>
      <w:r>
        <w:t>Na podlagi 94. in drugega odstavka 98.a člena ter za izvrševanje 95. člena Zakona o varstvu potrošnikov (Uradni list RS, št.130/22 in ___) minister za gospodarstvo, delo in šport izdaja</w:t>
      </w:r>
    </w:p>
    <w:p w14:paraId="3B7E5E2C" w14:textId="77777777" w:rsidR="00366039" w:rsidRDefault="00366039">
      <w:pPr>
        <w:spacing w:after="0" w:line="260" w:lineRule="auto"/>
        <w:rPr>
          <w:rFonts w:cs="Arial"/>
        </w:rPr>
      </w:pPr>
    </w:p>
    <w:p w14:paraId="79EF8B02" w14:textId="77777777" w:rsidR="00366039" w:rsidRDefault="00B1370D">
      <w:pPr>
        <w:pStyle w:val="Naslov1"/>
        <w:spacing w:line="260" w:lineRule="auto"/>
      </w:pPr>
      <w:r>
        <w:t>Pravilnik o blagu, za katero se izda garancija za brezhibno delovanje in o blagu, ki izpolnjuje zahteve glede popravljivosti</w:t>
      </w:r>
    </w:p>
    <w:p w14:paraId="75B4C170" w14:textId="77777777" w:rsidR="00366039" w:rsidRDefault="00B1370D">
      <w:pPr>
        <w:pStyle w:val="len"/>
        <w:spacing w:line="260" w:lineRule="auto"/>
      </w:pPr>
      <w:r>
        <w:t>1. člen</w:t>
      </w:r>
    </w:p>
    <w:p w14:paraId="326DCD51" w14:textId="77777777" w:rsidR="00366039" w:rsidRDefault="00B1370D">
      <w:pPr>
        <w:pStyle w:val="lennaslov"/>
        <w:spacing w:line="260" w:lineRule="auto"/>
      </w:pPr>
      <w:r>
        <w:t>(vsebina)</w:t>
      </w:r>
    </w:p>
    <w:p w14:paraId="396A57FF" w14:textId="77777777" w:rsidR="00366039" w:rsidRDefault="00366039">
      <w:pPr>
        <w:spacing w:after="0" w:line="260" w:lineRule="auto"/>
        <w:rPr>
          <w:rFonts w:cs="Arial"/>
        </w:rPr>
      </w:pPr>
    </w:p>
    <w:p w14:paraId="3FBE949F" w14:textId="77777777" w:rsidR="00366039" w:rsidRDefault="00B1370D">
      <w:pPr>
        <w:spacing w:after="0" w:line="260" w:lineRule="auto"/>
      </w:pPr>
      <w:r>
        <w:tab/>
        <w:t>Ta pravilnik določa blago, za katero mora biti izdana garancija za brezhibno delovanje in začetek teka garancijskega roka ter blago, ki izpolnjuje zahteve glede popravljivosti, določene v pravnih aktih Evropske unije.</w:t>
      </w:r>
    </w:p>
    <w:p w14:paraId="0D588071" w14:textId="77777777" w:rsidR="00366039" w:rsidRDefault="00B1370D">
      <w:pPr>
        <w:pStyle w:val="len"/>
        <w:spacing w:line="260" w:lineRule="auto"/>
      </w:pPr>
      <w:r>
        <w:t>2. člen</w:t>
      </w:r>
    </w:p>
    <w:p w14:paraId="17441903" w14:textId="77777777" w:rsidR="00366039" w:rsidRDefault="00B1370D">
      <w:pPr>
        <w:pStyle w:val="lennaslov"/>
        <w:spacing w:line="260" w:lineRule="auto"/>
      </w:pPr>
      <w:r>
        <w:t>(blago, za katero se izda garancija za brezhibno delovanje)</w:t>
      </w:r>
    </w:p>
    <w:p w14:paraId="2A805724" w14:textId="77777777" w:rsidR="00366039" w:rsidRDefault="00366039">
      <w:pPr>
        <w:spacing w:after="0" w:line="260" w:lineRule="auto"/>
        <w:rPr>
          <w:rFonts w:cs="Arial"/>
        </w:rPr>
      </w:pPr>
    </w:p>
    <w:p w14:paraId="189BCBC2" w14:textId="77777777" w:rsidR="00366039" w:rsidRDefault="00B1370D" w:rsidP="00594999">
      <w:pPr>
        <w:spacing w:after="0" w:line="260" w:lineRule="auto"/>
        <w:jc w:val="left"/>
      </w:pPr>
      <w:r>
        <w:tab/>
        <w:t xml:space="preserve">(1) Garancija za brezhibno delovanje za obdobje najmanj enega leta se izda za naslednje vrste blaga: </w:t>
      </w:r>
      <w:r>
        <w:br/>
      </w:r>
      <w:r>
        <w:br/>
        <w:t xml:space="preserve">1. Proizvodi za gospodinjsko in podobno uporabo, in sicer: </w:t>
      </w:r>
      <w:r>
        <w:br/>
        <w:t xml:space="preserve">a) plinske naprave za kuhanje, ogrevanje ter hlajenje vode, </w:t>
      </w:r>
      <w:r>
        <w:br/>
        <w:t xml:space="preserve">b) električni aparati za ogrevanje, klimatizacijo in ventilacijo prostorov, </w:t>
      </w:r>
      <w:r>
        <w:br/>
        <w:t xml:space="preserve">c) električni aparati za pripravljanje in hrambo hrane, </w:t>
      </w:r>
      <w:r>
        <w:br/>
        <w:t xml:space="preserve">č) električni aparati za pranje, čiščenje in vzdrževanje, </w:t>
      </w:r>
      <w:r>
        <w:br/>
        <w:t xml:space="preserve">d) električni aparati za pomivanje, </w:t>
      </w:r>
      <w:r>
        <w:br/>
        <w:t xml:space="preserve">e) električni aparati za ogrevanje vode, </w:t>
      </w:r>
      <w:r>
        <w:br/>
        <w:t xml:space="preserve">f) električni aparati za nego telesa, </w:t>
      </w:r>
      <w:r>
        <w:br/>
        <w:t xml:space="preserve">g) električno ročno orodje, </w:t>
      </w:r>
      <w:r>
        <w:br/>
        <w:t xml:space="preserve">h) električne črpalke, </w:t>
      </w:r>
      <w:r>
        <w:br/>
        <w:t xml:space="preserve">i) električni usmerniki, napajalniki in polnilniki akumulatorskih baterij, </w:t>
      </w:r>
      <w:r>
        <w:br/>
        <w:t xml:space="preserve">j) električni razsmerniki, optimizatorji in solarni moduli za sončne elektrarne, </w:t>
      </w:r>
      <w:r>
        <w:br/>
        <w:t xml:space="preserve">k) električni šivalni in pletilni stroji, </w:t>
      </w:r>
      <w:r>
        <w:br/>
        <w:t xml:space="preserve">l) fotografski aparati, </w:t>
      </w:r>
      <w:r>
        <w:br/>
        <w:t xml:space="preserve">m) mehanske, električne in elektronske ure, </w:t>
      </w:r>
      <w:r>
        <w:br/>
        <w:t xml:space="preserve">n) glasbila, </w:t>
      </w:r>
      <w:r>
        <w:br/>
        <w:t xml:space="preserve">o) gospodinjske tehtnice, </w:t>
      </w:r>
      <w:r>
        <w:br/>
        <w:t xml:space="preserve">p) hišno, pisarniško in šolsko pohištvo, </w:t>
      </w:r>
      <w:r>
        <w:br/>
        <w:t xml:space="preserve">r) stavbno pohištvo. </w:t>
      </w:r>
      <w:r>
        <w:br/>
      </w:r>
      <w:r>
        <w:br/>
        <w:t xml:space="preserve">2. Proizvodi avtomobilske in podobne industrije, in sicer: </w:t>
      </w:r>
      <w:r>
        <w:br/>
        <w:t xml:space="preserve">a) cestna motorna in priklopna vozila ter vozila s pomožnim motorjem in motorna kolesa, </w:t>
      </w:r>
      <w:r>
        <w:br/>
        <w:t xml:space="preserve">b) motorji za cestna motorna vozila ter vozila s pomožnim motorjem, ki so dana v promet kot posebni proizvodi, </w:t>
      </w:r>
      <w:r>
        <w:br/>
        <w:t xml:space="preserve">c) štirikolesniki na motorni pogon, za katere se ne uporabljajo predpisi o homologaciji po predpisih o motornih vozilih, </w:t>
      </w:r>
      <w:r>
        <w:br/>
        <w:t xml:space="preserve">č) električna vozila in kolesa, </w:t>
      </w:r>
      <w:r>
        <w:br/>
        <w:t xml:space="preserve">d) kolesa, </w:t>
      </w:r>
      <w:r>
        <w:br/>
      </w:r>
      <w:r>
        <w:lastRenderedPageBreak/>
        <w:t xml:space="preserve">e) otroški vozički, </w:t>
      </w:r>
      <w:r>
        <w:br/>
        <w:t xml:space="preserve">f) otroški avtosedeži, </w:t>
      </w:r>
      <w:r>
        <w:br/>
        <w:t xml:space="preserve">g) vodna rekreacijska plovila, </w:t>
      </w:r>
      <w:r>
        <w:br/>
        <w:t>h) gume za cestna motorna in priklopna vozila, vozila s pomožnim motorjem in stroje in naprave za kmetijstvo in za obdelavo majhnih površin iz 3. točke tega člena,</w:t>
      </w:r>
      <w:r>
        <w:br/>
        <w:t xml:space="preserve">i) akumulatorske baterije, razen akumulatorskih baterijskih vložkov splošne rabe. </w:t>
      </w:r>
      <w:r>
        <w:br/>
      </w:r>
      <w:r>
        <w:br/>
        <w:t xml:space="preserve">3. Stroji in naprave za kmetijstvo in za obdelavo majhnih površin, in sicer: </w:t>
      </w:r>
      <w:r>
        <w:br/>
        <w:t xml:space="preserve">a) kmetijski traktorji in njihovi priklopniki, </w:t>
      </w:r>
      <w:r>
        <w:br/>
        <w:t xml:space="preserve">b) stroji in naprave za obdelavo in urejanje vrtov, trate in žive meje, </w:t>
      </w:r>
      <w:r>
        <w:br/>
        <w:t xml:space="preserve">c) stroji in naprave za setev, nego in zaščito rastlin, </w:t>
      </w:r>
      <w:r>
        <w:br/>
        <w:t xml:space="preserve">č) stroji in naprave za žetev in spravilo pridelkov, </w:t>
      </w:r>
      <w:r>
        <w:br/>
        <w:t xml:space="preserve">d) stroji in naprave za čiščenje, sortiranje, pakiranje in transport kmetijskih pridelkov, </w:t>
      </w:r>
      <w:r>
        <w:br/>
        <w:t xml:space="preserve">e) stroji in naprave za pripravljanje in raznašanje živinske krme, </w:t>
      </w:r>
      <w:r>
        <w:br/>
        <w:t xml:space="preserve">f) oprema za rejo živali za prehrano. </w:t>
      </w:r>
      <w:r>
        <w:br/>
      </w:r>
      <w:r>
        <w:br/>
        <w:t xml:space="preserve">4. Proizvodi informacijske tehnologije, in sicer: </w:t>
      </w:r>
      <w:r>
        <w:br/>
        <w:t xml:space="preserve">a) radijska in telekomunikacijska terminalska oprema, </w:t>
      </w:r>
      <w:r>
        <w:br/>
        <w:t xml:space="preserve">b) radijsko vodene naprave, </w:t>
      </w:r>
      <w:r>
        <w:br/>
        <w:t xml:space="preserve">c) osebni, dlančni in podobni računalniki, </w:t>
      </w:r>
      <w:r>
        <w:br/>
        <w:t xml:space="preserve">č) vgradne komponente za osebne in podobne računalnike, </w:t>
      </w:r>
      <w:r>
        <w:br/>
        <w:t xml:space="preserve">d) periferna oprema, ki se priključuje na osebne in podobne računalnike, </w:t>
      </w:r>
      <w:r>
        <w:br/>
        <w:t xml:space="preserve">e) računalniška komunikacijska oprema, </w:t>
      </w:r>
      <w:r>
        <w:br/>
        <w:t xml:space="preserve">f) kalkulatorji in računski stroji, </w:t>
      </w:r>
      <w:r>
        <w:br/>
        <w:t xml:space="preserve">g) stroji za fotokopiranje in razmnoževanje, </w:t>
      </w:r>
      <w:r>
        <w:br/>
        <w:t xml:space="preserve">h) navigacijske naprave. </w:t>
      </w:r>
      <w:r>
        <w:br/>
      </w:r>
      <w:r>
        <w:br/>
        <w:t xml:space="preserve">5. Športna oprema in rekviziti, in sicer: </w:t>
      </w:r>
      <w:r>
        <w:br/>
        <w:t xml:space="preserve">a) športna oprema in rekviziti, ki imajo lastnost mehanizma, </w:t>
      </w:r>
      <w:r>
        <w:br/>
        <w:t xml:space="preserve">b) sestavni deli športne opreme in rekvizitov, ki imajo lastnost mehanizma, </w:t>
      </w:r>
      <w:r>
        <w:br/>
        <w:t xml:space="preserve">c) športno in lovsko orožje. </w:t>
      </w:r>
      <w:r>
        <w:br/>
      </w:r>
      <w:r>
        <w:br/>
        <w:t xml:space="preserve">6. Proizvodi s področja radiokomunikacij, avdio- in videotehnike ter naprav, ki se nanje priključujejo, in sicer: </w:t>
      </w:r>
      <w:r>
        <w:br/>
        <w:t xml:space="preserve">a) radijski in televizijski sprejemniki, </w:t>
      </w:r>
      <w:r>
        <w:br/>
        <w:t xml:space="preserve">b) naprave za snemanje in reprodukcijo avdio- in videozapisov vseh formatov, </w:t>
      </w:r>
      <w:r>
        <w:br/>
        <w:t xml:space="preserve">c) ojačevalniki in pretvorniki signalov, </w:t>
      </w:r>
      <w:r>
        <w:br/>
        <w:t xml:space="preserve">č) sprejemniki signalov, </w:t>
      </w:r>
      <w:r>
        <w:br/>
        <w:t xml:space="preserve">d) naprave za daljinsko krmiljenje, </w:t>
      </w:r>
      <w:r>
        <w:br/>
        <w:t xml:space="preserve">e) sestavni deli za kabelske distribucijske sisteme, </w:t>
      </w:r>
      <w:r>
        <w:br/>
        <w:t xml:space="preserve">f) slušalke, </w:t>
      </w:r>
      <w:r>
        <w:br/>
        <w:t xml:space="preserve">g) mikrofoni, </w:t>
      </w:r>
      <w:r>
        <w:br/>
        <w:t xml:space="preserve">h) naprave za napajanje naprav točk a) do g) te točke. </w:t>
      </w:r>
      <w:r>
        <w:br/>
      </w:r>
      <w:r>
        <w:br/>
        <w:t xml:space="preserve">7. Elektro-medicinski pripomočki, namenjeni osebni uporabi, in sicer: </w:t>
      </w:r>
      <w:r>
        <w:br/>
        <w:t xml:space="preserve">a) naprave za kontrolo in rehabilitacijo sluha, </w:t>
      </w:r>
      <w:r>
        <w:br/>
        <w:t xml:space="preserve">b) naprave za pomoč slepim, </w:t>
      </w:r>
      <w:r>
        <w:br/>
        <w:t xml:space="preserve">c) vse vrste ortopedskih in protetičnih mehanizmov, </w:t>
      </w:r>
      <w:r>
        <w:br/>
        <w:t xml:space="preserve">č) elektro-medicinske naprave za merjenje telesnih parametrov, na primer: merilnik srčnega utripa, krvnega tlaka, krvnega sladkorja, </w:t>
      </w:r>
      <w:r>
        <w:br/>
        <w:t xml:space="preserve">d) električni aparati, namenjeni izboljšanju zdravstvenega stanja in telesnega počutja. </w:t>
      </w:r>
      <w:r>
        <w:br/>
      </w:r>
      <w:r>
        <w:br/>
      </w:r>
      <w:r>
        <w:lastRenderedPageBreak/>
        <w:t xml:space="preserve">8. Naprave za varstvo pred požarom, in sicer: </w:t>
      </w:r>
      <w:r>
        <w:br/>
        <w:t xml:space="preserve">– ročni in prevozni gasilni aparati. </w:t>
      </w:r>
      <w:r>
        <w:br/>
      </w:r>
      <w:r>
        <w:br/>
        <w:t xml:space="preserve">9. Čistilne naprave: </w:t>
      </w:r>
      <w:r>
        <w:br/>
        <w:t xml:space="preserve">– male komunalne čistilne naprave do 50 PE. </w:t>
      </w:r>
      <w:r>
        <w:br/>
      </w:r>
      <w:r>
        <w:br/>
        <w:t xml:space="preserve">10. Male kurilne naprave: </w:t>
      </w:r>
      <w:r>
        <w:br/>
        <w:t xml:space="preserve">a) lokalni grelniki prostorov z nazivno izhodno toplotno močjo do 50 kW, </w:t>
      </w:r>
      <w:r>
        <w:br/>
        <w:t xml:space="preserve">b) kotli na trdno gorivo z nazivno izhodno toplotno močjo do 500 kW, </w:t>
      </w:r>
      <w:r>
        <w:br/>
        <w:t xml:space="preserve">c) grelniki prostorov in kombinirani grelniki z nazivno izhodno toplotno močjo do 400 kW. </w:t>
      </w:r>
    </w:p>
    <w:p w14:paraId="2BE4967D" w14:textId="77777777" w:rsidR="00366039" w:rsidRDefault="00366039">
      <w:pPr>
        <w:spacing w:after="0" w:line="260" w:lineRule="auto"/>
        <w:rPr>
          <w:rFonts w:cs="Arial"/>
        </w:rPr>
      </w:pPr>
    </w:p>
    <w:p w14:paraId="7B6DF80C" w14:textId="77777777" w:rsidR="00366039" w:rsidRDefault="00B1370D">
      <w:pPr>
        <w:spacing w:after="0" w:line="260" w:lineRule="auto"/>
      </w:pPr>
      <w:r>
        <w:tab/>
        <w:t>(2) Garancija za brezhibno delovanje se ne izda za rabljeno blago.</w:t>
      </w:r>
    </w:p>
    <w:p w14:paraId="44D1DEDE" w14:textId="77777777" w:rsidR="00366039" w:rsidRDefault="00B1370D">
      <w:pPr>
        <w:pStyle w:val="len"/>
        <w:spacing w:line="260" w:lineRule="auto"/>
      </w:pPr>
      <w:r>
        <w:t>3. člen</w:t>
      </w:r>
    </w:p>
    <w:p w14:paraId="425FC3E3" w14:textId="77777777" w:rsidR="00366039" w:rsidRDefault="00B1370D">
      <w:pPr>
        <w:pStyle w:val="lennaslov"/>
        <w:spacing w:line="260" w:lineRule="auto"/>
      </w:pPr>
      <w:r>
        <w:t>(začetek teka garancijskega roka)</w:t>
      </w:r>
    </w:p>
    <w:p w14:paraId="6EEAC21D" w14:textId="77777777" w:rsidR="00366039" w:rsidRDefault="00366039">
      <w:pPr>
        <w:spacing w:after="0" w:line="260" w:lineRule="auto"/>
        <w:rPr>
          <w:rFonts w:cs="Arial"/>
        </w:rPr>
      </w:pPr>
    </w:p>
    <w:p w14:paraId="3F25CCE5" w14:textId="77777777" w:rsidR="00366039" w:rsidRDefault="00B1370D">
      <w:pPr>
        <w:spacing w:after="0" w:line="260" w:lineRule="auto"/>
      </w:pPr>
      <w:r>
        <w:tab/>
        <w:t>Garancijski rok začne teči z dnem izročitve blaga potrošniku.</w:t>
      </w:r>
    </w:p>
    <w:p w14:paraId="2832387F" w14:textId="77777777" w:rsidR="00366039" w:rsidRDefault="00B1370D">
      <w:pPr>
        <w:pStyle w:val="len"/>
        <w:spacing w:line="260" w:lineRule="auto"/>
      </w:pPr>
      <w:r>
        <w:t>4. člen</w:t>
      </w:r>
    </w:p>
    <w:p w14:paraId="29AE28AB" w14:textId="77777777" w:rsidR="00366039" w:rsidRDefault="00B1370D">
      <w:pPr>
        <w:pStyle w:val="lennaslov"/>
        <w:spacing w:line="260" w:lineRule="auto"/>
      </w:pPr>
      <w:r>
        <w:t>(blago, ki izpolnjuje zahteve glede popravljivosti)</w:t>
      </w:r>
    </w:p>
    <w:p w14:paraId="195AFB5E" w14:textId="77777777" w:rsidR="00366039" w:rsidRDefault="00366039">
      <w:pPr>
        <w:spacing w:after="0" w:line="260" w:lineRule="auto"/>
        <w:rPr>
          <w:rFonts w:cs="Arial"/>
        </w:rPr>
      </w:pPr>
    </w:p>
    <w:p w14:paraId="526A176B" w14:textId="77777777" w:rsidR="00366039" w:rsidRDefault="00B1370D" w:rsidP="00594999">
      <w:pPr>
        <w:spacing w:after="0" w:line="260" w:lineRule="auto"/>
        <w:jc w:val="left"/>
      </w:pPr>
      <w:r>
        <w:tab/>
        <w:t xml:space="preserve">Blago, ki izpolnjuje zahteve glede popravljivosti, določene v pravnih aktih Evropske unije, je: </w:t>
      </w:r>
      <w:r>
        <w:br/>
        <w:t xml:space="preserve">1. gospodinjski pralni in pralno-sušilni stroji v skladu z Uredbo 2019/2023/EU; </w:t>
      </w:r>
      <w:r>
        <w:br/>
        <w:t xml:space="preserve">2. gospodinjski pomivalni stroji v skladu z Uredbo 2019/2022/EU; </w:t>
      </w:r>
      <w:r>
        <w:br/>
        <w:t xml:space="preserve">3. hladilni aparati v skladu z Uredbo 2019/2019/EU; </w:t>
      </w:r>
      <w:r>
        <w:br/>
        <w:t xml:space="preserve">4. elektronski prikazovalniki v skladu z Uredbo 2019/2021/EU; </w:t>
      </w:r>
      <w:r>
        <w:br/>
        <w:t xml:space="preserve">5. varilna oprema v skladu z Uredbo 2019/1784/EU; </w:t>
      </w:r>
      <w:r>
        <w:br/>
        <w:t xml:space="preserve">6. sesalniki v skladu z Uredbo 666/2013/EU; </w:t>
      </w:r>
      <w:r>
        <w:br/>
        <w:t xml:space="preserve">7. strežniki in izdelki za shranjevanje podatkov v skladu z Uredbo 2019/424/EU; </w:t>
      </w:r>
      <w:r>
        <w:br/>
        <w:t xml:space="preserve">8. mobilni telefoni, brezžični telefoni in preklopni tablični računalniki v skladu z Uredbo 2023/1670/EU; </w:t>
      </w:r>
      <w:r>
        <w:br/>
        <w:t xml:space="preserve">9. gospodinjski sušilni stroji v skladu z Uredbo 2023/2533/EU; </w:t>
      </w:r>
      <w:r>
        <w:br/>
        <w:t xml:space="preserve">10. blago, ki vsebuje baterije za lahka vozila v skladu z Uredbo 2023/1542/EU; </w:t>
      </w:r>
      <w:r>
        <w:br/>
        <w:t xml:space="preserve">11. gospodinjski lokalni grelniki prostorov v skladu z Uredbo 2024/1103/EU. </w:t>
      </w:r>
    </w:p>
    <w:p w14:paraId="4B114EA5" w14:textId="77777777" w:rsidR="00366039" w:rsidRDefault="00B1370D">
      <w:pPr>
        <w:pStyle w:val="Poglavje"/>
        <w:spacing w:line="260" w:lineRule="auto"/>
      </w:pPr>
      <w:r>
        <w:t>KONČNI DOLOČBI</w:t>
      </w:r>
    </w:p>
    <w:p w14:paraId="7202E38F" w14:textId="77777777" w:rsidR="00366039" w:rsidRDefault="00B1370D">
      <w:pPr>
        <w:pStyle w:val="len"/>
        <w:spacing w:line="260" w:lineRule="auto"/>
      </w:pPr>
      <w:r>
        <w:t>5. člen</w:t>
      </w:r>
    </w:p>
    <w:p w14:paraId="73E0DA0F" w14:textId="77777777" w:rsidR="00366039" w:rsidRDefault="00B1370D">
      <w:pPr>
        <w:pStyle w:val="lennaslov"/>
        <w:spacing w:line="260" w:lineRule="auto"/>
      </w:pPr>
      <w:r>
        <w:t>(prenehanje uporabe)</w:t>
      </w:r>
    </w:p>
    <w:p w14:paraId="141A6E0F" w14:textId="77777777" w:rsidR="00366039" w:rsidRDefault="00366039">
      <w:pPr>
        <w:spacing w:after="0" w:line="260" w:lineRule="auto"/>
        <w:rPr>
          <w:rFonts w:cs="Arial"/>
        </w:rPr>
      </w:pPr>
    </w:p>
    <w:p w14:paraId="54FCEB9F" w14:textId="77777777" w:rsidR="00366039" w:rsidRDefault="00B1370D">
      <w:pPr>
        <w:spacing w:after="0" w:line="260" w:lineRule="auto"/>
      </w:pPr>
      <w:r>
        <w:tab/>
        <w:t>Z dnem uveljavitve tega pravilnika se preneha uporabljati Pravilnik o blagu, za katero se izda garancija za brezhibno delovanje (Uradni list RS, št. 142/22).</w:t>
      </w:r>
    </w:p>
    <w:p w14:paraId="05E8191E" w14:textId="77777777" w:rsidR="00366039" w:rsidRDefault="00B1370D">
      <w:pPr>
        <w:pStyle w:val="len"/>
        <w:spacing w:line="260" w:lineRule="auto"/>
      </w:pPr>
      <w:r>
        <w:t>6. člen</w:t>
      </w:r>
    </w:p>
    <w:p w14:paraId="34184C05" w14:textId="77777777" w:rsidR="00366039" w:rsidRDefault="00B1370D">
      <w:pPr>
        <w:pStyle w:val="lennaslov"/>
        <w:spacing w:line="260" w:lineRule="auto"/>
      </w:pPr>
      <w:r>
        <w:t>(začetek veljavnosti)</w:t>
      </w:r>
    </w:p>
    <w:p w14:paraId="23293788" w14:textId="77777777" w:rsidR="00366039" w:rsidRDefault="00366039">
      <w:pPr>
        <w:spacing w:after="0" w:line="260" w:lineRule="auto"/>
        <w:rPr>
          <w:rFonts w:cs="Arial"/>
        </w:rPr>
      </w:pPr>
    </w:p>
    <w:p w14:paraId="7F441C77" w14:textId="77777777" w:rsidR="00366039" w:rsidRDefault="00B1370D">
      <w:pPr>
        <w:spacing w:after="0" w:line="260" w:lineRule="auto"/>
      </w:pPr>
      <w:r>
        <w:tab/>
        <w:t>Ta pravilnik začne veljati petnajsti dan po objavi v Uradnem listu Republike Slovenije.</w:t>
      </w:r>
    </w:p>
    <w:p w14:paraId="73050D0B" w14:textId="77777777" w:rsidR="00366039" w:rsidRDefault="00B1370D">
      <w:r>
        <w:br w:type="page"/>
      </w:r>
    </w:p>
    <w:p w14:paraId="23D25D1A" w14:textId="77777777" w:rsidR="00366039" w:rsidRDefault="00B1370D">
      <w:pPr>
        <w:pStyle w:val="Odebeljeno"/>
        <w:spacing w:line="260" w:lineRule="auto"/>
      </w:pPr>
      <w:r>
        <w:lastRenderedPageBreak/>
        <w:t>III.</w:t>
      </w:r>
      <w:r>
        <w:tab/>
        <w:t>OBRAZLOŽITEV</w:t>
      </w:r>
    </w:p>
    <w:p w14:paraId="584A7CE5" w14:textId="77777777" w:rsidR="00366039" w:rsidRDefault="00366039">
      <w:pPr>
        <w:spacing w:after="0" w:line="260" w:lineRule="auto"/>
        <w:rPr>
          <w:rFonts w:cs="Arial"/>
        </w:rPr>
      </w:pPr>
    </w:p>
    <w:p w14:paraId="3CA63DD9" w14:textId="77777777" w:rsidR="00366039" w:rsidRDefault="00B1370D">
      <w:pPr>
        <w:pStyle w:val="Odebeljeno"/>
        <w:spacing w:line="260" w:lineRule="auto"/>
      </w:pPr>
      <w:r>
        <w:t>K 1. členu:</w:t>
      </w:r>
    </w:p>
    <w:p w14:paraId="509F93CF" w14:textId="77777777" w:rsidR="00366039" w:rsidRDefault="00B1370D">
      <w:pPr>
        <w:spacing w:after="0" w:line="240" w:lineRule="auto"/>
      </w:pPr>
      <w:r>
        <w:t xml:space="preserve">1. člen Pravilnika o blagu, za katero se izda garancija za brezhibno delovanje in o blagu, ki izpolnjuje zahteve glede popravljivosti (v nadaljnjem besedilu: pravilnik), določa predmet urejanja, in sicer določitev blaga, za katero mora biti izdana garancija za brezhibno delovanje in določitev začetka teka garancijskega roka. Poleg tega pravilnik določa blago, ki izpolnjuje zahteve glede popravljivosti, določene v pravnih aktih Evropske unije. </w:t>
      </w:r>
    </w:p>
    <w:p w14:paraId="14F64E35" w14:textId="77777777" w:rsidR="00366039" w:rsidRDefault="00366039">
      <w:pPr>
        <w:spacing w:after="0" w:line="260" w:lineRule="auto"/>
        <w:rPr>
          <w:rFonts w:cs="Arial"/>
        </w:rPr>
      </w:pPr>
    </w:p>
    <w:p w14:paraId="48231135" w14:textId="77777777" w:rsidR="00366039" w:rsidRDefault="00B1370D">
      <w:pPr>
        <w:pStyle w:val="Odebeljeno"/>
        <w:spacing w:line="260" w:lineRule="auto"/>
      </w:pPr>
      <w:r>
        <w:t>K 2. členu:</w:t>
      </w:r>
    </w:p>
    <w:p w14:paraId="045802D0" w14:textId="77777777" w:rsidR="00366039" w:rsidRDefault="00B1370D">
      <w:pPr>
        <w:spacing w:after="0" w:line="240" w:lineRule="auto"/>
      </w:pPr>
      <w:r>
        <w:t>Prvi odstavek tega člena pravilnika določa seznam blaga, za katero je obvezna izdaja garancije za brezhibno delovanje za obdobje najmanj enega leta. Seznam zajema širok nabor proizvodov, razvrščenih v deset skupin glede na njihovo namembnost, funkcionalne značilnosti in področje uporabe. Vključuje proizvode za gospodinjsko in podobno uporabo, kot so gospodinjski aparati, električno orodje, črpalke, ure, glasbila ter hišno, pisarniško, šolsko in stavbno pohištvo; proizvode avtomobilske in podobne industrije, med katere spadajo motorna in priklopna vozila, motorji, štirikolesniki, električna vozila in kolesa, otroški vozički in avtosedeži, vodna rekreacijska plovila, gume ter akumulatorske baterije; ter stroje in naprave za kmetijstvo in obdelavo majhnih površin, ki se uporabljajo za obdelavo in vzdrževanje zemljišč, setev, nego in zaščito rastlin, žetev in spravilo pridelkov, njihovo nadaljnjo obdelavo ter rejo živali. Na seznam so vključeni tudi proizvodi informacijske tehnologije, kot so računalniki, njihove komponente in periferna oprema, komunikacijske in navigacijske naprave, kalkulatorji ter stroji za fotokopiranje in razmnoževanje; športna oprema in rekviziti, njihovi sestavni deli ter športno in lovsko orožje; proizvodi s področja radiokomunikacij, avdio- in videotehnike, vključno z radijskimi in televizijskimi sprejemniki, napravami za snemanje in reprodukcijo zvočnih in slikovnih zapisov, ojačevalniki, sprejemniki signalov, napravami za daljinsko krmiljenje ter pripadajočimi sestavnimi deli in napajalnimi napravami. Seznam nadalje obsega elektromedicinske pripomočke za osebno uporabo, kot so naprave za podporo osebam z okvarami sluha in vida, ortopedski in protetični mehanizmi, naprave za merjenje telesnih parametrov ter električni aparati za izboljšanje zdravstvenega stanja in telesnega počutja, naprave za varstvo pred požarom, in sicer ročne in prevozne gasilne aparate, male komunalne čistilne naprave z zmogljivostjo do 50 PE ter male kurilne naprave, med katere sodijo lokalni grelniki prostorov z nazivno izhodno toplotno močjo do 50 kW, kotli na trdno gorivo z nazivno izhodno toplotno močjo do 500 kW ter grelniki prostorov in kombinirani grelniki z nazivno izhodno toplotno močjo do 400 kW.</w:t>
      </w:r>
    </w:p>
    <w:p w14:paraId="3F708FE6" w14:textId="77777777" w:rsidR="00366039" w:rsidRDefault="00B1370D">
      <w:pPr>
        <w:spacing w:after="0" w:line="240" w:lineRule="auto"/>
      </w:pPr>
      <w:r>
        <w:t xml:space="preserve"> </w:t>
      </w:r>
    </w:p>
    <w:p w14:paraId="5C4D3615" w14:textId="77777777" w:rsidR="00366039" w:rsidRDefault="00B1370D">
      <w:pPr>
        <w:spacing w:after="0" w:line="240" w:lineRule="auto"/>
      </w:pPr>
      <w:r>
        <w:t>Z določitvijo posameznih vrst blaga se zagotavlja jasna in pregledna opredelitev blaga, za katero velja obveznost izdaje garancije za brezhibno delovanje.</w:t>
      </w:r>
    </w:p>
    <w:p w14:paraId="1920A111" w14:textId="77777777" w:rsidR="00366039" w:rsidRDefault="00B1370D">
      <w:pPr>
        <w:spacing w:after="0" w:line="240" w:lineRule="auto"/>
      </w:pPr>
      <w:r>
        <w:t xml:space="preserve"> </w:t>
      </w:r>
    </w:p>
    <w:p w14:paraId="13CFD010" w14:textId="77777777" w:rsidR="00366039" w:rsidRDefault="00B1370D">
      <w:pPr>
        <w:spacing w:after="0" w:line="240" w:lineRule="auto"/>
      </w:pPr>
      <w:r>
        <w:t>Drugi odstavek tega člena določa, da se garancija za brezhibno delovanje ne izda za rabljeno blago. Izjema se nanaša izključno na obveznost izdaje garancije za brezhibno delovanje iz prvega odstavka tega člena in ne vpliva na uporabo določb tega pravilnika o blagu, za katero so v pravnih aktih Evropske unije določene zahteve glede popravljivosti. Te določbe se uporabljajo ne glede na to, ali je blago novo ali rabljeno. S tem se jasno razmejuje področje uporabe posameznih določb pravilnika.</w:t>
      </w:r>
    </w:p>
    <w:p w14:paraId="266DA2D9" w14:textId="77777777" w:rsidR="00366039" w:rsidRDefault="00366039">
      <w:pPr>
        <w:spacing w:after="0" w:line="260" w:lineRule="auto"/>
        <w:rPr>
          <w:rFonts w:cs="Arial"/>
        </w:rPr>
      </w:pPr>
    </w:p>
    <w:p w14:paraId="570D18AD" w14:textId="77777777" w:rsidR="00366039" w:rsidRDefault="00B1370D">
      <w:pPr>
        <w:pStyle w:val="Odebeljeno"/>
        <w:spacing w:line="260" w:lineRule="auto"/>
      </w:pPr>
      <w:r>
        <w:t>K 3. členu:</w:t>
      </w:r>
    </w:p>
    <w:p w14:paraId="2C788761" w14:textId="77777777" w:rsidR="00366039" w:rsidRDefault="00B1370D">
      <w:pPr>
        <w:spacing w:after="0" w:line="240" w:lineRule="auto"/>
      </w:pPr>
      <w:r>
        <w:t xml:space="preserve">Ta člen pravilnika določa, da garancijski rok začne teči z dnem izročitve blaga potrošniku. S tem se jasno opredeli začetek teka garancijskega roka, kar zagotavlja pravno varnost in predvidljivost pri uveljavljanju pravic iz garancije. </w:t>
      </w:r>
    </w:p>
    <w:p w14:paraId="26EE689C" w14:textId="77777777" w:rsidR="00366039" w:rsidRDefault="00B1370D">
      <w:pPr>
        <w:spacing w:after="0" w:line="240" w:lineRule="auto"/>
      </w:pPr>
      <w:r>
        <w:t xml:space="preserve"> </w:t>
      </w:r>
    </w:p>
    <w:p w14:paraId="232FF061" w14:textId="77777777" w:rsidR="00366039" w:rsidRDefault="00B1370D">
      <w:pPr>
        <w:spacing w:after="0" w:line="240" w:lineRule="auto"/>
      </w:pPr>
      <w:r>
        <w:t>Določba tega člena ostaja nespremenjena in je enaka določbi 3. člena Pravilnika o blagu, za katero se izda garancija za brezhibno delovanje (Uradni list RS, št. 142/22).</w:t>
      </w:r>
    </w:p>
    <w:p w14:paraId="01258C90" w14:textId="77777777" w:rsidR="00366039" w:rsidRDefault="00366039">
      <w:pPr>
        <w:spacing w:after="0" w:line="260" w:lineRule="auto"/>
        <w:rPr>
          <w:rFonts w:cs="Arial"/>
        </w:rPr>
      </w:pPr>
    </w:p>
    <w:p w14:paraId="188E2331" w14:textId="77777777" w:rsidR="00366039" w:rsidRDefault="00B1370D">
      <w:pPr>
        <w:pStyle w:val="Odebeljeno"/>
        <w:spacing w:line="260" w:lineRule="auto"/>
      </w:pPr>
      <w:r>
        <w:t>K 4. členu:</w:t>
      </w:r>
    </w:p>
    <w:p w14:paraId="1FE8CF18" w14:textId="77777777" w:rsidR="00366039" w:rsidRDefault="00B1370D">
      <w:pPr>
        <w:spacing w:after="0" w:line="240" w:lineRule="auto"/>
      </w:pPr>
      <w:r>
        <w:t xml:space="preserve">Ta člen pravilnika določa vrste blaga, za katere veljajo zahteve glede popravljivosti, določene v pravnih aktih Evropske unije. Seznam vključuje gospodinjske pralne in pralno-sušilne stroje, pomivalne stroje, hladilne aparate, elektronske prikazovalnike, varilno opremo, sesalnike, strežnike in izdelke za </w:t>
      </w:r>
      <w:r>
        <w:lastRenderedPageBreak/>
        <w:t>shranjevanje podatkov, mobilne in brezžične telefone ter preklopne tablične računalnike, gospodinjske sušilne stroje, blago, ki vsebuje baterije za lahka vozila, in gospodinjske lokalne grelnike prostorov.</w:t>
      </w:r>
    </w:p>
    <w:p w14:paraId="415D84DA" w14:textId="77777777" w:rsidR="00366039" w:rsidRDefault="00B1370D">
      <w:pPr>
        <w:spacing w:after="0" w:line="240" w:lineRule="auto"/>
      </w:pPr>
      <w:r>
        <w:t xml:space="preserve"> </w:t>
      </w:r>
    </w:p>
    <w:p w14:paraId="3BBE7913" w14:textId="77777777" w:rsidR="00366039" w:rsidRDefault="00B1370D">
      <w:pPr>
        <w:spacing w:after="0" w:line="240" w:lineRule="auto"/>
      </w:pPr>
      <w:r>
        <w:t>S tem členom se zagotavlja prenos Direktive (EU) 2024/1799 Evropskega parlamenta in Sveta z dne 13. junija 2024 o skupnih pravilih za spodbujanje popravila blaga in o spremembi Uredbe (EU) 2017/2394 ter direktiv (EU) 2019/771 in (EU) 2020/1828 (v nadaljnjem besedilu: Direktiva 2024/1799/EU) v pravni red Republike Slovenije, vključno s Prilogo II navedene Direktive 2024/1799/EU, ki določa seznam pravnih aktov Evropske unije, v katerih so opredeljene zahteve glede popravljivosti za posamezne kategorije blaga.</w:t>
      </w:r>
    </w:p>
    <w:p w14:paraId="15378FD8" w14:textId="77777777" w:rsidR="00366039" w:rsidRDefault="00B1370D">
      <w:pPr>
        <w:spacing w:after="0" w:line="240" w:lineRule="auto"/>
      </w:pPr>
      <w:r>
        <w:t xml:space="preserve"> </w:t>
      </w:r>
    </w:p>
    <w:p w14:paraId="0F95FEF4" w14:textId="77777777" w:rsidR="00366039" w:rsidRDefault="00B1370D">
      <w:pPr>
        <w:spacing w:after="0" w:line="240" w:lineRule="auto"/>
      </w:pPr>
      <w:r>
        <w:t>Zahteve glede popravljivosti se nanašajo zlasti na zasnovo proizvodov, razpoložljivost nadomestnih delov, dostopnost informacij in dokumentacije za popravilo ter druge pogoje, ki omogočajo popravilo in vzdrževanje blaga v skladu z zahtevami posameznega pravnega akta. Ker se bo seznam pravnih aktov Evropske unije, ki določajo zahteve glede popravljivosti, dopolnjeval z delegiranimi akti Evropske komisije, bo treba pravilnik ustrezno dopolnjevati in vanj vključevati nove kategorije blaga, za katere bodo določene zahteve glede popravljivosti.</w:t>
      </w:r>
    </w:p>
    <w:p w14:paraId="086293F0" w14:textId="77777777" w:rsidR="00366039" w:rsidRDefault="00B1370D">
      <w:pPr>
        <w:spacing w:after="0" w:line="240" w:lineRule="auto"/>
      </w:pPr>
      <w:r>
        <w:t xml:space="preserve"> </w:t>
      </w:r>
    </w:p>
    <w:p w14:paraId="48D201A1" w14:textId="77777777" w:rsidR="00366039" w:rsidRDefault="00B1370D">
      <w:pPr>
        <w:spacing w:after="0" w:line="240" w:lineRule="auto"/>
      </w:pPr>
      <w:r>
        <w:t>Z določitvijo navedenih kategorij blaga se prispeva k spodbujanju popravil, podaljševanju življenjske dobe proizvodov, zmanjševanju količine odpadkov in učinkovitejši rabi virov ter podpira cilje Evropske unije na področju trajnostne potrošnje in krožnega gospodarstva.</w:t>
      </w:r>
    </w:p>
    <w:p w14:paraId="3B95541B" w14:textId="77777777" w:rsidR="00366039" w:rsidRDefault="00366039">
      <w:pPr>
        <w:spacing w:after="0" w:line="260" w:lineRule="auto"/>
        <w:rPr>
          <w:rFonts w:cs="Arial"/>
        </w:rPr>
      </w:pPr>
    </w:p>
    <w:p w14:paraId="6AC868BF" w14:textId="77777777" w:rsidR="00366039" w:rsidRDefault="00B1370D">
      <w:pPr>
        <w:pStyle w:val="Odebeljeno"/>
        <w:spacing w:line="260" w:lineRule="auto"/>
      </w:pPr>
      <w:r>
        <w:t>K 5. členu:</w:t>
      </w:r>
    </w:p>
    <w:p w14:paraId="25675888" w14:textId="77777777" w:rsidR="00366039" w:rsidRDefault="00B1370D">
      <w:pPr>
        <w:spacing w:after="0" w:line="240" w:lineRule="auto"/>
      </w:pPr>
      <w:r>
        <w:t>Ta člen pravilnika določa prenehanje uporabe Pravilnika o blagu, za katero se izda garancija za brezhibno delovanje (Uradni list RS, št. 142/22), z dnem uveljavitve novega pravilnika. S tem se zagotavlja prehod na novo ureditev, ki poleg določitve blaga, za katero je obvezna izdaja garancije za brezhibno delovanje in začetek teka garancijskega roka določa tudi blago, za katero veljajo zahteve glede popravljivosti na podlagi pravnih aktov Evropske unije.</w:t>
      </w:r>
    </w:p>
    <w:p w14:paraId="08BC17AD" w14:textId="77777777" w:rsidR="00366039" w:rsidRDefault="00366039">
      <w:pPr>
        <w:spacing w:after="0" w:line="260" w:lineRule="auto"/>
        <w:rPr>
          <w:rFonts w:cs="Arial"/>
        </w:rPr>
      </w:pPr>
    </w:p>
    <w:p w14:paraId="32E4F927" w14:textId="77777777" w:rsidR="00366039" w:rsidRDefault="00B1370D">
      <w:pPr>
        <w:pStyle w:val="Odebeljeno"/>
        <w:spacing w:line="260" w:lineRule="auto"/>
      </w:pPr>
      <w:r>
        <w:t>K 6. členu:</w:t>
      </w:r>
    </w:p>
    <w:p w14:paraId="15371494" w14:textId="77777777" w:rsidR="00366039" w:rsidRDefault="00B1370D">
      <w:pPr>
        <w:spacing w:after="0" w:line="240" w:lineRule="auto"/>
      </w:pPr>
      <w:r>
        <w:t>Člen določa začetek veljavnosti pravilnika, in sicer petnajsti dan po njegovi objavi v Uradnem listu Republike Slovenije.</w:t>
      </w:r>
    </w:p>
    <w:p w14:paraId="7D1D2936" w14:textId="77777777" w:rsidR="00366039" w:rsidRDefault="00366039">
      <w:pPr>
        <w:spacing w:after="0" w:line="260" w:lineRule="auto"/>
        <w:rPr>
          <w:rFonts w:cs="Arial"/>
        </w:rPr>
      </w:pPr>
    </w:p>
    <w:p w14:paraId="62C2E657" w14:textId="77777777" w:rsidR="00366039" w:rsidRDefault="00B1370D">
      <w:r>
        <w:br w:type="page"/>
      </w:r>
    </w:p>
    <w:p w14:paraId="6A0B7CD5" w14:textId="77777777" w:rsidR="00366039" w:rsidRDefault="00B1370D">
      <w:pPr>
        <w:pStyle w:val="Odebeljeno"/>
        <w:spacing w:line="260" w:lineRule="auto"/>
      </w:pPr>
      <w:r>
        <w:lastRenderedPageBreak/>
        <w:t>IV.</w:t>
      </w:r>
      <w:r>
        <w:tab/>
        <w:t>PRILOGE</w:t>
      </w:r>
    </w:p>
    <w:p w14:paraId="55C0E06D" w14:textId="77777777" w:rsidR="00366039" w:rsidRDefault="00366039">
      <w:pPr>
        <w:spacing w:after="0" w:line="260" w:lineRule="auto"/>
        <w:rPr>
          <w:rFonts w:cs="Arial"/>
        </w:rPr>
      </w:pPr>
    </w:p>
    <w:p w14:paraId="636EA8C3" w14:textId="77777777" w:rsidR="00366039" w:rsidRDefault="00B1370D">
      <w:pPr>
        <w:spacing w:after="0" w:line="260" w:lineRule="auto"/>
      </w:pPr>
      <w:r>
        <w:t>Priloge niso priložene.</w:t>
      </w:r>
    </w:p>
    <w:sectPr w:rsidR="00366039">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59D1" w14:textId="77777777" w:rsidR="00FD6CBD" w:rsidRDefault="00FD6CBD">
      <w:pPr>
        <w:spacing w:after="0" w:line="240" w:lineRule="auto"/>
      </w:pPr>
      <w:r>
        <w:separator/>
      </w:r>
    </w:p>
  </w:endnote>
  <w:endnote w:type="continuationSeparator" w:id="0">
    <w:p w14:paraId="098071A8" w14:textId="77777777" w:rsidR="00FD6CBD" w:rsidRDefault="00FD6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A0A6" w14:textId="77777777" w:rsidR="00366039" w:rsidRDefault="00B1370D">
    <w:r>
      <w:rPr>
        <w:i/>
        <w:sz w:val="16"/>
      </w:rPr>
      <w:t>Ustvarjeno v MOPED-DOCS, 27. 10. 2026 10:35:38, verzija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47A0" w14:textId="77777777" w:rsidR="00FD6CBD" w:rsidRDefault="00FD6CBD">
      <w:pPr>
        <w:spacing w:after="0" w:line="240" w:lineRule="auto"/>
      </w:pPr>
      <w:r>
        <w:separator/>
      </w:r>
    </w:p>
  </w:footnote>
  <w:footnote w:type="continuationSeparator" w:id="0">
    <w:p w14:paraId="2FDC5FBA" w14:textId="77777777" w:rsidR="00FD6CBD" w:rsidRDefault="00FD6C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39"/>
    <w:rsid w:val="00366039"/>
    <w:rsid w:val="00594999"/>
    <w:rsid w:val="00632DC3"/>
    <w:rsid w:val="00886CCF"/>
    <w:rsid w:val="009F0092"/>
    <w:rsid w:val="00B1370D"/>
    <w:rsid w:val="00FD6C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78A9"/>
  <w15:docId w15:val="{87377CC0-FFB7-43E7-8998-86441531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2327</Words>
  <Characters>13269</Characters>
  <Application>Microsoft Office Word</Application>
  <DocSecurity>4</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Zajc</dc:creator>
  <cp:lastModifiedBy>Katja Zajc</cp:lastModifiedBy>
  <cp:revision>2</cp:revision>
  <dcterms:created xsi:type="dcterms:W3CDTF">2026-10-30T11:23:00Z</dcterms:created>
  <dcterms:modified xsi:type="dcterms:W3CDTF">2026-10-30T11:23:00Z</dcterms:modified>
</cp:coreProperties>
</file>