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pStyle w:val="Odstavek"/>
        <w:spacing w:after="0" w:line="260" w:lineRule="auto"/>
      </w:pPr>
      <w:r>
        <w:t>Na podlagi tretjega odstavka 57. člena Zakona o skupnih temeljih sistema plač v javnem sektorju (Uradni list RS, št. 95/24 in 12/26 – ZPPJUFT) minister za pravosodje izdaja</w:t>
      </w:r>
    </w:p>
    <w:p>
      <w:pPr>
        <w:spacing w:after="0" w:line="260" w:lineRule="auto"/>
        <w:rPr>
          <w:rFonts w:ascii="Arial" w:hAnsi="Arial" w:cs="Arial"/>
        </w:rPr>
      </w:pPr>
    </w:p>
    <w:p>
      <w:pPr>
        <w:pStyle w:val="Naslov1"/>
        <w:spacing w:after="0" w:line="260" w:lineRule="auto"/>
      </w:pPr>
      <w:r>
        <w:t>PRAVILNIK O KRITERIJIH ZA DOLOČITEV DELOVNE USPEŠNOSTI JAVNIH USLUŽBENCEV PLAČNE SKUPINE B JAVNIH GOSPODARSKIH ZAVODOV S PODROČJA PRAVOSODJA</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 xml:space="preserve">(1) </w:t>
      </w:r>
      <w:r>
        <w:t>Ta pravilnik določa kriterije in način za določitev dela plače za delovno uspešnost javnih uslužbencev plačne skupine B javnih gospodarskih zavodov (v nadaljnjem besedilu: JGZ) s področja pravosodja iz naslova izvajanja javne službe.</w:t>
      </w:r>
    </w:p>
    <w:p>
      <w:pPr>
        <w:spacing w:after="0" w:line="260" w:lineRule="auto"/>
        <w:rPr>
          <w:rFonts w:ascii="Arial" w:hAnsi="Arial" w:cs="Arial"/>
        </w:rPr>
      </w:pPr>
    </w:p>
    <w:p>
      <w:pPr>
        <w:spacing w:after="0" w:line="260" w:lineRule="auto"/>
      </w:pPr>
      <w:r>
        <w:tab/>
      </w:r>
      <w:r>
        <w:t xml:space="preserve">(2) </w:t>
      </w:r>
      <w:r>
        <w:t>Javni uslužbenec plačne skupine B iz prejšnjega odstavka je direktor JGZ.</w:t>
      </w:r>
    </w:p>
    <w:p>
      <w:pPr>
        <w:pStyle w:val="len"/>
        <w:spacing w:after="0" w:line="260" w:lineRule="auto"/>
      </w:pPr>
      <w:r>
        <w:t>2. člen</w:t>
      </w:r>
    </w:p>
    <w:p>
      <w:pPr>
        <w:pStyle w:val="lennaslov"/>
        <w:spacing w:after="0" w:line="260" w:lineRule="auto"/>
      </w:pPr>
      <w:r>
        <w:t>(kriteriji)</w:t>
      </w:r>
    </w:p>
    <w:p>
      <w:pPr>
        <w:spacing w:after="0" w:line="260" w:lineRule="auto"/>
        <w:rPr>
          <w:rFonts w:ascii="Arial" w:hAnsi="Arial" w:cs="Arial"/>
        </w:rPr>
      </w:pPr>
    </w:p>
    <w:p>
      <w:pPr>
        <w:spacing w:after="0" w:line="260" w:lineRule="auto"/>
      </w:pPr>
      <w:r>
        <w:tab/>
      </w:r>
      <w:r>
        <w:t>Višina dela plače za delovno uspešnost javnega uslužbenca plačne skupine B JGZ s področja pravosodja se določi na podlagi naslednjih kriterijev:</w:t>
      </w:r>
    </w:p>
    <w:p>
      <w:pPr>
        <w:spacing w:after="0" w:line="260" w:lineRule="auto"/>
      </w:pPr>
      <w:r>
        <w:tab/>
      </w:r>
      <w:r>
        <w:t xml:space="preserve">– </w:t>
      </w:r>
      <w:r>
        <w:t>poslovna uspešnost pri izvajanju javne službe JGZ: največ 70 % skupne ocene;</w:t>
      </w:r>
    </w:p>
    <w:p>
      <w:pPr>
        <w:spacing w:after="0" w:line="260" w:lineRule="auto"/>
      </w:pPr>
      <w:r>
        <w:tab/>
      </w:r>
      <w:r>
        <w:t xml:space="preserve">– </w:t>
      </w:r>
      <w:r>
        <w:t>razvojna naravnanost pri izvajanju javne službe JGZ: največ 30 % skupne ocene.</w:t>
      </w:r>
    </w:p>
    <w:p>
      <w:pPr>
        <w:pStyle w:val="len"/>
        <w:spacing w:after="0" w:line="260" w:lineRule="auto"/>
      </w:pPr>
      <w:r>
        <w:t>3. člen</w:t>
      </w:r>
    </w:p>
    <w:p>
      <w:pPr>
        <w:pStyle w:val="lennaslov"/>
        <w:spacing w:after="0" w:line="260" w:lineRule="auto"/>
      </w:pPr>
      <w:r>
        <w:t>(vrednotenje poslovne uspešnosti)</w:t>
      </w:r>
    </w:p>
    <w:p>
      <w:pPr>
        <w:spacing w:after="0" w:line="260" w:lineRule="auto"/>
        <w:rPr>
          <w:rFonts w:ascii="Arial" w:hAnsi="Arial" w:cs="Arial"/>
        </w:rPr>
      </w:pPr>
    </w:p>
    <w:p>
      <w:pPr>
        <w:spacing w:after="0" w:line="260" w:lineRule="auto"/>
      </w:pPr>
      <w:r>
        <w:tab/>
      </w:r>
      <w:r>
        <w:t>Poslovna uspešnost pri izvajanju javne službe JGZ se vrednoti kot:</w:t>
      </w:r>
    </w:p>
    <w:p>
      <w:pPr>
        <w:spacing w:after="0" w:line="260" w:lineRule="auto"/>
      </w:pPr>
      <w:r>
        <w:tab/>
      </w:r>
      <w:r>
        <w:t xml:space="preserve">– </w:t>
      </w:r>
      <w:r>
        <w:t>gospodarno poslovanje, ki se izkazuje z letnim poročilom in zaključnim računom, meri pa z razmerjem med prihodki in odhodki JGZ, in sicer v višini:</w:t>
      </w:r>
    </w:p>
    <w:p>
      <w:pPr>
        <w:spacing w:after="0" w:line="260" w:lineRule="auto"/>
      </w:pPr>
      <w:r>
        <w:tab/>
      </w:r>
      <w:r>
        <w:t xml:space="preserve">a) </w:t>
      </w:r>
      <w:r>
        <w:t>20 %, če je to razmerje enako 1;</w:t>
      </w:r>
    </w:p>
    <w:p>
      <w:pPr>
        <w:spacing w:after="0" w:line="260" w:lineRule="auto"/>
      </w:pPr>
      <w:r>
        <w:tab/>
      </w:r>
      <w:r>
        <w:t xml:space="preserve">b) </w:t>
      </w:r>
      <w:r>
        <w:t>40 %, če je to razmerje večje od 1.</w:t>
      </w:r>
    </w:p>
    <w:p>
      <w:pPr>
        <w:spacing w:after="0" w:line="260" w:lineRule="auto"/>
      </w:pPr>
      <w:r>
        <w:tab/>
      </w:r>
      <w:r>
        <w:t xml:space="preserve">– </w:t>
      </w:r>
      <w:r>
        <w:t>nadpovprečno izpolnjevanje vsebinskih ciljev letnega programa dela in finančnega načrta: do 30 %.</w:t>
      </w:r>
    </w:p>
    <w:p>
      <w:pPr>
        <w:pStyle w:val="len"/>
        <w:spacing w:after="0" w:line="260" w:lineRule="auto"/>
      </w:pPr>
      <w:r>
        <w:t>4. člen</w:t>
      </w:r>
    </w:p>
    <w:p>
      <w:pPr>
        <w:pStyle w:val="lennaslov"/>
        <w:spacing w:after="0" w:line="260" w:lineRule="auto"/>
      </w:pPr>
      <w:r>
        <w:t>(vrednotenje razvojne naravnanosti)</w:t>
      </w:r>
    </w:p>
    <w:p>
      <w:pPr>
        <w:spacing w:after="0" w:line="260" w:lineRule="auto"/>
        <w:rPr>
          <w:rFonts w:ascii="Arial" w:hAnsi="Arial" w:cs="Arial"/>
        </w:rPr>
      </w:pPr>
    </w:p>
    <w:p>
      <w:pPr>
        <w:spacing w:after="0" w:line="260" w:lineRule="auto"/>
      </w:pPr>
      <w:r>
        <w:tab/>
      </w:r>
      <w:r>
        <w:t>Razvojna naravnanost pri izvajanju javne službe JGZ se vrednoti kot:</w:t>
      </w:r>
    </w:p>
    <w:p>
      <w:pPr>
        <w:spacing w:after="0" w:line="260" w:lineRule="auto"/>
      </w:pPr>
      <w:r>
        <w:tab/>
      </w:r>
      <w:r>
        <w:t xml:space="preserve">– </w:t>
      </w:r>
      <w:r>
        <w:t>izboljšanje kakovosti in učinkovitosti izvajanja javne službe JGZ z vpeljavo novih organizacijskih ali tehnoloških rešitev: do 15 %;</w:t>
      </w:r>
    </w:p>
    <w:p>
      <w:pPr>
        <w:spacing w:after="0" w:line="260" w:lineRule="auto"/>
      </w:pPr>
      <w:r>
        <w:tab/>
      </w:r>
      <w:r>
        <w:t xml:space="preserve">– </w:t>
      </w:r>
      <w:r>
        <w:t>aktivno sodelovanje pri razvojnih projektih, ki so povezani z izvajanjem javne službe: do 15 %.</w:t>
      </w:r>
    </w:p>
    <w:p>
      <w:pPr>
        <w:pStyle w:val="len"/>
        <w:spacing w:after="0" w:line="260" w:lineRule="auto"/>
      </w:pPr>
      <w:r>
        <w:t>5. člen</w:t>
      </w:r>
    </w:p>
    <w:p>
      <w:pPr>
        <w:pStyle w:val="lennaslov"/>
        <w:spacing w:after="0" w:line="260" w:lineRule="auto"/>
      </w:pPr>
      <w:r>
        <w:t>(upravičenost do dela plače za delovno uspešnost direktorja in izračun odstotkov za izračun dela plače za delovno uspešnost)</w:t>
      </w:r>
    </w:p>
    <w:p>
      <w:pPr>
        <w:spacing w:after="0" w:line="260" w:lineRule="auto"/>
        <w:rPr>
          <w:rFonts w:ascii="Arial" w:hAnsi="Arial" w:cs="Arial"/>
        </w:rPr>
      </w:pPr>
    </w:p>
    <w:p>
      <w:pPr>
        <w:spacing w:after="0" w:line="260" w:lineRule="auto"/>
      </w:pPr>
      <w:r>
        <w:tab/>
      </w:r>
      <w:r>
        <w:t xml:space="preserve">(1) </w:t>
      </w:r>
      <w:r>
        <w:t>Direktor JGZ je upravičen do dela plače za delovno uspešnost, če izpolni vsaj enega od kriterijev iz 2. člena tega pravilnika.</w:t>
      </w:r>
    </w:p>
    <w:p>
      <w:pPr>
        <w:spacing w:after="0" w:line="260" w:lineRule="auto"/>
        <w:rPr>
          <w:rFonts w:ascii="Arial" w:hAnsi="Arial" w:cs="Arial"/>
        </w:rPr>
      </w:pPr>
    </w:p>
    <w:p>
      <w:pPr>
        <w:spacing w:after="0" w:line="260" w:lineRule="auto"/>
      </w:pPr>
      <w:r>
        <w:tab/>
      </w:r>
      <w:r>
        <w:t xml:space="preserve">(2) </w:t>
      </w:r>
      <w:r>
        <w:t>Doseženi odstotki po posameznih kriterijih iz 3. in 4. člena tega pravilnika se seštevajo.</w:t>
      </w:r>
    </w:p>
    <w:p>
      <w:pPr>
        <w:pStyle w:val="len"/>
        <w:spacing w:after="0" w:line="260" w:lineRule="auto"/>
      </w:pPr>
      <w:r>
        <w:t>6. člen</w:t>
      </w:r>
    </w:p>
    <w:p>
      <w:pPr>
        <w:pStyle w:val="lennaslov"/>
        <w:spacing w:after="0" w:line="260" w:lineRule="auto"/>
      </w:pPr>
      <w:r>
        <w:t>(posebni kriterij )</w:t>
      </w:r>
    </w:p>
    <w:p>
      <w:pPr>
        <w:spacing w:after="0" w:line="260" w:lineRule="auto"/>
        <w:rPr>
          <w:rFonts w:ascii="Arial" w:hAnsi="Arial" w:cs="Arial"/>
        </w:rPr>
      </w:pPr>
    </w:p>
    <w:p>
      <w:pPr>
        <w:spacing w:after="0" w:line="260" w:lineRule="auto"/>
      </w:pPr>
      <w:r>
        <w:tab/>
      </w:r>
      <w:r>
        <w:t xml:space="preserve">(1) </w:t>
      </w:r>
      <w:r>
        <w:t>Kot posebni kriterij za določitev delovne uspešnosti direktorja JGZ se lahko upoštevata tudi opravljanje dodatnega dela ali večji obseg dela zaradi odsotnosti javnih uslužbencev ali nezasedenih delovnih mest in opravljanje povečanega obsega nalog iz pogodbe o zaposlitvi: do 40 %.</w:t>
      </w:r>
    </w:p>
    <w:p>
      <w:pPr>
        <w:spacing w:after="0" w:line="260" w:lineRule="auto"/>
        <w:rPr>
          <w:rFonts w:ascii="Arial" w:hAnsi="Arial" w:cs="Arial"/>
        </w:rPr>
      </w:pPr>
    </w:p>
    <w:p>
      <w:pPr>
        <w:spacing w:after="0" w:line="260" w:lineRule="auto"/>
      </w:pPr>
      <w:r>
        <w:tab/>
      </w:r>
      <w:r>
        <w:t xml:space="preserve">(2) </w:t>
      </w:r>
      <w:r>
        <w:t>Doseženi odstotki po kriteriju iz prejšnjega odstavka se prištejejo seštevku odstotkov iz drugega odstavka 5. člena tega pravilnika.</w:t>
      </w:r>
    </w:p>
    <w:p>
      <w:pPr>
        <w:pStyle w:val="len"/>
        <w:spacing w:after="0" w:line="260" w:lineRule="auto"/>
      </w:pPr>
      <w:r>
        <w:t>7. člen</w:t>
      </w:r>
    </w:p>
    <w:p>
      <w:pPr>
        <w:pStyle w:val="lennaslov"/>
        <w:spacing w:after="0" w:line="260" w:lineRule="auto"/>
      </w:pPr>
      <w:r>
        <w:t>(izračun višine dela plače za delovno uspešnost)</w:t>
      </w:r>
    </w:p>
    <w:p>
      <w:pPr>
        <w:spacing w:after="0" w:line="260" w:lineRule="auto"/>
        <w:rPr>
          <w:rFonts w:ascii="Arial" w:hAnsi="Arial" w:cs="Arial"/>
        </w:rPr>
      </w:pPr>
    </w:p>
    <w:p>
      <w:pPr>
        <w:spacing w:after="0" w:line="260" w:lineRule="auto"/>
      </w:pPr>
      <w:r>
        <w:tab/>
      </w:r>
      <w:r>
        <w:t>Višina dela plače za delovno uspešnost direktorja JGZ se izračuna tako, da se seštevek odstotkov iz 5. člena in 6. člena tega pravilnika, ki ne smejo preseči 100 %, pomnoži z višino ene osnovne mesečne plače direktorja v mesecu pred izplačilom dela plače za delovno uspešnost.</w:t>
      </w:r>
    </w:p>
    <w:p>
      <w:pPr>
        <w:pStyle w:val="len"/>
        <w:spacing w:after="0" w:line="260" w:lineRule="auto"/>
      </w:pPr>
      <w:r>
        <w:t>8. člen</w:t>
      </w:r>
    </w:p>
    <w:p>
      <w:pPr>
        <w:pStyle w:val="lennaslov"/>
        <w:spacing w:after="0" w:line="260" w:lineRule="auto"/>
      </w:pPr>
      <w:r>
        <w:t>(rok za določitev višine dela plače za delovno uspešnost)</w:t>
      </w:r>
    </w:p>
    <w:p>
      <w:pPr>
        <w:spacing w:after="0" w:line="260" w:lineRule="auto"/>
        <w:rPr>
          <w:rFonts w:ascii="Arial" w:hAnsi="Arial" w:cs="Arial"/>
        </w:rPr>
      </w:pPr>
    </w:p>
    <w:p>
      <w:pPr>
        <w:spacing w:after="0" w:line="260" w:lineRule="auto"/>
      </w:pPr>
      <w:r>
        <w:tab/>
      </w:r>
      <w:r>
        <w:t>Upravni odbor JGZ določi višino dela plače za delovno uspešnost direktorja JGZ enkrat letno po sprejetju letnega poročila, vendar najpozneje do 30. junija tekočega leta za preteklo leto.</w:t>
      </w:r>
    </w:p>
    <w:p>
      <w:pPr>
        <w:pStyle w:val="len"/>
        <w:spacing w:after="0" w:line="260" w:lineRule="auto"/>
      </w:pPr>
      <w:r>
        <w:t>9. člen</w:t>
      </w:r>
    </w:p>
    <w:p>
      <w:pPr>
        <w:pStyle w:val="lennaslov"/>
        <w:spacing w:after="0" w:line="260" w:lineRule="auto"/>
      </w:pPr>
      <w:r>
        <w:t>(neupravičenost do dela plače za delovno uspešnost)</w:t>
      </w:r>
    </w:p>
    <w:p>
      <w:pPr>
        <w:spacing w:after="0" w:line="260" w:lineRule="auto"/>
        <w:rPr>
          <w:rFonts w:ascii="Arial" w:hAnsi="Arial" w:cs="Arial"/>
        </w:rPr>
      </w:pPr>
    </w:p>
    <w:p>
      <w:pPr>
        <w:spacing w:after="0" w:line="260" w:lineRule="auto"/>
      </w:pPr>
      <w:r>
        <w:tab/>
      </w:r>
      <w:r>
        <w:t xml:space="preserve">(1) </w:t>
      </w:r>
      <w:r>
        <w:t>Direktor JGZ ni upravičen do dela plače za delovno uspešnost, če JGZ:</w:t>
      </w:r>
    </w:p>
    <w:p>
      <w:pPr>
        <w:spacing w:after="0" w:line="260" w:lineRule="auto"/>
      </w:pPr>
      <w:r>
        <w:tab/>
      </w:r>
      <w:r>
        <w:t xml:space="preserve">– </w:t>
      </w:r>
      <w:r>
        <w:t>v ocenjevalnem obdobju posluje s primanjkljajem iz poslovanja iz naslova izvajanja javne službe, razen če ima JGZ zagotovljena sredstva za pokrivanje primanjkljaja;</w:t>
      </w:r>
    </w:p>
    <w:p>
      <w:pPr>
        <w:spacing w:after="0" w:line="260" w:lineRule="auto"/>
      </w:pPr>
      <w:r>
        <w:tab/>
      </w:r>
      <w:r>
        <w:t xml:space="preserve">– </w:t>
      </w:r>
      <w:r>
        <w:t>prejme negativno mnenje Računskega sodišča Republike Slovenije, ki se nanaša na mandat direktorja;</w:t>
      </w:r>
    </w:p>
    <w:p>
      <w:pPr>
        <w:spacing w:after="0" w:line="260" w:lineRule="auto"/>
      </w:pPr>
      <w:r>
        <w:tab/>
      </w:r>
      <w:r>
        <w:t xml:space="preserve">– </w:t>
      </w:r>
      <w:r>
        <w:t>ne zagotovi izvedbe ukrepov ali v roku ne odpravi pomanjkljivosti, ki jih ugotovijo inšpekcijski in drugi nadzorni organi;</w:t>
      </w:r>
    </w:p>
    <w:p>
      <w:pPr>
        <w:spacing w:after="0" w:line="260" w:lineRule="auto"/>
      </w:pPr>
      <w:r>
        <w:tab/>
      </w:r>
      <w:r>
        <w:t xml:space="preserve">– </w:t>
      </w:r>
      <w:r>
        <w:t>neupravičeno zamuja s pripravo letnega poročila ali programa dela in finančnega načrta.</w:t>
      </w:r>
    </w:p>
    <w:p>
      <w:pPr>
        <w:spacing w:after="0" w:line="260" w:lineRule="auto"/>
        <w:rPr>
          <w:rFonts w:ascii="Arial" w:hAnsi="Arial" w:cs="Arial"/>
        </w:rPr>
      </w:pPr>
    </w:p>
    <w:p>
      <w:pPr>
        <w:spacing w:after="0" w:line="260" w:lineRule="auto"/>
      </w:pPr>
      <w:r>
        <w:tab/>
      </w:r>
      <w:r>
        <w:t xml:space="preserve">(2) </w:t>
      </w:r>
      <w:r>
        <w:t>Ne glede na prejšnji odstavek razlogi za neupravičenost do dela plače za delovno uspešnost ne vplivajo na določanje in izplačilo dela plače za delovno uspešnost direktorja JGZ po posebnem kriteriju iz prvega odstavka 6. člena tega pravilnika.</w:t>
      </w:r>
    </w:p>
    <w:p>
      <w:pPr>
        <w:pStyle w:val="len"/>
        <w:spacing w:after="0" w:line="260" w:lineRule="auto"/>
      </w:pPr>
      <w:r>
        <w:t>10. člen</w:t>
      </w:r>
    </w:p>
    <w:p>
      <w:pPr>
        <w:pStyle w:val="lennaslov"/>
        <w:spacing w:after="0" w:line="260" w:lineRule="auto"/>
      </w:pPr>
      <w:r>
        <w:t>(delovna uspešnost za del poslovnega leta)</w:t>
      </w:r>
    </w:p>
    <w:p>
      <w:pPr>
        <w:spacing w:after="0" w:line="260" w:lineRule="auto"/>
        <w:rPr>
          <w:rFonts w:ascii="Arial" w:hAnsi="Arial" w:cs="Arial"/>
        </w:rPr>
      </w:pPr>
    </w:p>
    <w:p>
      <w:pPr>
        <w:spacing w:after="0" w:line="260" w:lineRule="auto"/>
      </w:pPr>
      <w:r>
        <w:tab/>
      </w:r>
      <w:r>
        <w:t>Če direktor JGZ nastopi mandat ali mu ta preneha med poslovnim letom, mu del plače za delovno uspešnost pripada sorazmerno s trajanjem mandata v tem poslovnem letu.</w:t>
      </w:r>
    </w:p>
    <w:p>
      <w:pPr>
        <w:pStyle w:val="Poglavje"/>
        <w:spacing w:after="0" w:line="260" w:lineRule="auto"/>
      </w:pPr>
      <w:r>
        <w:t>PREHODNA IN KONČNI DOLOČBI</w:t>
      </w:r>
    </w:p>
    <w:p>
      <w:pPr>
        <w:pStyle w:val="len"/>
        <w:spacing w:after="0" w:line="260" w:lineRule="auto"/>
      </w:pPr>
      <w:r>
        <w:t>11. člen</w:t>
      </w:r>
    </w:p>
    <w:p>
      <w:pPr>
        <w:pStyle w:val="lennaslov"/>
        <w:spacing w:after="0" w:line="260" w:lineRule="auto"/>
      </w:pPr>
      <w:r>
        <w:t>(delovna uspešnost za leto 2025)</w:t>
      </w:r>
    </w:p>
    <w:p>
      <w:pPr>
        <w:spacing w:after="0" w:line="260" w:lineRule="auto"/>
        <w:rPr>
          <w:rFonts w:ascii="Arial" w:hAnsi="Arial" w:cs="Arial"/>
        </w:rPr>
      </w:pPr>
    </w:p>
    <w:p>
      <w:pPr>
        <w:spacing w:after="0" w:line="260" w:lineRule="auto"/>
      </w:pPr>
      <w:r>
        <w:tab/>
      </w:r>
      <w:r>
        <w:t>Delovna uspešnost JGZ se za leto 2025 določi v skladu s Pravilnikom o merilih za ugotavljanje delovne uspešnosti direktorjev javnih gospodarskih zavodov s področja pravosodja (Uradni list RS, št. 31/06).</w:t>
      </w:r>
    </w:p>
    <w:p>
      <w:pPr>
        <w:pStyle w:val="len"/>
        <w:spacing w:after="0" w:line="260" w:lineRule="auto"/>
      </w:pPr>
      <w:r>
        <w:t>12. člen</w:t>
      </w:r>
    </w:p>
    <w:p>
      <w:pPr>
        <w:pStyle w:val="lennaslov"/>
        <w:spacing w:after="0" w:line="260" w:lineRule="auto"/>
      </w:pPr>
      <w:r>
        <w:t>(prenehanje uporabe)</w:t>
      </w:r>
    </w:p>
    <w:p>
      <w:pPr>
        <w:spacing w:after="0" w:line="260" w:lineRule="auto"/>
        <w:rPr>
          <w:rFonts w:ascii="Arial" w:hAnsi="Arial" w:cs="Arial"/>
        </w:rPr>
      </w:pPr>
    </w:p>
    <w:p>
      <w:pPr>
        <w:spacing w:after="0" w:line="260" w:lineRule="auto"/>
      </w:pPr>
      <w:r>
        <w:tab/>
      </w:r>
      <w:r>
        <w:t>Z dnem uveljavitve tega pravilnika se preneha uporabljati Pravilnik o merilih za ugotavljanje delovne uspešnosti direktorjev javnih gospodarskih zavodov s področja pravosodja (Uradni list RS, št. 31/06).</w:t>
      </w:r>
    </w:p>
    <w:p>
      <w:pPr>
        <w:pStyle w:val="len"/>
        <w:spacing w:after="0" w:line="260" w:lineRule="auto"/>
      </w:pPr>
      <w:r>
        <w:t>13.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pravilnik začne veljati naslednji dan po objavi v Uradnem listu Republike Slovenije.</w:t>
      </w:r>
    </w:p>
    <w:p>
      <w:pPr>
        <w:spacing w:after="0" w:line="260" w:lineRule="auto"/>
        <w:rPr>
          <w:rFonts w:ascii="Arial" w:hAnsi="Arial" w:cs="Arial"/>
        </w:rPr>
      </w:pPr>
    </w:p>
    <w:p>
      <w:pPr>
        <w:spacing w:after="0" w:line="260" w:lineRule="auto"/>
      </w:pPr>
      <w:r>
        <w:t>Št. [007-191/2026</w:t>
      </w:r>
      <w:r>
        <w:t>]</w:t>
      </w:r>
      <w:r>
        <w:t xml:space="preserve"> </w:t>
      </w:r>
    </w:p>
    <w:p>
      <w:pPr>
        <w:spacing w:after="0" w:line="260" w:lineRule="auto"/>
        <w:rPr>
          <w:rFonts w:ascii="Arial" w:hAnsi="Arial" w:cs="Arial"/>
        </w:rPr>
      </w:pPr>
    </w:p>
    <w:p>
      <w:pPr>
        <w:spacing w:after="0" w:line="260" w:lineRule="auto"/>
      </w:pPr>
      <w:r>
        <w:t>Ljubljana, dne _____ 2026</w:t>
      </w:r>
    </w:p>
    <w:p>
      <w:pPr>
        <w:spacing w:after="0" w:line="260" w:lineRule="auto"/>
        <w:rPr>
          <w:rFonts w:ascii="Arial" w:hAnsi="Arial" w:cs="Arial"/>
        </w:rPr>
      </w:pPr>
    </w:p>
    <w:p>
      <w:pPr>
        <w:spacing w:after="0" w:line="260" w:lineRule="auto"/>
      </w:pPr>
      <w:r>
        <w:t>EVA 2026-2030-0070</w:t>
      </w:r>
    </w:p>
    <w:p>
      <w:pPr>
        <w:spacing w:after="0" w:line="260" w:lineRule="auto"/>
        <w:rPr>
          <w:rFonts w:ascii="Arial" w:hAnsi="Arial" w:cs="Arial"/>
        </w:rPr>
      </w:pPr>
    </w:p>
    <w:p>
      <w:pPr>
        <w:pStyle w:val="Podpisnik"/>
        <w:spacing w:after="0" w:line="260" w:lineRule="auto"/>
      </w:pPr>
      <w:r>
        <w:t>Mihael Zupančič</w:t>
      </w:r>
      <w:r>
        <w:br/>
      </w:r>
      <w:r>
        <w:t>minister</w:t>
      </w:r>
      <w:r>
        <w:br/>
      </w:r>
      <w:r>
        <w:t>za pravosodje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20. 10. 2026 14:48:52</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