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57E" w:rsidRPr="002760DC" w:rsidRDefault="009C657E" w:rsidP="009C657E">
      <w:pPr>
        <w:pStyle w:val="datumtevilka"/>
      </w:pPr>
      <w:bookmarkStart w:id="0" w:name="_Hlk61014710"/>
      <w:bookmarkStart w:id="1" w:name="_GoBack"/>
      <w:bookmarkEnd w:id="0"/>
      <w:bookmarkEnd w:id="1"/>
      <w:r w:rsidRPr="002760DC">
        <w:rPr>
          <w:rFonts w:cs="Arial"/>
          <w:color w:val="000000"/>
        </w:rPr>
        <w:t>EVA:</w:t>
      </w:r>
      <w:r w:rsidRPr="002760DC">
        <w:rPr>
          <w:rFonts w:cs="Arial"/>
          <w:color w:val="000000"/>
        </w:rPr>
        <w:tab/>
      </w:r>
      <w:r w:rsidR="00EA181D">
        <w:rPr>
          <w:rFonts w:cs="Arial"/>
          <w:color w:val="000000"/>
        </w:rPr>
        <w:t>2026-1611-0011</w:t>
      </w:r>
    </w:p>
    <w:p w:rsidR="009C657E" w:rsidRPr="002760DC" w:rsidRDefault="009C657E" w:rsidP="009C657E">
      <w:pPr>
        <w:pStyle w:val="datumtevilka"/>
      </w:pPr>
      <w:r w:rsidRPr="002760DC">
        <w:t xml:space="preserve">Številka: </w:t>
      </w:r>
      <w:r w:rsidRPr="002760DC">
        <w:tab/>
      </w:r>
      <w:r w:rsidR="00EA181D">
        <w:rPr>
          <w:rFonts w:cs="Arial"/>
          <w:color w:val="000000"/>
        </w:rPr>
        <w:t>00704-238/2026/9</w:t>
      </w:r>
    </w:p>
    <w:p w:rsidR="009C657E" w:rsidRPr="002760DC" w:rsidRDefault="009C657E" w:rsidP="009C657E">
      <w:pPr>
        <w:pStyle w:val="datumtevilka"/>
      </w:pPr>
      <w:r>
        <w:t>Datum:</w:t>
      </w:r>
      <w:r w:rsidRPr="002760DC">
        <w:tab/>
      </w:r>
      <w:r w:rsidR="00EA181D">
        <w:rPr>
          <w:rFonts w:cs="Arial"/>
          <w:color w:val="000000"/>
        </w:rPr>
        <w:t>24. 9. 2026</w:t>
      </w:r>
      <w:r w:rsidRPr="002760DC">
        <w:t xml:space="preserve"> </w:t>
      </w:r>
    </w:p>
    <w:p w:rsidR="009C657E" w:rsidRDefault="009C657E" w:rsidP="009C657E">
      <w:pPr>
        <w:autoSpaceDE w:val="0"/>
        <w:autoSpaceDN w:val="0"/>
        <w:adjustRightInd w:val="0"/>
        <w:rPr>
          <w:rFonts w:cs="Arial"/>
          <w:color w:val="000000"/>
          <w:szCs w:val="20"/>
        </w:rPr>
      </w:pPr>
    </w:p>
    <w:p w:rsidR="00F94476" w:rsidRPr="002760DC" w:rsidRDefault="00F94476" w:rsidP="009C657E">
      <w:pPr>
        <w:autoSpaceDE w:val="0"/>
        <w:autoSpaceDN w:val="0"/>
        <w:adjustRightInd w:val="0"/>
        <w:rPr>
          <w:rFonts w:cs="Arial"/>
          <w:color w:val="000000"/>
          <w:szCs w:val="20"/>
        </w:rPr>
      </w:pPr>
    </w:p>
    <w:p w:rsidR="009C657E" w:rsidRDefault="009C657E" w:rsidP="009C657E">
      <w:pPr>
        <w:autoSpaceDE w:val="0"/>
        <w:autoSpaceDN w:val="0"/>
        <w:adjustRightInd w:val="0"/>
        <w:jc w:val="both"/>
        <w:rPr>
          <w:rFonts w:cs="Arial"/>
          <w:color w:val="000000"/>
          <w:szCs w:val="20"/>
        </w:rPr>
      </w:pPr>
    </w:p>
    <w:p w:rsidR="00E57CB2" w:rsidRPr="00F94476" w:rsidRDefault="00E57CB2" w:rsidP="00F94476">
      <w:pPr>
        <w:overflowPunct w:val="0"/>
        <w:autoSpaceDE w:val="0"/>
        <w:autoSpaceDN w:val="0"/>
        <w:adjustRightInd w:val="0"/>
        <w:spacing w:line="276" w:lineRule="auto"/>
        <w:jc w:val="center"/>
        <w:textAlignment w:val="baseline"/>
        <w:rPr>
          <w:rFonts w:cs="Arial"/>
          <w:b/>
          <w:color w:val="000000"/>
          <w:szCs w:val="20"/>
          <w:highlight w:val="green"/>
          <w:lang w:eastAsia="sl-SI"/>
        </w:rPr>
      </w:pPr>
      <w:r w:rsidRPr="00F94476">
        <w:rPr>
          <w:rFonts w:eastAsia="Calibri" w:cs="Arial"/>
          <w:b/>
          <w:szCs w:val="20"/>
          <w:lang w:eastAsia="sl-SI"/>
        </w:rPr>
        <w:t>Predlog amandmajev k Predlogu zakona o spremembah in dopolnitvah Zakona o investicijskih skladih in družbah za upravljanje  (ZISDU-3F) – EPA 211</w:t>
      </w:r>
      <w:r w:rsidR="00F94476" w:rsidRPr="00F94476">
        <w:rPr>
          <w:rFonts w:eastAsia="Calibri" w:cs="Arial"/>
          <w:b/>
          <w:szCs w:val="20"/>
          <w:lang w:eastAsia="sl-SI"/>
        </w:rPr>
        <w:t>-X</w:t>
      </w:r>
    </w:p>
    <w:p w:rsidR="009C657E" w:rsidRDefault="009C657E" w:rsidP="009C657E">
      <w:pPr>
        <w:autoSpaceDE w:val="0"/>
        <w:autoSpaceDN w:val="0"/>
        <w:adjustRightInd w:val="0"/>
        <w:jc w:val="both"/>
        <w:rPr>
          <w:rFonts w:cs="Arial"/>
          <w:color w:val="000000"/>
          <w:szCs w:val="20"/>
          <w:lang w:eastAsia="sl-SI"/>
        </w:rPr>
      </w:pPr>
    </w:p>
    <w:p w:rsidR="00F94476" w:rsidRDefault="00F94476" w:rsidP="00F94476">
      <w:pPr>
        <w:overflowPunct w:val="0"/>
        <w:autoSpaceDE w:val="0"/>
        <w:autoSpaceDN w:val="0"/>
        <w:adjustRightInd w:val="0"/>
        <w:spacing w:line="240" w:lineRule="auto"/>
        <w:jc w:val="both"/>
        <w:textAlignment w:val="baseline"/>
        <w:rPr>
          <w:b/>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b/>
          <w:szCs w:val="20"/>
          <w:lang w:eastAsia="sl-SI"/>
        </w:rPr>
      </w:pPr>
      <w:r w:rsidRPr="00F94476">
        <w:rPr>
          <w:b/>
          <w:szCs w:val="20"/>
          <w:lang w:eastAsia="sl-SI"/>
        </w:rPr>
        <w:t>K 2. členu</w:t>
      </w:r>
    </w:p>
    <w:p w:rsidR="00F94476" w:rsidRPr="00F94476" w:rsidRDefault="00F94476" w:rsidP="00F94476">
      <w:pPr>
        <w:overflowPunct w:val="0"/>
        <w:autoSpaceDE w:val="0"/>
        <w:autoSpaceDN w:val="0"/>
        <w:adjustRightInd w:val="0"/>
        <w:spacing w:line="240" w:lineRule="auto"/>
        <w:jc w:val="both"/>
        <w:textAlignment w:val="baseline"/>
        <w:rPr>
          <w:b/>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2. členu se v drugem odstavku v novi 7. točki beseda »CDD« nadomesti z besedilom »centralna depotna družba«.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novi 8. točki se besedilo »Uredbo (EU) 2024/2987 Evropskega parlamenta in Sveta z dne 27. novembra 2024 o spremembi uredb (EU) št. 648/2012, (EU) št. 575/2013 in (EU) 2017/1131 v zvezi z ukrepi za zmanjšanje prekomerne izpostavljenosti do centralnih nasprotnih strank iz tretjih držav in izboljšanje učinkovitosti klirinških trgov Unije (UL L št. 2024/2987 z dne 4. 12. 2024)« nadomesti z besedilom »Delegirana uredba Komisije (EU) 2026/1000 z dne 5. maja 2026 o dopolnitvi Uredbe (EU) št. 648/2012 Evropskega parlamenta in Sveta z določitvijo metode za določitev pristojbin, ki jih Evropski bančni organ zaračunava za potrjevanje modelov pro forma iz člena 11(3), četrti pododstavek, navedene uredbe, in načinov plačila teh pristojbin (UL L št. 2026/1000 z dne 17. 8. 2026)«.</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Obrazložitev:</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 xml:space="preserve">S predlaganim amandmajem se upoštevajo pripombe Zakonodajno-pravne službe </w:t>
      </w:r>
      <w:proofErr w:type="spellStart"/>
      <w:r w:rsidRPr="00F94476">
        <w:rPr>
          <w:szCs w:val="20"/>
          <w:lang w:eastAsia="sl-SI"/>
        </w:rPr>
        <w:t>Držvnega</w:t>
      </w:r>
      <w:proofErr w:type="spellEnd"/>
      <w:r w:rsidRPr="00F94476">
        <w:rPr>
          <w:szCs w:val="20"/>
          <w:lang w:eastAsia="sl-SI"/>
        </w:rPr>
        <w:t xml:space="preserve"> zbora (v nadaljnjem besedilu: ZPS).</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novi 7. točki drugega odstavka 3. člena zakona je uporabljena kratica »CDD«, ki v zakonu ni opredeljena. Ker se v zakonu za ta pojem sicer uporablja izraz »centralna depotna družba«, se z amandmajem kratica »CDD« nadomesti s polnim izrazom »centralna depotna družba«. S tem se zagotavljata jasnost določbe in terminološka usklajenost z drugimi določbami zakona.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Z amandmajem se hkrati v novi 8. točki drugega odstavka 3. člena zakona posodobi navedba zadnje spremembe Uredbe (EU) št. 648/2012. Namesto Uredbe (EU) 2024/2987 se navede Delegirana uredba Komisije (EU) 2026/1000 z dne 5. maja 2026, s katero je bila Uredba (EU) št. 648/2012 naknadno dopolnjena. S tem se navedba pravnega akta Evropske unije uskladi z njegovim aktualnim stanjem.</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b/>
          <w:bCs/>
          <w:szCs w:val="20"/>
          <w:lang w:eastAsia="sl-SI"/>
        </w:rPr>
      </w:pPr>
      <w:r w:rsidRPr="00F94476">
        <w:rPr>
          <w:b/>
          <w:bCs/>
          <w:szCs w:val="20"/>
          <w:lang w:eastAsia="sl-SI"/>
        </w:rPr>
        <w:t>K 6. členu</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6. členu se v spremenjenem drugem odstavku 53. člena zakona za besedama »Člani uprave« doda besedilo »družbe za upravljanje«.</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Obrazložitev:</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S predlaganim amandmajem se upoštevajo pripombe ZPS.</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Z amandmajem se v spremenjenem drugem odstavku 53. člena zakona izrecno določi, da gre za člane uprave družbe za upravljanje. S tem se odpravi neskladje s prvim odstavkom istega člena, na katero je opozorila ZPS, ter zagotovi jasna in terminološko dosledna opredelitev subjekta, na katerega se določba nanaša.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b/>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K 7. členu</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7. členu se v 54. členu v prvem odstavku 2. točka spremeni tako, da se glasi:</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»2. z zadostnim ugledom.«.</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drugem odstavku se beseda »podjetja« nadomesti z besedo »družbe«.</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tretjem odstavku se besedilo »ugleda in lastnosti za vodenje poslov družbe za upravljanje, če je bila pravnomočno obsojena zaradi kaznivega dejanja, katerega storilec se preganja po uradni dolžnosti, in obsodba še ni bila izbrisana. Merilo iz 2. točke prvega odstavka tega člena natančneje predpiše Agencija.« nadomesti z besedilom »zadostnega ugleda, če je bila pravnomočno obsojena zaradi kaznivega dejanja in obsodba še ni bila izbrisana.«.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Obrazložitev:</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S predlaganim amandmajem se upoštevajo pripombe ZPS k 7. členu.</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2. točki prvega odstavka 54. člena zakona se pogoj uskladi s točko (b) prvega pododstavka prvega odstavka 7. člena Direktive 2009/65/ES, kakor je nadomeščena s podtočko (i) točke (a) 3. točke 2. člena Direktive (EU) 2024/927, ki zahteva zadosten ugled in izkušnje tudi glede na vrsto KNPVP, ki ga upravlja družba za upravljanje. Navedba lastnosti in opis pričakovanega ravnanja, ki ju direktiva ne vsebuje, se črtata; s tem odpade razlika glede dikcije v primerjavi s 47. členom ZBan-4, ki velja za banke in ni predmet prenosa te direktive.</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drugem odstavku 54. člena zakona se izraz »podjetje« nadomesti z izrazom »družba«. Vsebina domneve ostaja enaka kot v veljavnem drugem odstavku 54. člena zakona.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tretjem odstavku 54. člena zakona se navedba lastnosti uskladi s spremenjeno 2. točko prvega odstavka, črta se dodatek, po katerem se upoštevajo le kazniva dejanja, katerih storilec se preganja po uradni dolžnosti, tako da je krog kaznivih dejanj enak kot v 4. točki prvega odstavka 59. člena zakona, kakor se spreminja z 8. členom predloga zakona, in se črta pooblastilo Agenciji za natančnejšo določitev merila, tako da je pogoj za imenovanje člana uprave v celoti določen z zakonom.</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K 21. členu</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21. člen se spremeni tako, da se glasi:</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»21. člen</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153. členu se v tretjem odstavku besedilo »2. in 3. točka« nadomesti z besedilom »2. in 6. točka«, besedilo »4. do 6. točka« pa z besedilom »4. in 5. točka«.«.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Obrazložitev:</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S predlaganim amandmajem se upošteva pripomba ZPS k 21. členu.</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Napotilo v tretjem odstavku 153. člena zakona se še naprej nanaša na poslovni načrt družbe za upravljanje in na dokumentacijo, s katero ta izkazuje izpolnjevanje zahtev iz prvega odstavka 106. člena zakona. Ta dokumentacija je v drugem odstavku 104. člena zakona po 11. členu predloga zakona v 6. točki, v 3. točki, na katero se napotilo sklicuje doslej, pa je seznam delničarjev.</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Sprememba napotila na točke prvega odstavka 106. člena zakona ostaja enaka kot v predlogu zakona; člen je zaradi preglednosti zapisan v celoti.</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K 22. členu</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lastRenderedPageBreak/>
        <w:t>V 22. členu se drugi odstavek spremeni tako, da se glasi:</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dosedanjem tretjem odstavku, ki postane drugi odstavek, se besedilo »2. in 3. točka« nadomesti z besedilom »2. in 6. točka«, besedilo »4. do 6. točka« pa z besedilom »4. in 5. točka«.«.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Obrazložitev:</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S predlaganim amandmajem se ob upoštevanju pripombe ZPS k 21. členu, ki se nanaša tudi na 22. člen, popravi napotilo, ki v 155. členu zakona postane drugi odstavek.</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Napotilo se nanaša na poslovni načrt družbe za upravljanje in na dokumentacijo, s katero ta izkazuje izpolnjevanje zahtev iz prvega odstavka 106. člena zakona. Ta dokumentacija je v drugem odstavku 104. člena zakona po 11. členu predloga zakona v 6. točki, in ne v 5. točki, v kateri so informacije o ureditvah za prenos. Napotilo je s tem enako kot v tretjem odstavku 153. člena zakona, ki ureja vzporedni postopek.</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K 31. členu</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31. členu se v četrtem odstavku 233.b člena besedilo »prvega odstavka prejšnjega člena« nadomesti z besedilom »prvega odstavka tega člena«.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Obrazložitev:</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S predlaganim amandmajem se upošteva pripomba ZPS k 31. členu.</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Sklic v četrtem odstavku novega 233.b člena zakona se nanaša na zahtevo iz prvega odstavka istega člena. Prvi odstavek 233.a člena zakona, na katerega se sklicuje predlog zakona, ureja obveščanje Agencije o uporabi orodij za upravljanje likvidnosti in zahteve, na katero se veže četrti odstavek 233.b člena, ne vsebuje.</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K 37. členu</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37. člen se črta.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Obrazložitev:</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Predlagani člen se črta, saj ni nujen za uskladitev s pravnim redom EU, ZPS pa je opozorila, da vsebine sprožajo vprašanja skladnosti z Ustavo Republike Slovenije.</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K 40. členu</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40. členu se v petem odstavku 453. a člena za besedo »Agenciji« doda besedilo »za namen izvajanja nadzora ter spremljanja morebitnega sistemskega tveganja,«.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Obrazložitev:</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Namen dopolnitve petega odstavka novega 453. a člena je določiti namen, zaradi katerega Agencija pridobiva podatke, kot so navedeni v tem odstavku.</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K 43. členu</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43. členu se sedmi odstavek spremeni tako, da se glasi:</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»(7) Ne glede na določbe tega zakona, ki urejajo varovanje zaupnih informacij, Agencija zagotovi ESMA vse informacije za namene izvajanja nalog oziroma pooblastil v skladu s tem zakonom in Uredbo 1095/2010/EU.«.</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desetem odstavku se besedi »ustreznim organom« nadomestita z besedilom »organom iz tega člena«.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Obrazložitev:</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 xml:space="preserve">S predlaganim amandmajem se v sedmem odstavku upošteva pripomba ZPS k 43. členu in uporabi dikcija, ki je </w:t>
      </w:r>
      <w:proofErr w:type="spellStart"/>
      <w:r w:rsidRPr="00F94476">
        <w:rPr>
          <w:szCs w:val="20"/>
          <w:lang w:eastAsia="sl-SI"/>
        </w:rPr>
        <w:t>nomotehnično</w:t>
      </w:r>
      <w:proofErr w:type="spellEnd"/>
      <w:r w:rsidRPr="00F94476">
        <w:rPr>
          <w:szCs w:val="20"/>
          <w:lang w:eastAsia="sl-SI"/>
        </w:rPr>
        <w:t xml:space="preserve"> bolj pravilna. V desetem odstavku se uporabi ustreznejša dikcija glede organov, katerim lahko Agencija zagotovi informacije, tako da se sklicuje na organe, kot jih navaja ta člen.</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K 45. členu</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45. členu se besedilo »v 1. točki beseda »petim« nadomesti z besedo »četrtim«« nadomesti z besedilom »1. točka spremeni tako, da se glasi:</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»1. opravlja dejavnosti, ki jih ne sme opravljati (četrti odstavek 32. člena),««.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novi 1.a točki se črta beseda »ustreznega«, na koncu točke pa se pred vejico doda besedilo »(šesti odstavek 32. člena)«.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Nova 3.e točka se spremeni tako, da se glasi:</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»3.e Agenciji ne predloži podrobnih pojasnil in dokazil, iz katerih izhaja, da ravna v skladu z načelom izogibanja nasprotjem interesov, in če se jim ni mogoče izogniti, da ravna tako, da so investicijski skladi, ki jih upravlja, obravnavani pošteno (prvi odstavek 74.a člena),«.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Nova 8.a točka se spremeni tako, da se glasi:</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»8.a Agencije predhodno ne obvesti o nameravani spremembi materialnih dejstev ali okoliščin iz prvega odstavka 106. člena tega zakona (prvi odstavek 106.a člena),«.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Besedilo »V 10.a točki se za besedilom »v nasprotju s« doda besedilo »122. oziroma«.« se nadomesti z besedilom »V 10.a točki se besedilo »124. členom« nadomesti z besedilom »tretjim odstavkom 122. člena ali prvim oziroma drugim odstavkom 124. člena«.«.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Nova 10.c točka se spremeni tako, da se glasi:</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»10.c Agencije pred začetkom veljavnosti pogodbe o prenosu posameznih storitev ali poslov ali njenih sprememb ne obvesti o nameri, da pooblasti drugo osebo, da v njenem imenu in za njen račun opravlja posamezne storitve ali posle upravljanja investicijskih skladov ali posamezne storitve ali posle iz 2. in 3. točke tretjega odstavka 32. člena tega zakona (127. člen),«.</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Besedilo, s katerim se za 17. točko dodata novi 17.a in 17.b točka, se črta.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Besedilo »V 20. točki se črta besedilo »in o tem ne obvesti Agencije«.« se nadomesti z besedilom »V 20. točki se besedilo »in izpostavljenosti ne sprejme in začne izvajati ukrepov za čimprejšnjo odpravo odstopanj in o tem ne obvesti Agencije« nadomesti z besedilom »in izpostavljenosti nemudoma ne sprejme in ne začne izvajati ukrepov za čimprejšnjo odpravo odstopanj«.«.</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Za besedilom, s katerim se spreminja 20. točka, se doda novo besedilo, ki se glasi:</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»Za 21. točko se doda nova 21.a točka, ki se glasi:</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»21.a v pravilih upravljanja vzajemnega sklada ne opredeli in ne izbere orodij za upravljanje likvidnosti v skladu s prvim odstavkom 187.b člena tega zakona,«.«.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Nova 27.a točka se spremeni tako, da se glasi:</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»27.a Agencije ne obvesti o uporabi orodij za upravljanje likvidnosti v skladu s prvim odstavkom 233.a člena tega zakona,«.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novi 35.a točki se besedilo »453.a člena« nadomesti z besedilom »drugega do petega odstavka 453.a člena«.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napovednem stavku se besedilo »nove, 49., 50. in 51. točka« nadomesti z besedilom »nove 36., 37. in 38. točka«, oznake »49.«, »50.« in »51.« pa z oznakami »36.«, »37.« in »38.«.</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novi 50. točki, ki postane 37. točka, se za besedo »pregleda« doda beseda »poslovanja«, besedilo »v 460. do 463. členih tega zakona« pa se nadomesti z besedilom »v prvem do tretjem odstavku 460. člena ter 462. in 463. členu tega zakona«.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Obrazložitev:</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S predlaganim amandmajem se upoštevajo pripombe ZPS k 45. členu.</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1. točki se dikcija prekrška nadomesti z besedilom, ki ga predlaga Zakonodajno-pravna služba, sklic na materialno določbo, to je četrti odstavek 32. člena zakona, pa se navede v oklepaju.</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novi 1.a točki se črta beseda »ustreznega«, ki opisu prepovedanega ravnanja ne dodaja vsebine, in doda sklic na šesti odstavek 32. člena zakona, ki je materialna podlaga prekrška.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novi 3.e točki se določi, da se pojasnila in dokazila predložijo Agenciji, doda beseda »podrobnih«, opis ravnanja pa se uskladi s prvim odstavkom 74.a člena zakona, po katerem je poštena obravnava investicijskih skladov zahtevana takrat, kadar se nasprotjem interesov ni mogoče izogniti.</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novi 8.a točki se črta beseda »pravočasno«, ki je prvi odstavek 106.a člena zakona ne vsebuje; ta določa predhodno obveščanje. Materialna dejstva ali okoliščine, na katere se obveznost nanaša, so določeni v prvem odstavku 106. člena zakona.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10.a točki se sklic omeji na odstavke, ki urejajo dopustnost in pogoje prenosa, to so tretji odstavek 122. člena ter prvi in drugi odstavek 124. člena zakona. Tretji odstavek 124. člena zavezuje pooblaščenca, četrti odstavek pa vsebuje pooblastilo Agenciji.</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Nova 10.c točka se uskladi s 127. členom zakona glede trenutka obveščanja in obsega storitev oziroma poslov, na katere se obveznost nanaša, ter glede veznika, ki ga uporablja materialna določba.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Nova 17.a točka se črta. Lastnosti orodij za upravljanje likvidnosti določa Delegirana uredba 2026/466/EU, ki se uporablja neposredno, drugi odstavek 187.a člena zakona pa nanjo zgolj napotuje in sam ne določa ravnanja družbe za upravljanje, zato prekršek v zakonu nima materialne podlage. Nova 17.b točka se umesti za 21. točko in postane 21.a točka, tako da vrstni red prekrškov sledi vrstnemu redu materialnih določb, sklic pa se omeji na prvi odstavek 187.b člena zakona.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20. točki se doda beseda »nemudoma«, ki jo vsebuje drugi odstavek 185. člena zakona, in uskladi nikalna oblika glagolov.</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Nova 27.a točka se veže na prvi odstavek 233.a člena zakona, ki obveznosti obveščanja ureja po vrsti orodja in po rokih.</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novi 35.a točki se sklic omeji na drugi do peti odstavek 453.a člena zakona, ki določajo obveznosti družbe za upravljanje v zvezi s posameznim vzajemnim skladom, na katere se ta prekršek nanaša.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novi 37. točki se doda beseda »poslovanja«, sklic pa se omeji na določbe, ki zavezujejo družbo za upravljanje; četrti odstavek 460. člena zavezuje člane uprave oziroma upravnega odbora in zaposlene, 461. člen pa ureja zahtevo Agencije.</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K 46. členu</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46. členu se prvi odstavek spremeni tako, da se glasi:</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»(1) Agencija v devetih mesecih od uveljavitve tega zakona sprejme akte za izvrševanje tretjega odstavka 54. člena,  tretjega odstavka 104. člena, petega odstavka 106.a člena, 127. člena, tretjega odstavka 151. člena, sedmega odstavka 187.b člena in četrtega odstavka 233.b člena zakona.«.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Obrazložitev:</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S predlaganim amandmajem se upošteva pripomba Zakonodajno-pravne službe k 46. členu in dosledneje navaja člene zakona, na podlagi katerih Agencija sprejme podzakonske akte.</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K 47. členu</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V 47. členu se prvi odstavek spremeni tako, da se glasi:</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»(1) Družba za upravljanje v enem mesecu po uveljavitvi tega zakona uskladi pravila upravljanja vzajemnega sklada z novima 187.a in 187.b členom ter spremembami 233., 235., 238., 247. in 251. člena zakona. Družbi za upravljanje ni treba pridobiti predhodnega soglasja Agencije za spremembo pravil upravljanja vzajemnega sklada, dovoljenja za objavo prospekta vzajemnega sklada ter imetnikom investicijskega kupona vzajemnega sklada poslati obvestila o spremembah pravil upravljanja, kakor to določa 253. člen zakona, mora pa najpozneje v enem mesecu po uveljavitvi tega zakona javno objaviti informacijo o spremembi pravil upravljanja ter najkasneje z objavo o tem obvestiti Agencijo. Spremembe pravil upravljanja vzajemnega sklada začnejo veljati dva meseca po uveljavitvi tega zakona, v obdobju od uskladitve teh pravil do začetka njihove veljave pa lahko imetniki investicijskih kuponov na podlagi prvega odstavka 233. člena zakona zahtevajo izplačilo investicijskih kuponov.«.</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Drugi odstavek se črta.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Dosedanji tretji odstavek postane drugi odstavek.</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Obrazložitev:</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S predlaganim amandmajem se upošteva pripomba ZPS k 47. členu.</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 xml:space="preserve">Družbe za upravljanje pravila upravljanja vzajemnega sklada uskladijo z določbami novega 187.a in 187.b člena ter spremembami 233., 235., 238., 247. in 251. člena zakona v enem mesecu po uveljavitve novele, spremembe pravil upravljanja pa začnejo veljati dva meseca po uveljavitvi novele. Imetniki investicijskih kuponov so o spremembah obveščeni z objavo informacije najpozneje v enem mesecu po uveljavitve novele, spremembe pravil upravljanja pa začnejo veljati mesec pozneje. V tem obdobju lahko na podlagi prvega odstavka 233. člena ZISDU-3 zahtevajo izplačilo investicijskih kuponov. </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Ker je rok za vključitev orodij za upravljanje likvidnosti v pravila upravljanja zavezujoč, določba tega člena uvaja izjemo, da lahko uskladitev oziroma spremembe pravil upravljanja, ki so potrebne izključno zaradi prenosa Direktive (EU) 2024/927, družbe za upravljanje izvedejo same in objavijo prospekt investicijskega sklada, ne da bi bila za to potrebna predhodna pridobitev soglasja Agencije, ki je sicer potrebno v vseh drugih primerih za spremembo pravil upravljanja, in ne da bi za objavo prospekta investicijskega sklada predhodno pridobile dovoljenje Agencije. Obveznost iz prvega odstavka 187.b člena zakona je izpolnjena z uskladitvijo pravil upravljanja vzajemnega sklada, ki jo ta člen zahteva v enem mesecu po uveljavitve novele; glede trenutka, od katerega spremembe pravil upravljanja veljajo, je ta člen posebna določba.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Dosedanji drugi odstavek se črta, ker je njegova vsebina vključena v spremenjeni prvi odstavek. Dosedanji tretji odstavek, ki ureja uporabo Delegirane uredbe 2026/466/EU, se ne spreminja in postane drugi odstavek.</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K 48. členu</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Besedilo 48. člena se spremeni tako, da se glasi:</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»Novi 453.a člen zakona in nova 35.a točka prvega odstavka 512. člena zakona se začneta uporabljati 16. aprila 2027.«.</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Obrazložitev:</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 xml:space="preserve">Novi 453.a člen zakona prenaša 20.a člen Direktive 2009/65/ES, kakor ga uvaja Direktiva (EU) 2024/927. Po drugem pododstavku prvega odstavka 3. člena navedene direktive države članice ukrepe za prenos tega člena uporabljajo od 16. aprila 2027, zato je ta datum določen neposredno v zakonu. Hkrati se začne uporabljati </w:t>
      </w:r>
      <w:proofErr w:type="spellStart"/>
      <w:r w:rsidRPr="00F94476">
        <w:rPr>
          <w:szCs w:val="20"/>
          <w:lang w:eastAsia="sl-SI"/>
        </w:rPr>
        <w:t>prekrškovna</w:t>
      </w:r>
      <w:proofErr w:type="spellEnd"/>
      <w:r w:rsidRPr="00F94476">
        <w:rPr>
          <w:szCs w:val="20"/>
          <w:lang w:eastAsia="sl-SI"/>
        </w:rPr>
        <w:t xml:space="preserve"> določba iz nove 35.a točke prvega odstavka 512. člena zakona, ki je vezana na obveznosti iz 453.a člena.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r w:rsidRPr="00F94476">
        <w:rPr>
          <w:szCs w:val="20"/>
          <w:lang w:eastAsia="sl-SI"/>
        </w:rPr>
        <w:t>Podrobnosti informacij, raven standardizacije ter pogostost in časovni razpored poročanja bodo določeni z delegiranim aktom, ki ga Evropska komisija sprejme na podlagi petega odstavka 20.a člena Direktive 2009/65/ES, oblike in podatkovni standardi pa z izvedbenim aktom, ki ga sprejme na podlagi šestega odstavka istega člena. Do začetka uporabe teh aktov se za poročanje po 453.a členu zakona uporablja 458. člen zakona, zato posebna prehodna ureditev ni potrebna.</w:t>
      </w: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F94476" w:rsidRPr="00F94476" w:rsidRDefault="00F94476" w:rsidP="00F94476">
      <w:pPr>
        <w:overflowPunct w:val="0"/>
        <w:autoSpaceDE w:val="0"/>
        <w:autoSpaceDN w:val="0"/>
        <w:adjustRightInd w:val="0"/>
        <w:spacing w:line="240" w:lineRule="auto"/>
        <w:jc w:val="both"/>
        <w:textAlignment w:val="baseline"/>
        <w:rPr>
          <w:szCs w:val="20"/>
          <w:lang w:eastAsia="sl-SI"/>
        </w:rPr>
      </w:pPr>
    </w:p>
    <w:p w:rsidR="007E1230" w:rsidRPr="00F94476" w:rsidRDefault="007E1230" w:rsidP="00F94476">
      <w:pPr>
        <w:tabs>
          <w:tab w:val="left" w:pos="7920"/>
        </w:tabs>
        <w:autoSpaceDE w:val="0"/>
        <w:autoSpaceDN w:val="0"/>
        <w:adjustRightInd w:val="0"/>
        <w:rPr>
          <w:rFonts w:cs="Arial"/>
          <w:color w:val="000000"/>
          <w:szCs w:val="20"/>
        </w:rPr>
      </w:pPr>
    </w:p>
    <w:sectPr w:rsidR="007E1230" w:rsidRPr="00F94476" w:rsidSect="00A16E6F">
      <w:headerReference w:type="even" r:id="rId7"/>
      <w:headerReference w:type="default" r:id="rId8"/>
      <w:footerReference w:type="even" r:id="rId9"/>
      <w:footerReference w:type="default" r:id="rId10"/>
      <w:headerReference w:type="first" r:id="rId11"/>
      <w:footerReference w:type="first" r:id="rId12"/>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E15" w:rsidRDefault="00CB7E15" w:rsidP="00767987">
      <w:pPr>
        <w:spacing w:line="240" w:lineRule="auto"/>
      </w:pPr>
      <w:r>
        <w:separator/>
      </w:r>
    </w:p>
  </w:endnote>
  <w:endnote w:type="continuationSeparator" w:id="0">
    <w:p w:rsidR="00CB7E15" w:rsidRDefault="00CB7E15"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2696" w:rsidRDefault="00CA2696">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2696" w:rsidRDefault="00CA2696">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2696" w:rsidRDefault="00CA2696">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E15" w:rsidRDefault="00CB7E15" w:rsidP="00767987">
      <w:pPr>
        <w:spacing w:line="240" w:lineRule="auto"/>
      </w:pPr>
      <w:r>
        <w:separator/>
      </w:r>
    </w:p>
  </w:footnote>
  <w:footnote w:type="continuationSeparator" w:id="0">
    <w:p w:rsidR="00CB7E15" w:rsidRDefault="00CB7E15" w:rsidP="007679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2696" w:rsidRDefault="00CA2696">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2696" w:rsidRDefault="00CA2696">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6E6F" w:rsidRPr="00A9231D" w:rsidRDefault="00A16E6F" w:rsidP="00A16E6F">
    <w:pPr>
      <w:pStyle w:val="Glava"/>
      <w:tabs>
        <w:tab w:val="clear" w:pos="4536"/>
        <w:tab w:val="clear" w:pos="9072"/>
        <w:tab w:val="left" w:pos="5112"/>
        <w:tab w:val="left" w:pos="8641"/>
      </w:tabs>
      <w:spacing w:before="340" w:line="240" w:lineRule="exact"/>
      <w:ind w:left="-765"/>
      <w:rPr>
        <w:rFonts w:ascii="Arial" w:hAnsi="Arial" w:cs="Arial"/>
        <w:sz w:val="16"/>
      </w:rPr>
    </w:pPr>
    <w:r w:rsidRPr="00CE234E">
      <w:rPr>
        <w:noProof/>
        <w:lang w:eastAsia="sl-SI"/>
      </w:rPr>
      <w:drawing>
        <wp:inline distT="0" distB="0" distL="0" distR="0" wp14:anchorId="13E6758A" wp14:editId="0B37FD23">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A16E6F" w:rsidRPr="00A9231D" w:rsidRDefault="00A16E6F" w:rsidP="007E59BC">
    <w:pPr>
      <w:pStyle w:val="Glava"/>
      <w:tabs>
        <w:tab w:val="clear" w:pos="4536"/>
        <w:tab w:val="clear" w:pos="9072"/>
        <w:tab w:val="left" w:pos="5114"/>
        <w:tab w:val="left" w:pos="8641"/>
      </w:tabs>
      <w:spacing w:before="120" w:line="240" w:lineRule="exact"/>
      <w:rPr>
        <w:rFonts w:ascii="Arial" w:hAnsi="Arial" w:cs="Arial"/>
        <w:sz w:val="16"/>
      </w:rPr>
    </w:pPr>
    <w:r w:rsidRPr="00A9231D">
      <w:rPr>
        <w:rFonts w:ascii="Arial" w:hAnsi="Arial" w:cs="Arial"/>
        <w:sz w:val="16"/>
      </w:rPr>
      <w:t xml:space="preserve">Gregorčičeva </w:t>
    </w:r>
    <w:r>
      <w:rPr>
        <w:rFonts w:ascii="Arial" w:hAnsi="Arial" w:cs="Arial"/>
        <w:sz w:val="16"/>
      </w:rPr>
      <w:t xml:space="preserve">ulica </w:t>
    </w:r>
    <w:r w:rsidRPr="00A9231D">
      <w:rPr>
        <w:rFonts w:ascii="Arial" w:hAnsi="Arial" w:cs="Arial"/>
        <w:sz w:val="16"/>
      </w:rPr>
      <w:t>20–25, 100</w:t>
    </w:r>
    <w:r>
      <w:rPr>
        <w:rFonts w:ascii="Arial" w:hAnsi="Arial" w:cs="Arial"/>
        <w:sz w:val="16"/>
      </w:rPr>
      <w:t>0</w:t>
    </w:r>
    <w:r w:rsidRPr="00A9231D">
      <w:rPr>
        <w:rFonts w:ascii="Arial" w:hAnsi="Arial" w:cs="Arial"/>
        <w:sz w:val="16"/>
      </w:rPr>
      <w:t xml:space="preserve"> Ljubljana</w:t>
    </w:r>
    <w:r w:rsidRPr="00A9231D">
      <w:rPr>
        <w:rFonts w:ascii="Arial" w:hAnsi="Arial" w:cs="Arial"/>
        <w:sz w:val="16"/>
      </w:rPr>
      <w:tab/>
      <w:t>T: +386 1 478 1000</w:t>
    </w:r>
  </w:p>
  <w:p w:rsidR="00A16E6F" w:rsidRPr="00A9231D" w:rsidRDefault="00A16E6F" w:rsidP="00A16E6F">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E: gp.gs@gov.si</w:t>
    </w:r>
  </w:p>
  <w:p w:rsidR="00A16E6F" w:rsidRPr="00A9231D" w:rsidRDefault="00A16E6F" w:rsidP="00A16E6F">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http://www.vlada.si/</w:t>
    </w:r>
  </w:p>
  <w:p w:rsidR="006C69EC" w:rsidRDefault="006C69EC">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F808C5"/>
    <w:multiLevelType w:val="hybridMultilevel"/>
    <w:tmpl w:val="91B2062A"/>
    <w:lvl w:ilvl="0" w:tplc="279E37A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CE"/>
    <w:rsid w:val="00041271"/>
    <w:rsid w:val="00084FCB"/>
    <w:rsid w:val="000B37A4"/>
    <w:rsid w:val="000B3FE6"/>
    <w:rsid w:val="000E4B03"/>
    <w:rsid w:val="002837E1"/>
    <w:rsid w:val="00286CB6"/>
    <w:rsid w:val="00366636"/>
    <w:rsid w:val="00367DE6"/>
    <w:rsid w:val="003700DC"/>
    <w:rsid w:val="003A695C"/>
    <w:rsid w:val="003B3E19"/>
    <w:rsid w:val="004076C6"/>
    <w:rsid w:val="00457A58"/>
    <w:rsid w:val="004964D7"/>
    <w:rsid w:val="004B7F76"/>
    <w:rsid w:val="004E1BCE"/>
    <w:rsid w:val="0057353E"/>
    <w:rsid w:val="00592079"/>
    <w:rsid w:val="00594080"/>
    <w:rsid w:val="005D29F3"/>
    <w:rsid w:val="00674FD5"/>
    <w:rsid w:val="00682FFE"/>
    <w:rsid w:val="00684751"/>
    <w:rsid w:val="006C69EC"/>
    <w:rsid w:val="007039D0"/>
    <w:rsid w:val="00767987"/>
    <w:rsid w:val="00782FD4"/>
    <w:rsid w:val="007B1046"/>
    <w:rsid w:val="007E1230"/>
    <w:rsid w:val="007E59BC"/>
    <w:rsid w:val="00811140"/>
    <w:rsid w:val="008B51EB"/>
    <w:rsid w:val="00902D57"/>
    <w:rsid w:val="00904A48"/>
    <w:rsid w:val="00980294"/>
    <w:rsid w:val="009C5392"/>
    <w:rsid w:val="009C657E"/>
    <w:rsid w:val="00A04FA3"/>
    <w:rsid w:val="00A16E6F"/>
    <w:rsid w:val="00A50E4B"/>
    <w:rsid w:val="00A56EFB"/>
    <w:rsid w:val="00A9231D"/>
    <w:rsid w:val="00AD3BB3"/>
    <w:rsid w:val="00B31063"/>
    <w:rsid w:val="00BC534D"/>
    <w:rsid w:val="00C0216A"/>
    <w:rsid w:val="00CA14F3"/>
    <w:rsid w:val="00CA2696"/>
    <w:rsid w:val="00CB7E15"/>
    <w:rsid w:val="00CD6077"/>
    <w:rsid w:val="00CE234E"/>
    <w:rsid w:val="00D00B65"/>
    <w:rsid w:val="00D02973"/>
    <w:rsid w:val="00D254BC"/>
    <w:rsid w:val="00D426C5"/>
    <w:rsid w:val="00DA09BE"/>
    <w:rsid w:val="00E57CB2"/>
    <w:rsid w:val="00E83A83"/>
    <w:rsid w:val="00EA181D"/>
    <w:rsid w:val="00F502C5"/>
    <w:rsid w:val="00F94476"/>
    <w:rsid w:val="00FB00D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289029D-D534-4CF9-8555-38669BE2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7E1230"/>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basedOn w:val="Navaden"/>
    <w:link w:val="GlavaZnak"/>
    <w:unhideWhenUsed/>
    <w:rsid w:val="00767987"/>
    <w:pPr>
      <w:tabs>
        <w:tab w:val="center" w:pos="4536"/>
        <w:tab w:val="right" w:pos="9072"/>
      </w:tabs>
      <w:spacing w:line="240" w:lineRule="auto"/>
    </w:pPr>
    <w:rPr>
      <w:rFonts w:asciiTheme="minorHAnsi" w:eastAsiaTheme="minorHAnsi" w:hAnsiTheme="minorHAnsi" w:cstheme="minorBidi"/>
      <w:sz w:val="22"/>
      <w:szCs w:val="22"/>
    </w:rPr>
  </w:style>
  <w:style w:type="character" w:customStyle="1" w:styleId="GlavaZnak">
    <w:name w:val="Glava Znak"/>
    <w:basedOn w:val="Privzetapisavaodstavka"/>
    <w:link w:val="Glava"/>
    <w:rsid w:val="00767987"/>
  </w:style>
  <w:style w:type="paragraph" w:styleId="Noga">
    <w:name w:val="footer"/>
    <w:basedOn w:val="Navaden"/>
    <w:link w:val="NogaZnak"/>
    <w:uiPriority w:val="99"/>
    <w:unhideWhenUsed/>
    <w:rsid w:val="00767987"/>
    <w:pPr>
      <w:tabs>
        <w:tab w:val="center" w:pos="4536"/>
        <w:tab w:val="right" w:pos="9072"/>
      </w:tabs>
      <w:spacing w:line="240" w:lineRule="auto"/>
    </w:pPr>
    <w:rPr>
      <w:rFonts w:asciiTheme="minorHAnsi" w:eastAsiaTheme="minorHAnsi" w:hAnsiTheme="minorHAnsi" w:cstheme="minorBidi"/>
      <w:sz w:val="22"/>
      <w:szCs w:val="22"/>
    </w:rPr>
  </w:style>
  <w:style w:type="character" w:customStyle="1" w:styleId="NogaZnak">
    <w:name w:val="Noga Znak"/>
    <w:basedOn w:val="Privzetapisavaodstavka"/>
    <w:link w:val="Noga"/>
    <w:uiPriority w:val="99"/>
    <w:rsid w:val="00767987"/>
  </w:style>
  <w:style w:type="paragraph" w:customStyle="1" w:styleId="podpisi">
    <w:name w:val="podpisi"/>
    <w:basedOn w:val="Navaden"/>
    <w:qFormat/>
    <w:rsid w:val="009C657E"/>
    <w:pPr>
      <w:tabs>
        <w:tab w:val="left" w:pos="3402"/>
      </w:tabs>
    </w:pPr>
    <w:rPr>
      <w:lang w:val="it-IT"/>
    </w:rPr>
  </w:style>
  <w:style w:type="paragraph" w:styleId="Odstavekseznama">
    <w:name w:val="List Paragraph"/>
    <w:basedOn w:val="Navaden"/>
    <w:uiPriority w:val="34"/>
    <w:qFormat/>
    <w:rsid w:val="00CA14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2700</Words>
  <Characters>15391</Characters>
  <Application>Microsoft Office Word</Application>
  <DocSecurity>0</DocSecurity>
  <Lines>128</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 Kunaver Tomažič</dc:creator>
  <cp:keywords/>
  <dc:description/>
  <cp:lastModifiedBy>Barbara Kunavar</cp:lastModifiedBy>
  <cp:revision>2</cp:revision>
  <dcterms:created xsi:type="dcterms:W3CDTF">2026-09-24T07:32:00Z</dcterms:created>
  <dcterms:modified xsi:type="dcterms:W3CDTF">2026-09-24T07:32:00Z</dcterms:modified>
</cp:coreProperties>
</file>