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657E" w:rsidRPr="00A2221E" w:rsidRDefault="009C657E" w:rsidP="009C657E">
      <w:pPr>
        <w:pStyle w:val="datumtevilka"/>
      </w:pPr>
      <w:bookmarkStart w:id="0" w:name="_Hlk61014710"/>
      <w:bookmarkEnd w:id="0"/>
      <w:r w:rsidRPr="00A2221E">
        <w:rPr>
          <w:rFonts w:cs="Arial"/>
          <w:color w:val="000000"/>
        </w:rPr>
        <w:t>EVA:</w:t>
      </w:r>
      <w:r w:rsidRPr="00A2221E">
        <w:rPr>
          <w:rFonts w:cs="Arial"/>
          <w:color w:val="000000"/>
        </w:rPr>
        <w:tab/>
      </w:r>
      <w:r w:rsidR="00FA41BE" w:rsidRPr="00A2221E">
        <w:rPr>
          <w:rFonts w:cs="Arial"/>
          <w:color w:val="000000"/>
        </w:rPr>
        <w:t>2026-1611-0040</w:t>
      </w:r>
    </w:p>
    <w:p w:rsidR="009C657E" w:rsidRPr="00A2221E" w:rsidRDefault="009C657E" w:rsidP="009C657E">
      <w:pPr>
        <w:pStyle w:val="datumtevilka"/>
      </w:pPr>
      <w:r w:rsidRPr="00A2221E">
        <w:t xml:space="preserve">Številka: </w:t>
      </w:r>
      <w:r w:rsidRPr="00A2221E">
        <w:tab/>
      </w:r>
      <w:r w:rsidR="00FA41BE" w:rsidRPr="00A2221E">
        <w:rPr>
          <w:rFonts w:cs="Arial"/>
          <w:color w:val="000000"/>
        </w:rPr>
        <w:t>00704-234/2026/9</w:t>
      </w:r>
    </w:p>
    <w:p w:rsidR="009C657E" w:rsidRPr="00A2221E" w:rsidRDefault="009C657E" w:rsidP="009C657E">
      <w:pPr>
        <w:pStyle w:val="datumtevilka"/>
      </w:pPr>
      <w:r w:rsidRPr="00A2221E">
        <w:t>Datum:</w:t>
      </w:r>
      <w:r w:rsidRPr="00A2221E">
        <w:tab/>
      </w:r>
      <w:r w:rsidR="00FA41BE" w:rsidRPr="00A2221E">
        <w:rPr>
          <w:rFonts w:cs="Arial"/>
          <w:color w:val="000000"/>
        </w:rPr>
        <w:t>24. 9. 2026</w:t>
      </w:r>
      <w:r w:rsidRPr="00A2221E">
        <w:t xml:space="preserve"> </w:t>
      </w:r>
    </w:p>
    <w:p w:rsidR="009C657E" w:rsidRPr="00A2221E" w:rsidRDefault="009C657E" w:rsidP="009C657E">
      <w:pPr>
        <w:rPr>
          <w:szCs w:val="20"/>
        </w:rPr>
      </w:pPr>
    </w:p>
    <w:p w:rsidR="00A2221E" w:rsidRPr="00A2221E" w:rsidRDefault="00A2221E" w:rsidP="00A2221E">
      <w:pPr>
        <w:overflowPunct w:val="0"/>
        <w:autoSpaceDE w:val="0"/>
        <w:autoSpaceDN w:val="0"/>
        <w:adjustRightInd w:val="0"/>
        <w:spacing w:line="288" w:lineRule="auto"/>
        <w:jc w:val="both"/>
        <w:textAlignment w:val="baseline"/>
        <w:rPr>
          <w:rFonts w:cs="Arial"/>
          <w:szCs w:val="20"/>
          <w:shd w:val="clear" w:color="auto" w:fill="FFFFFF"/>
          <w:lang w:eastAsia="sl-SI"/>
        </w:rPr>
      </w:pPr>
    </w:p>
    <w:p w:rsidR="00A2221E" w:rsidRPr="00A2221E" w:rsidRDefault="00A2221E" w:rsidP="00A2221E">
      <w:pPr>
        <w:overflowPunct w:val="0"/>
        <w:autoSpaceDE w:val="0"/>
        <w:autoSpaceDN w:val="0"/>
        <w:adjustRightInd w:val="0"/>
        <w:spacing w:line="288" w:lineRule="auto"/>
        <w:jc w:val="both"/>
        <w:textAlignment w:val="baseline"/>
        <w:rPr>
          <w:rFonts w:eastAsia="Calibri" w:cs="Arial"/>
          <w:b/>
          <w:bCs/>
          <w:szCs w:val="20"/>
          <w:lang w:eastAsia="sl-SI"/>
        </w:rPr>
      </w:pPr>
    </w:p>
    <w:p w:rsidR="00A2221E" w:rsidRPr="00A2221E" w:rsidRDefault="00A2221E" w:rsidP="00A2221E">
      <w:pPr>
        <w:overflowPunct w:val="0"/>
        <w:autoSpaceDE w:val="0"/>
        <w:autoSpaceDN w:val="0"/>
        <w:adjustRightInd w:val="0"/>
        <w:spacing w:line="288" w:lineRule="auto"/>
        <w:jc w:val="center"/>
        <w:textAlignment w:val="baseline"/>
        <w:rPr>
          <w:rFonts w:eastAsia="Calibri" w:cs="Arial"/>
          <w:b/>
          <w:bCs/>
          <w:szCs w:val="20"/>
          <w:highlight w:val="yellow"/>
          <w:lang w:eastAsia="sl-SI"/>
        </w:rPr>
      </w:pPr>
      <w:r w:rsidRPr="00A2221E">
        <w:rPr>
          <w:rFonts w:eastAsia="Calibri" w:cs="Arial"/>
          <w:b/>
          <w:bCs/>
          <w:szCs w:val="20"/>
          <w:lang w:eastAsia="sl-SI"/>
        </w:rPr>
        <w:t xml:space="preserve">Predlog amandmajev </w:t>
      </w:r>
      <w:r w:rsidRPr="00A2221E">
        <w:rPr>
          <w:rFonts w:cs="Arial"/>
          <w:b/>
          <w:bCs/>
          <w:szCs w:val="20"/>
          <w:lang w:eastAsia="sl-SI"/>
        </w:rPr>
        <w:t>k Predlogu zakona o spremembah in dopolnitvah Zakona o trgu finančnih instrumentov (ZTFI-1E)</w:t>
      </w:r>
      <w:r w:rsidR="008607F8">
        <w:rPr>
          <w:rFonts w:cs="Arial"/>
          <w:b/>
          <w:bCs/>
          <w:szCs w:val="20"/>
          <w:lang w:eastAsia="sl-SI"/>
        </w:rPr>
        <w:t xml:space="preserve"> – </w:t>
      </w:r>
      <w:bookmarkStart w:id="1" w:name="_GoBack"/>
      <w:bookmarkEnd w:id="1"/>
      <w:r w:rsidRPr="00A2221E">
        <w:rPr>
          <w:rFonts w:cs="Arial"/>
          <w:b/>
          <w:bCs/>
          <w:szCs w:val="20"/>
          <w:lang w:eastAsia="sl-SI"/>
        </w:rPr>
        <w:t>EPA 204-X</w:t>
      </w:r>
    </w:p>
    <w:p w:rsidR="00A2221E" w:rsidRPr="00A2221E" w:rsidRDefault="00A2221E" w:rsidP="00A2221E">
      <w:pPr>
        <w:suppressAutoHyphens/>
        <w:overflowPunct w:val="0"/>
        <w:autoSpaceDE w:val="0"/>
        <w:autoSpaceDN w:val="0"/>
        <w:adjustRightInd w:val="0"/>
        <w:spacing w:line="288" w:lineRule="auto"/>
        <w:jc w:val="both"/>
        <w:rPr>
          <w:rFonts w:cs="Arial"/>
          <w:b/>
          <w:szCs w:val="20"/>
          <w:u w:val="single"/>
          <w:lang w:eastAsia="sl-SI"/>
        </w:rPr>
      </w:pPr>
    </w:p>
    <w:p w:rsidR="00A2221E" w:rsidRPr="00A2221E" w:rsidRDefault="00A2221E" w:rsidP="00A2221E">
      <w:pPr>
        <w:suppressAutoHyphens/>
        <w:overflowPunct w:val="0"/>
        <w:autoSpaceDE w:val="0"/>
        <w:autoSpaceDN w:val="0"/>
        <w:adjustRightInd w:val="0"/>
        <w:spacing w:line="288" w:lineRule="auto"/>
        <w:jc w:val="both"/>
        <w:rPr>
          <w:rFonts w:cs="Arial"/>
          <w:bCs/>
          <w:szCs w:val="20"/>
          <w:highlight w:val="yellow"/>
          <w:lang w:eastAsia="sl-SI"/>
        </w:rPr>
      </w:pPr>
    </w:p>
    <w:p w:rsidR="00A2221E" w:rsidRPr="00A2221E" w:rsidRDefault="00A2221E" w:rsidP="00A2221E">
      <w:pPr>
        <w:suppressAutoHyphens/>
        <w:overflowPunct w:val="0"/>
        <w:autoSpaceDE w:val="0"/>
        <w:autoSpaceDN w:val="0"/>
        <w:adjustRightInd w:val="0"/>
        <w:spacing w:line="288" w:lineRule="auto"/>
        <w:jc w:val="both"/>
        <w:rPr>
          <w:rFonts w:cs="Arial"/>
          <w:b/>
          <w:szCs w:val="20"/>
          <w:u w:val="single"/>
          <w:lang w:eastAsia="sl-SI"/>
        </w:rPr>
      </w:pPr>
      <w:r w:rsidRPr="00A2221E">
        <w:rPr>
          <w:rFonts w:cs="Arial"/>
          <w:b/>
          <w:szCs w:val="20"/>
          <w:u w:val="single"/>
          <w:lang w:eastAsia="sl-SI"/>
        </w:rPr>
        <w:t>K 1. členu</w:t>
      </w:r>
    </w:p>
    <w:p w:rsidR="00A2221E" w:rsidRPr="00A2221E" w:rsidRDefault="00A2221E" w:rsidP="00A2221E">
      <w:pPr>
        <w:suppressAutoHyphens/>
        <w:overflowPunct w:val="0"/>
        <w:autoSpaceDE w:val="0"/>
        <w:autoSpaceDN w:val="0"/>
        <w:adjustRightInd w:val="0"/>
        <w:spacing w:line="288" w:lineRule="auto"/>
        <w:jc w:val="both"/>
        <w:rPr>
          <w:rFonts w:cs="Arial"/>
          <w:b/>
          <w:szCs w:val="20"/>
          <w:highlight w:val="yellow"/>
          <w:u w:val="single"/>
          <w:lang w:eastAsia="sl-SI"/>
        </w:rPr>
      </w:pPr>
    </w:p>
    <w:p w:rsidR="00A2221E" w:rsidRPr="00A2221E" w:rsidRDefault="00A2221E" w:rsidP="00A2221E">
      <w:pPr>
        <w:suppressAutoHyphens/>
        <w:overflowPunct w:val="0"/>
        <w:autoSpaceDE w:val="0"/>
        <w:autoSpaceDN w:val="0"/>
        <w:adjustRightInd w:val="0"/>
        <w:spacing w:line="288" w:lineRule="auto"/>
        <w:jc w:val="both"/>
        <w:rPr>
          <w:rFonts w:cs="Arial"/>
          <w:bCs/>
          <w:szCs w:val="20"/>
          <w:lang w:eastAsia="sl-SI"/>
        </w:rPr>
      </w:pPr>
      <w:r w:rsidRPr="00A2221E">
        <w:rPr>
          <w:rFonts w:cs="Arial"/>
          <w:bCs/>
          <w:szCs w:val="20"/>
          <w:lang w:eastAsia="sl-SI"/>
        </w:rPr>
        <w:t>V 1. členu se za drugim odstavkom doda nov tretji odstavek, ki se glasi:</w:t>
      </w:r>
    </w:p>
    <w:p w:rsidR="00A2221E" w:rsidRPr="00A2221E" w:rsidRDefault="00A2221E" w:rsidP="00A2221E">
      <w:pPr>
        <w:suppressAutoHyphens/>
        <w:overflowPunct w:val="0"/>
        <w:autoSpaceDE w:val="0"/>
        <w:autoSpaceDN w:val="0"/>
        <w:adjustRightInd w:val="0"/>
        <w:spacing w:line="288" w:lineRule="auto"/>
        <w:jc w:val="both"/>
        <w:rPr>
          <w:rFonts w:cs="Arial"/>
          <w:bCs/>
          <w:szCs w:val="20"/>
          <w:lang w:eastAsia="sl-SI"/>
        </w:rPr>
      </w:pPr>
    </w:p>
    <w:p w:rsidR="00A2221E" w:rsidRPr="00A2221E" w:rsidRDefault="00A2221E" w:rsidP="00A2221E">
      <w:pPr>
        <w:suppressAutoHyphens/>
        <w:overflowPunct w:val="0"/>
        <w:autoSpaceDE w:val="0"/>
        <w:autoSpaceDN w:val="0"/>
        <w:adjustRightInd w:val="0"/>
        <w:spacing w:line="288" w:lineRule="auto"/>
        <w:jc w:val="both"/>
        <w:rPr>
          <w:rFonts w:cs="Arial"/>
          <w:bCs/>
          <w:szCs w:val="20"/>
          <w:lang w:eastAsia="sl-SI"/>
        </w:rPr>
      </w:pPr>
      <w:r w:rsidRPr="00A2221E">
        <w:rPr>
          <w:rFonts w:cs="Arial"/>
          <w:bCs/>
          <w:szCs w:val="20"/>
          <w:lang w:eastAsia="sl-SI"/>
        </w:rPr>
        <w:t>»V 11. točki se besedilo »(UL L št. 87 z dne 31. 3. 2017, str. 500; v nadaljnjem besedilu: Direktiva 2017/593/EU)« nadomesti z besedilom »(UL L št. 87 z dne 31. 3. 2017, str. 500), zadnjič spremenjena z Delegirano direktivo Komisije (EU) 2026/374 z dne 20. februarja 2026 o spremembi Delegirane direktive (EU) 2017/593 v zvezi s pogoji za opravljanje storitev izvrševanja in raziskav s strani tretjih oseb za investicijska podjetja, ki opravljajo storitve upravljanja portfeljev ali druge investicijske ali pomožne storitve (UL L št. 2026/374 z dne 2. 6. 2026) (v nadaljnjem besedilu: Direktiva 2017/593/EU)«.«.</w:t>
      </w:r>
    </w:p>
    <w:p w:rsidR="00A2221E" w:rsidRPr="00A2221E" w:rsidRDefault="00A2221E" w:rsidP="00A2221E">
      <w:pPr>
        <w:suppressAutoHyphens/>
        <w:overflowPunct w:val="0"/>
        <w:autoSpaceDE w:val="0"/>
        <w:autoSpaceDN w:val="0"/>
        <w:adjustRightInd w:val="0"/>
        <w:spacing w:line="288" w:lineRule="auto"/>
        <w:jc w:val="both"/>
        <w:rPr>
          <w:rFonts w:cs="Arial"/>
          <w:bCs/>
          <w:szCs w:val="20"/>
          <w:lang w:eastAsia="sl-SI"/>
        </w:rPr>
      </w:pPr>
    </w:p>
    <w:p w:rsidR="00A2221E" w:rsidRPr="00A2221E" w:rsidRDefault="00A2221E" w:rsidP="00A2221E">
      <w:pPr>
        <w:suppressAutoHyphens/>
        <w:overflowPunct w:val="0"/>
        <w:autoSpaceDE w:val="0"/>
        <w:autoSpaceDN w:val="0"/>
        <w:adjustRightInd w:val="0"/>
        <w:spacing w:line="288" w:lineRule="auto"/>
        <w:jc w:val="both"/>
        <w:rPr>
          <w:rFonts w:cs="Arial"/>
          <w:bCs/>
          <w:szCs w:val="20"/>
          <w:lang w:eastAsia="sl-SI"/>
        </w:rPr>
      </w:pPr>
      <w:r w:rsidRPr="00A2221E">
        <w:rPr>
          <w:rFonts w:cs="Arial"/>
          <w:bCs/>
          <w:szCs w:val="20"/>
          <w:lang w:eastAsia="sl-SI"/>
        </w:rPr>
        <w:t>V dosedanjem tretjem odstavku, ki postane četrti odstavek se v novi 20. točki za besedilom »Direktiva 2024/2810/EU)« doda vejica in besedilo »v delu, ki se nanaša na četrti odstavek 3. člena in 5. člen navedene direktive«.</w:t>
      </w:r>
    </w:p>
    <w:p w:rsidR="00A2221E" w:rsidRPr="00A2221E" w:rsidRDefault="00A2221E" w:rsidP="00A2221E">
      <w:pPr>
        <w:suppressAutoHyphens/>
        <w:overflowPunct w:val="0"/>
        <w:autoSpaceDE w:val="0"/>
        <w:autoSpaceDN w:val="0"/>
        <w:adjustRightInd w:val="0"/>
        <w:spacing w:line="288" w:lineRule="auto"/>
        <w:jc w:val="both"/>
        <w:rPr>
          <w:rFonts w:cs="Arial"/>
          <w:bCs/>
          <w:szCs w:val="20"/>
          <w:lang w:eastAsia="sl-SI"/>
        </w:rPr>
      </w:pPr>
    </w:p>
    <w:p w:rsidR="00A2221E" w:rsidRPr="00A2221E" w:rsidRDefault="00A2221E" w:rsidP="00A2221E">
      <w:pPr>
        <w:suppressAutoHyphens/>
        <w:overflowPunct w:val="0"/>
        <w:autoSpaceDE w:val="0"/>
        <w:autoSpaceDN w:val="0"/>
        <w:adjustRightInd w:val="0"/>
        <w:spacing w:line="288" w:lineRule="auto"/>
        <w:jc w:val="both"/>
        <w:rPr>
          <w:rFonts w:cs="Arial"/>
          <w:bCs/>
          <w:szCs w:val="20"/>
          <w:highlight w:val="yellow"/>
          <w:lang w:eastAsia="sl-SI"/>
        </w:rPr>
      </w:pPr>
      <w:r w:rsidRPr="00A2221E">
        <w:rPr>
          <w:rFonts w:cs="Arial"/>
          <w:bCs/>
          <w:szCs w:val="20"/>
          <w:lang w:eastAsia="sl-SI"/>
        </w:rPr>
        <w:t>Dosedanji tretji do šesti odstavek postanejo četrti do sedmi odstavek.</w:t>
      </w:r>
    </w:p>
    <w:p w:rsidR="00A2221E" w:rsidRPr="00A2221E" w:rsidRDefault="00A2221E" w:rsidP="00A2221E">
      <w:pPr>
        <w:suppressAutoHyphens/>
        <w:overflowPunct w:val="0"/>
        <w:autoSpaceDE w:val="0"/>
        <w:autoSpaceDN w:val="0"/>
        <w:adjustRightInd w:val="0"/>
        <w:spacing w:line="288" w:lineRule="auto"/>
        <w:jc w:val="both"/>
        <w:rPr>
          <w:rFonts w:cs="Arial"/>
          <w:bCs/>
          <w:szCs w:val="20"/>
          <w:highlight w:val="yellow"/>
          <w:lang w:eastAsia="sl-SI"/>
        </w:rPr>
      </w:pPr>
    </w:p>
    <w:p w:rsidR="00A2221E" w:rsidRPr="00A2221E" w:rsidRDefault="00A2221E" w:rsidP="00A2221E">
      <w:pPr>
        <w:suppressAutoHyphens/>
        <w:overflowPunct w:val="0"/>
        <w:autoSpaceDE w:val="0"/>
        <w:autoSpaceDN w:val="0"/>
        <w:adjustRightInd w:val="0"/>
        <w:spacing w:line="288" w:lineRule="auto"/>
        <w:jc w:val="both"/>
        <w:rPr>
          <w:rFonts w:cs="Arial"/>
          <w:b/>
          <w:szCs w:val="20"/>
          <w:lang w:eastAsia="sl-SI"/>
        </w:rPr>
      </w:pPr>
      <w:r w:rsidRPr="00A2221E">
        <w:rPr>
          <w:rFonts w:cs="Arial"/>
          <w:b/>
          <w:szCs w:val="20"/>
          <w:lang w:eastAsia="sl-SI"/>
        </w:rPr>
        <w:t>Obrazložitev:</w:t>
      </w:r>
    </w:p>
    <w:p w:rsidR="00A2221E" w:rsidRPr="00A2221E" w:rsidRDefault="00A2221E" w:rsidP="00A2221E">
      <w:pPr>
        <w:suppressAutoHyphens/>
        <w:overflowPunct w:val="0"/>
        <w:autoSpaceDE w:val="0"/>
        <w:autoSpaceDN w:val="0"/>
        <w:adjustRightInd w:val="0"/>
        <w:spacing w:line="288" w:lineRule="auto"/>
        <w:jc w:val="both"/>
        <w:rPr>
          <w:rFonts w:cs="Arial"/>
          <w:b/>
          <w:szCs w:val="20"/>
          <w:highlight w:val="yellow"/>
          <w:lang w:eastAsia="sl-SI"/>
        </w:rPr>
      </w:pPr>
    </w:p>
    <w:p w:rsidR="00A2221E" w:rsidRPr="00A2221E" w:rsidRDefault="00A2221E" w:rsidP="00A2221E">
      <w:pPr>
        <w:suppressAutoHyphens/>
        <w:overflowPunct w:val="0"/>
        <w:autoSpaceDE w:val="0"/>
        <w:autoSpaceDN w:val="0"/>
        <w:adjustRightInd w:val="0"/>
        <w:spacing w:line="288" w:lineRule="auto"/>
        <w:jc w:val="both"/>
        <w:rPr>
          <w:rFonts w:cs="Arial"/>
          <w:szCs w:val="20"/>
        </w:rPr>
      </w:pPr>
      <w:r w:rsidRPr="00A2221E">
        <w:rPr>
          <w:rFonts w:cs="Arial"/>
          <w:szCs w:val="20"/>
        </w:rPr>
        <w:t>Amandma se predlaga na podlagi mnenja Zakonodajno-pravne službe Državnega zbora (v nadaljnjem besedilu: ZPS).</w:t>
      </w:r>
    </w:p>
    <w:p w:rsidR="00A2221E" w:rsidRPr="00A2221E" w:rsidRDefault="00A2221E" w:rsidP="00A2221E">
      <w:pPr>
        <w:suppressAutoHyphens/>
        <w:overflowPunct w:val="0"/>
        <w:autoSpaceDE w:val="0"/>
        <w:autoSpaceDN w:val="0"/>
        <w:adjustRightInd w:val="0"/>
        <w:spacing w:line="288" w:lineRule="auto"/>
        <w:jc w:val="both"/>
        <w:rPr>
          <w:rFonts w:cs="Arial"/>
          <w:szCs w:val="20"/>
        </w:rPr>
      </w:pPr>
    </w:p>
    <w:p w:rsidR="00A2221E" w:rsidRPr="00A2221E" w:rsidRDefault="00A2221E" w:rsidP="00A2221E">
      <w:pPr>
        <w:suppressAutoHyphens/>
        <w:overflowPunct w:val="0"/>
        <w:autoSpaceDE w:val="0"/>
        <w:autoSpaceDN w:val="0"/>
        <w:adjustRightInd w:val="0"/>
        <w:spacing w:line="288" w:lineRule="auto"/>
        <w:jc w:val="both"/>
        <w:rPr>
          <w:rFonts w:cs="Arial"/>
          <w:szCs w:val="20"/>
        </w:rPr>
      </w:pPr>
      <w:r w:rsidRPr="00A2221E">
        <w:rPr>
          <w:rFonts w:cs="Arial"/>
          <w:szCs w:val="20"/>
        </w:rPr>
        <w:t xml:space="preserve">Z novo 20. točko prvega odstavka 2. člena Zakona o trgu finančnih instrumentov (Uradni list RS, št. 77/18, 17/19 – </w:t>
      </w:r>
      <w:proofErr w:type="spellStart"/>
      <w:r w:rsidRPr="00A2221E">
        <w:rPr>
          <w:rFonts w:cs="Arial"/>
          <w:szCs w:val="20"/>
        </w:rPr>
        <w:t>popr</w:t>
      </w:r>
      <w:proofErr w:type="spellEnd"/>
      <w:r w:rsidRPr="00A2221E">
        <w:rPr>
          <w:rFonts w:cs="Arial"/>
          <w:szCs w:val="20"/>
        </w:rPr>
        <w:t>., 66/19, 123/21, 45/24 in 77/25; v nadaljnjem besedilu: ZTFI-1) se med direktive, ki se prenašajo s tem zakonom, uvršča Direktiva 2024/2810/EU. Takšna navedba ne izkazuje dovolj jasno, da se z ZTFI-1 prenaša le del Direktive 2024/2810/EU.</w:t>
      </w:r>
    </w:p>
    <w:p w:rsidR="00A2221E" w:rsidRPr="00A2221E" w:rsidRDefault="00A2221E" w:rsidP="00A2221E">
      <w:pPr>
        <w:suppressAutoHyphens/>
        <w:overflowPunct w:val="0"/>
        <w:autoSpaceDE w:val="0"/>
        <w:autoSpaceDN w:val="0"/>
        <w:adjustRightInd w:val="0"/>
        <w:spacing w:line="288" w:lineRule="auto"/>
        <w:jc w:val="both"/>
        <w:rPr>
          <w:rFonts w:cs="Arial"/>
          <w:szCs w:val="20"/>
        </w:rPr>
      </w:pPr>
    </w:p>
    <w:p w:rsidR="00A2221E" w:rsidRPr="00A2221E" w:rsidRDefault="00A2221E" w:rsidP="00A2221E">
      <w:pPr>
        <w:suppressAutoHyphens/>
        <w:overflowPunct w:val="0"/>
        <w:autoSpaceDE w:val="0"/>
        <w:autoSpaceDN w:val="0"/>
        <w:adjustRightInd w:val="0"/>
        <w:spacing w:line="288" w:lineRule="auto"/>
        <w:jc w:val="both"/>
        <w:rPr>
          <w:rFonts w:cs="Arial"/>
          <w:szCs w:val="20"/>
        </w:rPr>
      </w:pPr>
      <w:r w:rsidRPr="00A2221E">
        <w:rPr>
          <w:rFonts w:cs="Arial"/>
          <w:szCs w:val="20"/>
        </w:rPr>
        <w:t xml:space="preserve">Korporacijski del direktive, ki ureja sprejetje delniške strukture z delnicami z večkratno glasovalno pravico in zaščitne ukrepe za delničarje, je urejen v Zakonu o gospodarskih družbah (Uradni list RS, št. 65/09 – uradno prečiščeno besedilo, 33/11, 91/11, 32/12, 57/12, 44/13 – </w:t>
      </w:r>
      <w:proofErr w:type="spellStart"/>
      <w:r w:rsidRPr="00A2221E">
        <w:rPr>
          <w:rFonts w:cs="Arial"/>
          <w:szCs w:val="20"/>
        </w:rPr>
        <w:t>odl</w:t>
      </w:r>
      <w:proofErr w:type="spellEnd"/>
      <w:r w:rsidRPr="00A2221E">
        <w:rPr>
          <w:rFonts w:cs="Arial"/>
          <w:szCs w:val="20"/>
        </w:rPr>
        <w:t xml:space="preserve">. US, 82/13, 55/15, 15/17, 22/19 – </w:t>
      </w:r>
      <w:proofErr w:type="spellStart"/>
      <w:r w:rsidRPr="00A2221E">
        <w:rPr>
          <w:rFonts w:cs="Arial"/>
          <w:szCs w:val="20"/>
        </w:rPr>
        <w:t>ZPosS</w:t>
      </w:r>
      <w:proofErr w:type="spellEnd"/>
      <w:r w:rsidRPr="00A2221E">
        <w:rPr>
          <w:rFonts w:cs="Arial"/>
          <w:szCs w:val="20"/>
        </w:rPr>
        <w:t xml:space="preserve">, 158/20 – </w:t>
      </w:r>
      <w:proofErr w:type="spellStart"/>
      <w:r w:rsidRPr="00A2221E">
        <w:rPr>
          <w:rFonts w:cs="Arial"/>
          <w:szCs w:val="20"/>
        </w:rPr>
        <w:t>ZIntPK</w:t>
      </w:r>
      <w:proofErr w:type="spellEnd"/>
      <w:r w:rsidRPr="00A2221E">
        <w:rPr>
          <w:rFonts w:cs="Arial"/>
          <w:szCs w:val="20"/>
        </w:rPr>
        <w:t xml:space="preserve">-C, 18/21, 18/23 – ZDU-1O, 75/23, 102/24, 77/25, 10/26 – </w:t>
      </w:r>
      <w:proofErr w:type="spellStart"/>
      <w:r w:rsidRPr="00A2221E">
        <w:rPr>
          <w:rFonts w:cs="Arial"/>
          <w:szCs w:val="20"/>
        </w:rPr>
        <w:t>ZdZEETD</w:t>
      </w:r>
      <w:proofErr w:type="spellEnd"/>
      <w:r w:rsidRPr="00A2221E">
        <w:rPr>
          <w:rFonts w:cs="Arial"/>
          <w:szCs w:val="20"/>
        </w:rPr>
        <w:t xml:space="preserve"> in 1270/26; v nadaljnjem besedilu: ZGD-1). ZGD-1 direktivo navaja v drugem odstavku 2. člena med direktivami, ki se z njim prenašajo delno.</w:t>
      </w:r>
    </w:p>
    <w:p w:rsidR="00A2221E" w:rsidRPr="00A2221E" w:rsidRDefault="00A2221E" w:rsidP="00A2221E">
      <w:pPr>
        <w:suppressAutoHyphens/>
        <w:overflowPunct w:val="0"/>
        <w:autoSpaceDE w:val="0"/>
        <w:autoSpaceDN w:val="0"/>
        <w:adjustRightInd w:val="0"/>
        <w:spacing w:line="288" w:lineRule="auto"/>
        <w:jc w:val="both"/>
        <w:rPr>
          <w:rFonts w:cs="Arial"/>
          <w:szCs w:val="20"/>
        </w:rPr>
      </w:pPr>
    </w:p>
    <w:p w:rsidR="00A2221E" w:rsidRPr="00A2221E" w:rsidRDefault="00A2221E" w:rsidP="00A2221E">
      <w:pPr>
        <w:suppressAutoHyphens/>
        <w:overflowPunct w:val="0"/>
        <w:autoSpaceDE w:val="0"/>
        <w:autoSpaceDN w:val="0"/>
        <w:adjustRightInd w:val="0"/>
        <w:spacing w:line="288" w:lineRule="auto"/>
        <w:jc w:val="both"/>
        <w:rPr>
          <w:rFonts w:cs="Arial"/>
          <w:szCs w:val="20"/>
        </w:rPr>
      </w:pPr>
      <w:r w:rsidRPr="00A2221E">
        <w:rPr>
          <w:rFonts w:cs="Arial"/>
          <w:szCs w:val="20"/>
        </w:rPr>
        <w:t xml:space="preserve">Določbe direktive, ki se nanašajo na uvrstitev delnic v trgovanje v MTF, so urejene v ZTFI-1. To sta prepoved zavrnitve uvrstitve delnic v trgovanje v MTF zaradi delniške strukture z delnicami z </w:t>
      </w:r>
      <w:r w:rsidRPr="00A2221E">
        <w:rPr>
          <w:rFonts w:cs="Arial"/>
          <w:szCs w:val="20"/>
        </w:rPr>
        <w:lastRenderedPageBreak/>
        <w:t xml:space="preserve">večkratno glasovalno pravico iz četrtega odstavka 3. člena direktive (novi četrti odstavek 316. člena ZTFI-1) ter zahteve glede preglednosti iz 5. člena direktive (novi 76.a člen in novi drugi odstavek 317. člena ZTFI-1). Razkritje v letnem poročilu se dopolnilno ureja v ZGD-1. S predlagano dopolnitvijo se obseg prenosa z ZTFI-1 opredeli na ravni posameznih določb direktive. To je v skladu z </w:t>
      </w:r>
      <w:proofErr w:type="spellStart"/>
      <w:r w:rsidRPr="00A2221E">
        <w:rPr>
          <w:rFonts w:cs="Arial"/>
          <w:szCs w:val="20"/>
        </w:rPr>
        <w:t>Nomotehničnimi</w:t>
      </w:r>
      <w:proofErr w:type="spellEnd"/>
      <w:r w:rsidRPr="00A2221E">
        <w:rPr>
          <w:rFonts w:cs="Arial"/>
          <w:szCs w:val="20"/>
        </w:rPr>
        <w:t xml:space="preserve"> smernicami glede navajanja delnega prenosa direktiv in s prakso ZTFI-1, ki delni prenos že izkazuje z besedilom »v delu, ki se nanaša na« (12. in 13. točka prvega odstavka 2. člena ZTFI-1).</w:t>
      </w:r>
    </w:p>
    <w:p w:rsidR="00A2221E" w:rsidRPr="00A2221E" w:rsidRDefault="00A2221E" w:rsidP="00A2221E">
      <w:pPr>
        <w:suppressAutoHyphens/>
        <w:overflowPunct w:val="0"/>
        <w:autoSpaceDE w:val="0"/>
        <w:autoSpaceDN w:val="0"/>
        <w:adjustRightInd w:val="0"/>
        <w:spacing w:line="288" w:lineRule="auto"/>
        <w:jc w:val="both"/>
        <w:rPr>
          <w:rFonts w:cs="Arial"/>
          <w:szCs w:val="20"/>
        </w:rPr>
      </w:pPr>
    </w:p>
    <w:p w:rsidR="00A2221E" w:rsidRPr="00A2221E" w:rsidRDefault="00A2221E" w:rsidP="00A2221E">
      <w:pPr>
        <w:suppressAutoHyphens/>
        <w:overflowPunct w:val="0"/>
        <w:autoSpaceDE w:val="0"/>
        <w:autoSpaceDN w:val="0"/>
        <w:adjustRightInd w:val="0"/>
        <w:spacing w:line="288" w:lineRule="auto"/>
        <w:jc w:val="both"/>
        <w:rPr>
          <w:rFonts w:cs="Arial"/>
          <w:szCs w:val="20"/>
        </w:rPr>
      </w:pPr>
      <w:r w:rsidRPr="00A2221E">
        <w:rPr>
          <w:rFonts w:cs="Arial"/>
          <w:szCs w:val="20"/>
        </w:rPr>
        <w:t xml:space="preserve">Hkrati se dopolni 11. točka prvega odstavka 2. člena ZTFI-1. Predlog zakona z novim 251.b členom in pooblastilom iz 10. člena prenaša Delegirano direktivo Komisije (EU) 2026/374, s katero je bil spremenjen 13. člen Delegirane direktive (EU) 2017/593. Sklic nanjo je v predlogu zakona naveden le v obrazložitvi 10. člena. Tretji odstavek 2. člena delegirane direktive pa določa, da se države članice v sprejetih predpisih sklicujejo na direktivo ali sklic nanjo navedejo ob njihovi uradni objavi. Z navedbo zadnje spremembe Delegirane direktive (EU) 2017/593 se ta zahteva izpolni na način, ki ga </w:t>
      </w:r>
      <w:proofErr w:type="spellStart"/>
      <w:r w:rsidRPr="00A2221E">
        <w:rPr>
          <w:rFonts w:cs="Arial"/>
          <w:szCs w:val="20"/>
        </w:rPr>
        <w:t>Nomotehnične</w:t>
      </w:r>
      <w:proofErr w:type="spellEnd"/>
      <w:r w:rsidRPr="00A2221E">
        <w:rPr>
          <w:rFonts w:cs="Arial"/>
          <w:szCs w:val="20"/>
        </w:rPr>
        <w:t xml:space="preserve"> smernice določajo za navajanje spremenjenih aktov EU in ki ga ZTFI-1 uporablja za vse direktive, ki jih prenaša.</w:t>
      </w:r>
    </w:p>
    <w:p w:rsidR="00A2221E" w:rsidRPr="00A2221E" w:rsidRDefault="00A2221E" w:rsidP="00A2221E">
      <w:pPr>
        <w:suppressAutoHyphens/>
        <w:overflowPunct w:val="0"/>
        <w:autoSpaceDE w:val="0"/>
        <w:autoSpaceDN w:val="0"/>
        <w:adjustRightInd w:val="0"/>
        <w:spacing w:line="288" w:lineRule="auto"/>
        <w:jc w:val="both"/>
        <w:rPr>
          <w:rFonts w:cs="Arial"/>
          <w:szCs w:val="20"/>
        </w:rPr>
      </w:pPr>
    </w:p>
    <w:p w:rsidR="00A2221E" w:rsidRPr="00A2221E" w:rsidRDefault="00A2221E" w:rsidP="00A2221E">
      <w:pPr>
        <w:suppressAutoHyphens/>
        <w:overflowPunct w:val="0"/>
        <w:autoSpaceDE w:val="0"/>
        <w:autoSpaceDN w:val="0"/>
        <w:adjustRightInd w:val="0"/>
        <w:spacing w:line="288" w:lineRule="auto"/>
        <w:jc w:val="both"/>
        <w:rPr>
          <w:rFonts w:cs="Arial"/>
          <w:b/>
          <w:szCs w:val="20"/>
          <w:highlight w:val="yellow"/>
          <w:u w:val="single"/>
          <w:lang w:eastAsia="sl-SI"/>
        </w:rPr>
      </w:pPr>
      <w:r w:rsidRPr="00A2221E">
        <w:rPr>
          <w:rFonts w:cs="Arial"/>
          <w:szCs w:val="20"/>
        </w:rPr>
        <w:t>Zaradi dodanega odstavka se dosedanji tretji odstavek 1. člena predloga zakona preštevilči v četrti odstavek.</w:t>
      </w:r>
    </w:p>
    <w:p w:rsidR="00A2221E" w:rsidRPr="00A2221E" w:rsidRDefault="00A2221E" w:rsidP="00A2221E">
      <w:pPr>
        <w:suppressAutoHyphens/>
        <w:overflowPunct w:val="0"/>
        <w:autoSpaceDE w:val="0"/>
        <w:autoSpaceDN w:val="0"/>
        <w:adjustRightInd w:val="0"/>
        <w:spacing w:line="288" w:lineRule="auto"/>
        <w:jc w:val="both"/>
        <w:rPr>
          <w:rFonts w:cs="Arial"/>
          <w:b/>
          <w:szCs w:val="20"/>
          <w:highlight w:val="yellow"/>
          <w:u w:val="single"/>
          <w:lang w:eastAsia="sl-SI"/>
        </w:rPr>
      </w:pPr>
    </w:p>
    <w:p w:rsidR="00A2221E" w:rsidRPr="00A2221E" w:rsidRDefault="00A2221E" w:rsidP="00A2221E">
      <w:pPr>
        <w:suppressAutoHyphens/>
        <w:overflowPunct w:val="0"/>
        <w:autoSpaceDE w:val="0"/>
        <w:autoSpaceDN w:val="0"/>
        <w:adjustRightInd w:val="0"/>
        <w:spacing w:line="288" w:lineRule="auto"/>
        <w:jc w:val="both"/>
        <w:rPr>
          <w:rFonts w:cs="Arial"/>
          <w:b/>
          <w:szCs w:val="20"/>
          <w:u w:val="single"/>
          <w:lang w:eastAsia="sl-SI"/>
        </w:rPr>
      </w:pPr>
      <w:r w:rsidRPr="00A2221E">
        <w:rPr>
          <w:rFonts w:cs="Arial"/>
          <w:b/>
          <w:szCs w:val="20"/>
          <w:u w:val="single"/>
          <w:lang w:eastAsia="sl-SI"/>
        </w:rPr>
        <w:t>K 4. členu</w:t>
      </w:r>
    </w:p>
    <w:p w:rsidR="00A2221E" w:rsidRPr="00A2221E" w:rsidRDefault="00A2221E" w:rsidP="00A2221E">
      <w:pPr>
        <w:suppressAutoHyphens/>
        <w:overflowPunct w:val="0"/>
        <w:autoSpaceDE w:val="0"/>
        <w:autoSpaceDN w:val="0"/>
        <w:adjustRightInd w:val="0"/>
        <w:spacing w:line="288" w:lineRule="auto"/>
        <w:jc w:val="both"/>
        <w:rPr>
          <w:rFonts w:cs="Arial"/>
          <w:b/>
          <w:szCs w:val="20"/>
          <w:highlight w:val="yellow"/>
          <w:u w:val="single"/>
          <w:lang w:eastAsia="sl-SI"/>
        </w:rPr>
      </w:pPr>
    </w:p>
    <w:p w:rsidR="00A2221E" w:rsidRPr="00A2221E" w:rsidRDefault="00A2221E" w:rsidP="00A2221E">
      <w:pPr>
        <w:suppressAutoHyphens/>
        <w:overflowPunct w:val="0"/>
        <w:autoSpaceDE w:val="0"/>
        <w:autoSpaceDN w:val="0"/>
        <w:adjustRightInd w:val="0"/>
        <w:spacing w:line="288" w:lineRule="auto"/>
        <w:jc w:val="both"/>
        <w:rPr>
          <w:rFonts w:cs="Arial"/>
          <w:bCs/>
          <w:szCs w:val="20"/>
          <w:lang w:eastAsia="sl-SI"/>
        </w:rPr>
      </w:pPr>
      <w:r w:rsidRPr="00A2221E">
        <w:rPr>
          <w:rFonts w:cs="Arial"/>
          <w:bCs/>
          <w:szCs w:val="20"/>
          <w:lang w:eastAsia="sl-SI"/>
        </w:rPr>
        <w:t>V 4. členu se v prvem odstavku v 6. točki beseda »upravičena« nadomesti z besedo »upravičen«.</w:t>
      </w:r>
    </w:p>
    <w:p w:rsidR="00A2221E" w:rsidRPr="00A2221E" w:rsidRDefault="00A2221E" w:rsidP="00A2221E">
      <w:pPr>
        <w:suppressAutoHyphens/>
        <w:overflowPunct w:val="0"/>
        <w:autoSpaceDE w:val="0"/>
        <w:autoSpaceDN w:val="0"/>
        <w:adjustRightInd w:val="0"/>
        <w:spacing w:line="288" w:lineRule="auto"/>
        <w:jc w:val="both"/>
        <w:rPr>
          <w:rFonts w:cs="Arial"/>
          <w:bCs/>
          <w:szCs w:val="20"/>
          <w:lang w:eastAsia="sl-SI"/>
        </w:rPr>
      </w:pPr>
    </w:p>
    <w:p w:rsidR="00A2221E" w:rsidRPr="00A2221E" w:rsidRDefault="00A2221E" w:rsidP="00A2221E">
      <w:pPr>
        <w:suppressAutoHyphens/>
        <w:overflowPunct w:val="0"/>
        <w:autoSpaceDE w:val="0"/>
        <w:autoSpaceDN w:val="0"/>
        <w:adjustRightInd w:val="0"/>
        <w:spacing w:line="288" w:lineRule="auto"/>
        <w:jc w:val="both"/>
        <w:rPr>
          <w:rFonts w:cs="Arial"/>
          <w:bCs/>
          <w:szCs w:val="20"/>
          <w:lang w:eastAsia="sl-SI"/>
        </w:rPr>
      </w:pPr>
      <w:r w:rsidRPr="00A2221E">
        <w:rPr>
          <w:rFonts w:cs="Arial"/>
          <w:bCs/>
          <w:szCs w:val="20"/>
          <w:lang w:eastAsia="sl-SI"/>
        </w:rPr>
        <w:t>V drugem odstavku se besedilo »Udeleženec poravnalnega sistema so člani poravnalnega sistema, CNS, posrednik za poravnavo, klirinška družba, upravljavec poravnalnega sistema in klirinški član CNS. V skladu s pravili poravnalnega sistema lahko isti udeleženec opravlja naloge CNS, posrednika za poravnavo ali klirinške hiše ter lahko izvaja posamezni del ali celotni obseg teh nalog.« nadomesti z besedilom »Udeleženec poravnalnega sistema je član poravnalnega sistema, CNS, posrednik za poravnavo, klirinška družba, upravljavec poravnalnega sistema ali klirinški član CNS z dovoljenjem, izdanim na podlagi 17. člena Uredbe 648/2012/EU. V skladu s pravili poravnalnega sistema lahko isti udeleženec opravlja naloge CNS, posrednika za poravnavo ali klirinške družbe ter lahko izvaja posamezni del ali celotni obseg teh nalog.«.</w:t>
      </w:r>
    </w:p>
    <w:p w:rsidR="00A2221E" w:rsidRPr="00A2221E" w:rsidRDefault="00A2221E" w:rsidP="00A2221E">
      <w:pPr>
        <w:suppressAutoHyphens/>
        <w:overflowPunct w:val="0"/>
        <w:autoSpaceDE w:val="0"/>
        <w:autoSpaceDN w:val="0"/>
        <w:adjustRightInd w:val="0"/>
        <w:spacing w:line="288" w:lineRule="auto"/>
        <w:jc w:val="both"/>
        <w:rPr>
          <w:rFonts w:cs="Arial"/>
          <w:bCs/>
          <w:szCs w:val="20"/>
          <w:lang w:eastAsia="sl-SI"/>
        </w:rPr>
      </w:pPr>
    </w:p>
    <w:p w:rsidR="00A2221E" w:rsidRPr="00A2221E" w:rsidRDefault="00A2221E" w:rsidP="00A2221E">
      <w:pPr>
        <w:suppressAutoHyphens/>
        <w:overflowPunct w:val="0"/>
        <w:autoSpaceDE w:val="0"/>
        <w:autoSpaceDN w:val="0"/>
        <w:adjustRightInd w:val="0"/>
        <w:spacing w:line="288" w:lineRule="auto"/>
        <w:jc w:val="both"/>
        <w:rPr>
          <w:rFonts w:cs="Arial"/>
          <w:b/>
          <w:szCs w:val="20"/>
          <w:lang w:eastAsia="sl-SI"/>
        </w:rPr>
      </w:pPr>
      <w:r w:rsidRPr="00A2221E">
        <w:rPr>
          <w:rFonts w:cs="Arial"/>
          <w:b/>
          <w:szCs w:val="20"/>
          <w:lang w:eastAsia="sl-SI"/>
        </w:rPr>
        <w:t>Obrazložitev:</w:t>
      </w:r>
    </w:p>
    <w:p w:rsidR="00A2221E" w:rsidRPr="00A2221E" w:rsidRDefault="00A2221E" w:rsidP="00A2221E">
      <w:pPr>
        <w:suppressAutoHyphens/>
        <w:overflowPunct w:val="0"/>
        <w:autoSpaceDE w:val="0"/>
        <w:autoSpaceDN w:val="0"/>
        <w:adjustRightInd w:val="0"/>
        <w:spacing w:line="288" w:lineRule="auto"/>
        <w:jc w:val="both"/>
        <w:rPr>
          <w:rFonts w:cs="Arial"/>
          <w:b/>
          <w:szCs w:val="20"/>
          <w:highlight w:val="yellow"/>
          <w:lang w:eastAsia="sl-SI"/>
        </w:rPr>
      </w:pPr>
    </w:p>
    <w:p w:rsidR="00A2221E" w:rsidRPr="00A2221E" w:rsidRDefault="00A2221E" w:rsidP="00A2221E">
      <w:pPr>
        <w:autoSpaceDE w:val="0"/>
        <w:autoSpaceDN w:val="0"/>
        <w:adjustRightInd w:val="0"/>
        <w:spacing w:line="288" w:lineRule="auto"/>
        <w:jc w:val="both"/>
        <w:rPr>
          <w:rFonts w:cs="Arial"/>
          <w:szCs w:val="20"/>
        </w:rPr>
      </w:pPr>
      <w:r w:rsidRPr="00A2221E">
        <w:rPr>
          <w:rFonts w:cs="Arial"/>
          <w:szCs w:val="20"/>
        </w:rPr>
        <w:t>S predlogom spremembe 4. člena se sledi mnenju ZPS.</w:t>
      </w:r>
    </w:p>
    <w:p w:rsidR="00A2221E" w:rsidRPr="00A2221E" w:rsidRDefault="00A2221E" w:rsidP="00A2221E">
      <w:pPr>
        <w:autoSpaceDE w:val="0"/>
        <w:autoSpaceDN w:val="0"/>
        <w:adjustRightInd w:val="0"/>
        <w:spacing w:line="288" w:lineRule="auto"/>
        <w:jc w:val="both"/>
        <w:rPr>
          <w:rFonts w:cs="Arial"/>
          <w:szCs w:val="20"/>
        </w:rPr>
      </w:pPr>
    </w:p>
    <w:p w:rsidR="00A2221E" w:rsidRPr="00A2221E" w:rsidRDefault="00A2221E" w:rsidP="00A2221E">
      <w:pPr>
        <w:autoSpaceDE w:val="0"/>
        <w:autoSpaceDN w:val="0"/>
        <w:adjustRightInd w:val="0"/>
        <w:spacing w:line="288" w:lineRule="auto"/>
        <w:jc w:val="both"/>
        <w:rPr>
          <w:rFonts w:cs="Arial"/>
          <w:szCs w:val="20"/>
        </w:rPr>
      </w:pPr>
      <w:r w:rsidRPr="00A2221E">
        <w:rPr>
          <w:rFonts w:cs="Arial"/>
          <w:szCs w:val="20"/>
        </w:rPr>
        <w:t>V prvem stavku tretjega odstavka se odpravlja neskladnost med osebkom v ednini in povedkom v množini. Veznik »in« se nadomešča z veznikom »ali«, ker vsaka od naštetih oseb samostojno izpolnjuje pojem udeleženca. Pri klirinškem članu CNS se po opredelitvi iz direktive in skladno z Zakonom o plačilnih storitvah, storitvah izdajanja elektronskega denarja in plačilnih sistemih dopolni kvalifikacija iz točke (f) 2. člena Direktive 98/26/ES, na katere nepopoln prenos je opozorila Evropska komisija. Dovoljenje iz 17. člena Uredbe (EU) št. 648/2012 se izdaja centralni nasprotni stranki, zato se kvalifikacija nanaša na CNS.</w:t>
      </w:r>
    </w:p>
    <w:p w:rsidR="00A2221E" w:rsidRPr="00A2221E" w:rsidRDefault="00A2221E" w:rsidP="00A2221E">
      <w:pPr>
        <w:autoSpaceDE w:val="0"/>
        <w:autoSpaceDN w:val="0"/>
        <w:adjustRightInd w:val="0"/>
        <w:spacing w:line="288" w:lineRule="auto"/>
        <w:jc w:val="both"/>
        <w:rPr>
          <w:rFonts w:cs="Arial"/>
          <w:szCs w:val="20"/>
        </w:rPr>
      </w:pPr>
      <w:r w:rsidRPr="00A2221E">
        <w:rPr>
          <w:rFonts w:cs="Arial"/>
          <w:szCs w:val="20"/>
        </w:rPr>
        <w:t xml:space="preserve">V tretjem odstavku 38. člena ZTFI-1 se za isti subjekt uporabljata dva izraza: »klirinška družba« v prvem stavku in »klirinška hiša« v drugem stavku. V četrtem odstavku se ponovno uporablja izraz »klirinška družba«. Gre za subjekt iz točke (e) 2. člena Direktive 98/26/ES, ki ga uradno slovensko besedilo direktive imenuje »klirinška hiša«. Nacionalna zakonodaja za to funkcijo že uporablja izraz »klirinška družba« (ZTFI-1 v 320. členu v zvezi s CNS in poravnalnimi sistemi, </w:t>
      </w:r>
      <w:r w:rsidRPr="00A2221E">
        <w:rPr>
          <w:rFonts w:cs="Arial"/>
          <w:szCs w:val="20"/>
        </w:rPr>
        <w:lastRenderedPageBreak/>
        <w:t>Zakon o plačilnih storitvah, storitvah izdajanja elektronskega denarja in plačilnih sistemih pa v 204. členu). Zaradi notranje sistemske skladnosti je ta izraz primernejši, zato se dosledno uporablja v celotnem 38. členu.</w:t>
      </w:r>
    </w:p>
    <w:p w:rsidR="00A2221E" w:rsidRPr="00A2221E" w:rsidRDefault="00A2221E" w:rsidP="00A2221E">
      <w:pPr>
        <w:autoSpaceDE w:val="0"/>
        <w:autoSpaceDN w:val="0"/>
        <w:adjustRightInd w:val="0"/>
        <w:spacing w:line="288" w:lineRule="auto"/>
        <w:jc w:val="both"/>
        <w:rPr>
          <w:rFonts w:cs="Arial"/>
          <w:szCs w:val="20"/>
        </w:rPr>
      </w:pPr>
    </w:p>
    <w:p w:rsidR="00A2221E" w:rsidRPr="00A2221E" w:rsidRDefault="00A2221E" w:rsidP="00A2221E">
      <w:pPr>
        <w:suppressAutoHyphens/>
        <w:overflowPunct w:val="0"/>
        <w:autoSpaceDE w:val="0"/>
        <w:autoSpaceDN w:val="0"/>
        <w:adjustRightInd w:val="0"/>
        <w:spacing w:line="288" w:lineRule="auto"/>
        <w:jc w:val="both"/>
        <w:rPr>
          <w:rFonts w:cs="Arial"/>
          <w:b/>
          <w:szCs w:val="20"/>
          <w:u w:val="single"/>
          <w:lang w:eastAsia="sl-SI"/>
        </w:rPr>
      </w:pPr>
      <w:r w:rsidRPr="00A2221E">
        <w:rPr>
          <w:rFonts w:cs="Arial"/>
          <w:b/>
          <w:szCs w:val="20"/>
          <w:u w:val="single"/>
          <w:lang w:eastAsia="sl-SI"/>
        </w:rPr>
        <w:t>K 5. členu</w:t>
      </w:r>
    </w:p>
    <w:p w:rsidR="00A2221E" w:rsidRPr="00A2221E" w:rsidRDefault="00A2221E" w:rsidP="00A2221E">
      <w:pPr>
        <w:suppressAutoHyphens/>
        <w:overflowPunct w:val="0"/>
        <w:autoSpaceDE w:val="0"/>
        <w:autoSpaceDN w:val="0"/>
        <w:adjustRightInd w:val="0"/>
        <w:spacing w:line="288" w:lineRule="auto"/>
        <w:jc w:val="both"/>
        <w:rPr>
          <w:rFonts w:cs="Arial"/>
          <w:b/>
          <w:szCs w:val="20"/>
          <w:highlight w:val="yellow"/>
          <w:u w:val="single"/>
          <w:lang w:eastAsia="sl-SI"/>
        </w:rPr>
      </w:pPr>
    </w:p>
    <w:p w:rsidR="00A2221E" w:rsidRPr="00A2221E" w:rsidRDefault="00A2221E" w:rsidP="00A2221E">
      <w:pPr>
        <w:suppressAutoHyphens/>
        <w:overflowPunct w:val="0"/>
        <w:autoSpaceDE w:val="0"/>
        <w:autoSpaceDN w:val="0"/>
        <w:adjustRightInd w:val="0"/>
        <w:spacing w:line="288" w:lineRule="auto"/>
        <w:jc w:val="both"/>
        <w:rPr>
          <w:rFonts w:cs="Arial"/>
          <w:bCs/>
          <w:szCs w:val="20"/>
          <w:highlight w:val="yellow"/>
          <w:lang w:eastAsia="sl-SI"/>
        </w:rPr>
      </w:pPr>
      <w:r w:rsidRPr="00A2221E">
        <w:rPr>
          <w:rFonts w:cs="Arial"/>
          <w:bCs/>
          <w:szCs w:val="20"/>
          <w:lang w:eastAsia="sl-SI"/>
        </w:rPr>
        <w:t>V 5. členu se v novem 76.a členu v tretjem odstavku v 1. točki pod b) besedilo »skupnega delniškega kapitala« nadomesti z besedilom »osnovnega kapitala«.</w:t>
      </w:r>
    </w:p>
    <w:p w:rsidR="00A2221E" w:rsidRPr="00A2221E" w:rsidRDefault="00A2221E" w:rsidP="00A2221E">
      <w:pPr>
        <w:suppressAutoHyphens/>
        <w:overflowPunct w:val="0"/>
        <w:autoSpaceDE w:val="0"/>
        <w:autoSpaceDN w:val="0"/>
        <w:adjustRightInd w:val="0"/>
        <w:spacing w:line="288" w:lineRule="auto"/>
        <w:jc w:val="both"/>
        <w:rPr>
          <w:rFonts w:cs="Arial"/>
          <w:b/>
          <w:szCs w:val="20"/>
          <w:highlight w:val="yellow"/>
          <w:lang w:eastAsia="sl-SI"/>
        </w:rPr>
      </w:pPr>
    </w:p>
    <w:p w:rsidR="00A2221E" w:rsidRPr="00A2221E" w:rsidRDefault="00A2221E" w:rsidP="00A2221E">
      <w:pPr>
        <w:suppressAutoHyphens/>
        <w:overflowPunct w:val="0"/>
        <w:autoSpaceDE w:val="0"/>
        <w:autoSpaceDN w:val="0"/>
        <w:adjustRightInd w:val="0"/>
        <w:spacing w:line="288" w:lineRule="auto"/>
        <w:jc w:val="both"/>
        <w:rPr>
          <w:rFonts w:cs="Arial"/>
          <w:b/>
          <w:szCs w:val="20"/>
          <w:lang w:eastAsia="sl-SI"/>
        </w:rPr>
      </w:pPr>
      <w:r w:rsidRPr="00A2221E">
        <w:rPr>
          <w:rFonts w:cs="Arial"/>
          <w:b/>
          <w:szCs w:val="20"/>
          <w:lang w:eastAsia="sl-SI"/>
        </w:rPr>
        <w:t>Obrazložitev:</w:t>
      </w:r>
    </w:p>
    <w:p w:rsidR="00A2221E" w:rsidRPr="00A2221E" w:rsidRDefault="00A2221E" w:rsidP="00A2221E">
      <w:pPr>
        <w:suppressAutoHyphens/>
        <w:overflowPunct w:val="0"/>
        <w:autoSpaceDE w:val="0"/>
        <w:autoSpaceDN w:val="0"/>
        <w:adjustRightInd w:val="0"/>
        <w:spacing w:line="288" w:lineRule="auto"/>
        <w:jc w:val="both"/>
        <w:rPr>
          <w:rFonts w:cs="Arial"/>
          <w:b/>
          <w:szCs w:val="20"/>
          <w:highlight w:val="yellow"/>
          <w:lang w:eastAsia="sl-SI"/>
        </w:rPr>
      </w:pPr>
    </w:p>
    <w:p w:rsidR="00A2221E" w:rsidRPr="00A2221E" w:rsidRDefault="00A2221E" w:rsidP="00A2221E">
      <w:pPr>
        <w:autoSpaceDE w:val="0"/>
        <w:autoSpaceDN w:val="0"/>
        <w:adjustRightInd w:val="0"/>
        <w:spacing w:line="288" w:lineRule="auto"/>
        <w:jc w:val="both"/>
        <w:rPr>
          <w:rFonts w:cs="Arial"/>
          <w:szCs w:val="20"/>
        </w:rPr>
      </w:pPr>
      <w:r w:rsidRPr="00A2221E">
        <w:rPr>
          <w:rFonts w:cs="Arial"/>
          <w:szCs w:val="20"/>
        </w:rPr>
        <w:t>S predlogom spremembe 5. člena se sledi mnenju ZPS.</w:t>
      </w:r>
    </w:p>
    <w:p w:rsidR="00A2221E" w:rsidRPr="00A2221E" w:rsidRDefault="00A2221E" w:rsidP="00A2221E">
      <w:pPr>
        <w:autoSpaceDE w:val="0"/>
        <w:autoSpaceDN w:val="0"/>
        <w:adjustRightInd w:val="0"/>
        <w:spacing w:line="288" w:lineRule="auto"/>
        <w:jc w:val="both"/>
        <w:rPr>
          <w:rFonts w:cs="Arial"/>
          <w:szCs w:val="20"/>
        </w:rPr>
      </w:pPr>
    </w:p>
    <w:p w:rsidR="00A2221E" w:rsidRPr="00A2221E" w:rsidRDefault="00A2221E" w:rsidP="00A2221E">
      <w:pPr>
        <w:autoSpaceDE w:val="0"/>
        <w:autoSpaceDN w:val="0"/>
        <w:adjustRightInd w:val="0"/>
        <w:spacing w:line="288" w:lineRule="auto"/>
        <w:jc w:val="both"/>
        <w:rPr>
          <w:rFonts w:cs="Arial"/>
          <w:szCs w:val="20"/>
        </w:rPr>
      </w:pPr>
      <w:r w:rsidRPr="00A2221E">
        <w:rPr>
          <w:rFonts w:cs="Arial"/>
          <w:szCs w:val="20"/>
        </w:rPr>
        <w:t>Izraz »skupni delniški kapital« je izraz, uporabljen v uradnem slovenskem besedilu točke (a)(ii) tretjega odstavka 5. člena Direktive 2024/2810/EU. Pri nacionalnem prenosu je treba uporabiti terminologijo slovenskega korporacijskega prava, izraz »delniški kapital« pa ni del terminologije ZTFI-1 niti ZGD-1.</w:t>
      </w:r>
    </w:p>
    <w:p w:rsidR="00A2221E" w:rsidRPr="00A2221E" w:rsidRDefault="00A2221E" w:rsidP="00A2221E">
      <w:pPr>
        <w:autoSpaceDE w:val="0"/>
        <w:autoSpaceDN w:val="0"/>
        <w:adjustRightInd w:val="0"/>
        <w:spacing w:line="288" w:lineRule="auto"/>
        <w:jc w:val="both"/>
        <w:rPr>
          <w:rFonts w:cs="Arial"/>
          <w:szCs w:val="20"/>
        </w:rPr>
      </w:pPr>
    </w:p>
    <w:p w:rsidR="00A2221E" w:rsidRPr="00A2221E" w:rsidRDefault="00A2221E" w:rsidP="00A2221E">
      <w:pPr>
        <w:autoSpaceDE w:val="0"/>
        <w:autoSpaceDN w:val="0"/>
        <w:adjustRightInd w:val="0"/>
        <w:spacing w:line="288" w:lineRule="auto"/>
        <w:jc w:val="both"/>
        <w:rPr>
          <w:rFonts w:cs="Arial"/>
          <w:szCs w:val="20"/>
        </w:rPr>
      </w:pPr>
      <w:r w:rsidRPr="00A2221E">
        <w:rPr>
          <w:rFonts w:cs="Arial"/>
          <w:szCs w:val="20"/>
        </w:rPr>
        <w:t>Določba zahteva razkritje deleža, ki ga posamezen razred delnic predstavlja v kapitalu, razdeljenem na delnice. Zato temelji na korporacijski kategoriji osnovnega kapitala. Izraz »kapital« bi bil neustrezen, ker bi ga bilo mogoče razumeti kot širšo računovodsko kategorijo, ki poleg vpoklicanega kapitala obsega tudi kapitalske rezerve, rezerve iz dobička in preneseni čisti poslovni izid.</w:t>
      </w:r>
    </w:p>
    <w:p w:rsidR="00A2221E" w:rsidRPr="00A2221E" w:rsidRDefault="00A2221E" w:rsidP="00A2221E">
      <w:pPr>
        <w:autoSpaceDE w:val="0"/>
        <w:autoSpaceDN w:val="0"/>
        <w:adjustRightInd w:val="0"/>
        <w:spacing w:line="288" w:lineRule="auto"/>
        <w:jc w:val="both"/>
        <w:rPr>
          <w:rFonts w:cs="Arial"/>
          <w:szCs w:val="20"/>
        </w:rPr>
      </w:pPr>
    </w:p>
    <w:p w:rsidR="00A2221E" w:rsidRPr="00A2221E" w:rsidRDefault="00A2221E" w:rsidP="00A2221E">
      <w:pPr>
        <w:autoSpaceDE w:val="0"/>
        <w:autoSpaceDN w:val="0"/>
        <w:adjustRightInd w:val="0"/>
        <w:spacing w:line="288" w:lineRule="auto"/>
        <w:jc w:val="both"/>
        <w:rPr>
          <w:rFonts w:cs="Arial"/>
          <w:szCs w:val="20"/>
        </w:rPr>
      </w:pPr>
      <w:r w:rsidRPr="00A2221E">
        <w:rPr>
          <w:rFonts w:cs="Arial"/>
          <w:szCs w:val="20"/>
        </w:rPr>
        <w:t>ZGD-1 za enak podatek v poslovnem poročilu uporablja izraz »delež osnovnega kapitala, ki ga predstavlja posamezen razred« (1. točka osmega odstavka 70. člena). Tudi po spremembi 178. člena delnice z večkratno glasovalno pravico opredeljuje z navezavo na »enak delež v osnovnem kapitalu«. Ker se 76.a člen ZTFI-1 uporablja za izdajatelje, ki so takšno delniško strukturo sprejeli v skladu z ZGD-1, je pravilen izraz »osnovni kapital«.</w:t>
      </w:r>
    </w:p>
    <w:p w:rsidR="00A2221E" w:rsidRPr="00A2221E" w:rsidRDefault="00A2221E" w:rsidP="00A2221E">
      <w:pPr>
        <w:autoSpaceDE w:val="0"/>
        <w:autoSpaceDN w:val="0"/>
        <w:adjustRightInd w:val="0"/>
        <w:spacing w:line="288" w:lineRule="auto"/>
        <w:jc w:val="both"/>
        <w:rPr>
          <w:rFonts w:cs="Arial"/>
          <w:szCs w:val="20"/>
        </w:rPr>
      </w:pPr>
    </w:p>
    <w:p w:rsidR="00A2221E" w:rsidRPr="00A2221E" w:rsidRDefault="00A2221E" w:rsidP="00A2221E">
      <w:pPr>
        <w:suppressAutoHyphens/>
        <w:overflowPunct w:val="0"/>
        <w:autoSpaceDE w:val="0"/>
        <w:autoSpaceDN w:val="0"/>
        <w:adjustRightInd w:val="0"/>
        <w:spacing w:line="288" w:lineRule="auto"/>
        <w:jc w:val="both"/>
        <w:rPr>
          <w:rFonts w:cs="Arial"/>
          <w:b/>
          <w:szCs w:val="20"/>
          <w:u w:val="single"/>
          <w:lang w:eastAsia="sl-SI"/>
        </w:rPr>
      </w:pPr>
      <w:r w:rsidRPr="00A2221E">
        <w:rPr>
          <w:rFonts w:cs="Arial"/>
          <w:b/>
          <w:szCs w:val="20"/>
          <w:u w:val="single"/>
          <w:lang w:eastAsia="sl-SI"/>
        </w:rPr>
        <w:t>K 9. členu</w:t>
      </w:r>
    </w:p>
    <w:p w:rsidR="00A2221E" w:rsidRPr="00A2221E" w:rsidRDefault="00A2221E" w:rsidP="00A2221E">
      <w:pPr>
        <w:suppressAutoHyphens/>
        <w:overflowPunct w:val="0"/>
        <w:autoSpaceDE w:val="0"/>
        <w:autoSpaceDN w:val="0"/>
        <w:adjustRightInd w:val="0"/>
        <w:spacing w:line="288" w:lineRule="auto"/>
        <w:jc w:val="both"/>
        <w:rPr>
          <w:rFonts w:cs="Arial"/>
          <w:b/>
          <w:szCs w:val="20"/>
          <w:highlight w:val="yellow"/>
          <w:u w:val="single"/>
          <w:lang w:eastAsia="sl-SI"/>
        </w:rPr>
      </w:pPr>
    </w:p>
    <w:p w:rsidR="00A2221E" w:rsidRPr="00A2221E" w:rsidRDefault="00A2221E" w:rsidP="00A2221E">
      <w:pPr>
        <w:suppressAutoHyphens/>
        <w:overflowPunct w:val="0"/>
        <w:autoSpaceDE w:val="0"/>
        <w:autoSpaceDN w:val="0"/>
        <w:adjustRightInd w:val="0"/>
        <w:spacing w:line="288" w:lineRule="auto"/>
        <w:jc w:val="both"/>
        <w:rPr>
          <w:rFonts w:cs="Arial"/>
          <w:bCs/>
          <w:szCs w:val="20"/>
          <w:lang w:eastAsia="sl-SI"/>
        </w:rPr>
      </w:pPr>
      <w:r w:rsidRPr="00A2221E">
        <w:rPr>
          <w:rFonts w:cs="Arial"/>
          <w:bCs/>
          <w:szCs w:val="20"/>
          <w:lang w:eastAsia="sl-SI"/>
        </w:rPr>
        <w:t>V 9. členu se v novem 251.a členu drugi odstavek spremeni tako, da se glasi:</w:t>
      </w:r>
    </w:p>
    <w:p w:rsidR="00A2221E" w:rsidRPr="00A2221E" w:rsidRDefault="00A2221E" w:rsidP="00A2221E">
      <w:pPr>
        <w:suppressAutoHyphens/>
        <w:overflowPunct w:val="0"/>
        <w:autoSpaceDE w:val="0"/>
        <w:autoSpaceDN w:val="0"/>
        <w:adjustRightInd w:val="0"/>
        <w:spacing w:line="288" w:lineRule="auto"/>
        <w:jc w:val="both"/>
        <w:rPr>
          <w:rFonts w:cs="Arial"/>
          <w:bCs/>
          <w:szCs w:val="20"/>
          <w:lang w:eastAsia="sl-SI"/>
        </w:rPr>
      </w:pPr>
    </w:p>
    <w:p w:rsidR="00A2221E" w:rsidRPr="00A2221E" w:rsidRDefault="00A2221E" w:rsidP="00A2221E">
      <w:pPr>
        <w:suppressAutoHyphens/>
        <w:overflowPunct w:val="0"/>
        <w:autoSpaceDE w:val="0"/>
        <w:autoSpaceDN w:val="0"/>
        <w:adjustRightInd w:val="0"/>
        <w:spacing w:line="288" w:lineRule="auto"/>
        <w:jc w:val="both"/>
        <w:rPr>
          <w:rFonts w:cs="Arial"/>
          <w:bCs/>
          <w:szCs w:val="20"/>
          <w:lang w:eastAsia="sl-SI"/>
        </w:rPr>
      </w:pPr>
      <w:r w:rsidRPr="00A2221E">
        <w:rPr>
          <w:rFonts w:cs="Arial"/>
          <w:bCs/>
          <w:szCs w:val="20"/>
          <w:lang w:eastAsia="sl-SI"/>
        </w:rPr>
        <w:t>»(2) Raziskave iz prejšnjega odstavka, ki izpolnjujejo vse pogoje, ki za raziskave veljajo po Delegirani uredbi Komisije (EU) 2017/565 z dne 25. aprila 2016 o dopolnitvi Direktive 2014/65/EU Evropskega parlamenta in Sveta v zvezi z organizacijskimi zahtevami in pogoji poslovanja investicijskih podjetij ter opredeljenimi izrazi za namene navedene direktive (UL L št. 87 z dne 31. 3. 2017, str. 1), zadnjič spremenjeni z Delegirano uredbo Komisije (EU) 2021/1254 z dne 21. aprila 2021 o popravku Delegirane uredbe (EU) 2017/565 o dopolnitvi Direktive 2014/65/EU Evropskega parlamenta in Sveta v zvezi z organizacijskimi zahtevami in pogoji poslovanja investicijskih podjetij ter opredeljenimi izrazi za namene navedene direktive (UL L št. 277 z dne 2. 8. 2021, str. 6), so jasno in vidno označene kot take ali s podobnimi izrazi.«.</w:t>
      </w:r>
    </w:p>
    <w:p w:rsidR="00A2221E" w:rsidRPr="00A2221E" w:rsidRDefault="00A2221E" w:rsidP="00A2221E">
      <w:pPr>
        <w:suppressAutoHyphens/>
        <w:overflowPunct w:val="0"/>
        <w:autoSpaceDE w:val="0"/>
        <w:autoSpaceDN w:val="0"/>
        <w:adjustRightInd w:val="0"/>
        <w:spacing w:line="288" w:lineRule="auto"/>
        <w:jc w:val="both"/>
        <w:rPr>
          <w:rFonts w:cs="Arial"/>
          <w:bCs/>
          <w:szCs w:val="20"/>
          <w:highlight w:val="yellow"/>
          <w:lang w:eastAsia="sl-SI"/>
        </w:rPr>
      </w:pPr>
    </w:p>
    <w:p w:rsidR="00A2221E" w:rsidRPr="00A2221E" w:rsidRDefault="00A2221E" w:rsidP="00A2221E">
      <w:pPr>
        <w:suppressAutoHyphens/>
        <w:overflowPunct w:val="0"/>
        <w:autoSpaceDE w:val="0"/>
        <w:autoSpaceDN w:val="0"/>
        <w:adjustRightInd w:val="0"/>
        <w:spacing w:line="288" w:lineRule="auto"/>
        <w:jc w:val="both"/>
        <w:rPr>
          <w:rFonts w:cs="Arial"/>
          <w:bCs/>
          <w:szCs w:val="20"/>
          <w:lang w:eastAsia="sl-SI"/>
        </w:rPr>
      </w:pPr>
      <w:r w:rsidRPr="00A2221E">
        <w:rPr>
          <w:rFonts w:cs="Arial"/>
          <w:bCs/>
          <w:szCs w:val="20"/>
          <w:lang w:eastAsia="sl-SI"/>
        </w:rPr>
        <w:t>V novem 251.b členu se za šestim odstavkom dodata novi sedmi in osmi odstavek, ki se glasita:</w:t>
      </w:r>
    </w:p>
    <w:p w:rsidR="00A2221E" w:rsidRPr="00A2221E" w:rsidRDefault="00A2221E" w:rsidP="00A2221E">
      <w:pPr>
        <w:suppressAutoHyphens/>
        <w:overflowPunct w:val="0"/>
        <w:autoSpaceDE w:val="0"/>
        <w:autoSpaceDN w:val="0"/>
        <w:adjustRightInd w:val="0"/>
        <w:spacing w:line="288" w:lineRule="auto"/>
        <w:jc w:val="both"/>
        <w:rPr>
          <w:rFonts w:cs="Arial"/>
          <w:bCs/>
          <w:szCs w:val="20"/>
          <w:highlight w:val="yellow"/>
          <w:lang w:eastAsia="sl-SI"/>
        </w:rPr>
      </w:pPr>
    </w:p>
    <w:p w:rsidR="00A2221E" w:rsidRPr="00A2221E" w:rsidRDefault="00A2221E" w:rsidP="00A2221E">
      <w:pPr>
        <w:suppressAutoHyphens/>
        <w:overflowPunct w:val="0"/>
        <w:autoSpaceDE w:val="0"/>
        <w:autoSpaceDN w:val="0"/>
        <w:adjustRightInd w:val="0"/>
        <w:spacing w:line="288" w:lineRule="auto"/>
        <w:jc w:val="both"/>
        <w:rPr>
          <w:rFonts w:cs="Arial"/>
          <w:bCs/>
          <w:szCs w:val="20"/>
          <w:lang w:eastAsia="sl-SI"/>
        </w:rPr>
      </w:pPr>
      <w:r w:rsidRPr="00A2221E">
        <w:rPr>
          <w:rFonts w:cs="Arial"/>
          <w:bCs/>
          <w:szCs w:val="20"/>
          <w:lang w:eastAsia="sl-SI"/>
        </w:rPr>
        <w:t xml:space="preserve">»(7) Borznoposredniška družba, ki raziskave tretjih oseb plačuje z ločenega računa za plačilo raziskav, ta račun financira s posebno dajatvijo za raziskave, ki jo zaračuna stranki (v nadaljnjem besedilu: dajatev za raziskave), in za ta namen določi ter upravlja proračun za raziskave. Proračun za raziskave temelji na oceni potreb po raziskavah tretjih oseb, ki jih borznoposredniška </w:t>
      </w:r>
      <w:r w:rsidRPr="00A2221E">
        <w:rPr>
          <w:rFonts w:cs="Arial"/>
          <w:bCs/>
          <w:szCs w:val="20"/>
          <w:lang w:eastAsia="sl-SI"/>
        </w:rPr>
        <w:lastRenderedPageBreak/>
        <w:t>družba potrebuje za opravljanje investicijskih storitev in poslov za svoje stranke. Dajatev za raziskave temelji na proračunu za raziskave, ni povezana z obsegom ali vrednostjo poslov, ki se izvajajo za račun stranke, in se s stranko dogovori v pogodbi o opravljanju investicijskih storitev in poslov ali v splošnih pogojih poslovanja borznoposredniške družbe. Skupni znesek prejetih dajatev za raziskave ne sme presegati proračuna za raziskave, morebitni presežek sredstev na ločenem računu za plačilo raziskav pa borznoposredniška družba vrne strankam ali ga upošteva pri proračunu za raziskave in dajatvi za raziskave za naslednje obdobje.</w:t>
      </w:r>
    </w:p>
    <w:p w:rsidR="00A2221E" w:rsidRPr="00A2221E" w:rsidRDefault="00A2221E" w:rsidP="00A2221E">
      <w:pPr>
        <w:suppressAutoHyphens/>
        <w:overflowPunct w:val="0"/>
        <w:autoSpaceDE w:val="0"/>
        <w:autoSpaceDN w:val="0"/>
        <w:adjustRightInd w:val="0"/>
        <w:spacing w:line="288" w:lineRule="auto"/>
        <w:jc w:val="both"/>
        <w:rPr>
          <w:rFonts w:cs="Arial"/>
          <w:bCs/>
          <w:szCs w:val="20"/>
          <w:lang w:eastAsia="sl-SI"/>
        </w:rPr>
      </w:pPr>
    </w:p>
    <w:p w:rsidR="00A2221E" w:rsidRPr="00A2221E" w:rsidRDefault="00A2221E" w:rsidP="00A2221E">
      <w:pPr>
        <w:suppressAutoHyphens/>
        <w:overflowPunct w:val="0"/>
        <w:autoSpaceDE w:val="0"/>
        <w:autoSpaceDN w:val="0"/>
        <w:adjustRightInd w:val="0"/>
        <w:spacing w:line="288" w:lineRule="auto"/>
        <w:jc w:val="both"/>
        <w:rPr>
          <w:rFonts w:cs="Arial"/>
          <w:bCs/>
          <w:szCs w:val="20"/>
          <w:lang w:eastAsia="sl-SI"/>
        </w:rPr>
      </w:pPr>
      <w:r w:rsidRPr="00A2221E">
        <w:rPr>
          <w:rFonts w:cs="Arial"/>
          <w:bCs/>
          <w:szCs w:val="20"/>
          <w:lang w:eastAsia="sl-SI"/>
        </w:rPr>
        <w:t>(8) Borznoposredniška družba iz prejšnjega odstavka stranki pred začetkom opravljanja investicijskih storitev in poslov zagotovi informacije o proračunu za raziskave in o ocenjeni dajatvi za raziskave za to stranko, vsako leto pa informacije o skupnih stroških, ki jih je imela v zvezi z raziskavami tretjih oseb.«</w:t>
      </w:r>
    </w:p>
    <w:p w:rsidR="00A2221E" w:rsidRPr="00A2221E" w:rsidRDefault="00A2221E" w:rsidP="00A2221E">
      <w:pPr>
        <w:suppressAutoHyphens/>
        <w:overflowPunct w:val="0"/>
        <w:autoSpaceDE w:val="0"/>
        <w:autoSpaceDN w:val="0"/>
        <w:adjustRightInd w:val="0"/>
        <w:spacing w:line="288" w:lineRule="auto"/>
        <w:jc w:val="both"/>
        <w:rPr>
          <w:rFonts w:cs="Arial"/>
          <w:bCs/>
          <w:szCs w:val="20"/>
          <w:highlight w:val="yellow"/>
          <w:lang w:eastAsia="sl-SI"/>
        </w:rPr>
      </w:pPr>
    </w:p>
    <w:p w:rsidR="00A2221E" w:rsidRPr="00A2221E" w:rsidRDefault="00A2221E" w:rsidP="00A2221E">
      <w:pPr>
        <w:suppressAutoHyphens/>
        <w:overflowPunct w:val="0"/>
        <w:autoSpaceDE w:val="0"/>
        <w:autoSpaceDN w:val="0"/>
        <w:adjustRightInd w:val="0"/>
        <w:spacing w:line="288" w:lineRule="auto"/>
        <w:jc w:val="both"/>
        <w:rPr>
          <w:rFonts w:cs="Arial"/>
          <w:b/>
          <w:szCs w:val="20"/>
          <w:lang w:eastAsia="sl-SI"/>
        </w:rPr>
      </w:pPr>
      <w:r w:rsidRPr="00A2221E">
        <w:rPr>
          <w:rFonts w:cs="Arial"/>
          <w:b/>
          <w:szCs w:val="20"/>
          <w:lang w:eastAsia="sl-SI"/>
        </w:rPr>
        <w:t>Obrazložitev:</w:t>
      </w:r>
    </w:p>
    <w:p w:rsidR="00A2221E" w:rsidRPr="00A2221E" w:rsidRDefault="00A2221E" w:rsidP="00A2221E">
      <w:pPr>
        <w:suppressAutoHyphens/>
        <w:overflowPunct w:val="0"/>
        <w:autoSpaceDE w:val="0"/>
        <w:autoSpaceDN w:val="0"/>
        <w:adjustRightInd w:val="0"/>
        <w:spacing w:line="288" w:lineRule="auto"/>
        <w:jc w:val="both"/>
        <w:rPr>
          <w:rFonts w:cs="Arial"/>
          <w:b/>
          <w:szCs w:val="20"/>
          <w:lang w:eastAsia="sl-SI"/>
        </w:rPr>
      </w:pPr>
    </w:p>
    <w:p w:rsidR="00A2221E" w:rsidRPr="00A2221E" w:rsidRDefault="00A2221E" w:rsidP="00A2221E">
      <w:pPr>
        <w:autoSpaceDE w:val="0"/>
        <w:autoSpaceDN w:val="0"/>
        <w:adjustRightInd w:val="0"/>
        <w:spacing w:line="288" w:lineRule="auto"/>
        <w:jc w:val="both"/>
        <w:rPr>
          <w:rFonts w:cs="Arial"/>
          <w:szCs w:val="20"/>
        </w:rPr>
      </w:pPr>
      <w:r w:rsidRPr="00A2221E">
        <w:rPr>
          <w:rFonts w:cs="Arial"/>
          <w:szCs w:val="20"/>
        </w:rPr>
        <w:t>S predlogom spremembe 9. člena se sledi mnenju ZPS.</w:t>
      </w:r>
    </w:p>
    <w:p w:rsidR="00A2221E" w:rsidRPr="00A2221E" w:rsidRDefault="00A2221E" w:rsidP="00A2221E">
      <w:pPr>
        <w:autoSpaceDE w:val="0"/>
        <w:autoSpaceDN w:val="0"/>
        <w:adjustRightInd w:val="0"/>
        <w:spacing w:line="288" w:lineRule="auto"/>
        <w:jc w:val="both"/>
        <w:rPr>
          <w:rFonts w:cs="Arial"/>
          <w:szCs w:val="20"/>
        </w:rPr>
      </w:pPr>
    </w:p>
    <w:p w:rsidR="00A2221E" w:rsidRPr="00A2221E" w:rsidRDefault="00A2221E" w:rsidP="00A2221E">
      <w:pPr>
        <w:autoSpaceDE w:val="0"/>
        <w:autoSpaceDN w:val="0"/>
        <w:adjustRightInd w:val="0"/>
        <w:spacing w:line="288" w:lineRule="auto"/>
        <w:jc w:val="both"/>
        <w:rPr>
          <w:rFonts w:cs="Arial"/>
          <w:szCs w:val="20"/>
        </w:rPr>
      </w:pPr>
      <w:r w:rsidRPr="00A2221E">
        <w:rPr>
          <w:rFonts w:cs="Arial"/>
          <w:szCs w:val="20"/>
        </w:rPr>
        <w:t xml:space="preserve">Navedba Delegirane uredbe (EU) 2017/565 v drugem odstavku novega 251.a člena je nepopolna in nepravilno zgrajena. Podatek o objavi osnovnega akta je naveden za naslovom akta o spremembi, podatek o objavi akta o spremembi pa manjka. Skladno z </w:t>
      </w:r>
      <w:proofErr w:type="spellStart"/>
      <w:r w:rsidRPr="00A2221E">
        <w:rPr>
          <w:rFonts w:cs="Arial"/>
          <w:szCs w:val="20"/>
        </w:rPr>
        <w:t>Nomotehničnimi</w:t>
      </w:r>
      <w:proofErr w:type="spellEnd"/>
      <w:r w:rsidRPr="00A2221E">
        <w:rPr>
          <w:rFonts w:cs="Arial"/>
          <w:szCs w:val="20"/>
        </w:rPr>
        <w:t xml:space="preserve"> smernicami in načinom navajanja v 2. členu ZTFI-1 se najprej navede naslov osnovnega akta s podatki o objavi, nato njegova zadnja sprememba s podatki o objavi. Popravlja se tudi sklon navedbe. Besedilo se hkrati uskladi z drugim stavkom odstavka 3a 24. člena Direktive 2014/65/EU, po katerem morajo biti izpolnjeni vsi pogoji, ki za raziskave veljajo po navedeni delegirani uredbi.</w:t>
      </w:r>
    </w:p>
    <w:p w:rsidR="00A2221E" w:rsidRPr="00A2221E" w:rsidRDefault="00A2221E" w:rsidP="00A2221E">
      <w:pPr>
        <w:autoSpaceDE w:val="0"/>
        <w:autoSpaceDN w:val="0"/>
        <w:adjustRightInd w:val="0"/>
        <w:spacing w:line="288" w:lineRule="auto"/>
        <w:jc w:val="both"/>
        <w:rPr>
          <w:rFonts w:cs="Arial"/>
          <w:szCs w:val="20"/>
        </w:rPr>
      </w:pPr>
    </w:p>
    <w:p w:rsidR="00A2221E" w:rsidRPr="00A2221E" w:rsidRDefault="00A2221E" w:rsidP="00A2221E">
      <w:pPr>
        <w:autoSpaceDE w:val="0"/>
        <w:autoSpaceDN w:val="0"/>
        <w:adjustRightInd w:val="0"/>
        <w:spacing w:line="288" w:lineRule="auto"/>
        <w:jc w:val="both"/>
        <w:rPr>
          <w:rFonts w:cs="Arial"/>
          <w:szCs w:val="20"/>
        </w:rPr>
      </w:pPr>
      <w:r w:rsidRPr="00A2221E">
        <w:rPr>
          <w:rFonts w:cs="Arial"/>
          <w:szCs w:val="20"/>
        </w:rPr>
        <w:t>Novi 251.b člen ne določa vsebinskega okvira za posebno dajatev za raziskave, za določanje in upravljanje proračuna za raziskave ter za informacije, ki jih borznoposredniška družba zagotovi strankam, čeprav spremenjena 4. točka prvega odstavka 261. člena ZTFI-1 (10. člen predloga zakona) agencijo pooblašča, da prav te vsebine podrobneje uredi. Skladno z 87. členom in drugim odstavkom 120. člena Ustave Republike Slovenije morajo biti bistveni elementi obveznosti ter vsebinski okvir, namen in meje izvršilnega pooblastila določeni z zakonom, izvršilni predpis pa jih lahko le podrobneje razčleni.</w:t>
      </w:r>
    </w:p>
    <w:p w:rsidR="00A2221E" w:rsidRPr="00A2221E" w:rsidRDefault="00A2221E" w:rsidP="00A2221E">
      <w:pPr>
        <w:autoSpaceDE w:val="0"/>
        <w:autoSpaceDN w:val="0"/>
        <w:adjustRightInd w:val="0"/>
        <w:spacing w:line="288" w:lineRule="auto"/>
        <w:jc w:val="both"/>
        <w:rPr>
          <w:rFonts w:cs="Arial"/>
          <w:szCs w:val="20"/>
        </w:rPr>
      </w:pPr>
    </w:p>
    <w:p w:rsidR="00A2221E" w:rsidRPr="00A2221E" w:rsidRDefault="00A2221E" w:rsidP="00A2221E">
      <w:pPr>
        <w:autoSpaceDE w:val="0"/>
        <w:autoSpaceDN w:val="0"/>
        <w:adjustRightInd w:val="0"/>
        <w:spacing w:line="288" w:lineRule="auto"/>
        <w:jc w:val="both"/>
        <w:rPr>
          <w:rFonts w:cs="Arial"/>
          <w:szCs w:val="20"/>
        </w:rPr>
      </w:pPr>
      <w:r w:rsidRPr="00A2221E">
        <w:rPr>
          <w:rFonts w:cs="Arial"/>
          <w:szCs w:val="20"/>
        </w:rPr>
        <w:t>Z novim sedmim in osmim odstavkom se zato v zakon uvedejo temeljna pravila, ki so podlaga za podzakonsko urejanje, in sicer obveznost financiranja ločenega računa za plačilo raziskav z dajatvijo za raziskave, obveznost določitve in upravljanja proračuna za raziskave ter podlaga zanj, merila za določitev dajatve za raziskave in njena omejitev z višino proračuna, ravnanje s presežkom sredstev ter obveznost predhodnega in letnega obveščanja stranke. S tem so na ravni zakona opredeljene obveznosti borznoposredniške družbe do stranke in do njenih sredstev.</w:t>
      </w:r>
    </w:p>
    <w:p w:rsidR="00A2221E" w:rsidRPr="00A2221E" w:rsidRDefault="00A2221E" w:rsidP="00A2221E">
      <w:pPr>
        <w:autoSpaceDE w:val="0"/>
        <w:autoSpaceDN w:val="0"/>
        <w:adjustRightInd w:val="0"/>
        <w:spacing w:line="288" w:lineRule="auto"/>
        <w:jc w:val="both"/>
        <w:rPr>
          <w:rFonts w:cs="Arial"/>
          <w:szCs w:val="20"/>
        </w:rPr>
      </w:pPr>
    </w:p>
    <w:p w:rsidR="00A2221E" w:rsidRPr="00A2221E" w:rsidRDefault="00A2221E" w:rsidP="00A2221E">
      <w:pPr>
        <w:autoSpaceDE w:val="0"/>
        <w:autoSpaceDN w:val="0"/>
        <w:adjustRightInd w:val="0"/>
        <w:spacing w:line="288" w:lineRule="auto"/>
        <w:jc w:val="both"/>
        <w:rPr>
          <w:rFonts w:cs="Arial"/>
          <w:szCs w:val="20"/>
          <w:highlight w:val="yellow"/>
        </w:rPr>
      </w:pPr>
      <w:r w:rsidRPr="00A2221E">
        <w:rPr>
          <w:rFonts w:cs="Arial"/>
          <w:szCs w:val="20"/>
        </w:rPr>
        <w:t>Podrobnejša pravila za izvrševanje teh določb ostajajo v pristojnosti agencije. Ta jih bo uredila v predpisu iz 4. točke prvega odstavka 261. člena ZTFI-1, s katerim se prenaša 13. člen Delegirane direktive (EU) 2017/593, kakor je bil spremenjen z Delegirano direktivo Komisije (EU) 2026/374. Takšna razmejitev ustreza sistematiki ZTFI-1, po kateri zakon določa okvir obveznosti, agencija pa podrobnejša pravila, in preprečuje dvojno urejanje iste materije.</w:t>
      </w:r>
    </w:p>
    <w:p w:rsidR="00A2221E" w:rsidRPr="00A2221E" w:rsidRDefault="00A2221E" w:rsidP="00A2221E">
      <w:pPr>
        <w:autoSpaceDE w:val="0"/>
        <w:autoSpaceDN w:val="0"/>
        <w:adjustRightInd w:val="0"/>
        <w:spacing w:line="288" w:lineRule="auto"/>
        <w:jc w:val="both"/>
        <w:rPr>
          <w:rFonts w:cs="Arial"/>
          <w:szCs w:val="20"/>
          <w:highlight w:val="yellow"/>
        </w:rPr>
      </w:pPr>
    </w:p>
    <w:p w:rsidR="00A2221E" w:rsidRPr="00A2221E" w:rsidRDefault="00A2221E" w:rsidP="00A2221E">
      <w:pPr>
        <w:suppressAutoHyphens/>
        <w:overflowPunct w:val="0"/>
        <w:autoSpaceDE w:val="0"/>
        <w:autoSpaceDN w:val="0"/>
        <w:adjustRightInd w:val="0"/>
        <w:spacing w:line="288" w:lineRule="auto"/>
        <w:jc w:val="both"/>
        <w:rPr>
          <w:rFonts w:cs="Arial"/>
          <w:b/>
          <w:szCs w:val="20"/>
          <w:u w:val="single"/>
          <w:lang w:eastAsia="sl-SI"/>
        </w:rPr>
      </w:pPr>
      <w:r w:rsidRPr="00A2221E">
        <w:rPr>
          <w:rFonts w:cs="Arial"/>
          <w:b/>
          <w:szCs w:val="20"/>
          <w:u w:val="single"/>
          <w:lang w:eastAsia="sl-SI"/>
        </w:rPr>
        <w:t>K 25. členu</w:t>
      </w:r>
    </w:p>
    <w:p w:rsidR="00A2221E" w:rsidRPr="00A2221E" w:rsidRDefault="00A2221E" w:rsidP="00A2221E">
      <w:pPr>
        <w:suppressAutoHyphens/>
        <w:overflowPunct w:val="0"/>
        <w:autoSpaceDE w:val="0"/>
        <w:autoSpaceDN w:val="0"/>
        <w:adjustRightInd w:val="0"/>
        <w:spacing w:line="288" w:lineRule="auto"/>
        <w:jc w:val="both"/>
        <w:rPr>
          <w:rFonts w:cs="Arial"/>
          <w:b/>
          <w:szCs w:val="20"/>
          <w:u w:val="single"/>
          <w:lang w:eastAsia="sl-SI"/>
        </w:rPr>
      </w:pPr>
    </w:p>
    <w:p w:rsidR="00A2221E" w:rsidRPr="00A2221E" w:rsidRDefault="00A2221E" w:rsidP="00A2221E">
      <w:pPr>
        <w:suppressAutoHyphens/>
        <w:overflowPunct w:val="0"/>
        <w:autoSpaceDE w:val="0"/>
        <w:autoSpaceDN w:val="0"/>
        <w:adjustRightInd w:val="0"/>
        <w:spacing w:line="288" w:lineRule="auto"/>
        <w:jc w:val="both"/>
        <w:rPr>
          <w:rFonts w:cs="Arial"/>
          <w:bCs/>
          <w:szCs w:val="20"/>
          <w:lang w:eastAsia="sl-SI"/>
        </w:rPr>
      </w:pPr>
      <w:r w:rsidRPr="00A2221E">
        <w:rPr>
          <w:rFonts w:cs="Arial"/>
          <w:bCs/>
          <w:szCs w:val="20"/>
          <w:lang w:eastAsia="sl-SI"/>
        </w:rPr>
        <w:t>25. člen se črta.</w:t>
      </w:r>
    </w:p>
    <w:p w:rsidR="00A2221E" w:rsidRPr="00A2221E" w:rsidRDefault="00A2221E" w:rsidP="00A2221E">
      <w:pPr>
        <w:suppressAutoHyphens/>
        <w:overflowPunct w:val="0"/>
        <w:autoSpaceDE w:val="0"/>
        <w:autoSpaceDN w:val="0"/>
        <w:adjustRightInd w:val="0"/>
        <w:spacing w:line="288" w:lineRule="auto"/>
        <w:jc w:val="both"/>
        <w:rPr>
          <w:rFonts w:cs="Arial"/>
          <w:bCs/>
          <w:szCs w:val="20"/>
          <w:highlight w:val="yellow"/>
          <w:lang w:eastAsia="sl-SI"/>
        </w:rPr>
      </w:pPr>
    </w:p>
    <w:p w:rsidR="00A2221E" w:rsidRPr="00A2221E" w:rsidRDefault="00A2221E" w:rsidP="00A2221E">
      <w:pPr>
        <w:suppressAutoHyphens/>
        <w:overflowPunct w:val="0"/>
        <w:autoSpaceDE w:val="0"/>
        <w:autoSpaceDN w:val="0"/>
        <w:adjustRightInd w:val="0"/>
        <w:spacing w:line="288" w:lineRule="auto"/>
        <w:jc w:val="both"/>
        <w:rPr>
          <w:rFonts w:cs="Arial"/>
          <w:b/>
          <w:szCs w:val="20"/>
          <w:lang w:eastAsia="sl-SI"/>
        </w:rPr>
      </w:pPr>
      <w:r w:rsidRPr="00A2221E">
        <w:rPr>
          <w:rFonts w:cs="Arial"/>
          <w:b/>
          <w:szCs w:val="20"/>
          <w:lang w:eastAsia="sl-SI"/>
        </w:rPr>
        <w:t>Obrazložitev:</w:t>
      </w:r>
    </w:p>
    <w:p w:rsidR="00A2221E" w:rsidRPr="00A2221E" w:rsidRDefault="00A2221E" w:rsidP="00A2221E">
      <w:pPr>
        <w:suppressAutoHyphens/>
        <w:overflowPunct w:val="0"/>
        <w:autoSpaceDE w:val="0"/>
        <w:autoSpaceDN w:val="0"/>
        <w:adjustRightInd w:val="0"/>
        <w:spacing w:line="288" w:lineRule="auto"/>
        <w:jc w:val="both"/>
        <w:rPr>
          <w:rFonts w:cs="Arial"/>
          <w:b/>
          <w:szCs w:val="20"/>
          <w:highlight w:val="yellow"/>
          <w:lang w:eastAsia="sl-SI"/>
        </w:rPr>
      </w:pPr>
    </w:p>
    <w:p w:rsidR="00A2221E" w:rsidRPr="00A2221E" w:rsidRDefault="00A2221E" w:rsidP="00A2221E">
      <w:pPr>
        <w:autoSpaceDE w:val="0"/>
        <w:autoSpaceDN w:val="0"/>
        <w:adjustRightInd w:val="0"/>
        <w:spacing w:line="288" w:lineRule="auto"/>
        <w:jc w:val="both"/>
        <w:rPr>
          <w:rFonts w:cs="Arial"/>
          <w:szCs w:val="20"/>
        </w:rPr>
      </w:pPr>
      <w:r w:rsidRPr="00A2221E">
        <w:rPr>
          <w:rFonts w:cs="Arial"/>
          <w:szCs w:val="20"/>
        </w:rPr>
        <w:t>S predlogom črtanja 25. člena se sledi mnenju ZPS.</w:t>
      </w:r>
    </w:p>
    <w:p w:rsidR="00A2221E" w:rsidRPr="00A2221E" w:rsidRDefault="00A2221E" w:rsidP="00A2221E">
      <w:pPr>
        <w:autoSpaceDE w:val="0"/>
        <w:autoSpaceDN w:val="0"/>
        <w:adjustRightInd w:val="0"/>
        <w:spacing w:line="288" w:lineRule="auto"/>
        <w:jc w:val="both"/>
        <w:rPr>
          <w:rFonts w:cs="Arial"/>
          <w:szCs w:val="20"/>
        </w:rPr>
      </w:pPr>
    </w:p>
    <w:p w:rsidR="00A2221E" w:rsidRPr="00A2221E" w:rsidRDefault="00A2221E" w:rsidP="00A2221E">
      <w:pPr>
        <w:autoSpaceDE w:val="0"/>
        <w:autoSpaceDN w:val="0"/>
        <w:adjustRightInd w:val="0"/>
        <w:spacing w:line="288" w:lineRule="auto"/>
        <w:jc w:val="both"/>
        <w:rPr>
          <w:rFonts w:cs="Arial"/>
          <w:szCs w:val="20"/>
        </w:rPr>
      </w:pPr>
      <w:r w:rsidRPr="00A2221E">
        <w:rPr>
          <w:rFonts w:cs="Arial"/>
          <w:szCs w:val="20"/>
        </w:rPr>
        <w:t>Po 25. členu predloga zakona bi se novi 76.a člen, novi četrti odstavek 316. člena in novi drugi odstavek 317. člena ZTFI-1 začeli uporabljati 5. decembra 2026. Ta datum ustreza roku za prenos iz prvega odstavka 7. člena Direktive 2024/2810/EU.</w:t>
      </w:r>
    </w:p>
    <w:p w:rsidR="00A2221E" w:rsidRPr="00A2221E" w:rsidRDefault="00A2221E" w:rsidP="00A2221E">
      <w:pPr>
        <w:autoSpaceDE w:val="0"/>
        <w:autoSpaceDN w:val="0"/>
        <w:adjustRightInd w:val="0"/>
        <w:spacing w:line="288" w:lineRule="auto"/>
        <w:jc w:val="both"/>
        <w:rPr>
          <w:rFonts w:cs="Arial"/>
          <w:szCs w:val="20"/>
        </w:rPr>
      </w:pPr>
    </w:p>
    <w:p w:rsidR="00A2221E" w:rsidRPr="00A2221E" w:rsidRDefault="00A2221E" w:rsidP="00A2221E">
      <w:pPr>
        <w:autoSpaceDE w:val="0"/>
        <w:autoSpaceDN w:val="0"/>
        <w:adjustRightInd w:val="0"/>
        <w:spacing w:line="288" w:lineRule="auto"/>
        <w:jc w:val="both"/>
        <w:rPr>
          <w:rFonts w:cs="Arial"/>
          <w:szCs w:val="20"/>
        </w:rPr>
      </w:pPr>
      <w:r w:rsidRPr="00A2221E">
        <w:rPr>
          <w:rFonts w:cs="Arial"/>
          <w:szCs w:val="20"/>
        </w:rPr>
        <w:t xml:space="preserve">Zakon o spremembah in dopolnitvah Zakona o gospodarskih družbah (Uradni list RS, št. 1270/26; v nadaljnjem besedilu: ZGD-1O) je začel veljati 24. julija 2026. Odloženi začetek uporabe določa le za posamezne določbe o poročanju o </w:t>
      </w:r>
      <w:proofErr w:type="spellStart"/>
      <w:r w:rsidRPr="00A2221E">
        <w:rPr>
          <w:rFonts w:cs="Arial"/>
          <w:szCs w:val="20"/>
        </w:rPr>
        <w:t>trajnostnosti</w:t>
      </w:r>
      <w:proofErr w:type="spellEnd"/>
      <w:r w:rsidRPr="00A2221E">
        <w:rPr>
          <w:rFonts w:cs="Arial"/>
          <w:szCs w:val="20"/>
        </w:rPr>
        <w:t>, ne pa za določbe o delnicah z večkratno glasovalno pravico. Zato po uveljavitvi ZGD-1O ni več vsebinskega razloga, da bi se uporaba navedenih določb ZTFI-1 odložila do 5. decembra 2026.</w:t>
      </w:r>
    </w:p>
    <w:p w:rsidR="00A2221E" w:rsidRPr="00A2221E" w:rsidRDefault="00A2221E" w:rsidP="00A2221E">
      <w:pPr>
        <w:autoSpaceDE w:val="0"/>
        <w:autoSpaceDN w:val="0"/>
        <w:adjustRightInd w:val="0"/>
        <w:spacing w:line="288" w:lineRule="auto"/>
        <w:jc w:val="both"/>
        <w:rPr>
          <w:rFonts w:cs="Arial"/>
          <w:szCs w:val="20"/>
        </w:rPr>
      </w:pPr>
    </w:p>
    <w:p w:rsidR="00A2221E" w:rsidRPr="00A2221E" w:rsidRDefault="00A2221E" w:rsidP="00A2221E">
      <w:pPr>
        <w:autoSpaceDE w:val="0"/>
        <w:autoSpaceDN w:val="0"/>
        <w:adjustRightInd w:val="0"/>
        <w:spacing w:line="288" w:lineRule="auto"/>
        <w:jc w:val="both"/>
        <w:rPr>
          <w:rFonts w:cs="Arial"/>
          <w:szCs w:val="20"/>
        </w:rPr>
      </w:pPr>
      <w:r w:rsidRPr="00A2221E">
        <w:rPr>
          <w:rFonts w:cs="Arial"/>
          <w:szCs w:val="20"/>
        </w:rPr>
        <w:t>Direktiva 2024/2810/EU določa rok za prenos, ne izključuje pa uporabe nacionalnih predpisov pred iztekom tega roka. Ohranitev zamika bi povzročila obdobje, v katerem bi družbe z delniško strukturo z delnicami z večkratno glasovalno pravico lahko uvrščale delnice v trgovanje v MTF, ne da bi zanje veljale zahteve glede preglednosti iz 76.a člena ZTFI-1. Upravljavcev MTF v tem obdobju tudi ne bi zavezovali prepoved zavrnitve uvrstitve in obveznost označevanja takšnih delnic.</w:t>
      </w:r>
    </w:p>
    <w:p w:rsidR="00A2221E" w:rsidRPr="00A2221E" w:rsidRDefault="00A2221E" w:rsidP="00A2221E">
      <w:pPr>
        <w:autoSpaceDE w:val="0"/>
        <w:autoSpaceDN w:val="0"/>
        <w:adjustRightInd w:val="0"/>
        <w:spacing w:line="288" w:lineRule="auto"/>
        <w:jc w:val="both"/>
        <w:rPr>
          <w:rFonts w:cs="Arial"/>
          <w:szCs w:val="20"/>
        </w:rPr>
      </w:pPr>
    </w:p>
    <w:p w:rsidR="00A2221E" w:rsidRPr="00A2221E" w:rsidRDefault="00A2221E" w:rsidP="00A2221E">
      <w:pPr>
        <w:autoSpaceDE w:val="0"/>
        <w:autoSpaceDN w:val="0"/>
        <w:adjustRightInd w:val="0"/>
        <w:spacing w:line="288" w:lineRule="auto"/>
        <w:jc w:val="both"/>
        <w:rPr>
          <w:rFonts w:cs="Arial"/>
          <w:szCs w:val="20"/>
          <w:highlight w:val="yellow"/>
        </w:rPr>
      </w:pPr>
      <w:r w:rsidRPr="00A2221E">
        <w:rPr>
          <w:rFonts w:cs="Arial"/>
          <w:szCs w:val="20"/>
        </w:rPr>
        <w:t>S črtanjem se navedene določbe začnejo uporabljati z začetkom veljavnosti zakona po 26. členu predloga. Nobena druga določba predloga se na 25. člen ne sklicuje, zato črtanje ne zahteva drugih sprememb.</w:t>
      </w:r>
    </w:p>
    <w:p w:rsidR="007E1230" w:rsidRPr="00A2221E" w:rsidRDefault="007E1230" w:rsidP="007E1230">
      <w:pPr>
        <w:autoSpaceDE w:val="0"/>
        <w:autoSpaceDN w:val="0"/>
        <w:adjustRightInd w:val="0"/>
        <w:spacing w:line="240" w:lineRule="auto"/>
        <w:rPr>
          <w:rFonts w:cs="Arial"/>
          <w:color w:val="000000"/>
          <w:szCs w:val="20"/>
        </w:rPr>
      </w:pPr>
    </w:p>
    <w:sectPr w:rsidR="007E1230" w:rsidRPr="00A2221E" w:rsidSect="00A16E6F">
      <w:headerReference w:type="even" r:id="rId7"/>
      <w:headerReference w:type="default" r:id="rId8"/>
      <w:footerReference w:type="even" r:id="rId9"/>
      <w:footerReference w:type="default" r:id="rId10"/>
      <w:headerReference w:type="first" r:id="rId11"/>
      <w:footerReference w:type="first" r:id="rId12"/>
      <w:pgSz w:w="11906" w:h="16838"/>
      <w:pgMar w:top="1701" w:right="1701" w:bottom="1134" w:left="1701" w:header="96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1D70" w:rsidRDefault="007A1D70" w:rsidP="00767987">
      <w:pPr>
        <w:spacing w:line="240" w:lineRule="auto"/>
      </w:pPr>
      <w:r>
        <w:separator/>
      </w:r>
    </w:p>
  </w:endnote>
  <w:endnote w:type="continuationSeparator" w:id="0">
    <w:p w:rsidR="007A1D70" w:rsidRDefault="007A1D70" w:rsidP="00767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3C9F" w:rsidRDefault="00623C9F">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3C9F" w:rsidRDefault="00623C9F">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3C9F" w:rsidRDefault="00623C9F">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1D70" w:rsidRDefault="007A1D70" w:rsidP="00767987">
      <w:pPr>
        <w:spacing w:line="240" w:lineRule="auto"/>
      </w:pPr>
      <w:r>
        <w:separator/>
      </w:r>
    </w:p>
  </w:footnote>
  <w:footnote w:type="continuationSeparator" w:id="0">
    <w:p w:rsidR="007A1D70" w:rsidRDefault="007A1D70" w:rsidP="0076798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3C9F" w:rsidRDefault="00623C9F">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3C9F" w:rsidRDefault="00623C9F">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6E6F" w:rsidRPr="00A9231D" w:rsidRDefault="00A16E6F" w:rsidP="00A16E6F">
    <w:pPr>
      <w:pStyle w:val="Glava"/>
      <w:tabs>
        <w:tab w:val="clear" w:pos="4536"/>
        <w:tab w:val="clear" w:pos="9072"/>
        <w:tab w:val="left" w:pos="5112"/>
        <w:tab w:val="left" w:pos="8641"/>
      </w:tabs>
      <w:spacing w:before="340" w:line="240" w:lineRule="exact"/>
      <w:ind w:left="-765"/>
      <w:rPr>
        <w:rFonts w:ascii="Arial" w:hAnsi="Arial" w:cs="Arial"/>
        <w:sz w:val="16"/>
      </w:rPr>
    </w:pPr>
    <w:r w:rsidRPr="00CE234E">
      <w:rPr>
        <w:noProof/>
        <w:lang w:eastAsia="sl-SI"/>
      </w:rPr>
      <w:drawing>
        <wp:inline distT="0" distB="0" distL="0" distR="0" wp14:anchorId="13E6758A" wp14:editId="0B37FD23">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rsidR="00A16E6F" w:rsidRPr="00A9231D" w:rsidRDefault="00A16E6F" w:rsidP="007E59BC">
    <w:pPr>
      <w:pStyle w:val="Glava"/>
      <w:tabs>
        <w:tab w:val="clear" w:pos="4536"/>
        <w:tab w:val="clear" w:pos="9072"/>
        <w:tab w:val="left" w:pos="5114"/>
        <w:tab w:val="left" w:pos="8641"/>
      </w:tabs>
      <w:spacing w:before="120" w:line="240" w:lineRule="exact"/>
      <w:rPr>
        <w:rFonts w:ascii="Arial" w:hAnsi="Arial" w:cs="Arial"/>
        <w:sz w:val="16"/>
      </w:rPr>
    </w:pPr>
    <w:r w:rsidRPr="00A9231D">
      <w:rPr>
        <w:rFonts w:ascii="Arial" w:hAnsi="Arial" w:cs="Arial"/>
        <w:sz w:val="16"/>
      </w:rPr>
      <w:t xml:space="preserve">Gregorčičeva </w:t>
    </w:r>
    <w:r>
      <w:rPr>
        <w:rFonts w:ascii="Arial" w:hAnsi="Arial" w:cs="Arial"/>
        <w:sz w:val="16"/>
      </w:rPr>
      <w:t xml:space="preserve">ulica </w:t>
    </w:r>
    <w:r w:rsidRPr="00A9231D">
      <w:rPr>
        <w:rFonts w:ascii="Arial" w:hAnsi="Arial" w:cs="Arial"/>
        <w:sz w:val="16"/>
      </w:rPr>
      <w:t>20–25, 100</w:t>
    </w:r>
    <w:r>
      <w:rPr>
        <w:rFonts w:ascii="Arial" w:hAnsi="Arial" w:cs="Arial"/>
        <w:sz w:val="16"/>
      </w:rPr>
      <w:t>0</w:t>
    </w:r>
    <w:r w:rsidRPr="00A9231D">
      <w:rPr>
        <w:rFonts w:ascii="Arial" w:hAnsi="Arial" w:cs="Arial"/>
        <w:sz w:val="16"/>
      </w:rPr>
      <w:t xml:space="preserve"> Ljubljana</w:t>
    </w:r>
    <w:r w:rsidRPr="00A9231D">
      <w:rPr>
        <w:rFonts w:ascii="Arial" w:hAnsi="Arial" w:cs="Arial"/>
        <w:sz w:val="16"/>
      </w:rPr>
      <w:tab/>
      <w:t>T: +386 1 478 1000</w:t>
    </w:r>
  </w:p>
  <w:p w:rsidR="00A16E6F" w:rsidRPr="00A9231D" w:rsidRDefault="00A16E6F" w:rsidP="00A16E6F">
    <w:pPr>
      <w:pStyle w:val="Glava"/>
      <w:tabs>
        <w:tab w:val="clear" w:pos="4536"/>
        <w:tab w:val="clear" w:pos="9072"/>
        <w:tab w:val="left" w:pos="5114"/>
        <w:tab w:val="left" w:pos="8641"/>
      </w:tabs>
      <w:spacing w:line="240" w:lineRule="exact"/>
      <w:rPr>
        <w:rFonts w:ascii="Arial" w:hAnsi="Arial" w:cs="Arial"/>
        <w:sz w:val="16"/>
      </w:rPr>
    </w:pPr>
    <w:r w:rsidRPr="00A9231D">
      <w:rPr>
        <w:rFonts w:ascii="Arial" w:hAnsi="Arial" w:cs="Arial"/>
        <w:sz w:val="16"/>
      </w:rPr>
      <w:tab/>
      <w:t>E: gp.gs@gov.si</w:t>
    </w:r>
  </w:p>
  <w:p w:rsidR="00A16E6F" w:rsidRPr="00A9231D" w:rsidRDefault="00A16E6F" w:rsidP="00A16E6F">
    <w:pPr>
      <w:pStyle w:val="Glava"/>
      <w:tabs>
        <w:tab w:val="clear" w:pos="4536"/>
        <w:tab w:val="clear" w:pos="9072"/>
        <w:tab w:val="left" w:pos="5114"/>
        <w:tab w:val="left" w:pos="8641"/>
      </w:tabs>
      <w:spacing w:line="240" w:lineRule="exact"/>
      <w:rPr>
        <w:rFonts w:ascii="Arial" w:hAnsi="Arial" w:cs="Arial"/>
        <w:sz w:val="16"/>
      </w:rPr>
    </w:pPr>
    <w:r w:rsidRPr="00A9231D">
      <w:rPr>
        <w:rFonts w:ascii="Arial" w:hAnsi="Arial" w:cs="Arial"/>
        <w:sz w:val="16"/>
      </w:rPr>
      <w:tab/>
      <w:t>http://www.vlada.si/</w:t>
    </w:r>
  </w:p>
  <w:p w:rsidR="006C69EC" w:rsidRDefault="006C69EC">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F808C5"/>
    <w:multiLevelType w:val="hybridMultilevel"/>
    <w:tmpl w:val="91B2062A"/>
    <w:lvl w:ilvl="0" w:tplc="279E37A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BCE"/>
    <w:rsid w:val="00041271"/>
    <w:rsid w:val="00084FCB"/>
    <w:rsid w:val="000B37A4"/>
    <w:rsid w:val="000B3FE6"/>
    <w:rsid w:val="000E4B03"/>
    <w:rsid w:val="002837E1"/>
    <w:rsid w:val="00286CB6"/>
    <w:rsid w:val="002C555C"/>
    <w:rsid w:val="00366636"/>
    <w:rsid w:val="00367DE6"/>
    <w:rsid w:val="003700DC"/>
    <w:rsid w:val="003B3E19"/>
    <w:rsid w:val="004076C6"/>
    <w:rsid w:val="00457A58"/>
    <w:rsid w:val="004964D7"/>
    <w:rsid w:val="004B7F76"/>
    <w:rsid w:val="004E1BCE"/>
    <w:rsid w:val="0057353E"/>
    <w:rsid w:val="00592079"/>
    <w:rsid w:val="00594080"/>
    <w:rsid w:val="005A0848"/>
    <w:rsid w:val="005D29F3"/>
    <w:rsid w:val="00623C9F"/>
    <w:rsid w:val="00674FD5"/>
    <w:rsid w:val="00682FFE"/>
    <w:rsid w:val="00684751"/>
    <w:rsid w:val="006C69EC"/>
    <w:rsid w:val="007039D0"/>
    <w:rsid w:val="00767987"/>
    <w:rsid w:val="00782FD4"/>
    <w:rsid w:val="007A1D70"/>
    <w:rsid w:val="007B1046"/>
    <w:rsid w:val="007E1230"/>
    <w:rsid w:val="007E59BC"/>
    <w:rsid w:val="00811140"/>
    <w:rsid w:val="008607F8"/>
    <w:rsid w:val="008B51EB"/>
    <w:rsid w:val="00902D57"/>
    <w:rsid w:val="00904A48"/>
    <w:rsid w:val="00980294"/>
    <w:rsid w:val="009C5392"/>
    <w:rsid w:val="009C657E"/>
    <w:rsid w:val="00A04FA3"/>
    <w:rsid w:val="00A16E6F"/>
    <w:rsid w:val="00A2221E"/>
    <w:rsid w:val="00A50E4B"/>
    <w:rsid w:val="00A56EFB"/>
    <w:rsid w:val="00A9231D"/>
    <w:rsid w:val="00AD3BB3"/>
    <w:rsid w:val="00B31063"/>
    <w:rsid w:val="00BC534D"/>
    <w:rsid w:val="00C0216A"/>
    <w:rsid w:val="00CA14F3"/>
    <w:rsid w:val="00CD6077"/>
    <w:rsid w:val="00CE234E"/>
    <w:rsid w:val="00D00B65"/>
    <w:rsid w:val="00D02973"/>
    <w:rsid w:val="00D426C5"/>
    <w:rsid w:val="00DA09BE"/>
    <w:rsid w:val="00E419D7"/>
    <w:rsid w:val="00E83A83"/>
    <w:rsid w:val="00F502C5"/>
    <w:rsid w:val="00FA41BE"/>
    <w:rsid w:val="00FB00D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A289029D-D534-4CF9-8555-38669BE2F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7E1230"/>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qFormat/>
    <w:rsid w:val="00767987"/>
    <w:pPr>
      <w:tabs>
        <w:tab w:val="left" w:pos="1701"/>
      </w:tabs>
    </w:pPr>
    <w:rPr>
      <w:szCs w:val="20"/>
      <w:lang w:eastAsia="sl-SI"/>
    </w:rPr>
  </w:style>
  <w:style w:type="paragraph" w:styleId="Glava">
    <w:name w:val="header"/>
    <w:basedOn w:val="Navaden"/>
    <w:link w:val="GlavaZnak"/>
    <w:unhideWhenUsed/>
    <w:rsid w:val="00767987"/>
    <w:pPr>
      <w:tabs>
        <w:tab w:val="center" w:pos="4536"/>
        <w:tab w:val="right" w:pos="9072"/>
      </w:tabs>
      <w:spacing w:line="240" w:lineRule="auto"/>
    </w:pPr>
    <w:rPr>
      <w:rFonts w:asciiTheme="minorHAnsi" w:eastAsiaTheme="minorHAnsi" w:hAnsiTheme="minorHAnsi" w:cstheme="minorBidi"/>
      <w:sz w:val="22"/>
      <w:szCs w:val="22"/>
    </w:rPr>
  </w:style>
  <w:style w:type="character" w:customStyle="1" w:styleId="GlavaZnak">
    <w:name w:val="Glava Znak"/>
    <w:basedOn w:val="Privzetapisavaodstavka"/>
    <w:link w:val="Glava"/>
    <w:rsid w:val="00767987"/>
  </w:style>
  <w:style w:type="paragraph" w:styleId="Noga">
    <w:name w:val="footer"/>
    <w:basedOn w:val="Navaden"/>
    <w:link w:val="NogaZnak"/>
    <w:uiPriority w:val="99"/>
    <w:unhideWhenUsed/>
    <w:rsid w:val="00767987"/>
    <w:pPr>
      <w:tabs>
        <w:tab w:val="center" w:pos="4536"/>
        <w:tab w:val="right" w:pos="9072"/>
      </w:tabs>
      <w:spacing w:line="240" w:lineRule="auto"/>
    </w:pPr>
    <w:rPr>
      <w:rFonts w:asciiTheme="minorHAnsi" w:eastAsiaTheme="minorHAnsi" w:hAnsiTheme="minorHAnsi" w:cstheme="minorBidi"/>
      <w:sz w:val="22"/>
      <w:szCs w:val="22"/>
    </w:rPr>
  </w:style>
  <w:style w:type="character" w:customStyle="1" w:styleId="NogaZnak">
    <w:name w:val="Noga Znak"/>
    <w:basedOn w:val="Privzetapisavaodstavka"/>
    <w:link w:val="Noga"/>
    <w:uiPriority w:val="99"/>
    <w:rsid w:val="00767987"/>
  </w:style>
  <w:style w:type="paragraph" w:customStyle="1" w:styleId="podpisi">
    <w:name w:val="podpisi"/>
    <w:basedOn w:val="Navaden"/>
    <w:qFormat/>
    <w:rsid w:val="009C657E"/>
    <w:pPr>
      <w:tabs>
        <w:tab w:val="left" w:pos="3402"/>
      </w:tabs>
    </w:pPr>
    <w:rPr>
      <w:lang w:val="it-IT"/>
    </w:rPr>
  </w:style>
  <w:style w:type="paragraph" w:styleId="Odstavekseznama">
    <w:name w:val="List Paragraph"/>
    <w:basedOn w:val="Navaden"/>
    <w:uiPriority w:val="34"/>
    <w:qFormat/>
    <w:rsid w:val="00CA14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2043</Words>
  <Characters>11651</Characters>
  <Application>Microsoft Office Word</Application>
  <DocSecurity>0</DocSecurity>
  <Lines>97</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 Kunaver Tomažič</dc:creator>
  <cp:keywords/>
  <dc:description/>
  <cp:lastModifiedBy>Barbara Kunavar</cp:lastModifiedBy>
  <cp:revision>3</cp:revision>
  <dcterms:created xsi:type="dcterms:W3CDTF">2026-09-24T06:51:00Z</dcterms:created>
  <dcterms:modified xsi:type="dcterms:W3CDTF">2026-09-24T07:08:00Z</dcterms:modified>
</cp:coreProperties>
</file>