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2.5.0 -->
  <w:body>
    <w:p>
      <w:pPr>
        <w:pStyle w:val="Odstavek"/>
        <w:spacing w:after="0" w:line="260" w:lineRule="auto"/>
      </w:pPr>
      <w:r>
        <w:t>Na podlagi tretjega in četrtega odstavka 3. člena Gradbenega zakona (Uradni list RS, št. 199/21, 105/22 – ZZNŠPP, 133/23, 85/24 – ZAID-A, 47/25 – odl. US in 75/25) Vlada Republike Slovenije izdaja</w:t>
      </w:r>
    </w:p>
    <w:p>
      <w:pPr>
        <w:spacing w:after="0" w:line="260" w:lineRule="auto"/>
        <w:rPr>
          <w:rFonts w:ascii="Arial" w:hAnsi="Arial" w:cs="Arial"/>
        </w:rPr>
      </w:pPr>
    </w:p>
    <w:p>
      <w:pPr>
        <w:pStyle w:val="Naslov1"/>
        <w:spacing w:after="0" w:line="260" w:lineRule="auto"/>
      </w:pPr>
      <w:r>
        <w:t>Uredbo o spremembi Uredbe o razvrščanju objektov</w:t>
      </w:r>
    </w:p>
    <w:p>
      <w:pPr>
        <w:pStyle w:val="len"/>
        <w:spacing w:after="0" w:line="260" w:lineRule="auto"/>
      </w:pPr>
      <w:r>
        <w:t>1. člen</w:t>
      </w:r>
    </w:p>
    <w:p>
      <w:pPr>
        <w:spacing w:after="0" w:line="260" w:lineRule="auto"/>
        <w:rPr>
          <w:rFonts w:ascii="Arial" w:hAnsi="Arial" w:cs="Arial"/>
        </w:rPr>
      </w:pPr>
    </w:p>
    <w:p>
      <w:pPr>
        <w:spacing w:after="0" w:line="260" w:lineRule="auto"/>
      </w:pPr>
      <w:r>
        <w:tab/>
      </w:r>
      <w:r>
        <w:t>V Uredbi o razvrščanju objektov (Uradni list RS, št.96/22) se Priloga 1 nadomesti z novo Prilogo 1, ki je kot Priloga 1 sestavni del te uredbe.</w:t>
      </w:r>
    </w:p>
    <w:p>
      <w:pPr>
        <w:spacing w:after="0" w:line="260" w:lineRule="auto"/>
        <w:rPr>
          <w:rFonts w:ascii="Arial" w:hAnsi="Arial" w:cs="Arial"/>
        </w:rPr>
      </w:pPr>
    </w:p>
    <w:p>
      <w:pPr>
        <w:pStyle w:val="Poglavje"/>
        <w:spacing w:after="0" w:line="260" w:lineRule="auto"/>
      </w:pPr>
      <w:r>
        <w:t>PREHODNI IN KONČNA DOLOČBA</w:t>
      </w:r>
    </w:p>
    <w:p>
      <w:pPr>
        <w:pStyle w:val="len"/>
        <w:spacing w:after="0" w:line="260" w:lineRule="auto"/>
      </w:pPr>
      <w:r>
        <w:t>2. člen</w:t>
      </w:r>
    </w:p>
    <w:p>
      <w:pPr>
        <w:pStyle w:val="lennaslov"/>
        <w:spacing w:after="0" w:line="260" w:lineRule="auto"/>
      </w:pPr>
      <w:r>
        <w:t>(dokončanje postopkov)</w:t>
      </w:r>
    </w:p>
    <w:p>
      <w:pPr>
        <w:spacing w:after="0" w:line="260" w:lineRule="auto"/>
        <w:rPr>
          <w:rFonts w:ascii="Arial" w:hAnsi="Arial" w:cs="Arial"/>
        </w:rPr>
      </w:pPr>
    </w:p>
    <w:p>
      <w:pPr>
        <w:spacing w:after="0" w:line="260" w:lineRule="auto"/>
      </w:pPr>
      <w:r>
        <w:tab/>
      </w:r>
      <w:r>
        <w:t xml:space="preserve">                V postopkih, začetih pred uveljavitvijo te uredbe, se objekti razvrščajo po predpisu, ki je določal razvrščanje objektov in je veljal ob začetku postopka, razen če je razvrstitev objektov po tej uredbi za investitorja ugodnejša. </w:t>
      </w:r>
    </w:p>
    <w:p>
      <w:pPr>
        <w:pStyle w:val="len"/>
        <w:spacing w:after="0" w:line="260" w:lineRule="auto"/>
      </w:pPr>
      <w:r>
        <w:t>3. člen</w:t>
      </w:r>
    </w:p>
    <w:p>
      <w:pPr>
        <w:pStyle w:val="lennaslov"/>
        <w:spacing w:after="0" w:line="260" w:lineRule="auto"/>
      </w:pPr>
      <w:r>
        <w:t>(razvrstitev enostavnih objektov)</w:t>
      </w:r>
    </w:p>
    <w:p>
      <w:pPr>
        <w:spacing w:after="0" w:line="260" w:lineRule="auto"/>
        <w:rPr>
          <w:rFonts w:ascii="Arial" w:hAnsi="Arial" w:cs="Arial"/>
        </w:rPr>
      </w:pPr>
    </w:p>
    <w:p>
      <w:pPr>
        <w:spacing w:after="0" w:line="260" w:lineRule="auto"/>
      </w:pPr>
      <w:r>
        <w:tab/>
      </w:r>
      <w:r>
        <w:t>Objekti, zgrajeni pred uveljavitvijo te uredbe, ki so bili po dosedanjih predpisih razvrščeni kot zahtevni, manj zahtevni ali nezahtevni objekti in po merilih iz te uredbe izpolnjujejo pogoje za enostavne objekte, se štejejo za enostavne objekte.</w:t>
      </w:r>
    </w:p>
    <w:p>
      <w:pPr>
        <w:pStyle w:val="len"/>
        <w:spacing w:after="0" w:line="260" w:lineRule="auto"/>
      </w:pPr>
      <w:r>
        <w:t>4. člen</w:t>
      </w:r>
    </w:p>
    <w:p>
      <w:pPr>
        <w:pStyle w:val="lennaslov"/>
        <w:spacing w:after="0" w:line="260" w:lineRule="auto"/>
      </w:pPr>
      <w:r>
        <w:t>(začetek veljavnosti)</w:t>
      </w:r>
    </w:p>
    <w:p>
      <w:pPr>
        <w:spacing w:after="0" w:line="260" w:lineRule="auto"/>
        <w:rPr>
          <w:rFonts w:ascii="Arial" w:hAnsi="Arial" w:cs="Arial"/>
        </w:rPr>
      </w:pPr>
    </w:p>
    <w:p>
      <w:pPr>
        <w:spacing w:after="0" w:line="260" w:lineRule="auto"/>
      </w:pPr>
      <w:r>
        <w:tab/>
      </w:r>
      <w:r>
        <w:t>Ta uredba začne veljati petnajsti dan po objavi v Uradnem listu Republike Slovenije.</w:t>
      </w:r>
    </w:p>
    <w:p>
      <w:pPr>
        <w:spacing w:after="0" w:line="260" w:lineRule="auto"/>
        <w:rPr>
          <w:rFonts w:ascii="Arial" w:hAnsi="Arial" w:cs="Arial"/>
        </w:rPr>
      </w:pPr>
    </w:p>
    <w:p>
      <w:pPr>
        <w:spacing w:after="0" w:line="260" w:lineRule="auto"/>
      </w:pPr>
      <w:r>
        <w:t>Št. [007-179/2026</w:t>
      </w:r>
      <w:r>
        <w:t>]</w:t>
      </w:r>
      <w:r>
        <w:t xml:space="preserve"> </w:t>
      </w:r>
    </w:p>
    <w:p>
      <w:pPr>
        <w:spacing w:after="0" w:line="260" w:lineRule="auto"/>
        <w:rPr>
          <w:rFonts w:ascii="Arial" w:hAnsi="Arial" w:cs="Arial"/>
        </w:rPr>
      </w:pPr>
    </w:p>
    <w:p>
      <w:pPr>
        <w:spacing w:after="0" w:line="260" w:lineRule="auto"/>
      </w:pPr>
      <w:r>
        <w:t>Ljubljana, dne 8. septembra 2026</w:t>
      </w:r>
    </w:p>
    <w:p>
      <w:pPr>
        <w:spacing w:after="0" w:line="260" w:lineRule="auto"/>
        <w:rPr>
          <w:rFonts w:ascii="Arial" w:hAnsi="Arial" w:cs="Arial"/>
        </w:rPr>
      </w:pPr>
    </w:p>
    <w:p>
      <w:pPr>
        <w:spacing w:after="0" w:line="260" w:lineRule="auto"/>
      </w:pPr>
      <w:r>
        <w:t>EVA 2026-2580-0035</w:t>
      </w:r>
    </w:p>
    <w:p>
      <w:pPr>
        <w:spacing w:after="0" w:line="260" w:lineRule="auto"/>
        <w:rPr>
          <w:rFonts w:ascii="Arial" w:hAnsi="Arial" w:cs="Arial"/>
        </w:rPr>
      </w:pPr>
    </w:p>
    <w:p>
      <w:pPr>
        <w:pStyle w:val="Podpisnik"/>
        <w:spacing w:after="0" w:line="260" w:lineRule="auto"/>
      </w:pPr>
      <w:r>
        <w:t>Vlada Republike Slovenije</w:t>
      </w:r>
      <w:r>
        <w:br/>
      </w:r>
      <w:r>
        <w:t>Janez Janša</w:t>
      </w:r>
      <w:r>
        <w:br/>
      </w:r>
      <w:r>
        <w:t>predsednik</w:t>
      </w:r>
    </w:p>
    <w:p>
      <w:pPr>
        <w:spacing w:after="0" w:line="260" w:lineRule="auto"/>
        <w:rPr>
          <w:rFonts w:ascii="Arial" w:hAnsi="Arial" w:cs="Arial"/>
        </w:rPr>
      </w:pPr>
    </w:p>
    <w:p>
      <w:pPr>
        <w:spacing w:after="0" w:line="240" w:lineRule="auto"/>
      </w:pPr>
      <w:r>
        <w:t xml:space="preserve">Priloga: </w:t>
      </w:r>
    </w:p>
    <w:p>
      <w:pPr>
        <w:spacing w:after="0" w:line="240" w:lineRule="auto"/>
      </w:pPr>
      <w:r>
        <w:t>priloga1.docx</w:t>
      </w:r>
    </w:p>
    <w:sectPr>
      <w:footerReference w:type="default" r:id="rId4"/>
      <w:pgMar w:header="708" w:footer="708"/>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i/>
        <w:sz w:val="16"/>
      </w:rPr>
      <w:t>Ustvarjeno v MOPED-DOCS, 11. 09. 2026 12:05:37</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