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PRAVILNIK O NADZORU ZAVODA ZA ZDRAVSTVENO ZAVAROVANJE SLOVENIJE NAD PRAVILNOSTJO OBRAČUNAVANJA STORITEV DOLGOTRAJNE OSKRBE</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2026-2620-0003</w:t>
      </w:r>
    </w:p>
    <w:p>
      <w:r>
        <w:br w:type="page"/>
      </w:r>
    </w:p>
    <w:p>
      <w:pPr>
        <w:pStyle w:val="Odebeljeno"/>
        <w:spacing w:after="0" w:line="260" w:lineRule="auto"/>
      </w:pPr>
      <w:r>
        <w:t>I.</w:t>
      </w:r>
      <w:r>
        <w:tab/>
      </w:r>
      <w:r>
        <w:t>UVOD</w:t>
      </w:r>
    </w:p>
    <w:p>
      <w:pPr>
        <w:pStyle w:val="Odebeljeno"/>
        <w:spacing w:after="0" w:line="260" w:lineRule="auto"/>
      </w:pPr>
      <w:r>
        <w:t>1.</w:t>
      </w:r>
      <w:r>
        <w:tab/>
      </w:r>
      <w:r>
        <w:t>Razlogi in podlage za izdajo</w:t>
      </w:r>
    </w:p>
    <w:p>
      <w:pPr>
        <w:spacing w:after="0" w:line="260" w:lineRule="auto"/>
        <w:rPr>
          <w:rFonts w:ascii="Arial" w:hAnsi="Arial" w:cs="Arial"/>
        </w:rPr>
      </w:pPr>
    </w:p>
    <w:p>
      <w:pPr>
        <w:spacing w:after="0" w:line="260" w:lineRule="auto"/>
      </w:pPr>
      <w:r>
        <w:t>Pravna podlaga:</w:t>
      </w:r>
    </w:p>
    <w:p>
      <w:pPr>
        <w:spacing w:after="0" w:line="240" w:lineRule="auto"/>
        <w:jc w:val="both"/>
      </w:pPr>
      <w:r>
        <w:t>Pravilnik o nadzoru Zavoda za zdravstveno zavarovanje Slovenije nad pravilnostjo obračunavanja storitev dolgotrajne oskrbe (v nadaljevanju: pravilnik) podrobneje ureja postopek in način izvajanja nadzora Zavoda za zdravstveno zavarovanje Slovenije (v nadaljevanju: ZZZS) nad pravilnostjo obračunavanja izvajalcev storitev dolgotrajne oskrbe in storitev e-oskrbe (v nadaljevanju: izvajalec) ter ukrepe v primeru ugotovljenih nepravilnosti. Določa tudi pravila postopanja nadzornikov in izvajalcev v postopkih nadzora.</w:t>
      </w:r>
    </w:p>
    <w:p>
      <w:pPr>
        <w:spacing w:after="0" w:line="240" w:lineRule="auto"/>
        <w:jc w:val="both"/>
      </w:pPr>
      <w:r>
        <w:t xml:space="preserve"> </w:t>
      </w:r>
    </w:p>
    <w:p>
      <w:pPr>
        <w:spacing w:after="0" w:line="240" w:lineRule="auto"/>
        <w:jc w:val="both"/>
      </w:pPr>
      <w:r>
        <w:t>Pravna podlaga za sprejem pravilnika je Zakon o dolgotrajni oskrbi</w:t>
      </w:r>
      <w:r>
        <w:t>[1</w:t>
      </w:r>
      <w:r>
        <w:t>]</w:t>
      </w:r>
      <w:r>
        <w:t xml:space="preserve"> (v nadaljnjem besedilu: ZDOsk-1), zlasti določba drugega odstavka 113. člena, ki ZZZS nalaga izvajanje nadzora nad pravilnostjo obračunavanja storitev DO ter ukrepanje v primeru ugotovljenih nepravilnosti. Obveznosti izvajalcev glede obračunavanja storitev dolgotrajne oskrbe so določene tudi v navodilu, ki ureja način plačila storitev dolgotrajne oskrbe. Veljavna različica Navodila o načinu plačila storitev DO (v nadaljevanju: navodilo)</w:t>
      </w:r>
      <w:r>
        <w:t>[2</w:t>
      </w:r>
      <w:r>
        <w:t>]</w:t>
      </w:r>
      <w:r>
        <w:t xml:space="preserve"> je do 1. 10. 2026 objavljena na spletnih straneh ZZZS na podlagi tretjega odstavka 23. člena Zakona o ukrepih za optimizacijo določenih postopkov na centrih za socialno delo in domovih za starejše ob uvedbi novega sistema dolgotrajne oskrbe; v nadaljevanju: ZUOPCSD)</w:t>
      </w:r>
      <w:r>
        <w:t>[3</w:t>
      </w:r>
      <w:r>
        <w:t>]</w:t>
      </w:r>
      <w:r>
        <w:t>. Po 1. 10. 2026 bo navedeno navodilo na podlagi osmega odstavka 46. člena ZDOsk-1 sprejel generalni direktor ZZZS in bo objavljeno v Uradnem listu RS.</w:t>
      </w:r>
    </w:p>
    <w:p>
      <w:pPr>
        <w:spacing w:after="0" w:line="240" w:lineRule="auto"/>
        <w:jc w:val="both"/>
      </w:pPr>
      <w:r>
        <w:t xml:space="preserve"> </w:t>
      </w:r>
    </w:p>
    <w:p>
      <w:pPr>
        <w:spacing w:after="0" w:line="240" w:lineRule="auto"/>
        <w:jc w:val="left"/>
      </w:pPr>
      <w:r>
        <w:t>S pravilnikom se podrobneje urejajo:</w:t>
      </w:r>
      <w:r>
        <w:br/>
      </w:r>
      <w:r>
        <w:t>– vrste in način izvajanja nadzora,</w:t>
      </w:r>
      <w:r>
        <w:br/>
      </w:r>
      <w:r>
        <w:t>– pooblastila in naloge nadzornikov,</w:t>
      </w:r>
      <w:r>
        <w:br/>
      </w:r>
      <w:r>
        <w:t>– obveznosti izvajalcev v postopku nadzora,</w:t>
      </w:r>
      <w:r>
        <w:br/>
      </w:r>
      <w:r>
        <w:t>– nadzorna dejanja in pridobivanje dokumentacije,</w:t>
      </w:r>
      <w:r>
        <w:br/>
      </w:r>
      <w:r>
        <w:t>– postopek izdaje informativne odločbe in odločbe o glavni stvari,</w:t>
      </w:r>
      <w:r>
        <w:br/>
      </w:r>
      <w:r>
        <w:t>– ukrepi za odpravo ugotovljenih nepravilnosti.</w:t>
      </w:r>
    </w:p>
    <w:p>
      <w:pPr>
        <w:spacing w:after="0" w:line="240" w:lineRule="auto"/>
        <w:jc w:val="left"/>
      </w:pPr>
      <w:r>
        <w:br/>
      </w:r>
      <w:r>
        <w:t xml:space="preserve"> </w:t>
      </w:r>
    </w:p>
    <w:p>
      <w:pPr>
        <w:spacing w:after="0" w:line="240" w:lineRule="auto"/>
        <w:jc w:val="left"/>
      </w:pPr>
      <w:r>
        <w:t>[1</w:t>
      </w:r>
      <w:r>
        <w:t>]</w:t>
      </w:r>
      <w:r>
        <w:t xml:space="preserve"> Uradni list RS, št. 84/23, 112/24 in 44/25.</w:t>
      </w:r>
    </w:p>
    <w:p>
      <w:pPr>
        <w:spacing w:after="0" w:line="240" w:lineRule="auto"/>
        <w:jc w:val="left"/>
      </w:pPr>
      <w:r>
        <w:t>[2</w:t>
      </w:r>
      <w:r>
        <w:t>]</w:t>
      </w:r>
      <w:r>
        <w:t xml:space="preserve"> </w:t>
      </w:r>
      <w:r>
        <w:t>https://www.zzzs.si/?id=126%%AMP%%detail=79A5F2ACB5BB4990C1258D650034819F</w:t>
      </w:r>
      <w:r>
        <w:t>, junij 2026.</w:t>
      </w:r>
    </w:p>
    <w:p>
      <w:pPr>
        <w:spacing w:after="0" w:line="240" w:lineRule="auto"/>
        <w:jc w:val="left"/>
      </w:pPr>
      <w:r>
        <w:t>[3</w:t>
      </w:r>
      <w:r>
        <w:t>]</w:t>
      </w:r>
      <w:r>
        <w:t xml:space="preserve"> Uradni list RS, 91/25</w:t>
      </w:r>
    </w:p>
    <w:p>
      <w:pPr>
        <w:spacing w:after="0" w:line="260" w:lineRule="auto"/>
        <w:rPr>
          <w:rFonts w:ascii="Arial" w:hAnsi="Arial" w:cs="Arial"/>
        </w:rPr>
      </w:pPr>
    </w:p>
    <w:p>
      <w:pPr>
        <w:spacing w:after="0" w:line="260" w:lineRule="auto"/>
      </w:pPr>
      <w:r>
        <w:t>Rok za izdajo:</w:t>
      </w:r>
    </w:p>
    <w:p>
      <w:pPr>
        <w:spacing w:after="0" w:line="240" w:lineRule="auto"/>
      </w:pPr>
      <w:r>
        <w:t>31. maj 2025.</w:t>
      </w:r>
    </w:p>
    <w:p>
      <w:pPr>
        <w:spacing w:after="0" w:line="260" w:lineRule="auto"/>
        <w:rPr>
          <w:rFonts w:ascii="Arial" w:hAnsi="Arial" w:cs="Arial"/>
        </w:rPr>
      </w:pPr>
    </w:p>
    <w:p>
      <w:pPr>
        <w:spacing w:after="0" w:line="260" w:lineRule="auto"/>
      </w:pPr>
      <w:r>
        <w:t>Glavni razlogi za izdajo:</w:t>
      </w:r>
    </w:p>
    <w:p>
      <w:pPr>
        <w:spacing w:after="0" w:line="240" w:lineRule="auto"/>
      </w:pPr>
      <w:r>
        <w:t>ZDOsk-1 določa pristojnost ZZZS za izvajanje nadzora nad pravilnostjo obračunavanja storitev dolgotrajne oskrbe ter predstavlja zakonsko podlago za podrobnejšo ureditev načina in postopka izvajanja nadzora s podzakonskim predpisom.</w:t>
      </w:r>
    </w:p>
    <w:p>
      <w:pPr>
        <w:spacing w:after="0" w:line="240" w:lineRule="auto"/>
      </w:pPr>
      <w:r>
        <w:t>Glavni razlog za izdajo pravilnika je zato potreba po podrobnejši in enotni ureditvi postopka izvajanja nadzora, vključno z načinom njegove izvedbe, pravicami in obveznostmi udeležencev ter postopkom ugotavljanja in odpravljanja nepravilnosti.</w:t>
      </w:r>
    </w:p>
    <w:p>
      <w:pPr>
        <w:spacing w:after="0" w:line="240" w:lineRule="auto"/>
      </w:pPr>
      <w:r>
        <w:t xml:space="preserve"> </w:t>
      </w:r>
    </w:p>
    <w:p>
      <w:pPr>
        <w:spacing w:after="0" w:line="240" w:lineRule="auto"/>
      </w:pPr>
      <w:r>
        <w:t>Temeljni cilj pravilnika je vzpostaviti enoten, pregleden in pravno varen postopek izvajanja nadzora nad pravilnostjo obračunavanja storitev DO ter zagotoviti učinkovito varovanje sredstev obveznega zavarovanja za dolgotrajno oskrbo (v nadaljevanju: OZDO).</w:t>
      </w:r>
    </w:p>
    <w:p>
      <w:pPr>
        <w:spacing w:after="0" w:line="240" w:lineRule="auto"/>
      </w:pPr>
      <w:r>
        <w:t xml:space="preserve"> </w:t>
      </w:r>
    </w:p>
    <w:p>
      <w:pPr>
        <w:spacing w:after="0" w:line="240" w:lineRule="auto"/>
        <w:jc w:val="left"/>
      </w:pPr>
      <w:r>
        <w:t>S pravilnikom se zasledujejo naslednji cilji:</w:t>
      </w:r>
      <w:r>
        <w:br/>
      </w:r>
      <w:r>
        <w:t>– zagotavljanje zakonitega in pravilnega obračunavanja storitev DO,</w:t>
      </w:r>
      <w:r>
        <w:br/>
      </w:r>
      <w:r>
        <w:t>– učinkovitejše odkrivanje in odpravljanje nepravilnosti,</w:t>
      </w:r>
      <w:r>
        <w:br/>
      </w:r>
      <w:r>
        <w:t>– enotna ureditev postopkov nadzora,</w:t>
      </w:r>
      <w:r>
        <w:br/>
      </w:r>
      <w:r>
        <w:t>– učinkovito varstvo javnih sredstev.</w:t>
      </w:r>
    </w:p>
    <w:p>
      <w:pPr>
        <w:spacing w:after="0" w:line="260" w:lineRule="auto"/>
        <w:rPr>
          <w:rFonts w:ascii="Arial" w:hAnsi="Arial" w:cs="Arial"/>
        </w:rPr>
      </w:pPr>
    </w:p>
    <w:p>
      <w:pPr>
        <w:pStyle w:val="Odebeljeno"/>
        <w:spacing w:after="0" w:line="260" w:lineRule="auto"/>
      </w:pPr>
      <w:r>
        <w:t>2.</w:t>
      </w:r>
      <w:r>
        <w:tab/>
      </w:r>
      <w:r>
        <w:t>Ocena finančnih posledic predloga akta za državni proračun in druga javna finančna sredstva</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3.</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3.1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3.2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3.3</w:t>
      </w:r>
      <w:r>
        <w:tab/>
      </w:r>
      <w:r>
        <w:t>Prikaz ureditve v posameznih državah članicah Evropske unije</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4.</w:t>
      </w:r>
      <w:r>
        <w:tab/>
      </w:r>
      <w:r>
        <w:t>Presoja posledic</w:t>
      </w:r>
    </w:p>
    <w:p>
      <w:pPr>
        <w:pStyle w:val="Odebeljeno"/>
        <w:spacing w:after="0" w:line="260" w:lineRule="auto"/>
      </w:pPr>
      <w:r>
        <w:t>4.1</w:t>
      </w:r>
      <w:r>
        <w:tab/>
      </w:r>
      <w:r>
        <w:t>Presoja administrativnih posledic</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4.2</w:t>
      </w:r>
      <w:r>
        <w:tab/>
      </w:r>
      <w:r>
        <w:t>Presoja posledic za okolje, vključno s prostorskimi in varstvenimi vidiki</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4.3</w:t>
      </w:r>
      <w:r>
        <w:tab/>
      </w:r>
      <w:r>
        <w:t>Presoja posledic za gospodarstvo</w:t>
      </w:r>
    </w:p>
    <w:p>
      <w:pPr>
        <w:spacing w:after="0" w:line="260" w:lineRule="auto"/>
        <w:rPr>
          <w:rFonts w:ascii="Arial" w:hAnsi="Arial" w:cs="Arial"/>
        </w:rPr>
      </w:pPr>
    </w:p>
    <w:p>
      <w:pPr>
        <w:pStyle w:val="Odebeljeno"/>
        <w:spacing w:after="0" w:line="260" w:lineRule="auto"/>
        <w:ind w:left="360" w:hanging="360"/>
      </w:pPr>
      <w:r>
        <w:t>a)</w:t>
      </w:r>
      <w:r>
        <w:tab/>
      </w:r>
      <w:r>
        <w:t>Predpis ima učinek na fizične in pravne osebe, ki opravljajo dejavnost.</w:t>
      </w:r>
    </w:p>
    <w:p>
      <w:pPr>
        <w:spacing w:after="0" w:line="260" w:lineRule="auto"/>
        <w:rPr>
          <w:rFonts w:ascii="Arial" w:hAnsi="Arial" w:cs="Arial"/>
        </w:rPr>
      </w:pPr>
    </w:p>
    <w:p>
      <w:pPr>
        <w:pStyle w:val="Odebeljeno"/>
        <w:spacing w:after="0" w:line="260" w:lineRule="auto"/>
        <w:ind w:left="720" w:hanging="360"/>
      </w:pPr>
      <w:r>
        <w:t>–</w:t>
      </w:r>
      <w:r>
        <w:tab/>
      </w:r>
      <w:r>
        <w:t>Predpis ima pozitiven učinek na način in organizacijo dela v podjetju.</w:t>
      </w:r>
    </w:p>
    <w:p>
      <w:pPr>
        <w:spacing w:after="0" w:line="260" w:lineRule="auto"/>
        <w:rPr>
          <w:rFonts w:ascii="Arial" w:hAnsi="Arial" w:cs="Arial"/>
        </w:rPr>
      </w:pPr>
    </w:p>
    <w:p>
      <w:pPr>
        <w:spacing w:after="0" w:line="240" w:lineRule="auto"/>
        <w:ind w:left="720"/>
      </w:pPr>
      <w:r>
        <w:t>Gre za posreden pozitiven učinek na izvajalce dolgotrajne oskrbe. Z izvajanjem nadzora se spodbuja pravilno evidentiranje in obračunavanje storitev dolgotrajne oskrbe ter ustrezna organizacija procesov, povezanih z njihovim izvajanjem in obračunavanjem ZZZS.</w:t>
      </w:r>
    </w:p>
    <w:p>
      <w:pPr>
        <w:spacing w:after="0" w:line="240" w:lineRule="auto"/>
        <w:ind w:left="720" w:firstLine="0"/>
      </w:pPr>
    </w:p>
    <w:p>
      <w:pPr>
        <w:pStyle w:val="Odebeljeno"/>
        <w:spacing w:after="0" w:line="260" w:lineRule="auto"/>
        <w:ind w:left="720" w:hanging="360"/>
      </w:pPr>
      <w:r>
        <w:t>–</w:t>
      </w:r>
      <w:r>
        <w:tab/>
      </w:r>
      <w:r>
        <w:t>Predpis ima pozitiven učinek na pravno varnost.</w:t>
      </w:r>
    </w:p>
    <w:p>
      <w:pPr>
        <w:spacing w:after="0" w:line="260" w:lineRule="auto"/>
        <w:rPr>
          <w:rFonts w:ascii="Arial" w:hAnsi="Arial" w:cs="Arial"/>
        </w:rPr>
      </w:pPr>
    </w:p>
    <w:p>
      <w:pPr>
        <w:spacing w:after="0" w:line="240" w:lineRule="auto"/>
        <w:ind w:left="720"/>
      </w:pPr>
      <w:r>
        <w:t>Predpis ima pozitiven učinek na pravno varnost izvajalcev dolgotrajne oskrbe, saj podrobneje določa način in postopek izvajanja nadzora ter s tem zagotavlja večjo jasnost in predvidljivost postopkov, enotnejšo obravnavo izvajalcev ter jasnejše pravice in obveznosti udeležencev v postopku nadzora.</w:t>
      </w:r>
    </w:p>
    <w:p>
      <w:pPr>
        <w:spacing w:after="0" w:line="240" w:lineRule="auto"/>
        <w:ind w:left="720" w:firstLine="0"/>
      </w:pPr>
    </w:p>
    <w:p>
      <w:pPr>
        <w:spacing w:after="0" w:line="260" w:lineRule="auto"/>
        <w:rPr>
          <w:rFonts w:ascii="Arial" w:hAnsi="Arial" w:cs="Arial"/>
        </w:rPr>
      </w:pPr>
    </w:p>
    <w:p>
      <w:pPr>
        <w:pStyle w:val="Odebeljeno"/>
        <w:spacing w:after="0" w:line="260" w:lineRule="auto"/>
      </w:pPr>
      <w:r>
        <w:t>4.4</w:t>
      </w:r>
      <w:r>
        <w:tab/>
      </w:r>
      <w:r>
        <w:t>Presoja posledic za socialno področje</w:t>
      </w:r>
    </w:p>
    <w:p>
      <w:pPr>
        <w:spacing w:after="0" w:line="260" w:lineRule="auto"/>
        <w:rPr>
          <w:rFonts w:ascii="Arial" w:hAnsi="Arial" w:cs="Arial"/>
        </w:rPr>
      </w:pPr>
    </w:p>
    <w:p>
      <w:pPr>
        <w:pStyle w:val="Odebeljeno"/>
        <w:spacing w:after="0" w:line="260" w:lineRule="auto"/>
        <w:ind w:left="360" w:hanging="360"/>
      </w:pPr>
      <w:r>
        <w:t>a)</w:t>
      </w:r>
      <w:r>
        <w:tab/>
      </w:r>
      <w:r>
        <w:t>Predpis ima učinek na sistem dolgotrajne oskrbe.</w:t>
      </w:r>
    </w:p>
    <w:p>
      <w:pPr>
        <w:spacing w:after="0" w:line="260" w:lineRule="auto"/>
        <w:rPr>
          <w:rFonts w:ascii="Arial" w:hAnsi="Arial" w:cs="Arial"/>
        </w:rPr>
      </w:pPr>
    </w:p>
    <w:p>
      <w:pPr>
        <w:pStyle w:val="Odebeljeno"/>
        <w:spacing w:after="0" w:line="260" w:lineRule="auto"/>
        <w:ind w:left="720" w:hanging="360"/>
      </w:pPr>
      <w:r>
        <w:t>–</w:t>
      </w:r>
      <w:r>
        <w:tab/>
      </w:r>
      <w:r>
        <w:t>Predpis ima pozitiven učinek na financiranje, dostopnost, kakovost oziroma druge vidike sistema dolgotrajne oskrbe.</w:t>
      </w:r>
    </w:p>
    <w:p>
      <w:pPr>
        <w:spacing w:after="0" w:line="260" w:lineRule="auto"/>
        <w:rPr>
          <w:rFonts w:ascii="Arial" w:hAnsi="Arial" w:cs="Arial"/>
        </w:rPr>
      </w:pPr>
    </w:p>
    <w:p>
      <w:pPr>
        <w:spacing w:after="0" w:line="240" w:lineRule="auto"/>
        <w:ind w:left="720"/>
      </w:pPr>
      <w:r>
        <w:t>Z izvajanjem nadzora se zagotavljata pravilnost obračunavanja storitev dolgotrajne oskrbe in namenska poraba sredstev obveznega zavarovanja za dolgotrajno oskrbo. Nadzor prispeva tudi k pravilnemu in enotnemu izvajanju storitev dolgotrajne oskrbe ter s tem k učinkovitejšemu in preglednejšemu delovanju sistema dolgotrajne oskrbe.</w:t>
      </w:r>
    </w:p>
    <w:p>
      <w:pPr>
        <w:spacing w:after="0" w:line="240" w:lineRule="auto"/>
        <w:ind w:left="720" w:firstLine="0"/>
      </w:pPr>
    </w:p>
    <w:p>
      <w:pPr>
        <w:spacing w:after="0" w:line="260" w:lineRule="auto"/>
        <w:rPr>
          <w:rFonts w:ascii="Arial" w:hAnsi="Arial" w:cs="Arial"/>
        </w:rPr>
      </w:pPr>
    </w:p>
    <w:p>
      <w:pPr>
        <w:pStyle w:val="Odebeljeno"/>
        <w:spacing w:after="0" w:line="260" w:lineRule="auto"/>
      </w:pPr>
      <w:r>
        <w:t>4.5</w:t>
      </w:r>
      <w:r>
        <w:tab/>
      </w:r>
      <w:r>
        <w:t>Presoja posledic za dokumente razvojnega načrtovanja</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4.6</w:t>
      </w:r>
      <w:r>
        <w:tab/>
      </w:r>
      <w:r>
        <w:t>Presoja posledic za druga področja</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spacing w:after="0" w:line="260" w:lineRule="auto"/>
        <w:rPr>
          <w:rFonts w:ascii="Arial" w:hAnsi="Arial" w:cs="Arial"/>
        </w:rPr>
      </w:pPr>
    </w:p>
    <w:p>
      <w:pPr>
        <w:pStyle w:val="Odebeljeno"/>
        <w:spacing w:after="0" w:line="260" w:lineRule="auto"/>
      </w:pPr>
      <w:r>
        <w:t>4.7</w:t>
      </w:r>
      <w:r>
        <w:tab/>
      </w:r>
      <w:r>
        <w:t>Izvajanje sprejetega predpisa</w:t>
      </w:r>
    </w:p>
    <w:p>
      <w:pPr>
        <w:spacing w:after="0" w:line="260" w:lineRule="auto"/>
        <w:rPr>
          <w:rFonts w:ascii="Arial" w:hAnsi="Arial" w:cs="Arial"/>
        </w:rPr>
      </w:pPr>
    </w:p>
    <w:p>
      <w:pPr>
        <w:spacing w:after="0" w:line="260" w:lineRule="auto"/>
      </w:pPr>
      <w:r>
        <w:t>Ni podatka.</w:t>
      </w:r>
    </w:p>
    <w:p>
      <w:pPr>
        <w:spacing w:after="0" w:line="260" w:lineRule="auto"/>
        <w:rPr>
          <w:rFonts w:ascii="Arial" w:hAnsi="Arial" w:cs="Arial"/>
        </w:rPr>
      </w:pPr>
    </w:p>
    <w:p>
      <w:pPr>
        <w:pStyle w:val="Odebeljeno"/>
        <w:spacing w:after="0" w:line="260" w:lineRule="auto"/>
      </w:pPr>
      <w:r>
        <w:t>5.</w:t>
      </w:r>
      <w:r>
        <w:tab/>
      </w:r>
      <w:r>
        <w:t>Prikaz sodelovanja javnosti</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r>
        <w:br w:type="page"/>
      </w:r>
    </w:p>
    <w:p>
      <w:pPr>
        <w:pStyle w:val="Odebeljeno"/>
        <w:spacing w:after="0" w:line="260" w:lineRule="auto"/>
      </w:pPr>
      <w:r>
        <w:t>II.</w:t>
      </w:r>
      <w:r>
        <w:tab/>
      </w:r>
      <w:r>
        <w:t>BESEDILO ČLENOV</w:t>
      </w:r>
    </w:p>
    <w:p>
      <w:pPr>
        <w:pStyle w:val="Odstavek"/>
        <w:spacing w:after="0" w:line="260" w:lineRule="auto"/>
      </w:pPr>
      <w:r>
        <w:t>Na podlagi drugega odstavka 113. člena Zakona o dolgotrajni oskrbi (Uradni list RS, št. 84/23, 112/24 in 44/25) generalni direktor Zavoda za zdravstveno zavarovanje Slovenije, izdaja</w:t>
      </w:r>
    </w:p>
    <w:p>
      <w:pPr>
        <w:spacing w:after="0" w:line="260" w:lineRule="auto"/>
        <w:rPr>
          <w:rFonts w:ascii="Arial" w:hAnsi="Arial" w:cs="Arial"/>
        </w:rPr>
      </w:pPr>
    </w:p>
    <w:p>
      <w:pPr>
        <w:pStyle w:val="Naslov1"/>
        <w:spacing w:after="0" w:line="260" w:lineRule="auto"/>
      </w:pPr>
      <w:r>
        <w:t>Pravilnik o nadzoru Zavoda za zdravstveno zavarovanje Slovenije nad pravilnostjo obračunavanja storitev dolgotrajne oskrbe</w:t>
      </w:r>
    </w:p>
    <w:p>
      <w:pPr>
        <w:pStyle w:val="len"/>
        <w:spacing w:after="0" w:line="260" w:lineRule="auto"/>
      </w:pPr>
      <w:r>
        <w:t>1. člen</w:t>
      </w:r>
    </w:p>
    <w:p>
      <w:pPr>
        <w:pStyle w:val="lennaslov"/>
        <w:spacing w:after="0" w:line="260" w:lineRule="auto"/>
      </w:pPr>
      <w:r>
        <w:t>(vsebina)</w:t>
      </w:r>
    </w:p>
    <w:p>
      <w:pPr>
        <w:spacing w:after="0" w:line="260" w:lineRule="auto"/>
        <w:rPr>
          <w:rFonts w:ascii="Arial" w:hAnsi="Arial" w:cs="Arial"/>
        </w:rPr>
      </w:pPr>
    </w:p>
    <w:p>
      <w:pPr>
        <w:spacing w:after="0" w:line="260" w:lineRule="auto"/>
      </w:pPr>
      <w:r>
        <w:tab/>
      </w:r>
      <w:r>
        <w:t>Ta pravilnik določa postopek izvajanja nadzora Zavoda za zdravstveno zavarovanje Slovenije (v nadaljnjem besedilu: ZZZS) nad pravilnostjo obračunavanja storitev dolgotrajne oskrbe in ukrepe v primeru ugotovljenih nepravilnosti (v nadaljnjem besedilu: DO), ki jih izvajajo izvajalci DO in ponudniki storitev e-oskrbe (v nadaljnjem besedilu: izvajalec), ki so na podlagi zakona, ki ureja DO (v nadaljnjem besedilu: zakon) vpisani v register izvajalcev DO in izvajajo DO kot javno službo.</w:t>
      </w:r>
    </w:p>
    <w:p>
      <w:pPr>
        <w:pStyle w:val="len"/>
        <w:spacing w:after="0" w:line="260" w:lineRule="auto"/>
      </w:pPr>
      <w:r>
        <w:t>2. člen</w:t>
      </w:r>
    </w:p>
    <w:p>
      <w:pPr>
        <w:pStyle w:val="lennaslov"/>
        <w:spacing w:after="0" w:line="260" w:lineRule="auto"/>
      </w:pPr>
      <w:r>
        <w:t>(namen)</w:t>
      </w:r>
    </w:p>
    <w:p>
      <w:pPr>
        <w:spacing w:after="0" w:line="260" w:lineRule="auto"/>
        <w:rPr>
          <w:rFonts w:ascii="Arial" w:hAnsi="Arial" w:cs="Arial"/>
        </w:rPr>
      </w:pPr>
    </w:p>
    <w:p>
      <w:pPr>
        <w:spacing w:after="0" w:line="260" w:lineRule="auto"/>
      </w:pPr>
      <w:r>
        <w:tab/>
      </w:r>
      <w:r>
        <w:t>Z nadzorom se ugotavlja pravilnost obračunavanja storitev DO izvajalca v skladu z zakonom in navodilom, ki ureja način plačila storitev DO.</w:t>
      </w:r>
    </w:p>
    <w:p>
      <w:pPr>
        <w:pStyle w:val="len"/>
        <w:spacing w:after="0" w:line="260" w:lineRule="auto"/>
      </w:pPr>
      <w:r>
        <w:t>3. člen</w:t>
      </w:r>
    </w:p>
    <w:p>
      <w:pPr>
        <w:pStyle w:val="lennaslov"/>
        <w:spacing w:after="0" w:line="260" w:lineRule="auto"/>
      </w:pPr>
      <w:r>
        <w:t>(izraza)</w:t>
      </w:r>
    </w:p>
    <w:p>
      <w:pPr>
        <w:spacing w:after="0" w:line="260" w:lineRule="auto"/>
        <w:rPr>
          <w:rFonts w:ascii="Arial" w:hAnsi="Arial" w:cs="Arial"/>
        </w:rPr>
      </w:pPr>
    </w:p>
    <w:p>
      <w:pPr>
        <w:spacing w:after="0" w:line="260" w:lineRule="auto"/>
      </w:pPr>
      <w:r>
        <w:tab/>
      </w:r>
      <w:r>
        <w:t>Izraza, uporabljena v tem pravilniku, pomenita:</w:t>
      </w:r>
    </w:p>
    <w:p>
      <w:pPr>
        <w:spacing w:after="0" w:line="260" w:lineRule="auto"/>
      </w:pPr>
      <w:r>
        <w:tab/>
      </w:r>
      <w:r>
        <w:t xml:space="preserve">– </w:t>
      </w:r>
      <w:r>
        <w:t>dokumentacija je celota vseh podatkov, ki je potrebna za izvedbo nadzora, s katero razpolaga ZZZS, izvajalec, uporabnik ali druga fizična ali pravna oseba, ne glede, ali se hrani v listinski ali elektronski obliki, – nadzornik je delavec ZZZS, ki izpolnjuje pogoje za nadzornika, določene v aktu o sistemizaciji delovnih mest ZZZS.</w:t>
      </w:r>
    </w:p>
    <w:p>
      <w:pPr>
        <w:spacing w:after="0" w:line="260" w:lineRule="auto"/>
      </w:pPr>
      <w:r>
        <w:tab/>
      </w:r>
      <w:r>
        <w:t xml:space="preserve">– </w:t>
      </w:r>
      <w:r>
        <w:t>nadzornik je delavec ZZZS, ki izpolnjuje pogoje za nadzornika, določene v aktu o sistemizaciji delovnih mest ZZZS.</w:t>
      </w:r>
    </w:p>
    <w:p>
      <w:pPr>
        <w:pStyle w:val="len"/>
        <w:spacing w:after="0" w:line="260" w:lineRule="auto"/>
      </w:pPr>
      <w:r>
        <w:t>4. člen</w:t>
      </w:r>
    </w:p>
    <w:p>
      <w:pPr>
        <w:pStyle w:val="lennaslov"/>
        <w:spacing w:after="0" w:line="260" w:lineRule="auto"/>
      </w:pPr>
      <w:r>
        <w:t>(vrste nadzora)</w:t>
      </w:r>
    </w:p>
    <w:p>
      <w:pPr>
        <w:spacing w:after="0" w:line="260" w:lineRule="auto"/>
        <w:rPr>
          <w:rFonts w:ascii="Arial" w:hAnsi="Arial" w:cs="Arial"/>
        </w:rPr>
      </w:pPr>
    </w:p>
    <w:p>
      <w:pPr>
        <w:spacing w:after="0" w:line="260" w:lineRule="auto"/>
      </w:pPr>
      <w:r>
        <w:tab/>
      </w:r>
      <w:r>
        <w:t xml:space="preserve">(1) </w:t>
      </w:r>
      <w:r>
        <w:t>ZZZS izvede nadzor kot redni ali izredni nadzor. </w:t>
      </w:r>
    </w:p>
    <w:p>
      <w:pPr>
        <w:spacing w:after="0" w:line="260" w:lineRule="auto"/>
        <w:rPr>
          <w:rFonts w:ascii="Arial" w:hAnsi="Arial" w:cs="Arial"/>
        </w:rPr>
      </w:pPr>
    </w:p>
    <w:p>
      <w:pPr>
        <w:spacing w:after="0" w:line="260" w:lineRule="auto"/>
      </w:pPr>
      <w:r>
        <w:tab/>
      </w:r>
      <w:r>
        <w:t xml:space="preserve">(2) </w:t>
      </w:r>
      <w:r>
        <w:t>Redni nadzor je nadzor, ki ga ZZZS izvede v skladu z letnim programom nadzorov, ki ga izda generalni direktor ZZZS.</w:t>
      </w:r>
    </w:p>
    <w:p>
      <w:pPr>
        <w:spacing w:after="0" w:line="260" w:lineRule="auto"/>
        <w:rPr>
          <w:rFonts w:ascii="Arial" w:hAnsi="Arial" w:cs="Arial"/>
        </w:rPr>
      </w:pPr>
    </w:p>
    <w:p>
      <w:pPr>
        <w:spacing w:after="0" w:line="260" w:lineRule="auto"/>
      </w:pPr>
      <w:r>
        <w:tab/>
      </w:r>
      <w:r>
        <w:t xml:space="preserve">(3) </w:t>
      </w:r>
      <w:r>
        <w:t>Izredni nadzor je nadzor, ki ga ZZZS izvede izven programa nadzorov, ki ga izda generalni direktor ZZZS.</w:t>
      </w:r>
    </w:p>
    <w:p>
      <w:pPr>
        <w:pStyle w:val="len"/>
        <w:spacing w:after="0" w:line="260" w:lineRule="auto"/>
      </w:pPr>
      <w:r>
        <w:t>5. člen</w:t>
      </w:r>
    </w:p>
    <w:p>
      <w:pPr>
        <w:pStyle w:val="lennaslov"/>
        <w:spacing w:after="0" w:line="260" w:lineRule="auto"/>
      </w:pPr>
      <w:r>
        <w:t>(začetek nadzora)</w:t>
      </w:r>
    </w:p>
    <w:p>
      <w:pPr>
        <w:spacing w:after="0" w:line="260" w:lineRule="auto"/>
        <w:rPr>
          <w:rFonts w:ascii="Arial" w:hAnsi="Arial" w:cs="Arial"/>
        </w:rPr>
      </w:pPr>
    </w:p>
    <w:p>
      <w:pPr>
        <w:spacing w:after="0" w:line="260" w:lineRule="auto"/>
      </w:pPr>
      <w:r>
        <w:tab/>
      </w:r>
      <w:r>
        <w:t xml:space="preserve">(1) </w:t>
      </w:r>
      <w:r>
        <w:t>Nadzor se začne s sklepom o začetku nadzora, ki ga izda vodja – direktor OE ZZZS ali generalni direktor.</w:t>
      </w:r>
      <w:r>
        <w:br/>
      </w:r>
      <w:r>
        <w:br/>
      </w:r>
      <w:r>
        <w:t>Sklep vsebuje najmanj:</w:t>
      </w:r>
    </w:p>
    <w:p>
      <w:pPr>
        <w:spacing w:after="0" w:line="260" w:lineRule="auto"/>
      </w:pPr>
      <w:r>
        <w:tab/>
      </w:r>
      <w:r>
        <w:t xml:space="preserve">– </w:t>
      </w:r>
      <w:r>
        <w:t>podatke o izvajalcu (naziv izvajalca, ZZZS številka izvajalca, matična številka iz Poslovnega registra Slovenije, naslov izvajalca, oznaka lokacije, osnovna enota, podrejena enota, lokacija enote, vrsta dolgotrajne oskrbe),</w:t>
      </w:r>
    </w:p>
    <w:p>
      <w:pPr>
        <w:spacing w:after="0" w:line="260" w:lineRule="auto"/>
      </w:pPr>
      <w:r>
        <w:tab/>
      </w:r>
      <w:r>
        <w:t xml:space="preserve">– </w:t>
      </w:r>
      <w:r>
        <w:t>pravno podlago za uvedbo nadzora,</w:t>
      </w:r>
    </w:p>
    <w:p>
      <w:pPr>
        <w:spacing w:after="0" w:line="260" w:lineRule="auto"/>
      </w:pPr>
      <w:r>
        <w:tab/>
      </w:r>
      <w:r>
        <w:t xml:space="preserve">– </w:t>
      </w:r>
      <w:r>
        <w:t xml:space="preserve"> obdobje nadzora, ki se lahko ob naknadno ugotovljenih dejstvih tudi spremeni.</w:t>
      </w:r>
    </w:p>
    <w:p>
      <w:pPr>
        <w:spacing w:after="0" w:line="260" w:lineRule="auto"/>
        <w:rPr>
          <w:rFonts w:ascii="Arial" w:hAnsi="Arial" w:cs="Arial"/>
        </w:rPr>
      </w:pPr>
    </w:p>
    <w:p>
      <w:pPr>
        <w:spacing w:after="0" w:line="260" w:lineRule="auto"/>
      </w:pPr>
      <w:r>
        <w:tab/>
      </w:r>
      <w:r>
        <w:t xml:space="preserve">(2) </w:t>
      </w:r>
      <w:r>
        <w:t>Sklep o začetku nadzora se vroči nadzorovanemu izvajalcu.</w:t>
      </w:r>
    </w:p>
    <w:p>
      <w:pPr>
        <w:pStyle w:val="len"/>
        <w:spacing w:after="0" w:line="260" w:lineRule="auto"/>
      </w:pPr>
      <w:r>
        <w:t>6. člen</w:t>
      </w:r>
    </w:p>
    <w:p>
      <w:pPr>
        <w:pStyle w:val="lennaslov"/>
        <w:spacing w:after="0" w:line="260" w:lineRule="auto"/>
      </w:pPr>
      <w:r>
        <w:t>(nadzornik)</w:t>
      </w:r>
    </w:p>
    <w:p>
      <w:pPr>
        <w:spacing w:after="0" w:line="260" w:lineRule="auto"/>
        <w:rPr>
          <w:rFonts w:ascii="Arial" w:hAnsi="Arial" w:cs="Arial"/>
        </w:rPr>
      </w:pPr>
    </w:p>
    <w:p>
      <w:pPr>
        <w:spacing w:after="0" w:line="260" w:lineRule="auto"/>
      </w:pPr>
      <w:r>
        <w:tab/>
      </w:r>
      <w:r>
        <w:t xml:space="preserve">(1) </w:t>
      </w:r>
      <w:r>
        <w:t>Nadzornik izvaja nadzor na prvi stopnji</w:t>
      </w:r>
    </w:p>
    <w:p>
      <w:pPr>
        <w:spacing w:after="0" w:line="260" w:lineRule="auto"/>
        <w:rPr>
          <w:rFonts w:ascii="Arial" w:hAnsi="Arial" w:cs="Arial"/>
        </w:rPr>
      </w:pPr>
    </w:p>
    <w:p>
      <w:pPr>
        <w:spacing w:after="0" w:line="260" w:lineRule="auto"/>
      </w:pPr>
      <w:r>
        <w:tab/>
      </w:r>
      <w:r>
        <w:t xml:space="preserve">(2) </w:t>
      </w:r>
      <w:r>
        <w:t>Nadzornik je pri izvedbi nadzora samostojen in vodi nadzor v skladu s tem pravilnikom.</w:t>
      </w:r>
    </w:p>
    <w:p>
      <w:pPr>
        <w:pStyle w:val="len"/>
        <w:spacing w:after="0" w:line="260" w:lineRule="auto"/>
      </w:pPr>
      <w:r>
        <w:t>7. člen</w:t>
      </w:r>
    </w:p>
    <w:p>
      <w:pPr>
        <w:pStyle w:val="lennaslov"/>
        <w:spacing w:after="0" w:line="260" w:lineRule="auto"/>
      </w:pPr>
      <w:r>
        <w:t>(nadzorna dejanja)</w:t>
      </w:r>
    </w:p>
    <w:p>
      <w:pPr>
        <w:spacing w:after="0" w:line="260" w:lineRule="auto"/>
        <w:rPr>
          <w:rFonts w:ascii="Arial" w:hAnsi="Arial" w:cs="Arial"/>
        </w:rPr>
      </w:pPr>
    </w:p>
    <w:p>
      <w:pPr>
        <w:spacing w:after="0" w:line="260" w:lineRule="auto"/>
      </w:pPr>
      <w:r>
        <w:tab/>
      </w:r>
      <w:r>
        <w:t xml:space="preserve">(1) </w:t>
      </w:r>
      <w:r>
        <w:t>Nadzorna dejanja vključujejo zlasti pregled, preverjanje in primerjavo dokumentacije ter podatkov, s katerimi razpolaga ZZZS ali jih pridobi v nadzoru, na podlagi katerih se ugotavlja pravilnost obračunanih storitev DO.</w:t>
      </w:r>
    </w:p>
    <w:p>
      <w:pPr>
        <w:spacing w:after="0" w:line="260" w:lineRule="auto"/>
        <w:rPr>
          <w:rFonts w:ascii="Arial" w:hAnsi="Arial" w:cs="Arial"/>
        </w:rPr>
      </w:pPr>
    </w:p>
    <w:p>
      <w:pPr>
        <w:spacing w:after="0" w:line="260" w:lineRule="auto"/>
      </w:pPr>
      <w:r>
        <w:tab/>
      </w:r>
      <w:r>
        <w:t xml:space="preserve">(2) </w:t>
      </w:r>
      <w:r>
        <w:t>Če nadzornik potrebuje dodatno dokumentacijo, s katero ZZZS ne razpolaga, izvajalca pozove k njeni predložitvi in mu določi rok, v katerem mora predložiti zahtevano dokumentacijo. Rok za predložitev dokumentacije ne sme biti krajši od 8 dni in daljši od 15 dni.</w:t>
      </w:r>
    </w:p>
    <w:p>
      <w:pPr>
        <w:pStyle w:val="len"/>
        <w:spacing w:after="0" w:line="260" w:lineRule="auto"/>
      </w:pPr>
      <w:r>
        <w:t>8. člen</w:t>
      </w:r>
    </w:p>
    <w:p>
      <w:pPr>
        <w:pStyle w:val="lennaslov"/>
        <w:spacing w:after="0" w:line="260" w:lineRule="auto"/>
      </w:pPr>
      <w:r>
        <w:t>(prekinitev nadzora)</w:t>
      </w:r>
    </w:p>
    <w:p>
      <w:pPr>
        <w:spacing w:after="0" w:line="260" w:lineRule="auto"/>
        <w:rPr>
          <w:rFonts w:ascii="Arial" w:hAnsi="Arial" w:cs="Arial"/>
        </w:rPr>
      </w:pPr>
    </w:p>
    <w:p>
      <w:pPr>
        <w:spacing w:after="0" w:line="260" w:lineRule="auto"/>
      </w:pPr>
      <w:r>
        <w:tab/>
      </w:r>
      <w:r>
        <w:t>Nadzornik s sklepom prekine nadzor, če nastopijo okoliščine, ki začasno onemogočajo izvajanje nadzora.</w:t>
      </w:r>
    </w:p>
    <w:p>
      <w:pPr>
        <w:pStyle w:val="len"/>
        <w:spacing w:after="0" w:line="260" w:lineRule="auto"/>
      </w:pPr>
      <w:r>
        <w:t>9. člen</w:t>
      </w:r>
    </w:p>
    <w:p>
      <w:pPr>
        <w:pStyle w:val="lennaslov"/>
        <w:spacing w:after="0" w:line="260" w:lineRule="auto"/>
      </w:pPr>
      <w:r>
        <w:t>(zaključek nadzora in informativna odločba)</w:t>
      </w:r>
    </w:p>
    <w:p>
      <w:pPr>
        <w:spacing w:after="0" w:line="260" w:lineRule="auto"/>
        <w:rPr>
          <w:rFonts w:ascii="Arial" w:hAnsi="Arial" w:cs="Arial"/>
        </w:rPr>
      </w:pPr>
    </w:p>
    <w:p>
      <w:pPr>
        <w:spacing w:after="0" w:line="260" w:lineRule="auto"/>
      </w:pPr>
      <w:r>
        <w:tab/>
      </w:r>
      <w:r>
        <w:t xml:space="preserve">(1) </w:t>
      </w:r>
      <w:r>
        <w:t>ZZZS po izvedenem nadzoru izda informativno odločbo v skladu z zakonom, ki ureja splošni upravni postopek.</w:t>
      </w:r>
    </w:p>
    <w:p>
      <w:pPr>
        <w:spacing w:after="0" w:line="260" w:lineRule="auto"/>
        <w:rPr>
          <w:rFonts w:ascii="Arial" w:hAnsi="Arial" w:cs="Arial"/>
        </w:rPr>
      </w:pPr>
    </w:p>
    <w:p>
      <w:pPr>
        <w:spacing w:after="0" w:line="260" w:lineRule="auto"/>
      </w:pPr>
      <w:r>
        <w:tab/>
      </w:r>
      <w:r>
        <w:t xml:space="preserve">(2) </w:t>
      </w:r>
      <w:r>
        <w:t>Informativna odločba vsebuje ugotovitve nadzora in morebitne ugotovljene nepravilnosti oziroma kršitve.</w:t>
      </w:r>
    </w:p>
    <w:p>
      <w:pPr>
        <w:pStyle w:val="len"/>
        <w:spacing w:after="0" w:line="260" w:lineRule="auto"/>
      </w:pPr>
      <w:r>
        <w:t>10. člen</w:t>
      </w:r>
    </w:p>
    <w:p>
      <w:pPr>
        <w:pStyle w:val="lennaslov"/>
        <w:spacing w:after="0" w:line="260" w:lineRule="auto"/>
      </w:pPr>
      <w:r>
        <w:t>(odločanje o pritožbah)</w:t>
      </w:r>
    </w:p>
    <w:p>
      <w:pPr>
        <w:spacing w:after="0" w:line="260" w:lineRule="auto"/>
        <w:rPr>
          <w:rFonts w:ascii="Arial" w:hAnsi="Arial" w:cs="Arial"/>
        </w:rPr>
      </w:pPr>
    </w:p>
    <w:p>
      <w:pPr>
        <w:spacing w:after="0" w:line="260" w:lineRule="auto"/>
      </w:pPr>
      <w:r>
        <w:tab/>
      </w:r>
      <w:r>
        <w:t xml:space="preserve">(1) </w:t>
      </w:r>
      <w:r>
        <w:t>Zoper odločbo o glavni stvari, izdano po ugovoru zoper informativno odločbo, je dovoljena pritožba.</w:t>
      </w:r>
    </w:p>
    <w:p>
      <w:pPr>
        <w:spacing w:after="0" w:line="260" w:lineRule="auto"/>
        <w:rPr>
          <w:rFonts w:ascii="Arial" w:hAnsi="Arial" w:cs="Arial"/>
        </w:rPr>
      </w:pPr>
    </w:p>
    <w:p>
      <w:pPr>
        <w:spacing w:after="0" w:line="260" w:lineRule="auto"/>
      </w:pPr>
      <w:r>
        <w:tab/>
      </w:r>
      <w:r>
        <w:t xml:space="preserve">(2) </w:t>
      </w:r>
      <w:r>
        <w:t xml:space="preserve"> O pritožbah odloča direkcija ZZZS.</w:t>
      </w:r>
    </w:p>
    <w:p>
      <w:pPr>
        <w:spacing w:after="0" w:line="260" w:lineRule="auto"/>
        <w:rPr>
          <w:rFonts w:ascii="Arial" w:hAnsi="Arial" w:cs="Arial"/>
        </w:rPr>
      </w:pPr>
    </w:p>
    <w:p>
      <w:pPr>
        <w:spacing w:after="0" w:line="260" w:lineRule="auto"/>
      </w:pPr>
      <w:r>
        <w:tab/>
      </w:r>
      <w:r>
        <w:t xml:space="preserve">(3) </w:t>
      </w:r>
      <w:r>
        <w:t>Pritožbo je potrebno vložiti v roku 15 dni od vročitve odločbe o glavni stvari, izdane na prvi stopnji.</w:t>
      </w:r>
    </w:p>
    <w:p>
      <w:pPr>
        <w:pStyle w:val="len"/>
        <w:spacing w:after="0" w:line="260" w:lineRule="auto"/>
      </w:pPr>
      <w:r>
        <w:t>11. člen</w:t>
      </w:r>
    </w:p>
    <w:p>
      <w:pPr>
        <w:pStyle w:val="lennaslov"/>
        <w:spacing w:after="0" w:line="260" w:lineRule="auto"/>
      </w:pPr>
      <w:r>
        <w:t>(ukrepi za odpravo kršitev)</w:t>
      </w:r>
    </w:p>
    <w:p>
      <w:pPr>
        <w:spacing w:after="0" w:line="260" w:lineRule="auto"/>
        <w:rPr>
          <w:rFonts w:ascii="Arial" w:hAnsi="Arial" w:cs="Arial"/>
        </w:rPr>
      </w:pPr>
    </w:p>
    <w:p>
      <w:pPr>
        <w:spacing w:after="0" w:line="260" w:lineRule="auto"/>
      </w:pPr>
      <w:r>
        <w:tab/>
      </w:r>
      <w:r>
        <w:t xml:space="preserve">(1) </w:t>
      </w:r>
      <w:r>
        <w:t>Če se v nadzoru ugotovijo nepravilnosti s finančnimi posledicami, ki so nastale zaradi napačno obračunane ali nepriznane storitve, ZZZS izvajalcu, pri katerem so bile ugotovljene nepravilnosti, naloži, da v roku osmih dni od prejema odločbe izda dobropis.</w:t>
      </w:r>
    </w:p>
    <w:p>
      <w:pPr>
        <w:spacing w:after="0" w:line="260" w:lineRule="auto"/>
        <w:rPr>
          <w:rFonts w:ascii="Arial" w:hAnsi="Arial" w:cs="Arial"/>
        </w:rPr>
      </w:pPr>
    </w:p>
    <w:p>
      <w:pPr>
        <w:spacing w:after="0" w:line="260" w:lineRule="auto"/>
      </w:pPr>
      <w:r>
        <w:tab/>
      </w:r>
      <w:r>
        <w:t xml:space="preserve">(2) </w:t>
      </w:r>
      <w:r>
        <w:t>Če izvajalec ne izstavi dobropisa v zahtevanem roku iz izreka odločbe, bo ZZZS na podlagi izdane odločbe poknjižil terjatev in zmanjšal plačilo preostalih odprtih obveznosti do izvajalca, ki jim je potekel rok za plačilo.</w:t>
      </w:r>
    </w:p>
    <w:p>
      <w:pPr>
        <w:spacing w:after="0" w:line="260" w:lineRule="auto"/>
        <w:rPr>
          <w:rFonts w:ascii="Arial" w:hAnsi="Arial" w:cs="Arial"/>
        </w:rPr>
      </w:pPr>
    </w:p>
    <w:p>
      <w:pPr>
        <w:spacing w:after="0" w:line="260" w:lineRule="auto"/>
      </w:pPr>
      <w:r>
        <w:tab/>
      </w:r>
      <w:r>
        <w:t xml:space="preserve">(3) </w:t>
      </w:r>
      <w:r>
        <w:t>Podlaga za ovrednotenje in finančni izračun vrednosti kršitev je informativna odločba, če zoper njo ni vložen ugovor ali odločba o glavni stvari, izdana na podlagi podanega ugovora na informativno odločbo.</w:t>
      </w:r>
    </w:p>
    <w:p>
      <w:pPr>
        <w:pStyle w:val="Poglavje"/>
        <w:spacing w:after="0" w:line="260" w:lineRule="auto"/>
      </w:pPr>
      <w:r>
        <w:t>KONČNA DOLOČBA</w:t>
      </w:r>
    </w:p>
    <w:p>
      <w:pPr>
        <w:pStyle w:val="len"/>
        <w:spacing w:after="0" w:line="260" w:lineRule="auto"/>
      </w:pPr>
      <w:r>
        <w:t>12.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pravilnik začne veljati petnajsti dan po objavi v Uradnem listu Republike Slovenije.</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Splošna določba opredelitve vsebine pravilnika, ki ureja postopek in način izvajanja nadzora zavoda nad pravilnostjo obračunavanja storitev DO in storitev e-oskrbe ter ukrepe zavoda v primeru ugotovljenih nepravilnosti.</w:t>
      </w:r>
    </w:p>
    <w:p>
      <w:pPr>
        <w:spacing w:after="0" w:line="240" w:lineRule="auto"/>
        <w:jc w:val="both"/>
      </w:pPr>
      <w:r>
        <w:t xml:space="preserve"> </w:t>
      </w:r>
    </w:p>
    <w:p>
      <w:pPr>
        <w:spacing w:after="0" w:line="240" w:lineRule="auto"/>
        <w:jc w:val="both"/>
      </w:pPr>
      <w:r>
        <w:t>Določba hkrati opredeljuje tudi krog subjektov, nad katerimi zavod izvaja nadzor, in sicer izvajalce dolgotrajne oskrbe ter ponudnike storitev e-oskrbe, ki izvajajo DO kot javno službo v skladu z ZDOsk-1.</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Člen določa namen nadzora zavoda nad izvajalci. Vzpostavitev učinkovitega nadzora je nujna za zagotavljanje zakonite in namenske porabe sredstev ter enake obravnave vseh izvajalcev pri obračunavanju storitev, saj gre za porabo javnih sredstev. Opredeljeno je, da morajo izvajalci storitve obračunavati skladno z ustrezno pravno podlago. Poleg ZDOsk-1 kot temeljne pravne podlage je opredeljeno tudi izpolnjevanje obveznosti v skladu z navodilom.</w:t>
      </w:r>
    </w:p>
    <w:p>
      <w:pPr>
        <w:spacing w:after="0" w:line="240" w:lineRule="auto"/>
        <w:jc w:val="both"/>
      </w:pPr>
      <w:r>
        <w:t xml:space="preserve"> </w:t>
      </w:r>
    </w:p>
    <w:p>
      <w:pPr>
        <w:spacing w:after="0" w:line="240" w:lineRule="auto"/>
        <w:jc w:val="both"/>
      </w:pPr>
      <w:r>
        <w:t>Navedena pravna podlaga ZZZS daje pristojnost za izvajanje nalog v okviru, katerih preverja pravilnost obračunavanja storitev in razpolaganja s sredstvi OZDO ter hkrati določa dolžnost izvajalcev, da vodijo in posredujejo ustrezno dokumentacijo ter omogočijo izvajanje nadzora nad obračunanimi storitvami.</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Člen vsebuje opredelitev dveh izrazov, uporabljenih v pravilniku. Določena sta pomena izrazov dokumentacija ter nadzornik. Pojem dokumentacije je določen široko in vključuje vse podatke v fizični ali elektronski obliki, s katerimi razpolaga ZZZS, izvajalec ali druge osebe in so potrebni za izvedbo nadzora.</w:t>
      </w:r>
    </w:p>
    <w:p>
      <w:pPr>
        <w:spacing w:after="0" w:line="240" w:lineRule="auto"/>
        <w:jc w:val="both"/>
      </w:pPr>
      <w:r>
        <w:t xml:space="preserve"> </w:t>
      </w:r>
    </w:p>
    <w:p>
      <w:pPr>
        <w:spacing w:after="0" w:line="240" w:lineRule="auto"/>
        <w:jc w:val="both"/>
      </w:pPr>
      <w:r>
        <w:t>Opredelitev nadzornika določa, da gre za delavca zavoda, ki izpolnjuje pogoje za izvajanje nadzora in je za izvajanje nadzora tudi pisno pooblaščen.</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V členu sta opredeljeni dve možnosti, na podlagi katerih se uvede nadzorni postopek. Redni nadzor se izvaja v skladu z letnim programom nadzorov, ki omogoča načrtno, organizirano in enotno izvajanje nadzornih aktivnosti ZZZS.</w:t>
      </w:r>
    </w:p>
    <w:p>
      <w:pPr>
        <w:spacing w:after="0" w:line="240" w:lineRule="auto"/>
        <w:jc w:val="both"/>
      </w:pPr>
      <w:r>
        <w:t xml:space="preserve"> </w:t>
      </w:r>
    </w:p>
    <w:p>
      <w:pPr>
        <w:spacing w:after="0" w:line="240" w:lineRule="auto"/>
        <w:jc w:val="both"/>
      </w:pPr>
      <w:r>
        <w:t>Izredni nadzori so nenačrtovani pregledi, ki se po potrebi sprožijo zunaj rednega programa, običajno zaradi utemeljenega suma nepravilnosti, izrednih okoliščin ali prejetih prijav.</w:t>
      </w:r>
    </w:p>
    <w:p>
      <w:pPr>
        <w:spacing w:after="0" w:line="260" w:lineRule="auto"/>
        <w:rPr>
          <w:rFonts w:ascii="Arial" w:hAnsi="Arial" w:cs="Arial"/>
        </w:rPr>
      </w:pPr>
    </w:p>
    <w:p>
      <w:pPr>
        <w:pStyle w:val="Odebeljeno"/>
        <w:spacing w:after="0" w:line="260" w:lineRule="auto"/>
      </w:pPr>
      <w:r>
        <w:t>K 5. členu:</w:t>
      </w:r>
    </w:p>
    <w:p>
      <w:pPr>
        <w:spacing w:after="0" w:line="240" w:lineRule="auto"/>
        <w:jc w:val="both"/>
      </w:pPr>
      <w:r>
        <w:t>Člen ureja začetek postopka nadzora in določa temeljna procesna pravila glede uvedbe nadzora.</w:t>
      </w:r>
    </w:p>
    <w:p>
      <w:pPr>
        <w:spacing w:after="0" w:line="240" w:lineRule="auto"/>
        <w:jc w:val="both"/>
      </w:pPr>
      <w:r>
        <w:t xml:space="preserve"> </w:t>
      </w:r>
    </w:p>
    <w:p>
      <w:pPr>
        <w:spacing w:after="0" w:line="240" w:lineRule="auto"/>
        <w:jc w:val="both"/>
      </w:pPr>
      <w:r>
        <w:t>V prvem odstavku je določeno, da se nadzor začne s sklepom o začetku nadzora, ki ga izda vodja – direktor OE ZZZS ali generalni direktor ZZZS. Določene so tudi obvezne sestavine sklepa, katerih namen je zagotoviti, da je izvajalec že ob začetku postopka seznanjen z bistvenimi okoliščinami nadzora, zlasti s predmetom nadzora, obdobjem nadzora, pravno podlago ter razlogi za uvedbo postopka. Takšna ureditev zagotavlja transparentnost postopka ter izvajalcu omogoča učinkovito uveljavljanje njegovih procesnih pravic in pripravo na sodelovanje v postopku nadzora. Pri obdobju nadzora je posebej poudarjeno, da se le-to lahko tudi spremeni. Smisel te določbe je predvsem v tem, da se nadzor med njegovim izvajanjem lahko prilagodi dejansko ugotovljenemu stanju. Ob začetku nadzora namreč nadzornik pogosto še ne razpolaga z vsemi informacijami oziroma se določene nepravilnosti lahko pokažejo šele med pregledom dokumentacije, obračunov ali drugih podatkov.</w:t>
      </w:r>
    </w:p>
    <w:p>
      <w:pPr>
        <w:spacing w:after="0" w:line="240" w:lineRule="auto"/>
        <w:jc w:val="both"/>
      </w:pPr>
      <w:r>
        <w:t xml:space="preserve"> </w:t>
      </w:r>
    </w:p>
    <w:p>
      <w:pPr>
        <w:spacing w:after="0" w:line="240" w:lineRule="auto"/>
        <w:jc w:val="both"/>
      </w:pPr>
      <w:r>
        <w:t>Določba omogoča, da se obdobje nadzora:</w:t>
      </w:r>
    </w:p>
    <w:p>
      <w:pPr>
        <w:spacing w:after="0" w:line="240" w:lineRule="auto"/>
        <w:jc w:val="both"/>
      </w:pPr>
      <w:r>
        <w:t>- časovno razširi na starejše ali novejše obdobje,</w:t>
      </w:r>
    </w:p>
    <w:p>
      <w:pPr>
        <w:spacing w:after="0" w:line="240" w:lineRule="auto"/>
        <w:jc w:val="both"/>
      </w:pPr>
      <w:r>
        <w:t>- podaljša na dodatne obračunske mesece ali</w:t>
      </w:r>
    </w:p>
    <w:p>
      <w:pPr>
        <w:spacing w:after="0" w:line="240" w:lineRule="auto"/>
        <w:jc w:val="both"/>
      </w:pPr>
      <w:r>
        <w:t>- drugače spremeni, če se ugotovijo okoliščine, ki kažejo na sistematične nepravilnosti ali ponavljajoča se odstopanja.</w:t>
      </w:r>
    </w:p>
    <w:p>
      <w:pPr>
        <w:spacing w:after="0" w:line="240" w:lineRule="auto"/>
        <w:jc w:val="both"/>
      </w:pPr>
      <w:r>
        <w:t>To je smiselno zlasti, kadar se pri nadzoru ugotovi, da nepravilnosti niso omejene le na prvotno določeno obdobje, kadar izvajalec naknadno predloži dodatno dokumentacijo oziroma se med nadzorom ugotovijo nova dejstva, ki vplivajo na obseg preverjanja ali v primerih, ko je zaradi preveritve pravilnosti obračunavanja potrebno pregledati daljše časovno obdobje.</w:t>
      </w:r>
    </w:p>
    <w:p>
      <w:pPr>
        <w:spacing w:after="0" w:line="240" w:lineRule="auto"/>
        <w:jc w:val="both"/>
      </w:pPr>
      <w:r>
        <w:t xml:space="preserve"> </w:t>
      </w:r>
    </w:p>
    <w:p>
      <w:pPr>
        <w:spacing w:after="0" w:line="240" w:lineRule="auto"/>
        <w:jc w:val="both"/>
      </w:pPr>
      <w:r>
        <w:t>Takšna določba nadzorniku omogoča učinkovito izvedbo nadzora ter preprečuje, da bi bil nadzor omejen zgolj na formalno prvotno določeno obdobje, če dejansko stanje kaže na potrebo po širšem preverjanju.</w:t>
      </w:r>
    </w:p>
    <w:p>
      <w:pPr>
        <w:spacing w:after="0" w:line="240" w:lineRule="auto"/>
        <w:jc w:val="both"/>
      </w:pPr>
      <w:r>
        <w:t xml:space="preserve"> </w:t>
      </w:r>
    </w:p>
    <w:p>
      <w:pPr>
        <w:spacing w:after="0" w:line="240" w:lineRule="auto"/>
        <w:jc w:val="both"/>
      </w:pPr>
      <w:r>
        <w:t xml:space="preserve">V drugem odstavku je določena vročitev sklepa nadzorovanemu izvajalcu. Namen določbe je zagotoviti formalno seznanitev izvajalca z začetkom postopka nadzora in s tem povezanim procesnim položajem v postopku. Ob subsidiarni uporabi Zakona o splošnem upravnem postopku (Uradni list RS, št. </w:t>
      </w:r>
      <w:r>
        <w:t>24/06</w:t>
      </w:r>
      <w:r>
        <w:t xml:space="preserve"> – uradno prečiščeno besedilo, </w:t>
      </w:r>
      <w:r>
        <w:t>105/06</w:t>
      </w:r>
      <w:r>
        <w:t xml:space="preserve"> – ZUS-1, </w:t>
      </w:r>
      <w:r>
        <w:t>126/07</w:t>
      </w:r>
      <w:r>
        <w:t xml:space="preserve">, </w:t>
      </w:r>
      <w:r>
        <w:t>65/08</w:t>
      </w:r>
      <w:r>
        <w:t xml:space="preserve">, </w:t>
      </w:r>
      <w:r>
        <w:t>8/10</w:t>
      </w:r>
      <w:r>
        <w:t xml:space="preserve">, </w:t>
      </w:r>
      <w:r>
        <w:t>82/13</w:t>
      </w:r>
      <w:r>
        <w:t xml:space="preserve">, </w:t>
      </w:r>
      <w:r>
        <w:t>175/20</w:t>
      </w:r>
      <w:r>
        <w:t xml:space="preserve"> – ZIUOPDVE, </w:t>
      </w:r>
      <w:r>
        <w:t>3/22</w:t>
      </w:r>
      <w:r>
        <w:t xml:space="preserve"> – ZDeb in </w:t>
      </w:r>
      <w:r>
        <w:t>85/25</w:t>
      </w:r>
      <w:r>
        <w:t>; v nadaljevanju: ZUP) se vročitev izvaja v skladu s 83. – 90. členom ZUP.</w:t>
      </w:r>
    </w:p>
    <w:p>
      <w:pPr>
        <w:spacing w:after="0" w:line="240" w:lineRule="auto"/>
        <w:jc w:val="both"/>
      </w:pPr>
      <w:r>
        <w:t xml:space="preserve"> </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K 6. členu:</w:t>
      </w:r>
    </w:p>
    <w:p>
      <w:pPr>
        <w:spacing w:after="0" w:line="240" w:lineRule="auto"/>
        <w:jc w:val="both"/>
      </w:pPr>
      <w:r>
        <w:t>Prvi odstavek opredeljuje izvajanje postopka nadzora na prvi stopnji postopka. Nadzornik je za izvedbo dejanj nadzora povsem samostojen in hkrati odgovoren, da z gotovostjo ugotovi dejansko stanja in na podlagi ugotovitev ukrepa v skladu z ugotovljenim stanjem.</w:t>
      </w:r>
    </w:p>
    <w:p>
      <w:pPr>
        <w:spacing w:after="0" w:line="240" w:lineRule="auto"/>
        <w:jc w:val="both"/>
      </w:pPr>
      <w:r>
        <w:t xml:space="preserve"> </w:t>
      </w:r>
    </w:p>
    <w:p>
      <w:pPr>
        <w:spacing w:after="0" w:line="240" w:lineRule="auto"/>
        <w:jc w:val="both"/>
      </w:pPr>
      <w:r>
        <w:t>V drugem odstavku je določeno, da je nadzornik pri izvedbi nadzora samostojen in vodi nadzor v skladu s tem pravilnikom. Takšna ureditev temelji na določbah ZUP, zlasti 28., 30. in 31. člen ZUP, ki natančneje ureja pojme pooblaščene uradne osebe za odločanje oziroma vodenje postopka in opravljanje posameznih dejanj v postopku. Namen določbe je zagotoviti strokovno, nepristransko in zakonito izvajanje postopkov nadzora ter jasno odgovornost za vodenje posameznega postopka nadzora.</w:t>
      </w:r>
    </w:p>
    <w:p>
      <w:pPr>
        <w:spacing w:after="0" w:line="260" w:lineRule="auto"/>
        <w:rPr>
          <w:rFonts w:ascii="Arial" w:hAnsi="Arial" w:cs="Arial"/>
        </w:rPr>
      </w:pPr>
    </w:p>
    <w:p>
      <w:pPr>
        <w:pStyle w:val="Odebeljeno"/>
        <w:spacing w:after="0" w:line="260" w:lineRule="auto"/>
      </w:pPr>
      <w:r>
        <w:t>K 7. členu:</w:t>
      </w:r>
    </w:p>
    <w:p>
      <w:pPr>
        <w:spacing w:after="0" w:line="240" w:lineRule="auto"/>
        <w:jc w:val="both"/>
      </w:pPr>
      <w:r>
        <w:t>Člen podrobneje ureja nadzorna dejanja, ki jih nadzornik izvaja v postopku nadzora nad pravilnostjo obračunavanja storitev DO.</w:t>
      </w:r>
    </w:p>
    <w:p>
      <w:pPr>
        <w:spacing w:after="0" w:line="240" w:lineRule="auto"/>
        <w:jc w:val="both"/>
      </w:pPr>
      <w:r>
        <w:t>Namen določbe je zagotoviti jasno pravno podlago za pridobivanje, pregledovanje in preverjanje podatkov ter dokumentacije, ki so potrebni za ugotavljanje pravilnosti obračunanih storitev DO.</w:t>
      </w:r>
    </w:p>
    <w:p>
      <w:pPr>
        <w:spacing w:after="0" w:line="240" w:lineRule="auto"/>
        <w:jc w:val="both"/>
      </w:pPr>
      <w:r>
        <w:t xml:space="preserve"> </w:t>
      </w:r>
    </w:p>
    <w:p>
      <w:pPr>
        <w:spacing w:after="0" w:line="240" w:lineRule="auto"/>
        <w:jc w:val="both"/>
      </w:pPr>
      <w:r>
        <w:t>Prvi odstavek določa splošni okvir nadzornih dejanj, ki vključujejo pregled, preverjanje in primerjavo dokumentacije ter podatkov, s katerimi razpolaga ZZZS oziroma jih pridobi v postopku nadzora. Pravilnost obračunov se praviloma ugotavlja na podlagi listinske in elektronske dokumentacije ter podatkov iz uradnih evidenc.</w:t>
      </w:r>
    </w:p>
    <w:p>
      <w:pPr>
        <w:spacing w:after="0" w:line="240" w:lineRule="auto"/>
        <w:jc w:val="both"/>
      </w:pPr>
      <w:r>
        <w:t xml:space="preserve"> </w:t>
      </w:r>
    </w:p>
    <w:p>
      <w:pPr>
        <w:spacing w:after="0" w:line="240" w:lineRule="auto"/>
        <w:jc w:val="both"/>
      </w:pPr>
      <w:r>
        <w:t>V drugem odstavku je urejen postopek pridobivanja dodatne dokumentacije od izvajalca, kadar ZZZS z zahtevano dokumentacijo ne razpolaga. Določen je tudi rok za predložitev dokumentacije, ki mora biti dovolj dolg, da izvajalec lahko zagotovi zahtevano dokumentacijo, hkrati pa ne sme neupravičeno podaljševati postopka nadzora. Zato je določen minimalni in maksimalni rok za njeno predložitev.</w:t>
      </w:r>
    </w:p>
    <w:p>
      <w:pPr>
        <w:spacing w:after="0" w:line="260" w:lineRule="auto"/>
        <w:rPr>
          <w:rFonts w:ascii="Arial" w:hAnsi="Arial" w:cs="Arial"/>
        </w:rPr>
      </w:pPr>
    </w:p>
    <w:p>
      <w:pPr>
        <w:pStyle w:val="Odebeljeno"/>
        <w:spacing w:after="0" w:line="260" w:lineRule="auto"/>
      </w:pPr>
      <w:r>
        <w:t>K 8. členu:</w:t>
      </w:r>
    </w:p>
    <w:p>
      <w:pPr>
        <w:spacing w:after="0" w:line="240" w:lineRule="auto"/>
        <w:jc w:val="both"/>
      </w:pPr>
      <w:r>
        <w:t>Člen ureja začasno prekinitev postopka s sklepom, če nastopijo okoliščine, ki začasno onemogočajo njegovo izvajanje. Takšna ureditev omogoča začasno prekinitev postopka v primerih, ko nadaljevanje nadzora začasno ni mogoče ali smiselno, na primer zaradi potrebe po pridobitvi dodatne dokumentacije, obstoja drugega postopka, pomembnega za odločitev, ali drugih objektivnih okoliščin. Določba temelji na splošnih pravilih ZUP glede prekinitve postopka, zlasti na 147. členu ZUP, ki ureja prekinitev postopka zaradi rešitve predhodnega vprašanja, ter na načelu ekonomičnosti postopka iz 14. člena ZUP.</w:t>
      </w:r>
    </w:p>
    <w:p>
      <w:pPr>
        <w:spacing w:after="0" w:line="260" w:lineRule="auto"/>
        <w:rPr>
          <w:rFonts w:ascii="Arial" w:hAnsi="Arial" w:cs="Arial"/>
        </w:rPr>
      </w:pPr>
    </w:p>
    <w:p>
      <w:pPr>
        <w:pStyle w:val="Odebeljeno"/>
        <w:spacing w:after="0" w:line="260" w:lineRule="auto"/>
      </w:pPr>
      <w:r>
        <w:t>K 9. členu:</w:t>
      </w:r>
    </w:p>
    <w:p>
      <w:pPr>
        <w:spacing w:after="0" w:line="240" w:lineRule="auto"/>
        <w:jc w:val="both"/>
      </w:pPr>
      <w:r>
        <w:t>V prvem odstavku je uvedena možnost izdaje informativne odločbe v postopku nadzora, skladno z 210.a členom ZUP. Z izdajo odločbe se formalno zaključi nadzor na prvi stopnji. Namen informativne odločbe je, da se izvajalec pred izdajo odločbe o glavni stvari seznani z ugotovitvami nadzora ter mu omogoči učinkovito uveljavljanje pravice do izjave in pravnega varstva. V skladu s petim odstavkom 210.a člena ZUP informativna odločba, zoper katero izvajalec v zakonskem roku ne vloži ugovora, postane pravnomočna odločba o glavni stvari. V tem primeru se šteje, da se je izvajalec odpovedal pravici do pritožbe oziroma sodnega varstva, če pritožba ni dovoljena.</w:t>
      </w:r>
    </w:p>
    <w:p>
      <w:pPr>
        <w:spacing w:after="0" w:line="240" w:lineRule="auto"/>
        <w:jc w:val="both"/>
      </w:pPr>
      <w:r>
        <w:t xml:space="preserve"> </w:t>
      </w:r>
    </w:p>
    <w:p>
      <w:pPr>
        <w:spacing w:after="0" w:line="240" w:lineRule="auto"/>
        <w:jc w:val="both"/>
      </w:pPr>
      <w:r>
        <w:t>V drugem odstavku je opredeljena splošna opredelitev informativne odločbe in morebitne ugotovljene nepravilnosti oziroma kršitve. Na ta način se izvajalcu omogoči, da se pred dokončno odločitvijo opredeli do ugotovljenega dejanskega stanja in predloži morebitna dodatna pojasnila ali dokazila.</w:t>
      </w:r>
    </w:p>
    <w:p>
      <w:pPr>
        <w:spacing w:after="0" w:line="240" w:lineRule="auto"/>
        <w:jc w:val="both"/>
      </w:pPr>
      <w:r>
        <w:t xml:space="preserve"> </w:t>
      </w:r>
    </w:p>
    <w:p>
      <w:pPr>
        <w:spacing w:after="0" w:line="240" w:lineRule="auto"/>
        <w:jc w:val="both"/>
      </w:pPr>
      <w:r>
        <w:t>Glede postopka izdaje informativne odločbe, ugovora ter njenih pravnih učinkov se neposredno uporablja ZUP.</w:t>
      </w:r>
    </w:p>
    <w:p>
      <w:pPr>
        <w:spacing w:after="0" w:line="260" w:lineRule="auto"/>
        <w:rPr>
          <w:rFonts w:ascii="Arial" w:hAnsi="Arial" w:cs="Arial"/>
        </w:rPr>
      </w:pPr>
    </w:p>
    <w:p>
      <w:pPr>
        <w:pStyle w:val="Odebeljeno"/>
        <w:spacing w:after="0" w:line="260" w:lineRule="auto"/>
      </w:pPr>
      <w:r>
        <w:t>K 10. členu:</w:t>
      </w:r>
    </w:p>
    <w:p>
      <w:pPr>
        <w:spacing w:after="0" w:line="240" w:lineRule="auto"/>
        <w:jc w:val="both"/>
      </w:pPr>
      <w:r>
        <w:t>Člen ureja pravno varstvo v postopku nadzora v primerih, ko je po vloženem ugovoru zoper informativno odločbo izdana odločba o glavni stvari.</w:t>
      </w:r>
    </w:p>
    <w:p>
      <w:pPr>
        <w:spacing w:after="0" w:line="240" w:lineRule="auto"/>
        <w:jc w:val="both"/>
      </w:pPr>
      <w:r>
        <w:t xml:space="preserve"> </w:t>
      </w:r>
    </w:p>
    <w:p>
      <w:pPr>
        <w:spacing w:after="0" w:line="240" w:lineRule="auto"/>
        <w:jc w:val="both"/>
      </w:pPr>
      <w:r>
        <w:t>Ker se v skladu z ZUP, šteje, da informativna odločba ob nevložitvi ugovora postane pravnomočna odločba, je pritožba dopustna le zoper odločbo o glavni stvari, izdano po izvedenem ugovornem postopku.</w:t>
      </w:r>
    </w:p>
    <w:p>
      <w:pPr>
        <w:spacing w:after="0" w:line="240" w:lineRule="auto"/>
        <w:jc w:val="both"/>
      </w:pPr>
      <w:r>
        <w:t xml:space="preserve"> </w:t>
      </w:r>
    </w:p>
    <w:p>
      <w:pPr>
        <w:spacing w:after="0" w:line="240" w:lineRule="auto"/>
        <w:jc w:val="both"/>
      </w:pPr>
      <w:r>
        <w:t>Določba hkrati določa pristojni organ za odločanje o pritožbi, ki je Direkcije ZZZS ter rok za vložitev pritožbe, ki znaša 15 dni od vročitve odločbe prve stopnje. S tem se zagotavlja pravica izvajalca do pravnega sredstva ter dvostopenjsko odločanje v postopkih nadzora iz 13. člena ZUP, ki določa pravico stranke do pritožbe zoper odločbo, izdano na prvi stopnji, kadar se z njo odloča o njenih pravicah, obveznostih ali pravnih koristih.</w:t>
      </w:r>
    </w:p>
    <w:p>
      <w:pPr>
        <w:spacing w:after="0" w:line="260" w:lineRule="auto"/>
        <w:rPr>
          <w:rFonts w:ascii="Arial" w:hAnsi="Arial" w:cs="Arial"/>
        </w:rPr>
      </w:pPr>
    </w:p>
    <w:p>
      <w:pPr>
        <w:pStyle w:val="Odebeljeno"/>
        <w:spacing w:after="0" w:line="260" w:lineRule="auto"/>
      </w:pPr>
      <w:r>
        <w:t>K 11. členu:</w:t>
      </w:r>
    </w:p>
    <w:p>
      <w:pPr>
        <w:spacing w:after="0" w:line="240" w:lineRule="auto"/>
        <w:jc w:val="both"/>
      </w:pPr>
      <w:r>
        <w:t>Člen ureja ukrepe ZZZS v primeru, ko se v postopku nadzora ugotovijo nepravilnosti s finančnimi posledicami pri obračunavanju storitev DO.</w:t>
      </w:r>
    </w:p>
    <w:p>
      <w:pPr>
        <w:spacing w:after="0" w:line="240" w:lineRule="auto"/>
        <w:jc w:val="both"/>
      </w:pPr>
      <w:r>
        <w:t xml:space="preserve"> </w:t>
      </w:r>
    </w:p>
    <w:p>
      <w:pPr>
        <w:spacing w:after="0" w:line="240" w:lineRule="auto"/>
        <w:jc w:val="both"/>
      </w:pPr>
      <w:r>
        <w:t>V prvem odstavku je določeno, da ZZZS izvajalcu naloži izdajo dobropisa, kadar se ugotovi, da so bile storitve napačno obračunane oziroma neupravičeno priznane. Namen določbe je vzpostavitev pravilnega finančnega stanja ter vračilo neupravičeno obračunanih storitev.</w:t>
      </w:r>
    </w:p>
    <w:p>
      <w:pPr>
        <w:spacing w:after="0" w:line="240" w:lineRule="auto"/>
        <w:jc w:val="both"/>
      </w:pPr>
      <w:r>
        <w:t xml:space="preserve"> </w:t>
      </w:r>
    </w:p>
    <w:p>
      <w:pPr>
        <w:spacing w:after="0" w:line="240" w:lineRule="auto"/>
        <w:jc w:val="both"/>
      </w:pPr>
      <w:r>
        <w:t>Drugi odstavek ureja ravnanje ZZZS v primeru, če izvajalec v določenem roku ne izda zahtevanega dobropisa. V takšnem primeru lahko ZZZS na podlagi dokončne odločbe sam evidentira terjatev, zmanjša svoje obveznosti do izvajalca ter zmanjša plačilo preostalih odprtih obveznosti do izvajalca, ki jim je potekel rok za plačilo. Temelj določbe je predvsem v pristojnosti ZZZS za upravljanje in varovanje sredstev OZDO po ZDOsk-1.</w:t>
      </w:r>
    </w:p>
    <w:p>
      <w:pPr>
        <w:spacing w:after="0" w:line="240" w:lineRule="auto"/>
        <w:jc w:val="both"/>
      </w:pPr>
      <w:r>
        <w:t xml:space="preserve"> </w:t>
      </w:r>
    </w:p>
    <w:p>
      <w:pPr>
        <w:spacing w:after="0" w:line="240" w:lineRule="auto"/>
        <w:jc w:val="both"/>
      </w:pPr>
      <w:r>
        <w:t>Tretji odstavek določa, da odločba, izdana po izvedenem nadzoru, ne glede na to, ali gre za informativno odločbo ali za odločbo o glavni stvari, izdano na podlagi ugovora zoper informativno odločbo, predstavlja podlago za ovrednotenje in finančni izračun ugotovljenih kršitev. Namen določbe je zagotoviti jasno pravno podlago za izvedbo finančnih in računovodskih postopkov, potrebnih za odpravo ugotovljenih nepravilnosti ter za pravilno določitev finančnih posledic ugotovljenih kršitev.</w:t>
      </w:r>
    </w:p>
    <w:p>
      <w:pPr>
        <w:spacing w:after="0" w:line="260" w:lineRule="auto"/>
        <w:rPr>
          <w:rFonts w:ascii="Arial" w:hAnsi="Arial" w:cs="Arial"/>
        </w:rPr>
      </w:pPr>
    </w:p>
    <w:p>
      <w:pPr>
        <w:pStyle w:val="Odebeljeno"/>
        <w:spacing w:after="0" w:line="260" w:lineRule="auto"/>
      </w:pPr>
      <w:r>
        <w:t>K 12. členu:</w:t>
      </w:r>
    </w:p>
    <w:p>
      <w:pPr>
        <w:spacing w:after="0" w:line="240" w:lineRule="auto"/>
        <w:jc w:val="both"/>
      </w:pPr>
      <w:r>
        <w:t>Pravilnik se objavi v Uradnem listu RS, ko da soglasje minister, pristojen za dolgotrajno oskrbo (113. člen ZDOsk-1). Pravilnik bo začel veljati v običajnem petnajstdnevnem roku od objave.</w:t>
      </w:r>
    </w:p>
    <w:p>
      <w:pPr>
        <w:spacing w:after="0" w:line="260" w:lineRule="auto"/>
        <w:rPr>
          <w:rFonts w:ascii="Arial" w:hAnsi="Arial" w:cs="Arial"/>
        </w:rPr>
      </w:pPr>
    </w:p>
    <w:p>
      <w:r>
        <w:br w:type="page"/>
      </w:r>
    </w:p>
    <w:p>
      <w:pPr>
        <w:pStyle w:val="Odebeljeno"/>
        <w:spacing w:after="0" w:line="260" w:lineRule="auto"/>
      </w:pPr>
      <w:r>
        <w:t>IV.</w:t>
      </w:r>
      <w:r>
        <w:tab/>
      </w:r>
      <w:r>
        <w:t>PRILOGE</w:t>
      </w:r>
    </w:p>
    <w:p>
      <w:pPr>
        <w:spacing w:after="0" w:line="260" w:lineRule="auto"/>
        <w:rPr>
          <w:rFonts w:ascii="Arial" w:hAnsi="Arial" w:cs="Arial"/>
        </w:rPr>
      </w:pPr>
    </w:p>
    <w:p>
      <w:pPr>
        <w:spacing w:after="0" w:line="260" w:lineRule="auto"/>
      </w:pPr>
      <w:r>
        <w:t>Priloge niso priložene.</w:t>
      </w:r>
    </w:p>
    <w:sectPr w:rsidSect="00945425">
      <w:footerReference w:type="default" r:id="rId4"/>
      <w:headerReference w:type="first" r:id="rId5"/>
      <w:pgSz w:w="11906" w:h="16838"/>
      <w:pgMar w:top="1700" w:right="1700" w:bottom="1134" w:left="17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10. 09. 2026 13:16:14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425" w:rsidRPr="000E33E4">
    <w:pPr>
      <w:pStyle w:val="Header"/>
      <w:rPr>
        <w:rFonts w:ascii="Arial" w:hAnsi="Arial"/>
        <w:sz w:val="24"/>
        <w:szCs w:val="24"/>
      </w:rPr>
    </w:pPr>
    <w:r w:rsidRPr="000E33E4">
      <w:rPr>
        <w:noProof/>
        <w:sz w:val="24"/>
        <w:szCs w:val="24"/>
        <w:lang w:val="sl-SI"/>
      </w:rPr>
      <w:drawing>
        <wp:anchor distT="0" distB="0" distL="114300" distR="114300" simplePos="0" relativeHeight="251658240" behindDoc="1" locked="0" layoutInCell="1" allowOverlap="1">
          <wp:simplePos x="0" y="0"/>
          <wp:positionH relativeFrom="column">
            <wp:posOffset>-553720</wp:posOffset>
          </wp:positionH>
          <wp:positionV relativeFrom="paragraph">
            <wp:posOffset>-31750</wp:posOffset>
          </wp:positionV>
          <wp:extent cx="382270" cy="396240"/>
          <wp:effectExtent l="0" t="0" r="0" b="3810"/>
          <wp:wrapTight wrapText="bothSides">
            <wp:wrapPolygon>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rPr>
        <w:rFonts w:ascii="Arial" w:hAnsi="Arial"/>
        <w:sz w:val="20"/>
        <w:szCs w:val="20"/>
      </w:rPr>
      <w:t>REPUBLIKA SLOVENIJA</w:t>
    </w:r>
  </w:p>
  <w:p w:rsidR="000E33E4" w:rsidRPr="000E33E4">
    <w:pPr>
      <w:pStyle w:val="Header"/>
      <w:jc w:val="left"/>
      <w:rPr>
        <w:rFonts w:ascii="Arial" w:hAnsi="Arial"/>
        <w:b/>
        <w:sz w:val="20"/>
        <w:szCs w:val="20"/>
      </w:rPr>
    </w:pPr>
    <w:r w:rsidRPr="000E33E4">
      <w:rPr>
        <w:rFonts w:ascii="Arial" w:hAnsi="Arial"/>
        <w:b/>
        <w:sz w:val="20"/>
        <w:szCs w:val="20"/>
      </w:rPr>
      <w:t>MINISTRSTVO ZA DEMOGRAFIJO,</w:t>
      <w:br/>
      <w:t>DRUŽINO IN SOCIALNE ZADEVE</w:t>
    </w:r>
  </w:p>
  <w:p w:rsidR="000E33E4" w:rsidRPr="000E33E4">
    <w:pPr>
      <w:pStyle w:val="Header"/>
      <w:rPr>
        <w:rFonts w:ascii="Arial" w:hAnsi="Arial"/>
        <w:b/>
        <w:sz w:val="20"/>
        <w:szCs w:val="20"/>
      </w:rPr>
    </w:pP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2"/>
      <w:gridCol w:w="3826"/>
    </w:tblGrid>
    <w:tr w:rsidTr="000E33E4">
      <w:tblPrEx>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102" w:type="dxa"/>
        </w:tcPr>
        <w:p w:rsidR="000E33E4">
          <w:pPr>
            <w:pStyle w:val="Header"/>
            <w:rPr>
              <w:rFonts w:ascii="Arial" w:hAnsi="Arial"/>
              <w:sz w:val="16"/>
              <w:szCs w:val="16"/>
            </w:rPr>
          </w:pPr>
          <w:r>
            <w:rPr>
              <w:rFonts w:ascii="Arial" w:hAnsi="Arial"/>
              <w:sz w:val="16"/>
              <w:szCs w:val="16"/>
            </w:rPr>
            <w:t>Štukljeva cesta 44, 1000 Ljubljana</w:t>
          </w:r>
        </w:p>
      </w:tc>
      <w:tc>
        <w:tcPr>
          <w:tcW w:w="3826" w:type="dxa"/>
        </w:tcPr>
        <w:p w:rsidR="000E33E4">
          <w:pPr>
            <w:pStyle w:val="Header"/>
            <w:rPr>
              <w:rFonts w:ascii="Arial" w:hAnsi="Arial"/>
              <w:sz w:val="16"/>
              <w:szCs w:val="16"/>
            </w:rPr>
          </w:pPr>
          <w:r>
            <w:rPr>
              <w:rFonts w:ascii="Arial" w:hAnsi="Arial"/>
              <w:sz w:val="16"/>
              <w:szCs w:val="16"/>
            </w:rPr>
            <w:t>T: 01 369 77 00</w:t>
          </w:r>
        </w:p>
        <w:p w:rsidR="000E33E4">
          <w:pPr>
            <w:pStyle w:val="Header"/>
            <w:rPr>
              <w:rFonts w:ascii="Arial" w:hAnsi="Arial"/>
              <w:sz w:val="16"/>
              <w:szCs w:val="16"/>
            </w:rPr>
          </w:pPr>
          <w:r>
            <w:rPr>
              <w:rFonts w:ascii="Arial" w:hAnsi="Arial"/>
              <w:sz w:val="16"/>
              <w:szCs w:val="16"/>
            </w:rPr>
            <w:t xml:space="preserve">E: </w:t>
          </w:r>
          <w:hyperlink r:id="rId2" w:history="1">
            <w:r w:rsidRPr="001C566E">
              <w:rPr>
                <w:rStyle w:val="DefaultParagraphFont"/>
                <w:rFonts w:ascii="Arial" w:hAnsi="Arial"/>
                <w:sz w:val="16"/>
                <w:szCs w:val="16"/>
              </w:rPr>
              <w:t>gp.mddsz@gov.si</w:t>
            </w:r>
          </w:hyperlink>
        </w:p>
        <w:p w:rsidR="000E33E4">
          <w:pPr>
            <w:pStyle w:val="Header"/>
            <w:rPr>
              <w:rFonts w:ascii="Arial" w:hAnsi="Arial"/>
              <w:sz w:val="16"/>
              <w:szCs w:val="16"/>
            </w:rPr>
          </w:pPr>
          <w:r>
            <w:rPr>
              <w:rFonts w:ascii="Arial" w:hAnsi="Arial"/>
              <w:sz w:val="16"/>
              <w:szCs w:val="16"/>
            </w:rPr>
            <w:t>https://www.gov.si/drzavni-organi/ministrstva/ministrstvo-za-delo-druzino-socialne-zadeve-in-enake-moznosti/</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E33E4"/>
    <w:rsid w:val="001C566E"/>
    <w:rsid w:val="00945425"/>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mailto:gp.mp@gov.s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