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01091" w14:textId="77777777" w:rsidR="008F4956" w:rsidRDefault="008F4956" w:rsidP="008F4956">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14:paraId="3BF87380" w14:textId="77777777" w:rsidR="008F4956" w:rsidRPr="005B7910" w:rsidRDefault="008F4956" w:rsidP="008F4956">
      <w:pPr>
        <w:suppressAutoHyphens/>
        <w:overflowPunct w:val="0"/>
        <w:autoSpaceDE w:val="0"/>
        <w:autoSpaceDN w:val="0"/>
        <w:adjustRightInd w:val="0"/>
        <w:spacing w:after="0" w:line="260" w:lineRule="exact"/>
        <w:jc w:val="right"/>
        <w:textAlignment w:val="baseline"/>
        <w:rPr>
          <w:rFonts w:ascii="Arial" w:eastAsia="Times New Roman" w:hAnsi="Arial"/>
          <w:b/>
          <w:sz w:val="20"/>
          <w:szCs w:val="20"/>
          <w:lang w:eastAsia="sl-SI"/>
        </w:rPr>
      </w:pPr>
      <w:r w:rsidRPr="005B7910">
        <w:rPr>
          <w:rFonts w:ascii="Arial" w:eastAsia="Times New Roman" w:hAnsi="Arial"/>
          <w:b/>
          <w:sz w:val="20"/>
          <w:szCs w:val="20"/>
          <w:lang w:eastAsia="sl-SI"/>
        </w:rPr>
        <w:t>PREDLOG</w:t>
      </w:r>
    </w:p>
    <w:p w14:paraId="4573D3C3" w14:textId="4888F731" w:rsidR="008F4956" w:rsidRDefault="00B41882" w:rsidP="008F4956">
      <w:pPr>
        <w:suppressAutoHyphens/>
        <w:overflowPunct w:val="0"/>
        <w:autoSpaceDE w:val="0"/>
        <w:autoSpaceDN w:val="0"/>
        <w:adjustRightInd w:val="0"/>
        <w:spacing w:after="0" w:line="260" w:lineRule="exact"/>
        <w:jc w:val="center"/>
        <w:textAlignment w:val="baseline"/>
        <w:rPr>
          <w:rFonts w:ascii="Arial" w:eastAsia="Times New Roman" w:hAnsi="Arial"/>
          <w:b/>
          <w:iCs/>
          <w:sz w:val="20"/>
          <w:szCs w:val="20"/>
          <w:lang w:eastAsia="sl-SI"/>
        </w:rPr>
      </w:pPr>
      <w:r>
        <w:rPr>
          <w:rFonts w:ascii="Arial" w:eastAsia="Times New Roman" w:hAnsi="Arial"/>
          <w:b/>
          <w:sz w:val="20"/>
          <w:szCs w:val="20"/>
          <w:lang w:eastAsia="sl-SI"/>
        </w:rPr>
        <w:tab/>
      </w:r>
      <w:r>
        <w:rPr>
          <w:rFonts w:ascii="Arial" w:eastAsia="Times New Roman" w:hAnsi="Arial"/>
          <w:b/>
          <w:sz w:val="20"/>
          <w:szCs w:val="20"/>
          <w:lang w:eastAsia="sl-SI"/>
        </w:rPr>
        <w:tab/>
      </w:r>
      <w:r w:rsidR="008F4956">
        <w:rPr>
          <w:rFonts w:ascii="Arial" w:eastAsia="Times New Roman" w:hAnsi="Arial"/>
          <w:b/>
          <w:sz w:val="20"/>
          <w:szCs w:val="20"/>
          <w:lang w:eastAsia="sl-SI"/>
        </w:rPr>
        <w:tab/>
      </w:r>
      <w:r w:rsidR="008F4956">
        <w:rPr>
          <w:rFonts w:ascii="Arial" w:eastAsia="Times New Roman" w:hAnsi="Arial"/>
          <w:b/>
          <w:sz w:val="20"/>
          <w:szCs w:val="20"/>
          <w:lang w:eastAsia="sl-SI"/>
        </w:rPr>
        <w:tab/>
      </w:r>
      <w:r w:rsidR="008F4956">
        <w:rPr>
          <w:rFonts w:ascii="Arial" w:eastAsia="Times New Roman" w:hAnsi="Arial"/>
          <w:b/>
          <w:sz w:val="20"/>
          <w:szCs w:val="20"/>
          <w:lang w:eastAsia="sl-SI"/>
        </w:rPr>
        <w:tab/>
      </w:r>
      <w:r w:rsidR="008F4956">
        <w:rPr>
          <w:rFonts w:ascii="Arial" w:eastAsia="Times New Roman" w:hAnsi="Arial"/>
          <w:b/>
          <w:sz w:val="20"/>
          <w:szCs w:val="20"/>
          <w:lang w:eastAsia="sl-SI"/>
        </w:rPr>
        <w:tab/>
      </w:r>
      <w:r w:rsidR="008F4956">
        <w:rPr>
          <w:rFonts w:ascii="Arial" w:eastAsia="Times New Roman" w:hAnsi="Arial"/>
          <w:b/>
          <w:sz w:val="20"/>
          <w:szCs w:val="20"/>
          <w:lang w:eastAsia="sl-SI"/>
        </w:rPr>
        <w:tab/>
      </w:r>
      <w:r w:rsidR="008F4956">
        <w:rPr>
          <w:rFonts w:ascii="Arial" w:eastAsia="Times New Roman" w:hAnsi="Arial"/>
          <w:b/>
          <w:sz w:val="20"/>
          <w:szCs w:val="20"/>
          <w:lang w:eastAsia="sl-SI"/>
        </w:rPr>
        <w:tab/>
      </w:r>
      <w:r w:rsidR="008F4956">
        <w:rPr>
          <w:rFonts w:ascii="Arial" w:eastAsia="Times New Roman" w:hAnsi="Arial"/>
          <w:b/>
          <w:sz w:val="20"/>
          <w:szCs w:val="20"/>
          <w:lang w:eastAsia="sl-SI"/>
        </w:rPr>
        <w:tab/>
      </w:r>
      <w:r w:rsidR="008F4956">
        <w:rPr>
          <w:rFonts w:ascii="Arial" w:eastAsia="Times New Roman" w:hAnsi="Arial"/>
          <w:b/>
          <w:sz w:val="20"/>
          <w:szCs w:val="20"/>
          <w:lang w:eastAsia="sl-SI"/>
        </w:rPr>
        <w:tab/>
      </w:r>
      <w:r w:rsidR="008F4956" w:rsidRPr="0005687D">
        <w:rPr>
          <w:rFonts w:ascii="Arial" w:eastAsia="Times New Roman" w:hAnsi="Arial"/>
          <w:b/>
          <w:iCs/>
          <w:sz w:val="20"/>
          <w:szCs w:val="20"/>
          <w:lang w:eastAsia="sl-SI"/>
        </w:rPr>
        <w:t>EVA 202</w:t>
      </w:r>
      <w:r w:rsidR="008F4956">
        <w:rPr>
          <w:rFonts w:ascii="Arial" w:eastAsia="Times New Roman" w:hAnsi="Arial"/>
          <w:b/>
          <w:iCs/>
          <w:sz w:val="20"/>
          <w:szCs w:val="20"/>
          <w:lang w:eastAsia="sl-SI"/>
        </w:rPr>
        <w:t>6</w:t>
      </w:r>
      <w:r w:rsidR="008F4956" w:rsidRPr="0005687D">
        <w:rPr>
          <w:rFonts w:ascii="Arial" w:eastAsia="Times New Roman" w:hAnsi="Arial"/>
          <w:b/>
          <w:iCs/>
          <w:sz w:val="20"/>
          <w:szCs w:val="20"/>
          <w:lang w:eastAsia="sl-SI"/>
        </w:rPr>
        <w:t>-</w:t>
      </w:r>
      <w:r w:rsidR="008F4956">
        <w:rPr>
          <w:rFonts w:ascii="Arial" w:eastAsia="Times New Roman" w:hAnsi="Arial"/>
          <w:b/>
          <w:iCs/>
          <w:sz w:val="20"/>
          <w:szCs w:val="20"/>
          <w:lang w:eastAsia="sl-SI"/>
        </w:rPr>
        <w:t>2030</w:t>
      </w:r>
      <w:r w:rsidR="008F4956" w:rsidRPr="0005687D">
        <w:rPr>
          <w:rFonts w:ascii="Arial" w:eastAsia="Times New Roman" w:hAnsi="Arial"/>
          <w:b/>
          <w:iCs/>
          <w:sz w:val="20"/>
          <w:szCs w:val="20"/>
          <w:lang w:eastAsia="sl-SI"/>
        </w:rPr>
        <w:t>-0</w:t>
      </w:r>
      <w:r w:rsidR="008F4956">
        <w:rPr>
          <w:rFonts w:ascii="Arial" w:eastAsia="Times New Roman" w:hAnsi="Arial"/>
          <w:b/>
          <w:iCs/>
          <w:sz w:val="20"/>
          <w:szCs w:val="20"/>
          <w:lang w:eastAsia="sl-SI"/>
        </w:rPr>
        <w:t>053</w:t>
      </w:r>
    </w:p>
    <w:p w14:paraId="078FA6A7" w14:textId="77777777" w:rsidR="008F4956" w:rsidRDefault="008F4956" w:rsidP="008F4956">
      <w:pPr>
        <w:suppressAutoHyphens/>
        <w:overflowPunct w:val="0"/>
        <w:autoSpaceDE w:val="0"/>
        <w:autoSpaceDN w:val="0"/>
        <w:adjustRightInd w:val="0"/>
        <w:spacing w:after="0" w:line="260" w:lineRule="exact"/>
        <w:textAlignment w:val="baseline"/>
        <w:rPr>
          <w:rFonts w:ascii="Arial" w:eastAsia="Times New Roman" w:hAnsi="Arial"/>
          <w:b/>
          <w:iCs/>
          <w:sz w:val="20"/>
          <w:szCs w:val="20"/>
          <w:lang w:eastAsia="sl-SI"/>
        </w:rPr>
      </w:pPr>
    </w:p>
    <w:p w14:paraId="2CF8FABC" w14:textId="49E27AED" w:rsidR="008F4956" w:rsidRPr="008F4956" w:rsidRDefault="008F4956" w:rsidP="008F4956">
      <w:pPr>
        <w:spacing w:after="0" w:line="260" w:lineRule="exact"/>
        <w:jc w:val="both"/>
        <w:rPr>
          <w:rFonts w:ascii="Arial" w:hAnsi="Arial" w:cs="Arial"/>
          <w:sz w:val="20"/>
          <w:szCs w:val="20"/>
        </w:rPr>
      </w:pPr>
      <w:r w:rsidRPr="008F4956">
        <w:rPr>
          <w:rFonts w:ascii="Arial" w:hAnsi="Arial" w:cs="Arial"/>
          <w:sz w:val="20"/>
          <w:szCs w:val="20"/>
        </w:rPr>
        <w:t>Na podlagi petega odst</w:t>
      </w:r>
      <w:r>
        <w:rPr>
          <w:rFonts w:ascii="Arial" w:hAnsi="Arial" w:cs="Arial"/>
          <w:sz w:val="20"/>
          <w:szCs w:val="20"/>
        </w:rPr>
        <w:t>a</w:t>
      </w:r>
      <w:r w:rsidRPr="008F4956">
        <w:rPr>
          <w:rFonts w:ascii="Arial" w:hAnsi="Arial" w:cs="Arial"/>
          <w:sz w:val="20"/>
          <w:szCs w:val="20"/>
        </w:rPr>
        <w:t xml:space="preserve">vka 160.a člena </w:t>
      </w:r>
      <w:r>
        <w:rPr>
          <w:rFonts w:ascii="Arial" w:hAnsi="Arial" w:cs="Arial"/>
          <w:sz w:val="20"/>
          <w:szCs w:val="20"/>
        </w:rPr>
        <w:t>Z</w:t>
      </w:r>
      <w:r w:rsidRPr="008F4956">
        <w:rPr>
          <w:rFonts w:ascii="Arial" w:hAnsi="Arial" w:cs="Arial"/>
          <w:sz w:val="20"/>
          <w:szCs w:val="20"/>
        </w:rPr>
        <w:t xml:space="preserve">akona o kazenskem postopku (Uradni list RS, št. </w:t>
      </w:r>
      <w:hyperlink r:id="rId8" w:tgtFrame="_blank" w:tooltip="Zakon o kazenskem postopku (uradno prečiščeno besedilo) (ZKP-UPB16)" w:history="1">
        <w:r w:rsidRPr="008F4956">
          <w:rPr>
            <w:rFonts w:ascii="Arial" w:hAnsi="Arial" w:cs="Arial"/>
            <w:sz w:val="20"/>
            <w:szCs w:val="20"/>
          </w:rPr>
          <w:t>176/21</w:t>
        </w:r>
      </w:hyperlink>
      <w:r w:rsidRPr="008F4956">
        <w:rPr>
          <w:rFonts w:ascii="Arial" w:hAnsi="Arial" w:cs="Arial"/>
          <w:sz w:val="20"/>
          <w:szCs w:val="20"/>
        </w:rPr>
        <w:t xml:space="preserve"> – uradno prečiščeno besedilo, </w:t>
      </w:r>
      <w:hyperlink r:id="rId9" w:tgtFrame="_blank" w:tooltip="Odločba o ugotovitvi, da je drugi odstavek 129.a člena Zakona o kazenskem postopku, kolikor določa petnajstdnevni rok za vložitev predloga o nadomestitvi kazni zapora z delom v splošno korist, ki teče od pravnomočnosti sodbe oziroma od zadnje vročitve prepisa " w:history="1">
        <w:r w:rsidRPr="008F4956">
          <w:rPr>
            <w:rFonts w:ascii="Arial" w:hAnsi="Arial" w:cs="Arial"/>
            <w:sz w:val="20"/>
            <w:szCs w:val="20"/>
          </w:rPr>
          <w:t>96/22</w:t>
        </w:r>
      </w:hyperlink>
      <w:r w:rsidRPr="008F4956">
        <w:rPr>
          <w:rFonts w:ascii="Arial" w:hAnsi="Arial" w:cs="Arial"/>
          <w:sz w:val="20"/>
          <w:szCs w:val="20"/>
        </w:rPr>
        <w:t xml:space="preserve"> – </w:t>
      </w:r>
      <w:proofErr w:type="spellStart"/>
      <w:r w:rsidRPr="008F4956">
        <w:rPr>
          <w:rFonts w:ascii="Arial" w:hAnsi="Arial" w:cs="Arial"/>
          <w:sz w:val="20"/>
          <w:szCs w:val="20"/>
        </w:rPr>
        <w:t>odl</w:t>
      </w:r>
      <w:proofErr w:type="spellEnd"/>
      <w:r w:rsidRPr="008F4956">
        <w:rPr>
          <w:rFonts w:ascii="Arial" w:hAnsi="Arial" w:cs="Arial"/>
          <w:sz w:val="20"/>
          <w:szCs w:val="20"/>
        </w:rPr>
        <w:t xml:space="preserve">. US, </w:t>
      </w:r>
      <w:hyperlink r:id="rId10" w:tgtFrame="_blank" w:tooltip="Odločba o razveljavitvi 1. točke prvega odstavka 150.a člena ter drugega, četrtega, petega, šestega in sedmega odstavka 150.a člena Zakona o kazenskem postopku, kolikor se nanašajo na ukrep iz 1. točke prvega odstavka 150.a člena Zakona o kazenskem postopku" w:history="1">
        <w:r w:rsidRPr="008F4956">
          <w:rPr>
            <w:rFonts w:ascii="Arial" w:hAnsi="Arial" w:cs="Arial"/>
            <w:sz w:val="20"/>
            <w:szCs w:val="20"/>
          </w:rPr>
          <w:t>2/23</w:t>
        </w:r>
      </w:hyperlink>
      <w:r w:rsidRPr="008F4956">
        <w:rPr>
          <w:rFonts w:ascii="Arial" w:hAnsi="Arial" w:cs="Arial"/>
          <w:sz w:val="20"/>
          <w:szCs w:val="20"/>
        </w:rPr>
        <w:t xml:space="preserve"> – </w:t>
      </w:r>
      <w:proofErr w:type="spellStart"/>
      <w:r w:rsidRPr="008F4956">
        <w:rPr>
          <w:rFonts w:ascii="Arial" w:hAnsi="Arial" w:cs="Arial"/>
          <w:sz w:val="20"/>
          <w:szCs w:val="20"/>
        </w:rPr>
        <w:t>odl</w:t>
      </w:r>
      <w:proofErr w:type="spellEnd"/>
      <w:r w:rsidRPr="008F4956">
        <w:rPr>
          <w:rFonts w:ascii="Arial" w:hAnsi="Arial" w:cs="Arial"/>
          <w:sz w:val="20"/>
          <w:szCs w:val="20"/>
        </w:rPr>
        <w:t xml:space="preserve">. US, </w:t>
      </w:r>
      <w:hyperlink r:id="rId11" w:tgtFrame="_blank" w:tooltip="Odločba o razveljavitvi 149.b in 149.c člena Zakona o kazenskem postopku, petega odstavka 156. člena Zakona o kazenskem postopku in šestega odstavka 156. člena Zakona o kazenskem postopku, kolikor se nanaša na peti odstavek 156. člena Zakona o kazenskem postop" w:history="1">
        <w:r w:rsidRPr="008F4956">
          <w:rPr>
            <w:rFonts w:ascii="Arial" w:hAnsi="Arial" w:cs="Arial"/>
            <w:sz w:val="20"/>
            <w:szCs w:val="20"/>
          </w:rPr>
          <w:t>89/23</w:t>
        </w:r>
      </w:hyperlink>
      <w:r w:rsidRPr="008F4956">
        <w:rPr>
          <w:rFonts w:ascii="Arial" w:hAnsi="Arial" w:cs="Arial"/>
          <w:sz w:val="20"/>
          <w:szCs w:val="20"/>
        </w:rPr>
        <w:t xml:space="preserve"> – </w:t>
      </w:r>
      <w:proofErr w:type="spellStart"/>
      <w:r w:rsidRPr="008F4956">
        <w:rPr>
          <w:rFonts w:ascii="Arial" w:hAnsi="Arial" w:cs="Arial"/>
          <w:sz w:val="20"/>
          <w:szCs w:val="20"/>
        </w:rPr>
        <w:t>odl</w:t>
      </w:r>
      <w:proofErr w:type="spellEnd"/>
      <w:r w:rsidRPr="008F4956">
        <w:rPr>
          <w:rFonts w:ascii="Arial" w:hAnsi="Arial" w:cs="Arial"/>
          <w:sz w:val="20"/>
          <w:szCs w:val="20"/>
        </w:rPr>
        <w:t xml:space="preserve">. US, </w:t>
      </w:r>
      <w:hyperlink r:id="rId12" w:tgtFrame="_blank" w:tooltip="Zakon o spremembah in dopolnitvah Zakona o kazenskem postopku (ZKP-P)" w:history="1">
        <w:r w:rsidRPr="008F4956">
          <w:rPr>
            <w:rFonts w:ascii="Arial" w:hAnsi="Arial" w:cs="Arial"/>
            <w:sz w:val="20"/>
            <w:szCs w:val="20"/>
          </w:rPr>
          <w:t>53/24</w:t>
        </w:r>
      </w:hyperlink>
      <w:r w:rsidRPr="008F4956">
        <w:rPr>
          <w:rFonts w:ascii="Arial" w:hAnsi="Arial" w:cs="Arial"/>
          <w:sz w:val="20"/>
          <w:szCs w:val="20"/>
        </w:rPr>
        <w:t>, 93/25 – ZNUZJV in 10/26 – ZKOM) Vlada Republike Slovenije izdaja</w:t>
      </w:r>
    </w:p>
    <w:p w14:paraId="66B7BC43" w14:textId="77777777" w:rsidR="008F4956" w:rsidRPr="002835B4" w:rsidRDefault="008F4956" w:rsidP="008F4956">
      <w:pPr>
        <w:spacing w:after="0" w:line="260" w:lineRule="exact"/>
        <w:jc w:val="both"/>
        <w:rPr>
          <w:rFonts w:ascii="Arial" w:eastAsia="Times New Roman" w:hAnsi="Arial" w:cs="Arial"/>
          <w:sz w:val="20"/>
          <w:szCs w:val="20"/>
        </w:rPr>
      </w:pPr>
    </w:p>
    <w:p w14:paraId="41DBA438" w14:textId="77777777" w:rsidR="009F5B83" w:rsidRDefault="009F5B83" w:rsidP="002C2B48">
      <w:pPr>
        <w:spacing w:after="0" w:line="260" w:lineRule="exact"/>
        <w:jc w:val="center"/>
        <w:rPr>
          <w:rFonts w:ascii="Arial" w:hAnsi="Arial" w:cs="Arial"/>
          <w:b/>
          <w:sz w:val="20"/>
          <w:szCs w:val="20"/>
        </w:rPr>
      </w:pPr>
    </w:p>
    <w:p w14:paraId="1FB9FA29" w14:textId="3C8FF5FB" w:rsidR="002C2B48" w:rsidRPr="002C2B48" w:rsidRDefault="002C2B48" w:rsidP="002C2B48">
      <w:pPr>
        <w:spacing w:after="0" w:line="260" w:lineRule="exact"/>
        <w:jc w:val="center"/>
        <w:rPr>
          <w:rFonts w:ascii="Arial" w:hAnsi="Arial" w:cs="Arial"/>
          <w:b/>
          <w:sz w:val="20"/>
          <w:szCs w:val="20"/>
        </w:rPr>
      </w:pPr>
      <w:r w:rsidRPr="002C2B48">
        <w:rPr>
          <w:rFonts w:ascii="Arial" w:hAnsi="Arial" w:cs="Arial"/>
          <w:b/>
          <w:sz w:val="20"/>
          <w:szCs w:val="20"/>
        </w:rPr>
        <w:t xml:space="preserve">U R E D B </w:t>
      </w:r>
      <w:r w:rsidR="008F4956">
        <w:rPr>
          <w:rFonts w:ascii="Arial" w:hAnsi="Arial" w:cs="Arial"/>
          <w:b/>
          <w:sz w:val="20"/>
          <w:szCs w:val="20"/>
        </w:rPr>
        <w:t>O</w:t>
      </w:r>
      <w:r w:rsidRPr="002C2B48">
        <w:rPr>
          <w:rFonts w:ascii="Arial" w:hAnsi="Arial" w:cs="Arial"/>
          <w:b/>
          <w:sz w:val="20"/>
          <w:szCs w:val="20"/>
        </w:rPr>
        <w:t xml:space="preserve"> </w:t>
      </w:r>
    </w:p>
    <w:p w14:paraId="3CBEB563" w14:textId="79B5CFD4" w:rsidR="00051C6D" w:rsidRDefault="002C2B48" w:rsidP="002C2B48">
      <w:pPr>
        <w:spacing w:after="0" w:line="260" w:lineRule="exact"/>
        <w:jc w:val="center"/>
        <w:rPr>
          <w:rFonts w:ascii="Arial" w:hAnsi="Arial" w:cs="Arial"/>
          <w:b/>
          <w:bCs/>
          <w:color w:val="000000"/>
          <w:sz w:val="20"/>
          <w:szCs w:val="20"/>
          <w:shd w:val="clear" w:color="auto" w:fill="FFFFFF"/>
        </w:rPr>
      </w:pPr>
      <w:r w:rsidRPr="002C2B48">
        <w:rPr>
          <w:rFonts w:ascii="Arial" w:hAnsi="Arial" w:cs="Arial"/>
          <w:b/>
          <w:sz w:val="20"/>
          <w:szCs w:val="20"/>
        </w:rPr>
        <w:t xml:space="preserve">o spremembah </w:t>
      </w:r>
      <w:r w:rsidR="008F4956">
        <w:rPr>
          <w:rFonts w:ascii="Arial" w:hAnsi="Arial" w:cs="Arial"/>
          <w:b/>
          <w:sz w:val="20"/>
          <w:szCs w:val="20"/>
        </w:rPr>
        <w:t xml:space="preserve">in dopolnitvah </w:t>
      </w:r>
      <w:r w:rsidRPr="002C2B48">
        <w:rPr>
          <w:rFonts w:ascii="Arial" w:hAnsi="Arial" w:cs="Arial"/>
          <w:b/>
          <w:sz w:val="20"/>
          <w:szCs w:val="20"/>
        </w:rPr>
        <w:t xml:space="preserve">Uredbe </w:t>
      </w:r>
      <w:r w:rsidRPr="002C2B48">
        <w:rPr>
          <w:rFonts w:ascii="Arial" w:hAnsi="Arial" w:cs="Arial"/>
          <w:b/>
          <w:bCs/>
          <w:color w:val="000000"/>
          <w:sz w:val="20"/>
          <w:szCs w:val="20"/>
          <w:shd w:val="clear" w:color="auto" w:fill="FFFFFF"/>
        </w:rPr>
        <w:t xml:space="preserve">o sodelovanju državnega tožilstva, policije in drugih pristojnih državnih organov in institucij pri odkrivanju in pregonu storilcev kaznivih dejanj ter delovanju specializiranih in skupnih preiskovalnih skupin </w:t>
      </w:r>
    </w:p>
    <w:p w14:paraId="7B415D2B" w14:textId="77777777" w:rsidR="002C2B48" w:rsidRDefault="002C2B48" w:rsidP="002C2B48">
      <w:pPr>
        <w:spacing w:after="0" w:line="260" w:lineRule="exact"/>
        <w:jc w:val="center"/>
        <w:rPr>
          <w:rFonts w:ascii="Arial" w:hAnsi="Arial" w:cs="Arial"/>
          <w:b/>
          <w:bCs/>
          <w:color w:val="000000"/>
          <w:sz w:val="20"/>
          <w:szCs w:val="20"/>
          <w:shd w:val="clear" w:color="auto" w:fill="FFFFFF"/>
        </w:rPr>
      </w:pPr>
    </w:p>
    <w:p w14:paraId="15A04265" w14:textId="77777777" w:rsidR="002C2B48" w:rsidRDefault="002C2B48" w:rsidP="002C2B48">
      <w:pPr>
        <w:spacing w:after="0" w:line="260" w:lineRule="exact"/>
        <w:jc w:val="both"/>
        <w:rPr>
          <w:rFonts w:ascii="Arial" w:hAnsi="Arial" w:cs="Arial"/>
          <w:bCs/>
          <w:color w:val="000000"/>
          <w:sz w:val="20"/>
          <w:szCs w:val="20"/>
          <w:shd w:val="clear" w:color="auto" w:fill="FFFFFF"/>
        </w:rPr>
      </w:pPr>
    </w:p>
    <w:p w14:paraId="401FD543" w14:textId="77777777" w:rsidR="002C2B48" w:rsidRPr="002C2B48" w:rsidRDefault="002C2B48" w:rsidP="002C2B48">
      <w:pPr>
        <w:spacing w:after="0" w:line="260" w:lineRule="exact"/>
        <w:jc w:val="center"/>
        <w:rPr>
          <w:rFonts w:ascii="Arial" w:hAnsi="Arial" w:cs="Arial"/>
          <w:b/>
          <w:bCs/>
          <w:color w:val="000000"/>
          <w:sz w:val="20"/>
          <w:szCs w:val="20"/>
          <w:shd w:val="clear" w:color="auto" w:fill="FFFFFF"/>
        </w:rPr>
      </w:pPr>
      <w:r w:rsidRPr="002C2B48">
        <w:rPr>
          <w:rFonts w:ascii="Arial" w:hAnsi="Arial" w:cs="Arial"/>
          <w:b/>
          <w:bCs/>
          <w:color w:val="000000"/>
          <w:sz w:val="20"/>
          <w:szCs w:val="20"/>
          <w:shd w:val="clear" w:color="auto" w:fill="FFFFFF"/>
        </w:rPr>
        <w:t>1. člen</w:t>
      </w:r>
    </w:p>
    <w:p w14:paraId="20454A80" w14:textId="77777777" w:rsidR="002C2B48" w:rsidRDefault="002C2B48" w:rsidP="002C2B48">
      <w:pPr>
        <w:spacing w:after="0" w:line="260" w:lineRule="exact"/>
        <w:jc w:val="both"/>
        <w:rPr>
          <w:rFonts w:ascii="Arial" w:hAnsi="Arial" w:cs="Arial"/>
          <w:sz w:val="20"/>
          <w:szCs w:val="20"/>
        </w:rPr>
      </w:pPr>
    </w:p>
    <w:p w14:paraId="11D33168" w14:textId="77777777" w:rsidR="000A4BBD" w:rsidRPr="000A4BBD" w:rsidRDefault="002C2B48" w:rsidP="000A4BBD">
      <w:pPr>
        <w:spacing w:after="0" w:line="260" w:lineRule="exact"/>
        <w:jc w:val="both"/>
        <w:rPr>
          <w:rFonts w:ascii="Arial" w:hAnsi="Arial" w:cs="Arial"/>
          <w:sz w:val="20"/>
          <w:szCs w:val="20"/>
        </w:rPr>
      </w:pPr>
      <w:r w:rsidRPr="002C2B48">
        <w:rPr>
          <w:rFonts w:ascii="Arial" w:hAnsi="Arial" w:cs="Arial"/>
          <w:sz w:val="20"/>
          <w:szCs w:val="20"/>
        </w:rPr>
        <w:t>V Uredbi o sodelovanju državnega tožilstva, policije in drugih pristojnih državnih organov in institucij pri odkrivanju in pregonu storilcev kaznivih dejanj ter delovanju specializiranih in skupnih preiskovalnih skupin (Uradni list RS, št.</w:t>
      </w:r>
      <w:r>
        <w:rPr>
          <w:rFonts w:ascii="Arial" w:hAnsi="Arial" w:cs="Arial"/>
          <w:sz w:val="20"/>
          <w:szCs w:val="20"/>
        </w:rPr>
        <w:t xml:space="preserve"> </w:t>
      </w:r>
      <w:hyperlink r:id="rId13" w:tgtFrame="_blank" w:tooltip="Uredba o sodelovanju državnega tožilstva, policije in drugih pristojnih državnih organov in institucij pri odkrivanju in pregonu storilcev kaznivih dejanj ter delovanju specializiranih in skupnih preiskovalnih skupin" w:history="1">
        <w:r w:rsidRPr="002C2B48">
          <w:rPr>
            <w:rFonts w:ascii="Arial" w:hAnsi="Arial" w:cs="Arial"/>
            <w:sz w:val="20"/>
            <w:szCs w:val="20"/>
          </w:rPr>
          <w:t>83/10</w:t>
        </w:r>
      </w:hyperlink>
      <w:r w:rsidRPr="002C2B48">
        <w:rPr>
          <w:rFonts w:ascii="Arial" w:hAnsi="Arial" w:cs="Arial"/>
          <w:sz w:val="20"/>
          <w:szCs w:val="20"/>
        </w:rPr>
        <w:t>,</w:t>
      </w:r>
      <w:r>
        <w:rPr>
          <w:rFonts w:ascii="Arial" w:hAnsi="Arial" w:cs="Arial"/>
          <w:sz w:val="20"/>
          <w:szCs w:val="20"/>
        </w:rPr>
        <w:t xml:space="preserve"> </w:t>
      </w:r>
      <w:hyperlink r:id="rId14" w:tgtFrame="_blank" w:tooltip="Uredba o spremembi in dopolnitvah Uredbe o sodelovanju državnega tožilstva, policije in drugih pristojnih državnih organov in institucij pri odkrivanju in pregonu storilcev kaznivih dejanj ter delovanju specializiranih in skupnih preiskovalnih skupin" w:history="1">
        <w:r w:rsidRPr="002C2B48">
          <w:rPr>
            <w:rFonts w:ascii="Arial" w:hAnsi="Arial" w:cs="Arial"/>
            <w:sz w:val="20"/>
            <w:szCs w:val="20"/>
          </w:rPr>
          <w:t>28/21</w:t>
        </w:r>
      </w:hyperlink>
      <w:r>
        <w:rPr>
          <w:rFonts w:ascii="Arial" w:hAnsi="Arial" w:cs="Arial"/>
          <w:sz w:val="20"/>
          <w:szCs w:val="20"/>
        </w:rPr>
        <w:t xml:space="preserve"> </w:t>
      </w:r>
      <w:r w:rsidRPr="002C2B48">
        <w:rPr>
          <w:rFonts w:ascii="Arial" w:hAnsi="Arial" w:cs="Arial"/>
          <w:sz w:val="20"/>
          <w:szCs w:val="20"/>
        </w:rPr>
        <w:t>in</w:t>
      </w:r>
      <w:r>
        <w:rPr>
          <w:rFonts w:ascii="Arial" w:hAnsi="Arial" w:cs="Arial"/>
          <w:sz w:val="20"/>
          <w:szCs w:val="20"/>
        </w:rPr>
        <w:t xml:space="preserve"> </w:t>
      </w:r>
      <w:hyperlink r:id="rId15" w:tgtFrame="_blank" w:tooltip="Uredba o spremembah in dopolnitvi Uredbe o sodelovanju državnega tožilstva, policije in drugih pristojnih državnih organov in institucij pri odkrivanju in pregonu storilcev kaznivih dejanj ter delovanju specializiranih in skupnih preiskovalnih skupin" w:history="1">
        <w:r w:rsidRPr="002C2B48">
          <w:rPr>
            <w:rFonts w:ascii="Arial" w:hAnsi="Arial" w:cs="Arial"/>
            <w:sz w:val="20"/>
            <w:szCs w:val="20"/>
          </w:rPr>
          <w:t>87/22</w:t>
        </w:r>
      </w:hyperlink>
      <w:r w:rsidRPr="002C2B48">
        <w:rPr>
          <w:rFonts w:ascii="Arial" w:hAnsi="Arial" w:cs="Arial"/>
          <w:sz w:val="20"/>
          <w:szCs w:val="20"/>
        </w:rPr>
        <w:t>)</w:t>
      </w:r>
      <w:r>
        <w:rPr>
          <w:rFonts w:ascii="Arial" w:hAnsi="Arial" w:cs="Arial"/>
          <w:sz w:val="20"/>
          <w:szCs w:val="20"/>
        </w:rPr>
        <w:t xml:space="preserve"> se v </w:t>
      </w:r>
      <w:r w:rsidR="000A4BBD">
        <w:rPr>
          <w:rFonts w:ascii="Arial" w:hAnsi="Arial" w:cs="Arial"/>
          <w:sz w:val="20"/>
          <w:szCs w:val="20"/>
        </w:rPr>
        <w:t>5</w:t>
      </w:r>
      <w:r>
        <w:rPr>
          <w:rFonts w:ascii="Arial" w:hAnsi="Arial" w:cs="Arial"/>
          <w:sz w:val="20"/>
          <w:szCs w:val="20"/>
        </w:rPr>
        <w:t xml:space="preserve">. členu </w:t>
      </w:r>
      <w:r w:rsidR="000A4BBD" w:rsidRPr="000A4BBD">
        <w:rPr>
          <w:rFonts w:ascii="Arial" w:hAnsi="Arial" w:cs="Arial"/>
          <w:sz w:val="20"/>
          <w:szCs w:val="20"/>
        </w:rPr>
        <w:t xml:space="preserve">v drugem odstavku beseda »petih« nadomesti z besedo »treh«. </w:t>
      </w:r>
    </w:p>
    <w:p w14:paraId="3BE1CE9B" w14:textId="77777777" w:rsidR="000A4BBD" w:rsidRDefault="000A4BBD" w:rsidP="000A4BBD">
      <w:pPr>
        <w:spacing w:after="0" w:line="260" w:lineRule="exact"/>
        <w:jc w:val="both"/>
        <w:rPr>
          <w:rFonts w:ascii="Arial" w:hAnsi="Arial" w:cs="Arial"/>
          <w:sz w:val="20"/>
          <w:szCs w:val="20"/>
        </w:rPr>
      </w:pPr>
    </w:p>
    <w:p w14:paraId="6E1B1654" w14:textId="293A47D0" w:rsidR="000A4BBD" w:rsidRPr="000A4BBD" w:rsidRDefault="000A4BBD" w:rsidP="000A4BBD">
      <w:pPr>
        <w:spacing w:after="0" w:line="260" w:lineRule="exact"/>
        <w:jc w:val="both"/>
        <w:rPr>
          <w:rFonts w:ascii="Arial" w:hAnsi="Arial" w:cs="Arial"/>
          <w:sz w:val="20"/>
          <w:szCs w:val="20"/>
        </w:rPr>
      </w:pPr>
      <w:r w:rsidRPr="000A4BBD">
        <w:rPr>
          <w:rFonts w:ascii="Arial" w:hAnsi="Arial" w:cs="Arial"/>
          <w:sz w:val="20"/>
          <w:szCs w:val="20"/>
        </w:rPr>
        <w:t>V tretjem odstavku se beseda »petdnevnega« nadomesti z besedo »tridnevnega«.</w:t>
      </w:r>
    </w:p>
    <w:p w14:paraId="02B443E0" w14:textId="20349385" w:rsidR="000A4BBD" w:rsidRDefault="000A4BBD" w:rsidP="002C2B48">
      <w:pPr>
        <w:spacing w:after="0" w:line="260" w:lineRule="exact"/>
        <w:jc w:val="both"/>
        <w:rPr>
          <w:rFonts w:ascii="Arial" w:hAnsi="Arial" w:cs="Arial"/>
          <w:sz w:val="20"/>
          <w:szCs w:val="20"/>
        </w:rPr>
      </w:pPr>
    </w:p>
    <w:p w14:paraId="271D2622" w14:textId="47E0648C" w:rsidR="009F5B83" w:rsidRPr="002C2B48" w:rsidRDefault="000A4BBD" w:rsidP="009F5B83">
      <w:pPr>
        <w:spacing w:after="0" w:line="260" w:lineRule="exact"/>
        <w:jc w:val="center"/>
        <w:rPr>
          <w:rFonts w:ascii="Arial" w:hAnsi="Arial" w:cs="Arial"/>
          <w:b/>
          <w:bCs/>
          <w:color w:val="000000"/>
          <w:sz w:val="20"/>
          <w:szCs w:val="20"/>
          <w:shd w:val="clear" w:color="auto" w:fill="FFFFFF"/>
        </w:rPr>
      </w:pPr>
      <w:r>
        <w:rPr>
          <w:rFonts w:ascii="Arial" w:hAnsi="Arial" w:cs="Arial"/>
          <w:b/>
          <w:bCs/>
          <w:color w:val="000000"/>
          <w:sz w:val="20"/>
          <w:szCs w:val="20"/>
          <w:shd w:val="clear" w:color="auto" w:fill="FFFFFF"/>
        </w:rPr>
        <w:t>2</w:t>
      </w:r>
      <w:r w:rsidR="009F5B83" w:rsidRPr="002C2B48">
        <w:rPr>
          <w:rFonts w:ascii="Arial" w:hAnsi="Arial" w:cs="Arial"/>
          <w:b/>
          <w:bCs/>
          <w:color w:val="000000"/>
          <w:sz w:val="20"/>
          <w:szCs w:val="20"/>
          <w:shd w:val="clear" w:color="auto" w:fill="FFFFFF"/>
        </w:rPr>
        <w:t>. člen</w:t>
      </w:r>
    </w:p>
    <w:p w14:paraId="18664977" w14:textId="30422147" w:rsidR="009F5B83" w:rsidRDefault="009F5B83" w:rsidP="003D1B06">
      <w:pPr>
        <w:spacing w:after="0" w:line="260" w:lineRule="exact"/>
        <w:jc w:val="both"/>
        <w:rPr>
          <w:rFonts w:ascii="Arial" w:hAnsi="Arial" w:cs="Arial"/>
          <w:sz w:val="20"/>
          <w:szCs w:val="20"/>
        </w:rPr>
      </w:pPr>
    </w:p>
    <w:p w14:paraId="77A9D30B" w14:textId="77777777" w:rsidR="009F5B83" w:rsidRDefault="009F5B83" w:rsidP="003D1B06">
      <w:pPr>
        <w:spacing w:after="0" w:line="260" w:lineRule="exact"/>
        <w:jc w:val="both"/>
        <w:rPr>
          <w:rFonts w:ascii="Arial" w:hAnsi="Arial" w:cs="Arial"/>
          <w:sz w:val="20"/>
          <w:szCs w:val="20"/>
        </w:rPr>
      </w:pPr>
      <w:r>
        <w:rPr>
          <w:rFonts w:ascii="Arial" w:hAnsi="Arial" w:cs="Arial"/>
          <w:sz w:val="20"/>
          <w:szCs w:val="20"/>
        </w:rPr>
        <w:t>V 6. členu v prvem odstavku:</w:t>
      </w:r>
    </w:p>
    <w:p w14:paraId="74035D2F" w14:textId="541CA398" w:rsidR="009F5B83" w:rsidRPr="009F5B83" w:rsidRDefault="009F5B83" w:rsidP="009F5B83">
      <w:pPr>
        <w:pStyle w:val="Odstavekseznama"/>
        <w:numPr>
          <w:ilvl w:val="0"/>
          <w:numId w:val="2"/>
        </w:numPr>
        <w:spacing w:after="0" w:line="260" w:lineRule="exact"/>
        <w:jc w:val="both"/>
        <w:rPr>
          <w:rFonts w:ascii="Arial" w:eastAsia="Calibri" w:hAnsi="Arial" w:cs="Arial"/>
          <w:bCs/>
          <w:sz w:val="20"/>
          <w:szCs w:val="20"/>
          <w:shd w:val="clear" w:color="auto" w:fill="FFFFFF"/>
        </w:rPr>
      </w:pPr>
      <w:r w:rsidRPr="009F5B83">
        <w:rPr>
          <w:rFonts w:ascii="Arial" w:eastAsia="Calibri" w:hAnsi="Arial" w:cs="Arial"/>
          <w:bCs/>
          <w:sz w:val="20"/>
          <w:szCs w:val="20"/>
          <w:shd w:val="clear" w:color="auto" w:fill="FFFFFF"/>
        </w:rPr>
        <w:t>se točka a) črta,</w:t>
      </w:r>
    </w:p>
    <w:p w14:paraId="4CF753C3" w14:textId="4B995898" w:rsidR="009F5B83" w:rsidRDefault="009F5B83" w:rsidP="009F5B83">
      <w:pPr>
        <w:pStyle w:val="Odstavekseznama"/>
        <w:numPr>
          <w:ilvl w:val="0"/>
          <w:numId w:val="2"/>
        </w:numPr>
        <w:spacing w:after="0" w:line="260" w:lineRule="exact"/>
        <w:jc w:val="both"/>
        <w:rPr>
          <w:rFonts w:ascii="Arial" w:eastAsia="Calibri" w:hAnsi="Arial" w:cs="Arial"/>
          <w:bCs/>
          <w:sz w:val="20"/>
          <w:szCs w:val="20"/>
          <w:shd w:val="clear" w:color="auto" w:fill="FFFFFF"/>
        </w:rPr>
      </w:pPr>
      <w:r w:rsidRPr="009F5B83">
        <w:rPr>
          <w:rFonts w:ascii="Arial" w:eastAsia="Calibri" w:hAnsi="Arial" w:cs="Arial"/>
          <w:bCs/>
          <w:sz w:val="20"/>
          <w:szCs w:val="20"/>
          <w:shd w:val="clear" w:color="auto" w:fill="FFFFFF"/>
        </w:rPr>
        <w:t>dosedanji b) in c) točka postaneta a) in b) točka.</w:t>
      </w:r>
    </w:p>
    <w:p w14:paraId="54E89F5A" w14:textId="2E85F18C" w:rsidR="009F5B83" w:rsidRDefault="009F5B83" w:rsidP="009F5B83">
      <w:pPr>
        <w:spacing w:after="0" w:line="260" w:lineRule="exact"/>
        <w:jc w:val="both"/>
        <w:rPr>
          <w:rFonts w:ascii="Arial" w:eastAsia="Calibri" w:hAnsi="Arial" w:cs="Arial"/>
          <w:bCs/>
          <w:sz w:val="20"/>
          <w:szCs w:val="20"/>
          <w:shd w:val="clear" w:color="auto" w:fill="FFFFFF"/>
        </w:rPr>
      </w:pPr>
    </w:p>
    <w:p w14:paraId="4B39652E" w14:textId="0024AA7F" w:rsidR="009B6499" w:rsidRDefault="009B6499" w:rsidP="009F5B83">
      <w:pPr>
        <w:spacing w:after="0" w:line="260" w:lineRule="exact"/>
        <w:jc w:val="both"/>
        <w:rPr>
          <w:rFonts w:ascii="Arial" w:eastAsia="Calibri" w:hAnsi="Arial" w:cs="Arial"/>
          <w:bCs/>
          <w:sz w:val="20"/>
          <w:szCs w:val="20"/>
          <w:shd w:val="clear" w:color="auto" w:fill="FFFFFF"/>
        </w:rPr>
      </w:pPr>
      <w:r>
        <w:rPr>
          <w:rFonts w:ascii="Arial" w:eastAsia="Calibri" w:hAnsi="Arial" w:cs="Arial"/>
          <w:bCs/>
          <w:sz w:val="20"/>
          <w:szCs w:val="20"/>
          <w:shd w:val="clear" w:color="auto" w:fill="FFFFFF"/>
        </w:rPr>
        <w:t>V</w:t>
      </w:r>
      <w:r w:rsidRPr="009B6499">
        <w:rPr>
          <w:rFonts w:ascii="Arial" w:hAnsi="Arial" w:cs="Arial"/>
          <w:sz w:val="20"/>
          <w:szCs w:val="20"/>
        </w:rPr>
        <w:t xml:space="preserve"> tretjem odstavku se črta besedilo »</w:t>
      </w:r>
      <w:r w:rsidR="003A11F2">
        <w:rPr>
          <w:rFonts w:ascii="Arial" w:hAnsi="Arial" w:cs="Arial"/>
          <w:sz w:val="20"/>
          <w:szCs w:val="20"/>
        </w:rPr>
        <w:t xml:space="preserve">, </w:t>
      </w:r>
      <w:r w:rsidRPr="009B6499">
        <w:rPr>
          <w:rFonts w:ascii="Arial" w:hAnsi="Arial" w:cs="Arial"/>
          <w:sz w:val="20"/>
          <w:szCs w:val="20"/>
        </w:rPr>
        <w:t>razen če ni mogoče odlašati«.</w:t>
      </w:r>
    </w:p>
    <w:p w14:paraId="06179B8C" w14:textId="77777777" w:rsidR="009B6499" w:rsidRDefault="009B6499" w:rsidP="009F5B83">
      <w:pPr>
        <w:spacing w:after="0" w:line="260" w:lineRule="exact"/>
        <w:jc w:val="both"/>
        <w:rPr>
          <w:rFonts w:ascii="Arial" w:eastAsia="Calibri" w:hAnsi="Arial" w:cs="Arial"/>
          <w:bCs/>
          <w:sz w:val="20"/>
          <w:szCs w:val="20"/>
          <w:shd w:val="clear" w:color="auto" w:fill="FFFFFF"/>
        </w:rPr>
      </w:pPr>
    </w:p>
    <w:p w14:paraId="40B1DDB1" w14:textId="310E5CFE" w:rsidR="00CA3630" w:rsidRDefault="009B6499" w:rsidP="009F5B83">
      <w:pPr>
        <w:spacing w:after="0" w:line="260" w:lineRule="exact"/>
        <w:jc w:val="both"/>
        <w:rPr>
          <w:rFonts w:ascii="Arial" w:eastAsia="Calibri" w:hAnsi="Arial" w:cs="Arial"/>
          <w:bCs/>
          <w:sz w:val="20"/>
          <w:szCs w:val="20"/>
          <w:shd w:val="clear" w:color="auto" w:fill="FFFFFF"/>
        </w:rPr>
      </w:pPr>
      <w:r>
        <w:rPr>
          <w:rFonts w:ascii="Arial" w:eastAsia="Calibri" w:hAnsi="Arial" w:cs="Arial"/>
          <w:bCs/>
          <w:sz w:val="20"/>
          <w:szCs w:val="20"/>
          <w:shd w:val="clear" w:color="auto" w:fill="FFFFFF"/>
        </w:rPr>
        <w:t>Č</w:t>
      </w:r>
      <w:r w:rsidR="00CA3630">
        <w:rPr>
          <w:rFonts w:ascii="Arial" w:eastAsia="Calibri" w:hAnsi="Arial" w:cs="Arial"/>
          <w:bCs/>
          <w:sz w:val="20"/>
          <w:szCs w:val="20"/>
          <w:shd w:val="clear" w:color="auto" w:fill="FFFFFF"/>
        </w:rPr>
        <w:t>etrti odstavek se črta</w:t>
      </w:r>
      <w:r>
        <w:rPr>
          <w:rFonts w:ascii="Arial" w:eastAsia="Calibri" w:hAnsi="Arial" w:cs="Arial"/>
          <w:bCs/>
          <w:sz w:val="20"/>
          <w:szCs w:val="20"/>
          <w:shd w:val="clear" w:color="auto" w:fill="FFFFFF"/>
        </w:rPr>
        <w:t>.</w:t>
      </w:r>
    </w:p>
    <w:p w14:paraId="4D72D2A4" w14:textId="77777777" w:rsidR="00CA3630" w:rsidRDefault="00CA3630" w:rsidP="009F5B83">
      <w:pPr>
        <w:spacing w:after="0" w:line="260" w:lineRule="exact"/>
        <w:jc w:val="both"/>
        <w:rPr>
          <w:rFonts w:ascii="Arial" w:eastAsia="Calibri" w:hAnsi="Arial" w:cs="Arial"/>
          <w:bCs/>
          <w:sz w:val="20"/>
          <w:szCs w:val="20"/>
          <w:shd w:val="clear" w:color="auto" w:fill="FFFFFF"/>
        </w:rPr>
      </w:pPr>
    </w:p>
    <w:p w14:paraId="558DA7F7" w14:textId="34188947" w:rsidR="000811EE" w:rsidRPr="002C2B48" w:rsidRDefault="003A11F2" w:rsidP="000811EE">
      <w:pPr>
        <w:spacing w:after="0" w:line="260" w:lineRule="exact"/>
        <w:jc w:val="center"/>
        <w:rPr>
          <w:rFonts w:ascii="Arial" w:hAnsi="Arial" w:cs="Arial"/>
          <w:b/>
          <w:bCs/>
          <w:color w:val="000000"/>
          <w:sz w:val="20"/>
          <w:szCs w:val="20"/>
          <w:shd w:val="clear" w:color="auto" w:fill="FFFFFF"/>
        </w:rPr>
      </w:pPr>
      <w:r>
        <w:rPr>
          <w:rFonts w:ascii="Arial" w:hAnsi="Arial" w:cs="Arial"/>
          <w:b/>
          <w:bCs/>
          <w:color w:val="000000"/>
          <w:sz w:val="20"/>
          <w:szCs w:val="20"/>
          <w:shd w:val="clear" w:color="auto" w:fill="FFFFFF"/>
        </w:rPr>
        <w:t>3</w:t>
      </w:r>
      <w:r w:rsidR="000811EE" w:rsidRPr="002C2B48">
        <w:rPr>
          <w:rFonts w:ascii="Arial" w:hAnsi="Arial" w:cs="Arial"/>
          <w:b/>
          <w:bCs/>
          <w:color w:val="000000"/>
          <w:sz w:val="20"/>
          <w:szCs w:val="20"/>
          <w:shd w:val="clear" w:color="auto" w:fill="FFFFFF"/>
        </w:rPr>
        <w:t>. člen</w:t>
      </w:r>
    </w:p>
    <w:p w14:paraId="2F4DC50F" w14:textId="77777777" w:rsidR="000811EE" w:rsidRDefault="000811EE" w:rsidP="00C5281C">
      <w:pPr>
        <w:spacing w:after="0" w:line="260" w:lineRule="exact"/>
        <w:jc w:val="both"/>
        <w:rPr>
          <w:rFonts w:ascii="Arial" w:hAnsi="Arial" w:cs="Arial"/>
          <w:sz w:val="20"/>
          <w:szCs w:val="20"/>
        </w:rPr>
      </w:pPr>
    </w:p>
    <w:p w14:paraId="55FAE3AD" w14:textId="50D70583" w:rsidR="002F1B33" w:rsidRDefault="002F1B33" w:rsidP="00C5281C">
      <w:pPr>
        <w:spacing w:after="0" w:line="260" w:lineRule="exact"/>
        <w:jc w:val="both"/>
        <w:rPr>
          <w:rFonts w:ascii="Arial" w:hAnsi="Arial" w:cs="Arial"/>
          <w:bCs/>
          <w:color w:val="000000"/>
          <w:sz w:val="20"/>
          <w:szCs w:val="20"/>
          <w:shd w:val="clear" w:color="auto" w:fill="FFFFFF"/>
        </w:rPr>
      </w:pPr>
      <w:r w:rsidRPr="002F1B33">
        <w:rPr>
          <w:rFonts w:ascii="Arial" w:hAnsi="Arial" w:cs="Arial"/>
          <w:bCs/>
          <w:color w:val="000000"/>
          <w:sz w:val="20"/>
          <w:szCs w:val="20"/>
          <w:shd w:val="clear" w:color="auto" w:fill="FFFFFF"/>
        </w:rPr>
        <w:t>V 11. členu se v drugi alineji beseda »osmi« nadomesti z besedo »deveti«.</w:t>
      </w:r>
    </w:p>
    <w:p w14:paraId="63FB5977" w14:textId="3CA41321" w:rsidR="002F1B33" w:rsidRDefault="002F1B33" w:rsidP="00C5281C">
      <w:pPr>
        <w:spacing w:after="0" w:line="260" w:lineRule="exact"/>
        <w:jc w:val="both"/>
        <w:rPr>
          <w:rFonts w:ascii="Arial" w:hAnsi="Arial" w:cs="Arial"/>
          <w:bCs/>
          <w:color w:val="000000"/>
          <w:sz w:val="20"/>
          <w:szCs w:val="20"/>
          <w:shd w:val="clear" w:color="auto" w:fill="FFFFFF"/>
        </w:rPr>
      </w:pPr>
    </w:p>
    <w:p w14:paraId="26FDDC8E" w14:textId="53924C1E" w:rsidR="003A11F2" w:rsidRDefault="003A11F2" w:rsidP="00C5281C">
      <w:pPr>
        <w:spacing w:after="0" w:line="260" w:lineRule="exact"/>
        <w:jc w:val="both"/>
        <w:rPr>
          <w:rFonts w:ascii="Arial" w:hAnsi="Arial" w:cs="Arial"/>
          <w:bCs/>
          <w:color w:val="000000"/>
          <w:sz w:val="20"/>
          <w:szCs w:val="20"/>
          <w:shd w:val="clear" w:color="auto" w:fill="FFFFFF"/>
        </w:rPr>
      </w:pPr>
      <w:r>
        <w:rPr>
          <w:rFonts w:ascii="Arial" w:hAnsi="Arial" w:cs="Arial"/>
          <w:bCs/>
          <w:color w:val="000000"/>
          <w:sz w:val="20"/>
          <w:szCs w:val="20"/>
          <w:shd w:val="clear" w:color="auto" w:fill="FFFFFF"/>
        </w:rPr>
        <w:t>Za besedilom člena, ki se označi kot prvi odstavek, se doda nov, drugi odstavek, ki se glasi:</w:t>
      </w:r>
    </w:p>
    <w:p w14:paraId="1DF32DD9" w14:textId="77777777" w:rsidR="003A11F2" w:rsidRDefault="003A11F2" w:rsidP="00C5281C">
      <w:pPr>
        <w:spacing w:after="0" w:line="260" w:lineRule="exact"/>
        <w:jc w:val="both"/>
        <w:rPr>
          <w:rFonts w:ascii="Arial" w:hAnsi="Arial" w:cs="Arial"/>
          <w:bCs/>
          <w:color w:val="000000"/>
          <w:sz w:val="20"/>
          <w:szCs w:val="20"/>
          <w:shd w:val="clear" w:color="auto" w:fill="FFFFFF"/>
        </w:rPr>
      </w:pPr>
    </w:p>
    <w:p w14:paraId="2A01DE4C" w14:textId="316F1FC3" w:rsidR="003A11F2" w:rsidRPr="003A11F2" w:rsidRDefault="003A11F2" w:rsidP="003A11F2">
      <w:pPr>
        <w:spacing w:after="0" w:line="260" w:lineRule="exact"/>
        <w:jc w:val="both"/>
        <w:rPr>
          <w:rFonts w:ascii="Arial" w:hAnsi="Arial" w:cs="Arial"/>
          <w:bCs/>
          <w:color w:val="000000"/>
          <w:sz w:val="20"/>
          <w:szCs w:val="20"/>
          <w:shd w:val="clear" w:color="auto" w:fill="FFFFFF"/>
        </w:rPr>
      </w:pPr>
      <w:r w:rsidRPr="003A11F2">
        <w:rPr>
          <w:rFonts w:ascii="Arial" w:hAnsi="Arial" w:cs="Arial"/>
          <w:bCs/>
          <w:color w:val="000000"/>
          <w:sz w:val="20"/>
          <w:szCs w:val="20"/>
          <w:shd w:val="clear" w:color="auto" w:fill="FFFFFF"/>
        </w:rPr>
        <w:t>»</w:t>
      </w:r>
      <w:r>
        <w:rPr>
          <w:rFonts w:ascii="Arial" w:hAnsi="Arial" w:cs="Arial"/>
          <w:bCs/>
          <w:color w:val="000000"/>
          <w:sz w:val="20"/>
          <w:szCs w:val="20"/>
          <w:shd w:val="clear" w:color="auto" w:fill="FFFFFF"/>
        </w:rPr>
        <w:t xml:space="preserve">(2) </w:t>
      </w:r>
      <w:r w:rsidRPr="003A11F2">
        <w:rPr>
          <w:rFonts w:ascii="Arial" w:hAnsi="Arial" w:cs="Arial"/>
          <w:bCs/>
          <w:color w:val="000000"/>
          <w:sz w:val="20"/>
          <w:szCs w:val="20"/>
          <w:shd w:val="clear" w:color="auto" w:fill="FFFFFF"/>
        </w:rPr>
        <w:t xml:space="preserve">Državni tožilec o ustnih obveznih navodilih iz druge alineje prejšnjega odstavka najkasneje v 12 urah od njihove podaje sestavi uradni zaznamek, ki ga nemudoma </w:t>
      </w:r>
      <w:r w:rsidR="00203A80">
        <w:rPr>
          <w:rFonts w:ascii="Arial" w:hAnsi="Arial" w:cs="Arial"/>
          <w:bCs/>
          <w:color w:val="000000"/>
          <w:sz w:val="20"/>
          <w:szCs w:val="20"/>
          <w:shd w:val="clear" w:color="auto" w:fill="FFFFFF"/>
        </w:rPr>
        <w:t>pošlje</w:t>
      </w:r>
      <w:r w:rsidRPr="003A11F2">
        <w:rPr>
          <w:rFonts w:ascii="Arial" w:hAnsi="Arial" w:cs="Arial"/>
          <w:bCs/>
          <w:color w:val="000000"/>
          <w:sz w:val="20"/>
          <w:szCs w:val="20"/>
          <w:shd w:val="clear" w:color="auto" w:fill="FFFFFF"/>
        </w:rPr>
        <w:t xml:space="preserve"> policiji.«</w:t>
      </w:r>
      <w:r>
        <w:rPr>
          <w:rFonts w:ascii="Arial" w:hAnsi="Arial" w:cs="Arial"/>
          <w:bCs/>
          <w:color w:val="000000"/>
          <w:sz w:val="20"/>
          <w:szCs w:val="20"/>
          <w:shd w:val="clear" w:color="auto" w:fill="FFFFFF"/>
        </w:rPr>
        <w:t>.</w:t>
      </w:r>
    </w:p>
    <w:p w14:paraId="42E017E7" w14:textId="77777777" w:rsidR="003A11F2" w:rsidRDefault="003A11F2" w:rsidP="00C5281C">
      <w:pPr>
        <w:spacing w:after="0" w:line="260" w:lineRule="exact"/>
        <w:jc w:val="both"/>
        <w:rPr>
          <w:rFonts w:ascii="Arial" w:hAnsi="Arial" w:cs="Arial"/>
          <w:bCs/>
          <w:color w:val="000000"/>
          <w:sz w:val="20"/>
          <w:szCs w:val="20"/>
          <w:shd w:val="clear" w:color="auto" w:fill="FFFFFF"/>
        </w:rPr>
      </w:pPr>
    </w:p>
    <w:p w14:paraId="49AB37A3" w14:textId="488242CE" w:rsidR="002F1B33" w:rsidRDefault="002F1B33" w:rsidP="00C5281C">
      <w:pPr>
        <w:spacing w:after="0" w:line="260" w:lineRule="exact"/>
        <w:jc w:val="both"/>
        <w:rPr>
          <w:rFonts w:ascii="Arial" w:eastAsia="Calibri" w:hAnsi="Arial" w:cs="Arial"/>
          <w:bCs/>
          <w:sz w:val="20"/>
          <w:szCs w:val="20"/>
          <w:shd w:val="clear" w:color="auto" w:fill="FFFFFF"/>
        </w:rPr>
      </w:pPr>
    </w:p>
    <w:p w14:paraId="4C10E2C6" w14:textId="44DE1719" w:rsidR="002F1B33" w:rsidRPr="002F1B33" w:rsidRDefault="009604BF" w:rsidP="002F1B33">
      <w:pPr>
        <w:spacing w:after="0" w:line="260" w:lineRule="exact"/>
        <w:jc w:val="center"/>
        <w:rPr>
          <w:rFonts w:ascii="Arial" w:hAnsi="Arial" w:cs="Arial"/>
          <w:b/>
          <w:bCs/>
          <w:color w:val="000000"/>
          <w:sz w:val="20"/>
          <w:szCs w:val="20"/>
          <w:shd w:val="clear" w:color="auto" w:fill="FFFFFF"/>
        </w:rPr>
      </w:pPr>
      <w:r>
        <w:rPr>
          <w:rFonts w:ascii="Arial" w:hAnsi="Arial" w:cs="Arial"/>
          <w:b/>
          <w:bCs/>
          <w:color w:val="000000"/>
          <w:sz w:val="20"/>
          <w:szCs w:val="20"/>
          <w:shd w:val="clear" w:color="auto" w:fill="FFFFFF"/>
        </w:rPr>
        <w:t>4</w:t>
      </w:r>
      <w:r w:rsidR="002F1B33" w:rsidRPr="002F1B33">
        <w:rPr>
          <w:rFonts w:ascii="Arial" w:hAnsi="Arial" w:cs="Arial"/>
          <w:b/>
          <w:bCs/>
          <w:color w:val="000000"/>
          <w:sz w:val="20"/>
          <w:szCs w:val="20"/>
          <w:shd w:val="clear" w:color="auto" w:fill="FFFFFF"/>
        </w:rPr>
        <w:t>. člen</w:t>
      </w:r>
    </w:p>
    <w:p w14:paraId="4849A377" w14:textId="329EABDD" w:rsidR="002F1B33" w:rsidRDefault="002F1B33" w:rsidP="00C5281C">
      <w:pPr>
        <w:spacing w:after="0" w:line="260" w:lineRule="exact"/>
        <w:jc w:val="both"/>
        <w:rPr>
          <w:rFonts w:ascii="Arial" w:eastAsia="Calibri" w:hAnsi="Arial" w:cs="Arial"/>
          <w:bCs/>
          <w:sz w:val="20"/>
          <w:szCs w:val="20"/>
          <w:shd w:val="clear" w:color="auto" w:fill="FFFFFF"/>
        </w:rPr>
      </w:pPr>
    </w:p>
    <w:p w14:paraId="0C33F915" w14:textId="5C473FD9" w:rsidR="002F1B33" w:rsidRDefault="002F1B33" w:rsidP="00C5281C">
      <w:pPr>
        <w:spacing w:after="0" w:line="260" w:lineRule="exact"/>
        <w:jc w:val="both"/>
        <w:rPr>
          <w:rFonts w:ascii="Arial" w:eastAsia="Calibri" w:hAnsi="Arial" w:cs="Arial"/>
          <w:bCs/>
          <w:sz w:val="20"/>
          <w:szCs w:val="20"/>
          <w:shd w:val="clear" w:color="auto" w:fill="FFFFFF"/>
        </w:rPr>
      </w:pPr>
      <w:r>
        <w:rPr>
          <w:rFonts w:ascii="Arial" w:eastAsia="Calibri" w:hAnsi="Arial" w:cs="Arial"/>
          <w:bCs/>
          <w:sz w:val="20"/>
          <w:szCs w:val="20"/>
          <w:shd w:val="clear" w:color="auto" w:fill="FFFFFF"/>
        </w:rPr>
        <w:t xml:space="preserve">V 12. členu </w:t>
      </w:r>
      <w:r w:rsidR="003306A2">
        <w:rPr>
          <w:rFonts w:ascii="Arial" w:eastAsia="Calibri" w:hAnsi="Arial" w:cs="Arial"/>
          <w:bCs/>
          <w:sz w:val="20"/>
          <w:szCs w:val="20"/>
          <w:shd w:val="clear" w:color="auto" w:fill="FFFFFF"/>
        </w:rPr>
        <w:t>v tretjem odstavku</w:t>
      </w:r>
      <w:r w:rsidR="009604BF">
        <w:rPr>
          <w:rFonts w:ascii="Arial" w:eastAsia="Calibri" w:hAnsi="Arial" w:cs="Arial"/>
          <w:bCs/>
          <w:sz w:val="20"/>
          <w:szCs w:val="20"/>
          <w:shd w:val="clear" w:color="auto" w:fill="FFFFFF"/>
        </w:rPr>
        <w:t xml:space="preserve"> se črta</w:t>
      </w:r>
      <w:r w:rsidR="003306A2">
        <w:rPr>
          <w:rFonts w:ascii="Arial" w:eastAsia="Calibri" w:hAnsi="Arial" w:cs="Arial"/>
          <w:bCs/>
          <w:sz w:val="20"/>
          <w:szCs w:val="20"/>
          <w:shd w:val="clear" w:color="auto" w:fill="FFFFFF"/>
        </w:rPr>
        <w:t xml:space="preserve"> besedilo »obrazloženo pisno«</w:t>
      </w:r>
      <w:r w:rsidR="009604BF">
        <w:rPr>
          <w:rFonts w:ascii="Arial" w:eastAsia="Calibri" w:hAnsi="Arial" w:cs="Arial"/>
          <w:bCs/>
          <w:sz w:val="20"/>
          <w:szCs w:val="20"/>
          <w:shd w:val="clear" w:color="auto" w:fill="FFFFFF"/>
        </w:rPr>
        <w:t>.</w:t>
      </w:r>
    </w:p>
    <w:p w14:paraId="3FD58D98" w14:textId="7EA5D87B" w:rsidR="0016659C" w:rsidRDefault="0016659C" w:rsidP="00C5281C">
      <w:pPr>
        <w:spacing w:after="0" w:line="260" w:lineRule="exact"/>
        <w:jc w:val="both"/>
        <w:rPr>
          <w:rFonts w:ascii="Arial" w:eastAsia="Calibri" w:hAnsi="Arial" w:cs="Arial"/>
          <w:bCs/>
          <w:sz w:val="20"/>
          <w:szCs w:val="20"/>
          <w:shd w:val="clear" w:color="auto" w:fill="FFFFFF"/>
        </w:rPr>
      </w:pPr>
    </w:p>
    <w:p w14:paraId="3B6EE5D6" w14:textId="33959B35" w:rsidR="0016659C" w:rsidRDefault="0016659C" w:rsidP="00C5281C">
      <w:pPr>
        <w:spacing w:after="0" w:line="260" w:lineRule="exact"/>
        <w:jc w:val="both"/>
        <w:rPr>
          <w:rFonts w:ascii="Arial" w:eastAsia="Calibri" w:hAnsi="Arial" w:cs="Arial"/>
          <w:bCs/>
          <w:sz w:val="20"/>
          <w:szCs w:val="20"/>
          <w:shd w:val="clear" w:color="auto" w:fill="FFFFFF"/>
        </w:rPr>
      </w:pPr>
      <w:r>
        <w:rPr>
          <w:rFonts w:ascii="Arial" w:eastAsia="Calibri" w:hAnsi="Arial" w:cs="Arial"/>
          <w:bCs/>
          <w:sz w:val="20"/>
          <w:szCs w:val="20"/>
          <w:shd w:val="clear" w:color="auto" w:fill="FFFFFF"/>
        </w:rPr>
        <w:t>Četrti odstavek se črta.</w:t>
      </w:r>
    </w:p>
    <w:p w14:paraId="4AA80FA7" w14:textId="77777777" w:rsidR="00BE1FB0" w:rsidRDefault="00BE1FB0" w:rsidP="00C5281C">
      <w:pPr>
        <w:spacing w:after="0" w:line="260" w:lineRule="exact"/>
        <w:jc w:val="both"/>
        <w:rPr>
          <w:rFonts w:ascii="Arial" w:eastAsia="Calibri" w:hAnsi="Arial" w:cs="Arial"/>
          <w:bCs/>
          <w:sz w:val="20"/>
          <w:szCs w:val="20"/>
          <w:shd w:val="clear" w:color="auto" w:fill="FFFFFF"/>
        </w:rPr>
      </w:pPr>
    </w:p>
    <w:p w14:paraId="77046C99" w14:textId="4D91E2FA" w:rsidR="00BE1FB0" w:rsidRDefault="00BE1FB0" w:rsidP="00BE1FB0">
      <w:pPr>
        <w:spacing w:after="0" w:line="260" w:lineRule="exact"/>
        <w:jc w:val="center"/>
        <w:rPr>
          <w:rFonts w:ascii="Arial" w:hAnsi="Arial" w:cs="Arial"/>
          <w:b/>
          <w:bCs/>
          <w:color w:val="000000"/>
          <w:sz w:val="20"/>
          <w:szCs w:val="20"/>
          <w:shd w:val="clear" w:color="auto" w:fill="FFFFFF"/>
        </w:rPr>
      </w:pPr>
      <w:r w:rsidRPr="00BE1FB0">
        <w:rPr>
          <w:rFonts w:ascii="Arial" w:hAnsi="Arial" w:cs="Arial"/>
          <w:b/>
          <w:bCs/>
          <w:color w:val="000000"/>
          <w:sz w:val="20"/>
          <w:szCs w:val="20"/>
          <w:shd w:val="clear" w:color="auto" w:fill="FFFFFF"/>
        </w:rPr>
        <w:t>5. člen</w:t>
      </w:r>
    </w:p>
    <w:p w14:paraId="01621338" w14:textId="77777777" w:rsidR="00BE1FB0" w:rsidRDefault="00BE1FB0" w:rsidP="00BE1FB0">
      <w:pPr>
        <w:spacing w:after="0" w:line="260" w:lineRule="exact"/>
        <w:jc w:val="center"/>
        <w:rPr>
          <w:rFonts w:ascii="Arial" w:hAnsi="Arial" w:cs="Arial"/>
          <w:b/>
          <w:bCs/>
          <w:color w:val="000000"/>
          <w:sz w:val="20"/>
          <w:szCs w:val="20"/>
          <w:shd w:val="clear" w:color="auto" w:fill="FFFFFF"/>
        </w:rPr>
      </w:pPr>
    </w:p>
    <w:p w14:paraId="629A23E0" w14:textId="59BC4C54" w:rsidR="00BE1FB0" w:rsidRDefault="00BE1FB0" w:rsidP="00024D87">
      <w:pPr>
        <w:spacing w:after="0" w:line="260" w:lineRule="exact"/>
        <w:jc w:val="both"/>
        <w:rPr>
          <w:rFonts w:ascii="Arial" w:eastAsia="Calibri" w:hAnsi="Arial" w:cs="Arial"/>
          <w:bCs/>
          <w:sz w:val="20"/>
          <w:szCs w:val="20"/>
          <w:shd w:val="clear" w:color="auto" w:fill="FFFFFF"/>
        </w:rPr>
      </w:pPr>
      <w:r w:rsidRPr="00024D87">
        <w:rPr>
          <w:rFonts w:ascii="Arial" w:eastAsia="Calibri" w:hAnsi="Arial" w:cs="Arial"/>
          <w:bCs/>
          <w:sz w:val="20"/>
          <w:szCs w:val="20"/>
          <w:shd w:val="clear" w:color="auto" w:fill="FFFFFF"/>
        </w:rPr>
        <w:lastRenderedPageBreak/>
        <w:t>V 15. členu se na koncu tretjega odstavka doda besedilo »</w:t>
      </w:r>
      <w:r w:rsidR="00024D87" w:rsidRPr="00024D87">
        <w:rPr>
          <w:rFonts w:ascii="Arial" w:eastAsia="Calibri" w:hAnsi="Arial" w:cs="Arial"/>
          <w:bCs/>
          <w:sz w:val="20"/>
          <w:szCs w:val="20"/>
          <w:shd w:val="clear" w:color="auto" w:fill="FFFFFF"/>
        </w:rPr>
        <w:t xml:space="preserve">Državni tožilec </w:t>
      </w:r>
      <w:r w:rsidR="007D51ED">
        <w:rPr>
          <w:rFonts w:ascii="Arial" w:eastAsia="Calibri" w:hAnsi="Arial" w:cs="Arial"/>
          <w:bCs/>
          <w:sz w:val="20"/>
          <w:szCs w:val="20"/>
          <w:shd w:val="clear" w:color="auto" w:fill="FFFFFF"/>
        </w:rPr>
        <w:t xml:space="preserve">poda </w:t>
      </w:r>
      <w:r w:rsidR="00024D87" w:rsidRPr="00024D87">
        <w:rPr>
          <w:rFonts w:ascii="Arial" w:eastAsia="Calibri" w:hAnsi="Arial" w:cs="Arial"/>
          <w:bCs/>
          <w:sz w:val="20"/>
          <w:szCs w:val="20"/>
          <w:shd w:val="clear" w:color="auto" w:fill="FFFFFF"/>
        </w:rPr>
        <w:t>p</w:t>
      </w:r>
      <w:r w:rsidRPr="00024D87">
        <w:rPr>
          <w:rFonts w:ascii="Arial" w:eastAsia="Calibri" w:hAnsi="Arial" w:cs="Arial"/>
          <w:bCs/>
          <w:sz w:val="20"/>
          <w:szCs w:val="20"/>
          <w:shd w:val="clear" w:color="auto" w:fill="FFFFFF"/>
        </w:rPr>
        <w:t xml:space="preserve">isno strokovno mnenje </w:t>
      </w:r>
      <w:r w:rsidR="00A442D7">
        <w:rPr>
          <w:rFonts w:ascii="Arial" w:eastAsia="Calibri" w:hAnsi="Arial" w:cs="Arial"/>
          <w:bCs/>
          <w:sz w:val="20"/>
          <w:szCs w:val="20"/>
          <w:shd w:val="clear" w:color="auto" w:fill="FFFFFF"/>
        </w:rPr>
        <w:t xml:space="preserve">najkasneje </w:t>
      </w:r>
      <w:r w:rsidRPr="00024D87">
        <w:rPr>
          <w:rFonts w:ascii="Arial" w:eastAsia="Calibri" w:hAnsi="Arial" w:cs="Arial"/>
          <w:bCs/>
          <w:sz w:val="20"/>
          <w:szCs w:val="20"/>
          <w:shd w:val="clear" w:color="auto" w:fill="FFFFFF"/>
        </w:rPr>
        <w:t>v petnajstih dneh od prejema zaprosila</w:t>
      </w:r>
      <w:r w:rsidR="00AA3650">
        <w:rPr>
          <w:rFonts w:ascii="Arial" w:eastAsia="Calibri" w:hAnsi="Arial" w:cs="Arial"/>
          <w:bCs/>
          <w:sz w:val="20"/>
          <w:szCs w:val="20"/>
          <w:shd w:val="clear" w:color="auto" w:fill="FFFFFF"/>
        </w:rPr>
        <w:t xml:space="preserve">, </w:t>
      </w:r>
      <w:r w:rsidR="007D51ED">
        <w:rPr>
          <w:rFonts w:ascii="Arial" w:eastAsia="Calibri" w:hAnsi="Arial" w:cs="Arial"/>
          <w:bCs/>
          <w:sz w:val="20"/>
          <w:szCs w:val="20"/>
          <w:shd w:val="clear" w:color="auto" w:fill="FFFFFF"/>
        </w:rPr>
        <w:t>iz tehtnih razlogov</w:t>
      </w:r>
      <w:r w:rsidR="00AA3650">
        <w:rPr>
          <w:rFonts w:ascii="Arial" w:eastAsia="Calibri" w:hAnsi="Arial" w:cs="Arial"/>
          <w:bCs/>
          <w:sz w:val="20"/>
          <w:szCs w:val="20"/>
          <w:shd w:val="clear" w:color="auto" w:fill="FFFFFF"/>
        </w:rPr>
        <w:t xml:space="preserve"> </w:t>
      </w:r>
      <w:r w:rsidR="007D51ED">
        <w:rPr>
          <w:rFonts w:ascii="Arial" w:eastAsia="Calibri" w:hAnsi="Arial" w:cs="Arial"/>
          <w:bCs/>
          <w:sz w:val="20"/>
          <w:szCs w:val="20"/>
          <w:shd w:val="clear" w:color="auto" w:fill="FFFFFF"/>
        </w:rPr>
        <w:t xml:space="preserve">pa </w:t>
      </w:r>
      <w:r w:rsidR="00AA3650">
        <w:rPr>
          <w:rFonts w:ascii="Arial" w:eastAsia="Calibri" w:hAnsi="Arial" w:cs="Arial"/>
          <w:bCs/>
          <w:sz w:val="20"/>
          <w:szCs w:val="20"/>
          <w:shd w:val="clear" w:color="auto" w:fill="FFFFFF"/>
        </w:rPr>
        <w:t xml:space="preserve">najkasneje </w:t>
      </w:r>
      <w:r w:rsidR="00AA3650">
        <w:rPr>
          <w:rFonts w:ascii="Arial" w:eastAsia="Calibri" w:hAnsi="Arial" w:cs="Arial"/>
          <w:bCs/>
          <w:sz w:val="20"/>
          <w:szCs w:val="20"/>
          <w:shd w:val="clear" w:color="auto" w:fill="FFFFFF"/>
        </w:rPr>
        <w:t>v tridesetih dneh</w:t>
      </w:r>
      <w:r w:rsidR="00A442D7">
        <w:rPr>
          <w:rFonts w:ascii="Arial" w:eastAsia="Calibri" w:hAnsi="Arial" w:cs="Arial"/>
          <w:bCs/>
          <w:sz w:val="20"/>
          <w:szCs w:val="20"/>
          <w:shd w:val="clear" w:color="auto" w:fill="FFFFFF"/>
        </w:rPr>
        <w:t>.</w:t>
      </w:r>
      <w:r w:rsidRPr="00024D87">
        <w:rPr>
          <w:rFonts w:ascii="Arial" w:eastAsia="Calibri" w:hAnsi="Arial" w:cs="Arial"/>
          <w:bCs/>
          <w:sz w:val="20"/>
          <w:szCs w:val="20"/>
          <w:shd w:val="clear" w:color="auto" w:fill="FFFFFF"/>
        </w:rPr>
        <w:t>«.</w:t>
      </w:r>
    </w:p>
    <w:p w14:paraId="68A667FE" w14:textId="77777777" w:rsidR="009A630C" w:rsidRDefault="009A630C" w:rsidP="00024D87">
      <w:pPr>
        <w:spacing w:after="0" w:line="260" w:lineRule="exact"/>
        <w:jc w:val="both"/>
        <w:rPr>
          <w:rFonts w:ascii="Arial" w:eastAsia="Calibri" w:hAnsi="Arial" w:cs="Arial"/>
          <w:bCs/>
          <w:sz w:val="20"/>
          <w:szCs w:val="20"/>
          <w:shd w:val="clear" w:color="auto" w:fill="FFFFFF"/>
        </w:rPr>
      </w:pPr>
    </w:p>
    <w:p w14:paraId="6C73635F" w14:textId="7F86EA56" w:rsidR="009A630C" w:rsidRDefault="009A630C" w:rsidP="009A630C">
      <w:pPr>
        <w:spacing w:after="0" w:line="260" w:lineRule="exact"/>
        <w:jc w:val="center"/>
        <w:rPr>
          <w:rFonts w:ascii="Arial" w:eastAsia="Calibri" w:hAnsi="Arial" w:cs="Arial"/>
          <w:b/>
          <w:sz w:val="20"/>
          <w:szCs w:val="20"/>
          <w:shd w:val="clear" w:color="auto" w:fill="FFFFFF"/>
        </w:rPr>
      </w:pPr>
      <w:r w:rsidRPr="009A630C">
        <w:rPr>
          <w:rFonts w:ascii="Arial" w:eastAsia="Calibri" w:hAnsi="Arial" w:cs="Arial"/>
          <w:b/>
          <w:sz w:val="20"/>
          <w:szCs w:val="20"/>
          <w:shd w:val="clear" w:color="auto" w:fill="FFFFFF"/>
        </w:rPr>
        <w:t>6. člen</w:t>
      </w:r>
    </w:p>
    <w:p w14:paraId="70A9C29B" w14:textId="77777777" w:rsidR="009A630C" w:rsidRDefault="009A630C" w:rsidP="009A630C">
      <w:pPr>
        <w:spacing w:after="0" w:line="260" w:lineRule="exact"/>
        <w:jc w:val="center"/>
        <w:rPr>
          <w:rFonts w:ascii="Arial" w:eastAsia="Calibri" w:hAnsi="Arial" w:cs="Arial"/>
          <w:b/>
          <w:sz w:val="20"/>
          <w:szCs w:val="20"/>
          <w:shd w:val="clear" w:color="auto" w:fill="FFFFFF"/>
        </w:rPr>
      </w:pPr>
    </w:p>
    <w:p w14:paraId="48466923" w14:textId="77777777" w:rsidR="009A630C" w:rsidRDefault="009A630C" w:rsidP="009A630C">
      <w:pPr>
        <w:spacing w:after="0" w:line="260" w:lineRule="exact"/>
        <w:jc w:val="both"/>
        <w:rPr>
          <w:rFonts w:ascii="Arial" w:eastAsia="Calibri" w:hAnsi="Arial" w:cs="Arial"/>
          <w:bCs/>
          <w:sz w:val="20"/>
          <w:szCs w:val="20"/>
          <w:shd w:val="clear" w:color="auto" w:fill="FFFFFF"/>
        </w:rPr>
      </w:pPr>
      <w:r w:rsidRPr="009A630C">
        <w:rPr>
          <w:rFonts w:ascii="Arial" w:eastAsia="Calibri" w:hAnsi="Arial" w:cs="Arial"/>
          <w:bCs/>
          <w:sz w:val="20"/>
          <w:szCs w:val="20"/>
          <w:shd w:val="clear" w:color="auto" w:fill="FFFFFF"/>
        </w:rPr>
        <w:t>V 29.a členu se besedilo člena spremeni tako, da se glasi:</w:t>
      </w:r>
    </w:p>
    <w:p w14:paraId="3442C90A" w14:textId="77777777" w:rsidR="009A630C" w:rsidRDefault="009A630C" w:rsidP="009A630C">
      <w:pPr>
        <w:spacing w:after="0" w:line="260" w:lineRule="exact"/>
        <w:jc w:val="both"/>
        <w:rPr>
          <w:rFonts w:ascii="Arial" w:eastAsia="Calibri" w:hAnsi="Arial" w:cs="Arial"/>
          <w:bCs/>
          <w:sz w:val="20"/>
          <w:szCs w:val="20"/>
          <w:shd w:val="clear" w:color="auto" w:fill="FFFFFF"/>
        </w:rPr>
      </w:pPr>
    </w:p>
    <w:p w14:paraId="5E9C76E9" w14:textId="6717BC9A" w:rsidR="009A630C" w:rsidRPr="009A630C" w:rsidRDefault="009A630C" w:rsidP="009A630C">
      <w:pPr>
        <w:spacing w:after="0" w:line="260" w:lineRule="exact"/>
        <w:jc w:val="both"/>
        <w:rPr>
          <w:rFonts w:ascii="Arial" w:eastAsia="Calibri" w:hAnsi="Arial" w:cs="Arial"/>
          <w:bCs/>
          <w:sz w:val="20"/>
          <w:szCs w:val="20"/>
          <w:shd w:val="clear" w:color="auto" w:fill="FFFFFF"/>
        </w:rPr>
      </w:pPr>
      <w:r>
        <w:rPr>
          <w:rFonts w:ascii="Arial" w:eastAsia="Calibri" w:hAnsi="Arial" w:cs="Arial"/>
          <w:bCs/>
          <w:sz w:val="20"/>
          <w:szCs w:val="20"/>
          <w:shd w:val="clear" w:color="auto" w:fill="FFFFFF"/>
        </w:rPr>
        <w:t>»</w:t>
      </w:r>
      <w:r w:rsidRPr="009A630C">
        <w:rPr>
          <w:rFonts w:ascii="Arial" w:eastAsia="Calibri" w:hAnsi="Arial" w:cs="Arial"/>
          <w:bCs/>
          <w:sz w:val="20"/>
          <w:szCs w:val="20"/>
          <w:shd w:val="clear" w:color="auto" w:fill="FFFFFF"/>
        </w:rPr>
        <w:t>O zaključku dela specializirane preiskovalne skupine</w:t>
      </w:r>
      <w:r>
        <w:rPr>
          <w:rFonts w:ascii="Arial" w:eastAsia="Calibri" w:hAnsi="Arial" w:cs="Arial"/>
          <w:bCs/>
          <w:sz w:val="20"/>
          <w:szCs w:val="20"/>
          <w:shd w:val="clear" w:color="auto" w:fill="FFFFFF"/>
        </w:rPr>
        <w:t xml:space="preserve"> na pobudo vodje skupine ali drugih članov skupine z odredbo odloči vodja državnega tožilstva</w:t>
      </w:r>
      <w:r w:rsidRPr="009A630C">
        <w:rPr>
          <w:rFonts w:ascii="Arial" w:eastAsia="Calibri" w:hAnsi="Arial" w:cs="Arial"/>
          <w:bCs/>
          <w:sz w:val="20"/>
          <w:szCs w:val="20"/>
          <w:shd w:val="clear" w:color="auto" w:fill="FFFFFF"/>
        </w:rPr>
        <w:t xml:space="preserve"> in o tem poroča generalnemu državnemu tožilcu.</w:t>
      </w:r>
      <w:r>
        <w:rPr>
          <w:rFonts w:ascii="Arial" w:eastAsia="Calibri" w:hAnsi="Arial" w:cs="Arial"/>
          <w:bCs/>
          <w:sz w:val="20"/>
          <w:szCs w:val="20"/>
          <w:shd w:val="clear" w:color="auto" w:fill="FFFFFF"/>
        </w:rPr>
        <w:t>«.</w:t>
      </w:r>
    </w:p>
    <w:p w14:paraId="5D3B306D" w14:textId="27C91D71" w:rsidR="009A630C" w:rsidRDefault="009A630C" w:rsidP="009A630C">
      <w:pPr>
        <w:spacing w:after="0" w:line="260" w:lineRule="exact"/>
        <w:jc w:val="center"/>
        <w:rPr>
          <w:rFonts w:ascii="Arial" w:eastAsia="Calibri" w:hAnsi="Arial" w:cs="Arial"/>
          <w:b/>
          <w:sz w:val="20"/>
          <w:szCs w:val="20"/>
          <w:shd w:val="clear" w:color="auto" w:fill="FFFFFF"/>
        </w:rPr>
      </w:pPr>
    </w:p>
    <w:p w14:paraId="5BBA0477" w14:textId="1E3D28D9" w:rsidR="002C2977" w:rsidRPr="002F1B33" w:rsidRDefault="009A630C" w:rsidP="002C2977">
      <w:pPr>
        <w:spacing w:after="0" w:line="260" w:lineRule="exact"/>
        <w:jc w:val="center"/>
        <w:rPr>
          <w:rFonts w:ascii="Arial" w:hAnsi="Arial" w:cs="Arial"/>
          <w:b/>
          <w:bCs/>
          <w:color w:val="000000"/>
          <w:sz w:val="20"/>
          <w:szCs w:val="20"/>
          <w:shd w:val="clear" w:color="auto" w:fill="FFFFFF"/>
        </w:rPr>
      </w:pPr>
      <w:r>
        <w:rPr>
          <w:rFonts w:ascii="Arial" w:hAnsi="Arial" w:cs="Arial"/>
          <w:b/>
          <w:bCs/>
          <w:color w:val="000000"/>
          <w:sz w:val="20"/>
          <w:szCs w:val="20"/>
          <w:shd w:val="clear" w:color="auto" w:fill="FFFFFF"/>
        </w:rPr>
        <w:t>7</w:t>
      </w:r>
      <w:r w:rsidR="002C2977" w:rsidRPr="002F1B33">
        <w:rPr>
          <w:rFonts w:ascii="Arial" w:hAnsi="Arial" w:cs="Arial"/>
          <w:b/>
          <w:bCs/>
          <w:color w:val="000000"/>
          <w:sz w:val="20"/>
          <w:szCs w:val="20"/>
          <w:shd w:val="clear" w:color="auto" w:fill="FFFFFF"/>
        </w:rPr>
        <w:t>. člen</w:t>
      </w:r>
    </w:p>
    <w:p w14:paraId="503EAD7D" w14:textId="0853A36E" w:rsidR="0016659C" w:rsidRDefault="0016659C" w:rsidP="002F1B33">
      <w:pPr>
        <w:spacing w:after="0" w:line="260" w:lineRule="exact"/>
        <w:jc w:val="both"/>
        <w:rPr>
          <w:rFonts w:ascii="Arial" w:hAnsi="Arial" w:cs="Arial"/>
          <w:sz w:val="20"/>
          <w:szCs w:val="20"/>
        </w:rPr>
      </w:pPr>
    </w:p>
    <w:p w14:paraId="0BB15761" w14:textId="3B51C56A" w:rsidR="002C2977" w:rsidRDefault="002C2977" w:rsidP="002F1B33">
      <w:pPr>
        <w:spacing w:after="0" w:line="260" w:lineRule="exact"/>
        <w:jc w:val="both"/>
        <w:rPr>
          <w:rFonts w:ascii="Arial" w:hAnsi="Arial" w:cs="Arial"/>
          <w:sz w:val="20"/>
          <w:szCs w:val="20"/>
        </w:rPr>
      </w:pPr>
      <w:r>
        <w:rPr>
          <w:rFonts w:ascii="Arial" w:hAnsi="Arial" w:cs="Arial"/>
          <w:sz w:val="20"/>
          <w:szCs w:val="20"/>
        </w:rPr>
        <w:t>Ta uredba prične veljati petnajsti dan po objavi v Uradnem listu Republike Slovenije.</w:t>
      </w:r>
    </w:p>
    <w:p w14:paraId="4B0F3B37" w14:textId="225F804E" w:rsidR="002C2977" w:rsidRDefault="002C2977" w:rsidP="002F1B33">
      <w:pPr>
        <w:spacing w:after="0" w:line="260" w:lineRule="exact"/>
        <w:jc w:val="both"/>
        <w:rPr>
          <w:rFonts w:ascii="Arial" w:hAnsi="Arial" w:cs="Arial"/>
          <w:sz w:val="20"/>
          <w:szCs w:val="20"/>
        </w:rPr>
      </w:pPr>
    </w:p>
    <w:p w14:paraId="4D1583BE" w14:textId="77BAAA8C" w:rsidR="00024D87" w:rsidRDefault="00024D87">
      <w:pPr>
        <w:rPr>
          <w:rFonts w:ascii="Arial" w:hAnsi="Arial" w:cs="Arial"/>
          <w:sz w:val="20"/>
          <w:szCs w:val="20"/>
        </w:rPr>
      </w:pPr>
      <w:r>
        <w:rPr>
          <w:rFonts w:ascii="Arial" w:hAnsi="Arial" w:cs="Arial"/>
          <w:sz w:val="20"/>
          <w:szCs w:val="20"/>
        </w:rPr>
        <w:br w:type="page"/>
      </w:r>
    </w:p>
    <w:p w14:paraId="4B7FA653" w14:textId="4E30515F" w:rsidR="008F4956" w:rsidRPr="00B9100D" w:rsidRDefault="008F4956" w:rsidP="008F4956">
      <w:pPr>
        <w:spacing w:after="0" w:line="260" w:lineRule="exact"/>
        <w:jc w:val="both"/>
        <w:rPr>
          <w:rFonts w:ascii="Arial" w:eastAsia="Times New Roman" w:hAnsi="Arial" w:cs="Arial"/>
          <w:b/>
          <w:sz w:val="20"/>
          <w:szCs w:val="24"/>
        </w:rPr>
      </w:pPr>
      <w:r w:rsidRPr="00B9100D">
        <w:rPr>
          <w:rFonts w:ascii="Arial" w:eastAsia="Times New Roman" w:hAnsi="Arial" w:cs="Arial"/>
          <w:b/>
          <w:sz w:val="20"/>
          <w:szCs w:val="24"/>
        </w:rPr>
        <w:lastRenderedPageBreak/>
        <w:t>VSEBINSKA OBRAZLOŽITEV</w:t>
      </w:r>
      <w:r>
        <w:rPr>
          <w:rFonts w:ascii="Arial" w:eastAsia="Times New Roman" w:hAnsi="Arial" w:cs="Arial"/>
          <w:b/>
          <w:sz w:val="20"/>
          <w:szCs w:val="24"/>
        </w:rPr>
        <w:t>:</w:t>
      </w:r>
      <w:r w:rsidRPr="00B9100D">
        <w:rPr>
          <w:rFonts w:ascii="Arial" w:eastAsia="Times New Roman" w:hAnsi="Arial" w:cs="Arial"/>
          <w:b/>
          <w:sz w:val="20"/>
          <w:szCs w:val="24"/>
        </w:rPr>
        <w:t xml:space="preserve"> </w:t>
      </w:r>
    </w:p>
    <w:p w14:paraId="7B1CA1CE" w14:textId="77777777" w:rsidR="008F4956" w:rsidRDefault="008F4956" w:rsidP="008F4956">
      <w:pPr>
        <w:spacing w:after="0" w:line="260" w:lineRule="exact"/>
        <w:rPr>
          <w:rFonts w:ascii="Arial" w:hAnsi="Arial" w:cs="Arial"/>
          <w:b/>
          <w:sz w:val="20"/>
          <w:szCs w:val="20"/>
        </w:rPr>
      </w:pPr>
    </w:p>
    <w:p w14:paraId="14784C02" w14:textId="77777777" w:rsidR="008F4956" w:rsidRDefault="008F4956" w:rsidP="008F4956">
      <w:pPr>
        <w:spacing w:after="0" w:line="260" w:lineRule="exact"/>
        <w:rPr>
          <w:rFonts w:ascii="Arial" w:hAnsi="Arial" w:cs="Arial"/>
          <w:b/>
          <w:sz w:val="20"/>
          <w:szCs w:val="20"/>
        </w:rPr>
      </w:pPr>
      <w:r>
        <w:rPr>
          <w:rFonts w:ascii="Arial" w:hAnsi="Arial" w:cs="Arial"/>
          <w:b/>
          <w:sz w:val="20"/>
          <w:szCs w:val="20"/>
        </w:rPr>
        <w:t>K 1. členu:</w:t>
      </w:r>
    </w:p>
    <w:p w14:paraId="1A678C07" w14:textId="5CDC5903" w:rsidR="000A4BBD" w:rsidRDefault="000A4BBD" w:rsidP="000A4BBD">
      <w:pPr>
        <w:spacing w:after="0" w:line="260" w:lineRule="exact"/>
        <w:jc w:val="both"/>
        <w:rPr>
          <w:rFonts w:ascii="Arial" w:hAnsi="Arial" w:cs="Arial"/>
          <w:sz w:val="20"/>
          <w:szCs w:val="20"/>
        </w:rPr>
      </w:pPr>
      <w:r w:rsidRPr="000A4BBD">
        <w:rPr>
          <w:rFonts w:ascii="Arial" w:hAnsi="Arial" w:cs="Arial"/>
          <w:sz w:val="20"/>
          <w:szCs w:val="20"/>
        </w:rPr>
        <w:t xml:space="preserve">S predlagano spremembo drugega in tretjega odstavka 5. člena </w:t>
      </w:r>
      <w:r w:rsidRPr="002C2B48">
        <w:rPr>
          <w:rFonts w:ascii="Arial" w:hAnsi="Arial" w:cs="Arial"/>
          <w:sz w:val="20"/>
          <w:szCs w:val="20"/>
        </w:rPr>
        <w:t>Uredb</w:t>
      </w:r>
      <w:r>
        <w:rPr>
          <w:rFonts w:ascii="Arial" w:hAnsi="Arial" w:cs="Arial"/>
          <w:sz w:val="20"/>
          <w:szCs w:val="20"/>
        </w:rPr>
        <w:t>e</w:t>
      </w:r>
      <w:r w:rsidRPr="002C2B48">
        <w:rPr>
          <w:rFonts w:ascii="Arial" w:hAnsi="Arial" w:cs="Arial"/>
          <w:sz w:val="20"/>
          <w:szCs w:val="20"/>
        </w:rPr>
        <w:t xml:space="preserve"> o sodelovanju državnega tožilstva, policije in drugih pristojnih državnih organov in institucij pri odkrivanju in pregonu storilcev kaznivih dejanj ter delovanju specializiranih in skupnih preiskovalnih skupin</w:t>
      </w:r>
      <w:r w:rsidR="009B6499">
        <w:rPr>
          <w:rStyle w:val="Sprotnaopomba-sklic"/>
          <w:rFonts w:ascii="Arial" w:hAnsi="Arial" w:cs="Arial"/>
          <w:sz w:val="20"/>
          <w:szCs w:val="20"/>
        </w:rPr>
        <w:footnoteReference w:id="1"/>
      </w:r>
      <w:r w:rsidRPr="000A4BBD">
        <w:rPr>
          <w:rFonts w:ascii="Arial" w:hAnsi="Arial" w:cs="Arial"/>
          <w:sz w:val="20"/>
          <w:szCs w:val="20"/>
        </w:rPr>
        <w:t xml:space="preserve"> se skrajšuje skrajni </w:t>
      </w:r>
      <w:r w:rsidR="00A442D7">
        <w:rPr>
          <w:rFonts w:ascii="Arial" w:hAnsi="Arial" w:cs="Arial"/>
          <w:sz w:val="20"/>
          <w:szCs w:val="20"/>
        </w:rPr>
        <w:t>(</w:t>
      </w:r>
      <w:proofErr w:type="spellStart"/>
      <w:r w:rsidR="00A442D7">
        <w:rPr>
          <w:rFonts w:ascii="Arial" w:hAnsi="Arial" w:cs="Arial"/>
          <w:sz w:val="20"/>
          <w:szCs w:val="20"/>
        </w:rPr>
        <w:t>instrukcijski</w:t>
      </w:r>
      <w:proofErr w:type="spellEnd"/>
      <w:r w:rsidR="00A442D7">
        <w:rPr>
          <w:rFonts w:ascii="Arial" w:hAnsi="Arial" w:cs="Arial"/>
          <w:sz w:val="20"/>
          <w:szCs w:val="20"/>
        </w:rPr>
        <w:t xml:space="preserve">) </w:t>
      </w:r>
      <w:r w:rsidRPr="000A4BBD">
        <w:rPr>
          <w:rFonts w:ascii="Arial" w:hAnsi="Arial" w:cs="Arial"/>
          <w:sz w:val="20"/>
          <w:szCs w:val="20"/>
        </w:rPr>
        <w:t>rok za podajo navodil</w:t>
      </w:r>
      <w:r>
        <w:rPr>
          <w:rFonts w:ascii="Arial" w:hAnsi="Arial" w:cs="Arial"/>
          <w:sz w:val="20"/>
          <w:szCs w:val="20"/>
        </w:rPr>
        <w:t xml:space="preserve"> državnega tožilca</w:t>
      </w:r>
      <w:r w:rsidRPr="000A4BBD">
        <w:rPr>
          <w:rFonts w:ascii="Arial" w:hAnsi="Arial" w:cs="Arial"/>
          <w:sz w:val="20"/>
          <w:szCs w:val="20"/>
        </w:rPr>
        <w:t xml:space="preserve"> in predlogov za ukrepanje, </w:t>
      </w:r>
      <w:r>
        <w:rPr>
          <w:rFonts w:ascii="Arial" w:hAnsi="Arial" w:cs="Arial"/>
          <w:sz w:val="20"/>
          <w:szCs w:val="20"/>
        </w:rPr>
        <w:t xml:space="preserve">s čimer se </w:t>
      </w:r>
      <w:r w:rsidRPr="000A4BBD">
        <w:rPr>
          <w:rFonts w:ascii="Arial" w:hAnsi="Arial" w:cs="Arial"/>
          <w:sz w:val="20"/>
          <w:szCs w:val="20"/>
        </w:rPr>
        <w:t>dodatno poudarja odzivnost državnega tožilca v vlogi »</w:t>
      </w:r>
      <w:proofErr w:type="spellStart"/>
      <w:r w:rsidRPr="000A4BBD">
        <w:rPr>
          <w:rFonts w:ascii="Arial" w:hAnsi="Arial" w:cs="Arial"/>
          <w:sz w:val="20"/>
          <w:szCs w:val="20"/>
        </w:rPr>
        <w:t>dominus</w:t>
      </w:r>
      <w:proofErr w:type="spellEnd"/>
      <w:r w:rsidRPr="000A4BBD">
        <w:rPr>
          <w:rFonts w:ascii="Arial" w:hAnsi="Arial" w:cs="Arial"/>
          <w:sz w:val="20"/>
          <w:szCs w:val="20"/>
        </w:rPr>
        <w:t xml:space="preserve"> </w:t>
      </w:r>
      <w:proofErr w:type="spellStart"/>
      <w:r w:rsidRPr="000A4BBD">
        <w:rPr>
          <w:rFonts w:ascii="Arial" w:hAnsi="Arial" w:cs="Arial"/>
          <w:sz w:val="20"/>
          <w:szCs w:val="20"/>
        </w:rPr>
        <w:t>litis</w:t>
      </w:r>
      <w:proofErr w:type="spellEnd"/>
      <w:r w:rsidRPr="000A4BBD">
        <w:rPr>
          <w:rFonts w:ascii="Arial" w:hAnsi="Arial" w:cs="Arial"/>
          <w:sz w:val="20"/>
          <w:szCs w:val="20"/>
        </w:rPr>
        <w:t>« postopka.</w:t>
      </w:r>
    </w:p>
    <w:p w14:paraId="4BF779CB" w14:textId="77777777" w:rsidR="009B6499" w:rsidRDefault="009B6499" w:rsidP="000A4BBD">
      <w:pPr>
        <w:spacing w:after="0" w:line="260" w:lineRule="exact"/>
        <w:jc w:val="both"/>
        <w:rPr>
          <w:rFonts w:ascii="Arial" w:hAnsi="Arial" w:cs="Arial"/>
          <w:sz w:val="20"/>
          <w:szCs w:val="20"/>
        </w:rPr>
      </w:pPr>
    </w:p>
    <w:p w14:paraId="0A2BF698" w14:textId="14CAE126" w:rsidR="009B6499" w:rsidRPr="009B6499" w:rsidRDefault="009B6499" w:rsidP="000A4BBD">
      <w:pPr>
        <w:spacing w:after="0" w:line="260" w:lineRule="exact"/>
        <w:jc w:val="both"/>
        <w:rPr>
          <w:rFonts w:ascii="Arial" w:hAnsi="Arial" w:cs="Arial"/>
          <w:b/>
          <w:bCs/>
          <w:sz w:val="20"/>
          <w:szCs w:val="20"/>
        </w:rPr>
      </w:pPr>
      <w:r w:rsidRPr="009B6499">
        <w:rPr>
          <w:rFonts w:ascii="Arial" w:hAnsi="Arial" w:cs="Arial"/>
          <w:b/>
          <w:bCs/>
          <w:sz w:val="20"/>
          <w:szCs w:val="20"/>
        </w:rPr>
        <w:t>K 2. členu:</w:t>
      </w:r>
    </w:p>
    <w:p w14:paraId="2A0F1BE3" w14:textId="54F0EFF8" w:rsidR="009B6499" w:rsidRPr="009B6499" w:rsidRDefault="009B6499" w:rsidP="009B6499">
      <w:pPr>
        <w:spacing w:after="0" w:line="260" w:lineRule="exact"/>
        <w:jc w:val="both"/>
        <w:rPr>
          <w:rFonts w:ascii="Arial" w:hAnsi="Arial" w:cs="Arial"/>
          <w:sz w:val="20"/>
          <w:szCs w:val="20"/>
        </w:rPr>
      </w:pPr>
      <w:r w:rsidRPr="009B6499">
        <w:rPr>
          <w:rFonts w:ascii="Arial" w:hAnsi="Arial" w:cs="Arial"/>
          <w:sz w:val="20"/>
          <w:szCs w:val="20"/>
        </w:rPr>
        <w:t>S predlaganim črtanjem a) točke prvega odstavka 6. člena Uredbe, ki se nanaša na obveščanje državnega tožilca pred odvzemom prostosti, se vsebina navedenega člena usklajuje z b) točko prvega odstavka 4. člena Uredbe, ki že sicer določa, da mora policist državnega tožilca obveščati po odvzemu prostosti in z devet</w:t>
      </w:r>
      <w:r w:rsidR="00A442D7">
        <w:rPr>
          <w:rFonts w:ascii="Arial" w:hAnsi="Arial" w:cs="Arial"/>
          <w:sz w:val="20"/>
          <w:szCs w:val="20"/>
        </w:rPr>
        <w:t>im</w:t>
      </w:r>
      <w:r w:rsidRPr="009B6499">
        <w:rPr>
          <w:rFonts w:ascii="Arial" w:hAnsi="Arial" w:cs="Arial"/>
          <w:sz w:val="20"/>
          <w:szCs w:val="20"/>
        </w:rPr>
        <w:t xml:space="preserve"> odstavk</w:t>
      </w:r>
      <w:r w:rsidR="00A442D7">
        <w:rPr>
          <w:rFonts w:ascii="Arial" w:hAnsi="Arial" w:cs="Arial"/>
          <w:sz w:val="20"/>
          <w:szCs w:val="20"/>
        </w:rPr>
        <w:t>om</w:t>
      </w:r>
      <w:r w:rsidRPr="009B6499">
        <w:rPr>
          <w:rFonts w:ascii="Arial" w:hAnsi="Arial" w:cs="Arial"/>
          <w:sz w:val="20"/>
          <w:szCs w:val="20"/>
        </w:rPr>
        <w:t xml:space="preserve"> 157. člena Zakona o kazenskem postopku</w:t>
      </w:r>
      <w:r w:rsidR="003A11F2">
        <w:rPr>
          <w:rStyle w:val="Sprotnaopomba-sklic"/>
          <w:rFonts w:ascii="Arial" w:hAnsi="Arial" w:cs="Arial"/>
          <w:sz w:val="20"/>
          <w:szCs w:val="20"/>
        </w:rPr>
        <w:footnoteReference w:id="2"/>
      </w:r>
      <w:r w:rsidRPr="009B6499">
        <w:rPr>
          <w:rFonts w:ascii="Arial" w:hAnsi="Arial" w:cs="Arial"/>
          <w:sz w:val="20"/>
          <w:szCs w:val="20"/>
        </w:rPr>
        <w:t xml:space="preserve"> (iz katere</w:t>
      </w:r>
      <w:r w:rsidR="00A442D7">
        <w:rPr>
          <w:rFonts w:ascii="Arial" w:hAnsi="Arial" w:cs="Arial"/>
          <w:sz w:val="20"/>
          <w:szCs w:val="20"/>
        </w:rPr>
        <w:t>ga</w:t>
      </w:r>
      <w:r w:rsidRPr="009B6499">
        <w:rPr>
          <w:rFonts w:ascii="Arial" w:hAnsi="Arial" w:cs="Arial"/>
          <w:sz w:val="20"/>
          <w:szCs w:val="20"/>
        </w:rPr>
        <w:t xml:space="preserve"> izhaja, da morajo policisti o vsakem odvzemu prostosti takoj obvestiti državnega tožilca</w:t>
      </w:r>
      <w:r w:rsidR="00A442D7">
        <w:rPr>
          <w:rFonts w:ascii="Arial" w:hAnsi="Arial" w:cs="Arial"/>
          <w:sz w:val="20"/>
          <w:szCs w:val="20"/>
        </w:rPr>
        <w:t xml:space="preserve"> - </w:t>
      </w:r>
      <w:r w:rsidRPr="009B6499">
        <w:rPr>
          <w:rFonts w:ascii="Arial" w:hAnsi="Arial" w:cs="Arial"/>
          <w:sz w:val="20"/>
          <w:szCs w:val="20"/>
        </w:rPr>
        <w:t xml:space="preserve">torej po odvzemu prostosti). </w:t>
      </w:r>
    </w:p>
    <w:p w14:paraId="20ADA6CA" w14:textId="77777777" w:rsidR="009B6499" w:rsidRPr="009B6499" w:rsidRDefault="009B6499" w:rsidP="009B6499">
      <w:pPr>
        <w:spacing w:after="0" w:line="260" w:lineRule="exact"/>
        <w:jc w:val="both"/>
        <w:rPr>
          <w:rFonts w:ascii="Arial" w:hAnsi="Arial" w:cs="Arial"/>
          <w:sz w:val="20"/>
          <w:szCs w:val="20"/>
        </w:rPr>
      </w:pPr>
    </w:p>
    <w:p w14:paraId="106838A2" w14:textId="61183C41" w:rsidR="009B6499" w:rsidRDefault="009B6499" w:rsidP="009B6499">
      <w:pPr>
        <w:spacing w:after="0" w:line="260" w:lineRule="exact"/>
        <w:jc w:val="both"/>
        <w:rPr>
          <w:rFonts w:ascii="Arial" w:hAnsi="Arial" w:cs="Arial"/>
          <w:sz w:val="20"/>
          <w:szCs w:val="20"/>
        </w:rPr>
      </w:pPr>
      <w:r w:rsidRPr="009B6499">
        <w:rPr>
          <w:rFonts w:ascii="Arial" w:hAnsi="Arial" w:cs="Arial"/>
          <w:sz w:val="20"/>
          <w:szCs w:val="20"/>
        </w:rPr>
        <w:t>Ker je bil z Zakonom o spremembah in dopolnitvah Zakona o kazenskem postopku</w:t>
      </w:r>
      <w:r w:rsidR="003A11F2">
        <w:rPr>
          <w:rStyle w:val="Sprotnaopomba-sklic"/>
          <w:rFonts w:ascii="Arial" w:hAnsi="Arial" w:cs="Arial"/>
          <w:sz w:val="20"/>
          <w:szCs w:val="20"/>
        </w:rPr>
        <w:footnoteReference w:id="3"/>
      </w:r>
      <w:r w:rsidR="003A11F2">
        <w:rPr>
          <w:rFonts w:ascii="Arial" w:hAnsi="Arial" w:cs="Arial"/>
          <w:sz w:val="20"/>
          <w:szCs w:val="20"/>
        </w:rPr>
        <w:t xml:space="preserve"> </w:t>
      </w:r>
      <w:r w:rsidRPr="009B6499">
        <w:rPr>
          <w:rFonts w:ascii="Arial" w:hAnsi="Arial" w:cs="Arial"/>
          <w:sz w:val="20"/>
          <w:szCs w:val="20"/>
        </w:rPr>
        <w:t>prvi odstavek 215. člena ZKP, ki ne dopušča možnosti (niti izjemoma), da bi policija predlog za hišno ali osebno preiskavo naslovila neposredno na preiskovalnega sodnika (predlog preiskovalnemu sodniku lahko poda izključno državni tožilec),</w:t>
      </w:r>
      <w:r w:rsidR="003A11F2">
        <w:rPr>
          <w:rStyle w:val="Sprotnaopomba-sklic"/>
          <w:rFonts w:ascii="Arial" w:hAnsi="Arial" w:cs="Arial"/>
          <w:sz w:val="20"/>
          <w:szCs w:val="20"/>
        </w:rPr>
        <w:footnoteReference w:id="4"/>
      </w:r>
      <w:r w:rsidRPr="009B6499">
        <w:rPr>
          <w:rFonts w:ascii="Arial" w:hAnsi="Arial" w:cs="Arial"/>
          <w:sz w:val="20"/>
          <w:szCs w:val="20"/>
        </w:rPr>
        <w:t xml:space="preserve"> se s predlagano spremembo tretjega odstavka 6. člena Uredbe vsebina usklajuje z določbami ZKP. Upoštevaje zgoraj navedeno določbo 215. člena ZKP in pet</w:t>
      </w:r>
      <w:r w:rsidR="00A442D7">
        <w:rPr>
          <w:rFonts w:ascii="Arial" w:hAnsi="Arial" w:cs="Arial"/>
          <w:sz w:val="20"/>
          <w:szCs w:val="20"/>
        </w:rPr>
        <w:t>i</w:t>
      </w:r>
      <w:r w:rsidRPr="009B6499">
        <w:rPr>
          <w:rFonts w:ascii="Arial" w:hAnsi="Arial" w:cs="Arial"/>
          <w:sz w:val="20"/>
          <w:szCs w:val="20"/>
        </w:rPr>
        <w:t xml:space="preserve"> odstav</w:t>
      </w:r>
      <w:r w:rsidR="00A442D7">
        <w:rPr>
          <w:rFonts w:ascii="Arial" w:hAnsi="Arial" w:cs="Arial"/>
          <w:sz w:val="20"/>
          <w:szCs w:val="20"/>
        </w:rPr>
        <w:t>e</w:t>
      </w:r>
      <w:r w:rsidRPr="009B6499">
        <w:rPr>
          <w:rFonts w:ascii="Arial" w:hAnsi="Arial" w:cs="Arial"/>
          <w:sz w:val="20"/>
          <w:szCs w:val="20"/>
        </w:rPr>
        <w:t>k 218. člena ZKP, ki na nedvoumen način določa, da kadar opravijo policisti preiskavo (osebno ali hišno) brez odredbe, morajo o tem nemudoma podati poročilo državnemu tožilcu, če postopek še ne teče pa tudi preiskovalnemu sodniku, se v nadaljevanju predlaga tudi črtanje četrtega odstavka 6. člena Uredbe.</w:t>
      </w:r>
    </w:p>
    <w:p w14:paraId="57C028CA" w14:textId="77777777" w:rsidR="009604BF" w:rsidRDefault="009604BF" w:rsidP="009B6499">
      <w:pPr>
        <w:spacing w:after="0" w:line="260" w:lineRule="exact"/>
        <w:jc w:val="both"/>
        <w:rPr>
          <w:rFonts w:ascii="Arial" w:hAnsi="Arial" w:cs="Arial"/>
          <w:sz w:val="20"/>
          <w:szCs w:val="20"/>
        </w:rPr>
      </w:pPr>
    </w:p>
    <w:p w14:paraId="7D285736" w14:textId="7EC0C116" w:rsidR="009604BF" w:rsidRPr="009604BF" w:rsidRDefault="009604BF" w:rsidP="009B6499">
      <w:pPr>
        <w:spacing w:after="0" w:line="260" w:lineRule="exact"/>
        <w:jc w:val="both"/>
        <w:rPr>
          <w:rFonts w:ascii="Arial" w:hAnsi="Arial" w:cs="Arial"/>
          <w:b/>
          <w:bCs/>
          <w:sz w:val="20"/>
          <w:szCs w:val="20"/>
        </w:rPr>
      </w:pPr>
      <w:r w:rsidRPr="009604BF">
        <w:rPr>
          <w:rFonts w:ascii="Arial" w:hAnsi="Arial" w:cs="Arial"/>
          <w:b/>
          <w:bCs/>
          <w:sz w:val="20"/>
          <w:szCs w:val="20"/>
        </w:rPr>
        <w:t>K 3. členu:</w:t>
      </w:r>
    </w:p>
    <w:p w14:paraId="2BE7BBC8" w14:textId="11395529" w:rsidR="009604BF" w:rsidRPr="009604BF" w:rsidRDefault="009604BF" w:rsidP="009604BF">
      <w:pPr>
        <w:spacing w:after="0" w:line="260" w:lineRule="exact"/>
        <w:jc w:val="both"/>
        <w:rPr>
          <w:rFonts w:ascii="Arial" w:hAnsi="Arial" w:cs="Arial"/>
          <w:sz w:val="20"/>
          <w:szCs w:val="20"/>
        </w:rPr>
      </w:pPr>
      <w:r w:rsidRPr="009604BF">
        <w:rPr>
          <w:rFonts w:ascii="Arial" w:hAnsi="Arial" w:cs="Arial"/>
          <w:sz w:val="20"/>
          <w:szCs w:val="20"/>
        </w:rPr>
        <w:t>S predlagano spremembo druge alineje 11. člena Uredbe se besedilo usklajuje z določbo 157. člena ZKP, ki v devetem odstavku določa, da o vsakem odvzemu prostosti policija takoj obvesti državnega tožilca, ki ji lahko da navodila glede nadaljnjih ukrepov (160.a člen ZKP). Policija je dolžna ravnati po teh navodilih. Obvezna navodila glede ukrepov v primeru odvzema prostosti v skladu z drugo alinejo 11. člena Uredbe predstavljajo usmerjanje predkazenskega postopka. S predlaganim novim drugim odstavkom 11. člena</w:t>
      </w:r>
      <w:r>
        <w:rPr>
          <w:rFonts w:ascii="Arial" w:hAnsi="Arial" w:cs="Arial"/>
          <w:sz w:val="20"/>
          <w:szCs w:val="20"/>
        </w:rPr>
        <w:t xml:space="preserve"> Uredbe</w:t>
      </w:r>
      <w:r w:rsidRPr="009604BF">
        <w:rPr>
          <w:rFonts w:ascii="Arial" w:hAnsi="Arial" w:cs="Arial"/>
          <w:sz w:val="20"/>
          <w:szCs w:val="20"/>
        </w:rPr>
        <w:t xml:space="preserve"> se za obvezna navodila glede ukrepov v primeru odvzema prostosti, ki so zaradi nujnosti in hitrosti postopka praviloma ustna in hkrati za policijo zavezujoča, predvideva njihova naknadna pisna verifikacija s strani državnega tožilca, ki postopek usmerja, kar bo pripomoglo k transparentnosti poteka predkazenskega postopka. Časovna komponenta dvanajstih ur </w:t>
      </w:r>
      <w:r>
        <w:rPr>
          <w:rFonts w:ascii="Arial" w:hAnsi="Arial" w:cs="Arial"/>
          <w:sz w:val="20"/>
          <w:szCs w:val="20"/>
        </w:rPr>
        <w:t>po mnenju predlagatelja</w:t>
      </w:r>
      <w:r w:rsidRPr="009604BF">
        <w:rPr>
          <w:rFonts w:ascii="Arial" w:hAnsi="Arial" w:cs="Arial"/>
          <w:sz w:val="20"/>
          <w:szCs w:val="20"/>
        </w:rPr>
        <w:t xml:space="preserve"> predstavlja zadosten časovni okvir za zapis uradnega zaznamka, hkrati pa gre za ustaljeno </w:t>
      </w:r>
      <w:proofErr w:type="spellStart"/>
      <w:r w:rsidRPr="009604BF">
        <w:rPr>
          <w:rFonts w:ascii="Arial" w:hAnsi="Arial" w:cs="Arial"/>
          <w:sz w:val="20"/>
          <w:szCs w:val="20"/>
        </w:rPr>
        <w:t>časovnico</w:t>
      </w:r>
      <w:proofErr w:type="spellEnd"/>
      <w:r w:rsidRPr="009604BF">
        <w:rPr>
          <w:rFonts w:ascii="Arial" w:hAnsi="Arial" w:cs="Arial"/>
          <w:sz w:val="20"/>
          <w:szCs w:val="20"/>
        </w:rPr>
        <w:t>, ki jo ZKP določa za izdajo naknadne pisne odredbe, v primerih, ko določa možnost izdaje ustne odredbe</w:t>
      </w:r>
      <w:r w:rsidR="00A442D7">
        <w:rPr>
          <w:rFonts w:ascii="Arial" w:hAnsi="Arial" w:cs="Arial"/>
          <w:sz w:val="20"/>
          <w:szCs w:val="20"/>
        </w:rPr>
        <w:t>,</w:t>
      </w:r>
      <w:r w:rsidRPr="009604BF">
        <w:rPr>
          <w:rFonts w:ascii="Arial" w:hAnsi="Arial" w:cs="Arial"/>
          <w:sz w:val="20"/>
          <w:szCs w:val="20"/>
        </w:rPr>
        <w:t xml:space="preserve"> če pisne odredbe ni mogoče pravočasno pridobiti in če obstaja nevarnosti odlašanja.</w:t>
      </w:r>
    </w:p>
    <w:p w14:paraId="741BA7CB" w14:textId="77777777" w:rsidR="009604BF" w:rsidRPr="009604BF" w:rsidRDefault="009604BF" w:rsidP="009604BF">
      <w:pPr>
        <w:spacing w:after="0" w:line="260" w:lineRule="exact"/>
        <w:rPr>
          <w:rFonts w:ascii="Arial" w:hAnsi="Arial" w:cs="Arial"/>
          <w:b/>
          <w:sz w:val="20"/>
          <w:szCs w:val="20"/>
        </w:rPr>
      </w:pPr>
    </w:p>
    <w:p w14:paraId="16D530EC" w14:textId="494EF42A" w:rsidR="009604BF" w:rsidRPr="009604BF" w:rsidRDefault="009604BF" w:rsidP="009604BF">
      <w:pPr>
        <w:spacing w:after="0" w:line="260" w:lineRule="exact"/>
        <w:rPr>
          <w:rFonts w:ascii="Arial" w:hAnsi="Arial" w:cs="Arial"/>
          <w:b/>
          <w:sz w:val="20"/>
          <w:szCs w:val="20"/>
        </w:rPr>
      </w:pPr>
      <w:r w:rsidRPr="009604BF">
        <w:rPr>
          <w:rFonts w:ascii="Arial" w:hAnsi="Arial" w:cs="Arial"/>
          <w:b/>
          <w:sz w:val="20"/>
          <w:szCs w:val="20"/>
        </w:rPr>
        <w:t>K 4. členu:</w:t>
      </w:r>
    </w:p>
    <w:p w14:paraId="5385285A" w14:textId="2FBB8B89" w:rsidR="009604BF" w:rsidRPr="00BE1FB0" w:rsidRDefault="009604BF" w:rsidP="00BE1FB0">
      <w:pPr>
        <w:spacing w:after="0" w:line="260" w:lineRule="exact"/>
        <w:jc w:val="both"/>
        <w:rPr>
          <w:rFonts w:ascii="Arial" w:hAnsi="Arial" w:cs="Arial"/>
          <w:sz w:val="20"/>
          <w:szCs w:val="20"/>
        </w:rPr>
      </w:pPr>
      <w:r w:rsidRPr="00BE1FB0">
        <w:rPr>
          <w:rFonts w:ascii="Arial" w:hAnsi="Arial" w:cs="Arial"/>
          <w:sz w:val="20"/>
          <w:szCs w:val="20"/>
        </w:rPr>
        <w:t xml:space="preserve">Tretji odstavek 12. člena Uredbe določa, da državni tožilec na obrazloženo pisno zahtevo policista sestavi uradni zaznamek o podanih usmeritvah in ga pošlje policiji, kar ne pripomore k hitremu in učinkovitemu sodelovanju policije in državnega tožilca v predkazenskem postopku. Še zlasti v začetni fazi preiskave kaznivega dejanja morata policija in državni tožilec postopati hitro, zato se s predlagano spremembo tretjega odstavka tudi glede podaje navodil in predlogov policiji dopušča vse oblike </w:t>
      </w:r>
      <w:r w:rsidRPr="00BE1FB0">
        <w:rPr>
          <w:rFonts w:ascii="Arial" w:hAnsi="Arial" w:cs="Arial"/>
          <w:sz w:val="20"/>
          <w:szCs w:val="20"/>
        </w:rPr>
        <w:lastRenderedPageBreak/>
        <w:t>komuniciranja med državnim tožilcem in policistom (podobno na strani državnega tožilca v prvem odstavku 5. člena, prvem odstavku 13. člena, 21. členu in drugem odstavku 23. člena Uredbe). Zahtevo za sestavo uradnega zaznamka o podanih navodilih in predlogih državnega tožilca bo policist tako lahko podal tudi ustno, z uradnim zaznamkom pa bo državni tožilec, kot je že sedaj določeno v Uredbi, naknadno potrdil vsebino usmeritev, ki jih je podal.</w:t>
      </w:r>
    </w:p>
    <w:p w14:paraId="3669D41F" w14:textId="77777777" w:rsidR="009604BF" w:rsidRPr="00BE1FB0" w:rsidRDefault="009604BF" w:rsidP="00BE1FB0">
      <w:pPr>
        <w:spacing w:after="0" w:line="260" w:lineRule="exact"/>
        <w:jc w:val="both"/>
        <w:rPr>
          <w:rFonts w:ascii="Arial" w:hAnsi="Arial" w:cs="Arial"/>
          <w:sz w:val="20"/>
          <w:szCs w:val="20"/>
        </w:rPr>
      </w:pPr>
    </w:p>
    <w:p w14:paraId="14FB716C" w14:textId="3FBE5F6E" w:rsidR="009604BF" w:rsidRPr="00BE1FB0" w:rsidRDefault="009604BF" w:rsidP="00BE1FB0">
      <w:pPr>
        <w:spacing w:after="0" w:line="260" w:lineRule="exact"/>
        <w:jc w:val="both"/>
        <w:rPr>
          <w:rFonts w:ascii="Arial" w:hAnsi="Arial" w:cs="Arial"/>
          <w:sz w:val="20"/>
          <w:szCs w:val="20"/>
        </w:rPr>
      </w:pPr>
      <w:r w:rsidRPr="00BE1FB0">
        <w:rPr>
          <w:rFonts w:ascii="Arial" w:hAnsi="Arial" w:cs="Arial"/>
          <w:sz w:val="20"/>
          <w:szCs w:val="20"/>
        </w:rPr>
        <w:t>Četrti odstavek 12. člena Uredbe vzpostavlja domnevo, da je državni tožilec v trenutku, ko je bil obveščen o kaznivem dejanju, prevzel usmerjanje predkazenskega postopka, kar je v nasprotju z drugim odstavkom 5. člena Uredbe, ki določa, da državni tožilec po sprejemu obvestila o kaznivem dejanju lahko policistu usmeritve poda takoj, najkasneje pa v petih dneh (po predlogu v treh dneh) od prejema obvestila, če pa v tem času navodil in predlogov ne poda, se šteje, da ne bo usmerjal predkazenskega postopka. Ker veljavna ureditev tudi sicer krni odgovornost policije za strokovnost opravljenega dela v okviru njenega hierarhičnega ustroja, na drugi strani pa povečuje odgovornost državnega tožilca za potek postopka, v katerem policija v okviru svoje odgovornosti za preiskovanje kaznivih dejanj morda (še) ni storila vse potrebno glede na pooblastila, ki jih določa tudi npr. Zakon o nalogah in pooblastilih policije</w:t>
      </w:r>
      <w:r w:rsidR="00BE1FB0">
        <w:rPr>
          <w:rStyle w:val="Sprotnaopomba-sklic"/>
          <w:rFonts w:ascii="Arial" w:hAnsi="Arial" w:cs="Arial"/>
          <w:sz w:val="20"/>
          <w:szCs w:val="20"/>
        </w:rPr>
        <w:footnoteReference w:id="5"/>
      </w:r>
      <w:r w:rsidRPr="00BE1FB0">
        <w:rPr>
          <w:rFonts w:ascii="Arial" w:hAnsi="Arial" w:cs="Arial"/>
          <w:sz w:val="20"/>
          <w:szCs w:val="20"/>
        </w:rPr>
        <w:t xml:space="preserve"> se predlaga črtanje četrtega odstavka 12. člena Uredbe.</w:t>
      </w:r>
    </w:p>
    <w:p w14:paraId="0D3AECA4" w14:textId="77777777" w:rsidR="009604BF" w:rsidRPr="00BE1FB0" w:rsidRDefault="009604BF" w:rsidP="00BE1FB0">
      <w:pPr>
        <w:spacing w:after="0" w:line="260" w:lineRule="exact"/>
        <w:jc w:val="both"/>
        <w:rPr>
          <w:rFonts w:ascii="Arial" w:hAnsi="Arial" w:cs="Arial"/>
          <w:sz w:val="20"/>
          <w:szCs w:val="20"/>
        </w:rPr>
      </w:pPr>
    </w:p>
    <w:p w14:paraId="28951018" w14:textId="77777777" w:rsidR="009604BF" w:rsidRPr="00BE1FB0" w:rsidRDefault="009604BF" w:rsidP="00BE1FB0">
      <w:pPr>
        <w:spacing w:after="0" w:line="260" w:lineRule="exact"/>
        <w:jc w:val="both"/>
        <w:rPr>
          <w:rFonts w:ascii="Arial" w:hAnsi="Arial" w:cs="Arial"/>
          <w:sz w:val="20"/>
          <w:szCs w:val="20"/>
        </w:rPr>
      </w:pPr>
      <w:r w:rsidRPr="00BE1FB0">
        <w:rPr>
          <w:rFonts w:ascii="Arial" w:hAnsi="Arial" w:cs="Arial"/>
          <w:sz w:val="20"/>
          <w:szCs w:val="20"/>
        </w:rPr>
        <w:t xml:space="preserve">Policija je dolžna obveščati državno tožilstvo (šele), ko so ugotovljeni razlogi za sum, da je bilo storjeno kaznivo dejanje, in sicer v rokih ter na način, ki ga določata Uredba in ZKP. Ugotavljanje, ali je v konkretni zadevi podana najmanjša stopnja verjetnosti oziroma kazensko procesni dokazni standard (razlogi za sum), ki od policije terja takojšnjo »sprožitev« t. i. policijske preiskave, je namreč v pristojnosti policije. V kolikor policija le-te ugotovi (potrdi) pa je v skladu s kazensko procesno zakonodajo in kriminalistično stroko dolžna storiti vse, da se zavarujejo dokazi in sledovi kaznivega dejanja, odkrije storilec itd., in se ravnati po usmeritvah državnega tožilca, v kolikor je prevzel usmerjanje predkazenskega postopka ter postopek zaključiti s poročilom ali kazensko ovadbo. Če pa policist oceni, da z razlogi za sum »še ne razpolaga« ima na voljo številna pooblastila, ki jih določa tudi </w:t>
      </w:r>
      <w:proofErr w:type="spellStart"/>
      <w:r w:rsidRPr="00BE1FB0">
        <w:rPr>
          <w:rFonts w:ascii="Arial" w:hAnsi="Arial" w:cs="Arial"/>
          <w:sz w:val="20"/>
          <w:szCs w:val="20"/>
        </w:rPr>
        <w:t>ZNPPol</w:t>
      </w:r>
      <w:proofErr w:type="spellEnd"/>
      <w:r w:rsidRPr="00BE1FB0">
        <w:rPr>
          <w:rFonts w:ascii="Arial" w:hAnsi="Arial" w:cs="Arial"/>
          <w:sz w:val="20"/>
          <w:szCs w:val="20"/>
        </w:rPr>
        <w:t>. Slednje ne pomeni, da se policist ne sme predhodno posvetovati (tudi) z državnim tožilcem o tem ali ugotovitve na kraju izkazujejo razloge za sum, da je bilo storjeno kaznivo dejanje, za katerega se storilec preganja po uradni dolžnosti, vendar šele takrat, ko so ugotovljene vse okoliščine in druga pomembna dejstva, da mu lahko predoči celovito dejansko stanje. Še pred tovrstnim posvetovanjem z državnim tožilcem pa se mora v primeru odprtih strokovnih dilem najprej posvetovati s predstojnikom, dežurnim kriminalistom, OKC itd.</w:t>
      </w:r>
    </w:p>
    <w:p w14:paraId="79972B40" w14:textId="77777777" w:rsidR="009604BF" w:rsidRPr="00BE1FB0" w:rsidRDefault="009604BF" w:rsidP="00BE1FB0">
      <w:pPr>
        <w:spacing w:after="0" w:line="260" w:lineRule="exact"/>
        <w:jc w:val="both"/>
        <w:rPr>
          <w:rFonts w:ascii="Arial" w:hAnsi="Arial" w:cs="Arial"/>
          <w:sz w:val="20"/>
          <w:szCs w:val="20"/>
        </w:rPr>
      </w:pPr>
    </w:p>
    <w:p w14:paraId="67CC9CDE" w14:textId="49ECC3A1" w:rsidR="00024D87" w:rsidRPr="00024D87" w:rsidRDefault="00024D87" w:rsidP="00024D87">
      <w:pPr>
        <w:spacing w:after="0" w:line="260" w:lineRule="exact"/>
        <w:rPr>
          <w:rFonts w:ascii="Arial" w:hAnsi="Arial" w:cs="Arial"/>
          <w:b/>
          <w:bCs/>
          <w:sz w:val="20"/>
          <w:szCs w:val="20"/>
        </w:rPr>
      </w:pPr>
      <w:r w:rsidRPr="00024D87">
        <w:rPr>
          <w:rFonts w:ascii="Arial" w:hAnsi="Arial" w:cs="Arial"/>
          <w:b/>
          <w:bCs/>
          <w:sz w:val="20"/>
          <w:szCs w:val="20"/>
        </w:rPr>
        <w:t>K 5. členu:</w:t>
      </w:r>
    </w:p>
    <w:p w14:paraId="674D5B9A" w14:textId="051B1CE8" w:rsidR="00024D87" w:rsidRPr="00024D87" w:rsidRDefault="00024D87" w:rsidP="00024D87">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D</w:t>
      </w:r>
      <w:r w:rsidRPr="00024D87">
        <w:rPr>
          <w:rFonts w:ascii="Arial" w:hAnsi="Arial" w:cs="Arial"/>
          <w:sz w:val="20"/>
          <w:szCs w:val="20"/>
        </w:rPr>
        <w:t>oločit</w:t>
      </w:r>
      <w:r>
        <w:rPr>
          <w:rFonts w:ascii="Arial" w:hAnsi="Arial" w:cs="Arial"/>
          <w:sz w:val="20"/>
          <w:szCs w:val="20"/>
        </w:rPr>
        <w:t>e</w:t>
      </w:r>
      <w:r w:rsidRPr="00024D87">
        <w:rPr>
          <w:rFonts w:ascii="Arial" w:hAnsi="Arial" w:cs="Arial"/>
          <w:sz w:val="20"/>
          <w:szCs w:val="20"/>
        </w:rPr>
        <w:t xml:space="preserve">v roka za posredovanje strokovnega mnenja </w:t>
      </w:r>
      <w:r>
        <w:rPr>
          <w:rFonts w:ascii="Arial" w:hAnsi="Arial" w:cs="Arial"/>
          <w:sz w:val="20"/>
          <w:szCs w:val="20"/>
        </w:rPr>
        <w:t>narekujejo potrebe na operativni ravni. Po veljavni ureditvi ima namreč</w:t>
      </w:r>
      <w:r w:rsidRPr="00024D87">
        <w:rPr>
          <w:rFonts w:ascii="Arial" w:hAnsi="Arial" w:cs="Arial"/>
          <w:sz w:val="20"/>
          <w:szCs w:val="20"/>
        </w:rPr>
        <w:t xml:space="preserve"> državni tožilec neomejeno časovno možnost podaje strokovnega mnenja, kar posledično lahko vpliva na potek predkazenskega postopka. Z določitvijo roka se prepreč</w:t>
      </w:r>
      <w:r>
        <w:rPr>
          <w:rFonts w:ascii="Arial" w:hAnsi="Arial" w:cs="Arial"/>
          <w:sz w:val="20"/>
          <w:szCs w:val="20"/>
        </w:rPr>
        <w:t>uje nastanek situacij</w:t>
      </w:r>
      <w:r w:rsidRPr="00024D87">
        <w:rPr>
          <w:rFonts w:ascii="Arial" w:hAnsi="Arial" w:cs="Arial"/>
          <w:sz w:val="20"/>
          <w:szCs w:val="20"/>
        </w:rPr>
        <w:t xml:space="preserve"> v predkazenskih zadevah, v katerih je</w:t>
      </w:r>
      <w:r>
        <w:rPr>
          <w:rFonts w:ascii="Arial" w:hAnsi="Arial" w:cs="Arial"/>
          <w:sz w:val="20"/>
          <w:szCs w:val="20"/>
        </w:rPr>
        <w:t xml:space="preserve"> policija</w:t>
      </w:r>
      <w:r w:rsidRPr="00024D87">
        <w:rPr>
          <w:rFonts w:ascii="Arial" w:hAnsi="Arial" w:cs="Arial"/>
          <w:sz w:val="20"/>
          <w:szCs w:val="20"/>
        </w:rPr>
        <w:t xml:space="preserve"> zaprosil</w:t>
      </w:r>
      <w:r w:rsidR="00A442D7">
        <w:rPr>
          <w:rFonts w:ascii="Arial" w:hAnsi="Arial" w:cs="Arial"/>
          <w:sz w:val="20"/>
          <w:szCs w:val="20"/>
        </w:rPr>
        <w:t>a</w:t>
      </w:r>
      <w:r w:rsidRPr="00024D87">
        <w:rPr>
          <w:rFonts w:ascii="Arial" w:hAnsi="Arial" w:cs="Arial"/>
          <w:sz w:val="20"/>
          <w:szCs w:val="20"/>
        </w:rPr>
        <w:t xml:space="preserve"> za strokovno mnenje, p</w:t>
      </w:r>
      <w:r>
        <w:rPr>
          <w:rFonts w:ascii="Arial" w:hAnsi="Arial" w:cs="Arial"/>
          <w:sz w:val="20"/>
          <w:szCs w:val="20"/>
        </w:rPr>
        <w:t>a</w:t>
      </w:r>
      <w:r w:rsidRPr="00024D87">
        <w:rPr>
          <w:rFonts w:ascii="Arial" w:hAnsi="Arial" w:cs="Arial"/>
          <w:sz w:val="20"/>
          <w:szCs w:val="20"/>
        </w:rPr>
        <w:t xml:space="preserve"> več mesecev ne izvaja aktivnosti, saj čaka na strokovno mnenje državnega tožilca. </w:t>
      </w:r>
      <w:r>
        <w:rPr>
          <w:rFonts w:ascii="Arial" w:hAnsi="Arial" w:cs="Arial"/>
          <w:sz w:val="20"/>
          <w:szCs w:val="20"/>
        </w:rPr>
        <w:t>Po mnenju predlagatelja je</w:t>
      </w:r>
      <w:r w:rsidRPr="00024D87">
        <w:rPr>
          <w:rFonts w:ascii="Arial" w:hAnsi="Arial" w:cs="Arial"/>
          <w:sz w:val="20"/>
          <w:szCs w:val="20"/>
        </w:rPr>
        <w:t xml:space="preserve"> </w:t>
      </w:r>
      <w:r>
        <w:rPr>
          <w:rFonts w:ascii="Arial" w:hAnsi="Arial" w:cs="Arial"/>
          <w:sz w:val="20"/>
          <w:szCs w:val="20"/>
        </w:rPr>
        <w:t xml:space="preserve">predlagani </w:t>
      </w:r>
      <w:r w:rsidRPr="00024D87">
        <w:rPr>
          <w:rFonts w:ascii="Arial" w:hAnsi="Arial" w:cs="Arial"/>
          <w:sz w:val="20"/>
          <w:szCs w:val="20"/>
        </w:rPr>
        <w:t>petnajstdn</w:t>
      </w:r>
      <w:r>
        <w:rPr>
          <w:rFonts w:ascii="Arial" w:hAnsi="Arial" w:cs="Arial"/>
          <w:sz w:val="20"/>
          <w:szCs w:val="20"/>
        </w:rPr>
        <w:t>evni rok</w:t>
      </w:r>
      <w:r w:rsidRPr="00024D87">
        <w:rPr>
          <w:rFonts w:ascii="Arial" w:hAnsi="Arial" w:cs="Arial"/>
          <w:sz w:val="20"/>
          <w:szCs w:val="20"/>
        </w:rPr>
        <w:t xml:space="preserve"> </w:t>
      </w:r>
      <w:r w:rsidR="00A442D7">
        <w:rPr>
          <w:rFonts w:ascii="Arial" w:hAnsi="Arial" w:cs="Arial"/>
          <w:sz w:val="20"/>
          <w:szCs w:val="20"/>
        </w:rPr>
        <w:t xml:space="preserve">(oziroma iz tehtnih razlogov kot npr. zahtevnost in zapletenost obravnavane zadeve tridesetdnevni rok) </w:t>
      </w:r>
      <w:r w:rsidRPr="00024D87">
        <w:rPr>
          <w:rFonts w:ascii="Arial" w:hAnsi="Arial" w:cs="Arial"/>
          <w:sz w:val="20"/>
          <w:szCs w:val="20"/>
        </w:rPr>
        <w:t>razumen rok, ki državnemu tožilcu omogoča seznanitev s problematiko in podajo strokovnega mnenja.</w:t>
      </w:r>
    </w:p>
    <w:p w14:paraId="307BD509" w14:textId="77777777" w:rsidR="009604BF" w:rsidRDefault="009604BF" w:rsidP="00024D87">
      <w:pPr>
        <w:autoSpaceDE w:val="0"/>
        <w:autoSpaceDN w:val="0"/>
        <w:adjustRightInd w:val="0"/>
        <w:spacing w:after="0" w:line="260" w:lineRule="exact"/>
        <w:jc w:val="both"/>
        <w:rPr>
          <w:rFonts w:ascii="Arial" w:hAnsi="Arial" w:cs="Arial"/>
          <w:sz w:val="20"/>
          <w:szCs w:val="20"/>
        </w:rPr>
      </w:pPr>
    </w:p>
    <w:p w14:paraId="7FB73BB0" w14:textId="5C124408" w:rsidR="009A630C" w:rsidRPr="009A630C" w:rsidRDefault="009A630C" w:rsidP="00024D87">
      <w:pPr>
        <w:autoSpaceDE w:val="0"/>
        <w:autoSpaceDN w:val="0"/>
        <w:adjustRightInd w:val="0"/>
        <w:spacing w:after="0" w:line="260" w:lineRule="exact"/>
        <w:jc w:val="both"/>
        <w:rPr>
          <w:rFonts w:ascii="Arial" w:hAnsi="Arial" w:cs="Arial"/>
          <w:b/>
          <w:bCs/>
          <w:sz w:val="20"/>
          <w:szCs w:val="20"/>
        </w:rPr>
      </w:pPr>
      <w:r w:rsidRPr="009A630C">
        <w:rPr>
          <w:rFonts w:ascii="Arial" w:hAnsi="Arial" w:cs="Arial"/>
          <w:b/>
          <w:bCs/>
          <w:sz w:val="20"/>
          <w:szCs w:val="20"/>
        </w:rPr>
        <w:t>K 6. členu:</w:t>
      </w:r>
    </w:p>
    <w:p w14:paraId="0A491206" w14:textId="5564CB6A" w:rsidR="009A630C" w:rsidRDefault="009A630C" w:rsidP="00024D87">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S predlagano spremembo 29.a člena Uredbe se upoštevaje okoliščino, da skladno z določbo 160.a člena ZKP specializirane preiskovalne skupine ustanavlja vodja državnega tožilstva, določa pristojnost slednjega tudi za izdajo odredbe o zaključku dela specializirane preiskovalne sku</w:t>
      </w:r>
      <w:r w:rsidR="00B41882">
        <w:rPr>
          <w:rFonts w:ascii="Arial" w:hAnsi="Arial" w:cs="Arial"/>
          <w:sz w:val="20"/>
          <w:szCs w:val="20"/>
        </w:rPr>
        <w:t>p</w:t>
      </w:r>
      <w:r>
        <w:rPr>
          <w:rFonts w:ascii="Arial" w:hAnsi="Arial" w:cs="Arial"/>
          <w:sz w:val="20"/>
          <w:szCs w:val="20"/>
        </w:rPr>
        <w:t>ine.</w:t>
      </w:r>
    </w:p>
    <w:p w14:paraId="6B115EC4" w14:textId="77777777" w:rsidR="009A630C" w:rsidRPr="00024D87" w:rsidRDefault="009A630C" w:rsidP="00024D87">
      <w:pPr>
        <w:autoSpaceDE w:val="0"/>
        <w:autoSpaceDN w:val="0"/>
        <w:adjustRightInd w:val="0"/>
        <w:spacing w:after="0" w:line="260" w:lineRule="exact"/>
        <w:jc w:val="both"/>
        <w:rPr>
          <w:rFonts w:ascii="Arial" w:hAnsi="Arial" w:cs="Arial"/>
          <w:sz w:val="20"/>
          <w:szCs w:val="20"/>
        </w:rPr>
      </w:pPr>
    </w:p>
    <w:p w14:paraId="3EDB06C7" w14:textId="1031D2F5" w:rsidR="008F4956" w:rsidRPr="00024D87" w:rsidRDefault="008F4956" w:rsidP="00024D87">
      <w:pPr>
        <w:spacing w:after="0" w:line="260" w:lineRule="exact"/>
        <w:rPr>
          <w:rFonts w:ascii="Arial" w:hAnsi="Arial" w:cs="Arial"/>
          <w:b/>
          <w:bCs/>
          <w:sz w:val="20"/>
          <w:szCs w:val="20"/>
        </w:rPr>
      </w:pPr>
      <w:r w:rsidRPr="00024D87">
        <w:rPr>
          <w:rFonts w:ascii="Arial" w:hAnsi="Arial" w:cs="Arial"/>
          <w:b/>
          <w:bCs/>
          <w:sz w:val="20"/>
          <w:szCs w:val="20"/>
        </w:rPr>
        <w:t xml:space="preserve">K </w:t>
      </w:r>
      <w:r w:rsidR="009A630C">
        <w:rPr>
          <w:rFonts w:ascii="Arial" w:hAnsi="Arial" w:cs="Arial"/>
          <w:b/>
          <w:bCs/>
          <w:sz w:val="20"/>
          <w:szCs w:val="20"/>
        </w:rPr>
        <w:t>7</w:t>
      </w:r>
      <w:r w:rsidRPr="00024D87">
        <w:rPr>
          <w:rFonts w:ascii="Arial" w:hAnsi="Arial" w:cs="Arial"/>
          <w:b/>
          <w:bCs/>
          <w:sz w:val="20"/>
          <w:szCs w:val="20"/>
        </w:rPr>
        <w:t>. členu:</w:t>
      </w:r>
    </w:p>
    <w:p w14:paraId="3122CF3B" w14:textId="65871F53" w:rsidR="002F1B33" w:rsidRPr="002F1B33" w:rsidRDefault="00024D87" w:rsidP="00C5281C">
      <w:pPr>
        <w:spacing w:after="0" w:line="260" w:lineRule="exact"/>
        <w:jc w:val="both"/>
        <w:rPr>
          <w:rFonts w:ascii="Arial" w:eastAsia="Calibri" w:hAnsi="Arial" w:cs="Arial"/>
          <w:bCs/>
          <w:sz w:val="20"/>
          <w:szCs w:val="20"/>
          <w:shd w:val="clear" w:color="auto" w:fill="FFFFFF"/>
        </w:rPr>
      </w:pPr>
      <w:r w:rsidRPr="00AD1B2B">
        <w:rPr>
          <w:rFonts w:ascii="Arial" w:hAnsi="Arial" w:cs="Arial"/>
          <w:sz w:val="20"/>
          <w:szCs w:val="20"/>
        </w:rPr>
        <w:t>Določa se začetek veljavnosti</w:t>
      </w:r>
      <w:r>
        <w:rPr>
          <w:rFonts w:ascii="Arial" w:hAnsi="Arial" w:cs="Arial"/>
          <w:sz w:val="20"/>
          <w:szCs w:val="20"/>
        </w:rPr>
        <w:t xml:space="preserve"> uredbe</w:t>
      </w:r>
      <w:r w:rsidRPr="00AD1B2B">
        <w:rPr>
          <w:rFonts w:ascii="Arial" w:hAnsi="Arial" w:cs="Arial"/>
          <w:sz w:val="20"/>
          <w:szCs w:val="20"/>
        </w:rPr>
        <w:t>, to je petnajsti dan po objavi v Uradnem listu Republike Slovenije.</w:t>
      </w:r>
    </w:p>
    <w:sectPr w:rsidR="002F1B33" w:rsidRPr="002F1B3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14A12" w14:textId="77777777" w:rsidR="003C55C2" w:rsidRDefault="003C55C2" w:rsidP="002C2B48">
      <w:pPr>
        <w:spacing w:after="0" w:line="240" w:lineRule="auto"/>
      </w:pPr>
      <w:r>
        <w:separator/>
      </w:r>
    </w:p>
  </w:endnote>
  <w:endnote w:type="continuationSeparator" w:id="0">
    <w:p w14:paraId="62344090" w14:textId="77777777" w:rsidR="003C55C2" w:rsidRDefault="003C55C2" w:rsidP="002C2B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DCCFD" w14:textId="77777777" w:rsidR="003C55C2" w:rsidRDefault="003C55C2" w:rsidP="002C2B48">
      <w:pPr>
        <w:spacing w:after="0" w:line="240" w:lineRule="auto"/>
      </w:pPr>
      <w:r>
        <w:separator/>
      </w:r>
    </w:p>
  </w:footnote>
  <w:footnote w:type="continuationSeparator" w:id="0">
    <w:p w14:paraId="6C8E636A" w14:textId="77777777" w:rsidR="003C55C2" w:rsidRDefault="003C55C2" w:rsidP="002C2B48">
      <w:pPr>
        <w:spacing w:after="0" w:line="240" w:lineRule="auto"/>
      </w:pPr>
      <w:r>
        <w:continuationSeparator/>
      </w:r>
    </w:p>
  </w:footnote>
  <w:footnote w:id="1">
    <w:p w14:paraId="2CF92F16" w14:textId="2883108D" w:rsidR="009B6499" w:rsidRPr="003A11F2" w:rsidRDefault="009B6499" w:rsidP="003A11F2">
      <w:pPr>
        <w:pStyle w:val="Sprotnaopomba-besedilo"/>
        <w:spacing w:line="240" w:lineRule="auto"/>
        <w:jc w:val="both"/>
        <w:rPr>
          <w:sz w:val="16"/>
          <w:szCs w:val="16"/>
          <w:lang w:val="sl-SI"/>
        </w:rPr>
      </w:pPr>
      <w:r w:rsidRPr="003A11F2">
        <w:rPr>
          <w:rStyle w:val="Sprotnaopomba-sklic"/>
          <w:sz w:val="16"/>
          <w:szCs w:val="16"/>
          <w:lang w:val="sl-SI"/>
        </w:rPr>
        <w:footnoteRef/>
      </w:r>
      <w:r w:rsidRPr="003A11F2">
        <w:rPr>
          <w:sz w:val="16"/>
          <w:szCs w:val="16"/>
          <w:lang w:val="sl-SI"/>
        </w:rPr>
        <w:t xml:space="preserve"> </w:t>
      </w:r>
      <w:r w:rsidRPr="003A11F2">
        <w:rPr>
          <w:rFonts w:cs="Arial"/>
          <w:sz w:val="16"/>
          <w:szCs w:val="16"/>
          <w:lang w:val="sl-SI"/>
        </w:rPr>
        <w:t xml:space="preserve">Uradni list RS, št. </w:t>
      </w:r>
      <w:hyperlink r:id="rId1" w:tgtFrame="_blank" w:tooltip="Uredba o sodelovanju državnega tožilstva, policije in drugih pristojnih državnih organov in institucij pri odkrivanju in pregonu storilcev kaznivih dejanj ter delovanju specializiranih in skupnih preiskovalnih skupin" w:history="1">
        <w:r w:rsidRPr="003A11F2">
          <w:rPr>
            <w:rFonts w:cs="Arial"/>
            <w:sz w:val="16"/>
            <w:szCs w:val="16"/>
            <w:lang w:val="sl-SI"/>
          </w:rPr>
          <w:t>83/10</w:t>
        </w:r>
      </w:hyperlink>
      <w:r w:rsidRPr="003A11F2">
        <w:rPr>
          <w:rFonts w:cs="Arial"/>
          <w:sz w:val="16"/>
          <w:szCs w:val="16"/>
          <w:lang w:val="sl-SI"/>
        </w:rPr>
        <w:t xml:space="preserve">, </w:t>
      </w:r>
      <w:hyperlink r:id="rId2" w:tgtFrame="_blank" w:tooltip="Uredba o spremembi in dopolnitvah Uredbe o sodelovanju državnega tožilstva, policije in drugih pristojnih državnih organov in institucij pri odkrivanju in pregonu storilcev kaznivih dejanj ter delovanju specializiranih in skupnih preiskovalnih skupin" w:history="1">
        <w:r w:rsidRPr="003A11F2">
          <w:rPr>
            <w:rFonts w:cs="Arial"/>
            <w:sz w:val="16"/>
            <w:szCs w:val="16"/>
            <w:lang w:val="sl-SI"/>
          </w:rPr>
          <w:t>28/21</w:t>
        </w:r>
      </w:hyperlink>
      <w:r w:rsidRPr="003A11F2">
        <w:rPr>
          <w:rFonts w:cs="Arial"/>
          <w:sz w:val="16"/>
          <w:szCs w:val="16"/>
          <w:lang w:val="sl-SI"/>
        </w:rPr>
        <w:t xml:space="preserve"> in </w:t>
      </w:r>
      <w:hyperlink r:id="rId3" w:tgtFrame="_blank" w:tooltip="Uredba o spremembah in dopolnitvi Uredbe o sodelovanju državnega tožilstva, policije in drugih pristojnih državnih organov in institucij pri odkrivanju in pregonu storilcev kaznivih dejanj ter delovanju specializiranih in skupnih preiskovalnih skupin" w:history="1">
        <w:r w:rsidRPr="003A11F2">
          <w:rPr>
            <w:rFonts w:cs="Arial"/>
            <w:sz w:val="16"/>
            <w:szCs w:val="16"/>
            <w:lang w:val="sl-SI"/>
          </w:rPr>
          <w:t>87/22</w:t>
        </w:r>
      </w:hyperlink>
      <w:r w:rsidRPr="003A11F2">
        <w:rPr>
          <w:rFonts w:cs="Arial"/>
          <w:sz w:val="16"/>
          <w:szCs w:val="16"/>
          <w:lang w:val="sl-SI"/>
        </w:rPr>
        <w:t>; Uredba.</w:t>
      </w:r>
    </w:p>
  </w:footnote>
  <w:footnote w:id="2">
    <w:p w14:paraId="5C2CF2F8" w14:textId="54BD1F23" w:rsidR="003A11F2" w:rsidRPr="003A11F2" w:rsidRDefault="003A11F2" w:rsidP="003A11F2">
      <w:pPr>
        <w:pStyle w:val="Sprotnaopomba-besedilo"/>
        <w:spacing w:line="240" w:lineRule="auto"/>
        <w:jc w:val="both"/>
        <w:rPr>
          <w:sz w:val="16"/>
          <w:szCs w:val="16"/>
          <w:lang w:val="sl-SI"/>
        </w:rPr>
      </w:pPr>
      <w:r w:rsidRPr="003A11F2">
        <w:rPr>
          <w:rStyle w:val="Sprotnaopomba-sklic"/>
          <w:sz w:val="16"/>
          <w:szCs w:val="16"/>
          <w:lang w:val="sl-SI"/>
        </w:rPr>
        <w:footnoteRef/>
      </w:r>
      <w:r w:rsidRPr="003A11F2">
        <w:rPr>
          <w:sz w:val="16"/>
          <w:szCs w:val="16"/>
          <w:lang w:val="sl-SI"/>
        </w:rPr>
        <w:t xml:space="preserve"> </w:t>
      </w:r>
      <w:r w:rsidRPr="003A11F2">
        <w:rPr>
          <w:rFonts w:cs="Arial"/>
          <w:sz w:val="16"/>
          <w:szCs w:val="16"/>
          <w:lang w:val="sl-SI"/>
        </w:rPr>
        <w:t xml:space="preserve">Uradni list RS, št. </w:t>
      </w:r>
      <w:hyperlink r:id="rId4" w:tgtFrame="_blank" w:tooltip="Zakon o kazenskem postopku (uradno prečiščeno besedilo) (ZKP-UPB16)" w:history="1">
        <w:r w:rsidRPr="003A11F2">
          <w:rPr>
            <w:rFonts w:cs="Arial"/>
            <w:sz w:val="16"/>
            <w:szCs w:val="16"/>
            <w:lang w:val="sl-SI"/>
          </w:rPr>
          <w:t>176/21</w:t>
        </w:r>
      </w:hyperlink>
      <w:r w:rsidRPr="003A11F2">
        <w:rPr>
          <w:rFonts w:cs="Arial"/>
          <w:sz w:val="16"/>
          <w:szCs w:val="16"/>
          <w:lang w:val="sl-SI"/>
        </w:rPr>
        <w:t xml:space="preserve"> – uradno prečiščeno besedilo, </w:t>
      </w:r>
      <w:hyperlink r:id="rId5" w:tgtFrame="_blank" w:tooltip="Odločba o ugotovitvi, da je drugi odstavek 129.a člena Zakona o kazenskem postopku, kolikor določa petnajstdnevni rok za vložitev predloga o nadomestitvi kazni zapora z delom v splošno korist, ki teče od pravnomočnosti sodbe oziroma od zadnje vročitve prepisa " w:history="1">
        <w:r w:rsidRPr="003A11F2">
          <w:rPr>
            <w:rFonts w:cs="Arial"/>
            <w:sz w:val="16"/>
            <w:szCs w:val="16"/>
            <w:lang w:val="sl-SI"/>
          </w:rPr>
          <w:t>96/22</w:t>
        </w:r>
      </w:hyperlink>
      <w:r w:rsidRPr="003A11F2">
        <w:rPr>
          <w:rFonts w:cs="Arial"/>
          <w:sz w:val="16"/>
          <w:szCs w:val="16"/>
          <w:lang w:val="sl-SI"/>
        </w:rPr>
        <w:t xml:space="preserve"> – </w:t>
      </w:r>
      <w:proofErr w:type="spellStart"/>
      <w:r w:rsidRPr="003A11F2">
        <w:rPr>
          <w:rFonts w:cs="Arial"/>
          <w:sz w:val="16"/>
          <w:szCs w:val="16"/>
          <w:lang w:val="sl-SI"/>
        </w:rPr>
        <w:t>odl</w:t>
      </w:r>
      <w:proofErr w:type="spellEnd"/>
      <w:r w:rsidRPr="003A11F2">
        <w:rPr>
          <w:rFonts w:cs="Arial"/>
          <w:sz w:val="16"/>
          <w:szCs w:val="16"/>
          <w:lang w:val="sl-SI"/>
        </w:rPr>
        <w:t xml:space="preserve">. US, </w:t>
      </w:r>
      <w:hyperlink r:id="rId6" w:tgtFrame="_blank" w:tooltip="Odločba o razveljavitvi 1. točke prvega odstavka 150.a člena ter drugega, četrtega, petega, šestega in sedmega odstavka 150.a člena Zakona o kazenskem postopku, kolikor se nanašajo na ukrep iz 1. točke prvega odstavka 150.a člena Zakona o kazenskem postopku" w:history="1">
        <w:r w:rsidRPr="003A11F2">
          <w:rPr>
            <w:rFonts w:cs="Arial"/>
            <w:sz w:val="16"/>
            <w:szCs w:val="16"/>
            <w:lang w:val="sl-SI"/>
          </w:rPr>
          <w:t>2/23</w:t>
        </w:r>
      </w:hyperlink>
      <w:r w:rsidRPr="003A11F2">
        <w:rPr>
          <w:rFonts w:cs="Arial"/>
          <w:sz w:val="16"/>
          <w:szCs w:val="16"/>
          <w:lang w:val="sl-SI"/>
        </w:rPr>
        <w:t xml:space="preserve"> – </w:t>
      </w:r>
      <w:proofErr w:type="spellStart"/>
      <w:r w:rsidRPr="003A11F2">
        <w:rPr>
          <w:rFonts w:cs="Arial"/>
          <w:sz w:val="16"/>
          <w:szCs w:val="16"/>
          <w:lang w:val="sl-SI"/>
        </w:rPr>
        <w:t>odl</w:t>
      </w:r>
      <w:proofErr w:type="spellEnd"/>
      <w:r w:rsidRPr="003A11F2">
        <w:rPr>
          <w:rFonts w:cs="Arial"/>
          <w:sz w:val="16"/>
          <w:szCs w:val="16"/>
          <w:lang w:val="sl-SI"/>
        </w:rPr>
        <w:t xml:space="preserve">. US, </w:t>
      </w:r>
      <w:hyperlink r:id="rId7" w:tgtFrame="_blank" w:tooltip="Odločba o razveljavitvi 149.b in 149.c člena Zakona o kazenskem postopku, petega odstavka 156. člena Zakona o kazenskem postopku in šestega odstavka 156. člena Zakona o kazenskem postopku, kolikor se nanaša na peti odstavek 156. člena Zakona o kazenskem postop" w:history="1">
        <w:r w:rsidRPr="003A11F2">
          <w:rPr>
            <w:rFonts w:cs="Arial"/>
            <w:sz w:val="16"/>
            <w:szCs w:val="16"/>
            <w:lang w:val="sl-SI"/>
          </w:rPr>
          <w:t>89/23</w:t>
        </w:r>
      </w:hyperlink>
      <w:r w:rsidRPr="003A11F2">
        <w:rPr>
          <w:rFonts w:cs="Arial"/>
          <w:sz w:val="16"/>
          <w:szCs w:val="16"/>
          <w:lang w:val="sl-SI"/>
        </w:rPr>
        <w:t xml:space="preserve"> – </w:t>
      </w:r>
      <w:proofErr w:type="spellStart"/>
      <w:r w:rsidRPr="003A11F2">
        <w:rPr>
          <w:rFonts w:cs="Arial"/>
          <w:sz w:val="16"/>
          <w:szCs w:val="16"/>
          <w:lang w:val="sl-SI"/>
        </w:rPr>
        <w:t>odl</w:t>
      </w:r>
      <w:proofErr w:type="spellEnd"/>
      <w:r w:rsidRPr="003A11F2">
        <w:rPr>
          <w:rFonts w:cs="Arial"/>
          <w:sz w:val="16"/>
          <w:szCs w:val="16"/>
          <w:lang w:val="sl-SI"/>
        </w:rPr>
        <w:t xml:space="preserve">. US, </w:t>
      </w:r>
      <w:hyperlink r:id="rId8" w:tgtFrame="_blank" w:tooltip="Zakon o spremembah in dopolnitvah Zakona o kazenskem postopku (ZKP-P)" w:history="1">
        <w:r w:rsidRPr="003A11F2">
          <w:rPr>
            <w:rFonts w:cs="Arial"/>
            <w:sz w:val="16"/>
            <w:szCs w:val="16"/>
            <w:lang w:val="sl-SI"/>
          </w:rPr>
          <w:t>53/24</w:t>
        </w:r>
      </w:hyperlink>
      <w:r w:rsidRPr="003A11F2">
        <w:rPr>
          <w:rFonts w:cs="Arial"/>
          <w:sz w:val="16"/>
          <w:szCs w:val="16"/>
          <w:lang w:val="sl-SI"/>
        </w:rPr>
        <w:t>, 93/25 – ZNUZJV in 10/26 – ZKOM; ZKP</w:t>
      </w:r>
      <w:r>
        <w:rPr>
          <w:rFonts w:cs="Arial"/>
          <w:sz w:val="16"/>
          <w:szCs w:val="16"/>
          <w:lang w:val="sl-SI"/>
        </w:rPr>
        <w:t>.</w:t>
      </w:r>
    </w:p>
  </w:footnote>
  <w:footnote w:id="3">
    <w:p w14:paraId="5FE46CD9" w14:textId="4A413AC6" w:rsidR="003A11F2" w:rsidRPr="003A11F2" w:rsidRDefault="003A11F2" w:rsidP="003A11F2">
      <w:pPr>
        <w:pStyle w:val="Sprotnaopomba-besedilo"/>
        <w:spacing w:line="240" w:lineRule="auto"/>
        <w:rPr>
          <w:sz w:val="16"/>
          <w:szCs w:val="16"/>
          <w:lang w:val="sl-SI"/>
        </w:rPr>
      </w:pPr>
      <w:r w:rsidRPr="003A11F2">
        <w:rPr>
          <w:rStyle w:val="Sprotnaopomba-sklic"/>
          <w:sz w:val="16"/>
          <w:szCs w:val="16"/>
        </w:rPr>
        <w:footnoteRef/>
      </w:r>
      <w:r w:rsidRPr="003A11F2">
        <w:rPr>
          <w:sz w:val="16"/>
          <w:szCs w:val="16"/>
        </w:rPr>
        <w:t xml:space="preserve"> </w:t>
      </w:r>
      <w:r w:rsidRPr="003A11F2">
        <w:rPr>
          <w:sz w:val="16"/>
          <w:szCs w:val="16"/>
          <w:lang w:val="sl-SI"/>
        </w:rPr>
        <w:t>Uradni list RS, št. 22/19</w:t>
      </w:r>
      <w:r>
        <w:rPr>
          <w:sz w:val="16"/>
          <w:szCs w:val="16"/>
          <w:lang w:val="sl-SI"/>
        </w:rPr>
        <w:t>; ZKP-N</w:t>
      </w:r>
    </w:p>
  </w:footnote>
  <w:footnote w:id="4">
    <w:p w14:paraId="2991B459" w14:textId="6143BD00" w:rsidR="003A11F2" w:rsidRPr="003A11F2" w:rsidRDefault="003A11F2" w:rsidP="003A11F2">
      <w:pPr>
        <w:pStyle w:val="Sprotnaopomba-besedilo"/>
        <w:spacing w:line="240" w:lineRule="auto"/>
        <w:jc w:val="both"/>
        <w:rPr>
          <w:sz w:val="16"/>
          <w:szCs w:val="16"/>
          <w:lang w:val="sl-SI"/>
        </w:rPr>
      </w:pPr>
      <w:r w:rsidRPr="003A11F2">
        <w:rPr>
          <w:rStyle w:val="Sprotnaopomba-sklic"/>
          <w:sz w:val="16"/>
          <w:szCs w:val="16"/>
        </w:rPr>
        <w:footnoteRef/>
      </w:r>
      <w:r w:rsidRPr="003A11F2">
        <w:rPr>
          <w:sz w:val="16"/>
          <w:szCs w:val="16"/>
        </w:rPr>
        <w:t xml:space="preserve"> </w:t>
      </w:r>
      <w:r w:rsidRPr="003A11F2">
        <w:rPr>
          <w:sz w:val="16"/>
          <w:szCs w:val="16"/>
          <w:lang w:val="sl-SI"/>
        </w:rPr>
        <w:t>Pred uveljavitvijo novele ZKP-N je prvi odstavek 215. člena</w:t>
      </w:r>
      <w:r>
        <w:rPr>
          <w:sz w:val="16"/>
          <w:szCs w:val="16"/>
          <w:lang w:val="sl-SI"/>
        </w:rPr>
        <w:t xml:space="preserve"> ZKP</w:t>
      </w:r>
      <w:r w:rsidRPr="003A11F2">
        <w:rPr>
          <w:sz w:val="16"/>
          <w:szCs w:val="16"/>
          <w:lang w:val="sl-SI"/>
        </w:rPr>
        <w:t xml:space="preserve"> določal le, da preiskavo odredi sodišče s pisno odredbo, zato je bila takšna možnost (neposredni predlog policije preiskovalnemu sodniku) izjemoma dopustna, sedaj pa ni več (glej tudi Načelno pravno mnenje obče seje VS RS, opr. št. VS040824, 6. 4. 2012).</w:t>
      </w:r>
    </w:p>
    <w:p w14:paraId="5F4B5B98" w14:textId="55C08CAD" w:rsidR="003A11F2" w:rsidRPr="003A11F2" w:rsidRDefault="003A11F2">
      <w:pPr>
        <w:pStyle w:val="Sprotnaopomba-besedilo"/>
        <w:rPr>
          <w:lang w:val="sl-SI"/>
        </w:rPr>
      </w:pPr>
    </w:p>
  </w:footnote>
  <w:footnote w:id="5">
    <w:p w14:paraId="0D701E05" w14:textId="2B6415C0" w:rsidR="00BE1FB0" w:rsidRPr="00BE1FB0" w:rsidRDefault="00BE1FB0" w:rsidP="00BE1FB0">
      <w:pPr>
        <w:pStyle w:val="Sprotnaopomba-besedilo"/>
        <w:rPr>
          <w:sz w:val="16"/>
          <w:szCs w:val="16"/>
          <w:lang w:val="sl-SI"/>
        </w:rPr>
      </w:pPr>
      <w:r w:rsidRPr="00BE1FB0">
        <w:rPr>
          <w:rStyle w:val="Sprotnaopomba-sklic"/>
          <w:sz w:val="16"/>
          <w:szCs w:val="16"/>
        </w:rPr>
        <w:footnoteRef/>
      </w:r>
      <w:r w:rsidRPr="00BE1FB0">
        <w:rPr>
          <w:sz w:val="16"/>
          <w:szCs w:val="16"/>
        </w:rPr>
        <w:t xml:space="preserve"> </w:t>
      </w:r>
      <w:r w:rsidRPr="00BE1FB0">
        <w:rPr>
          <w:sz w:val="16"/>
          <w:szCs w:val="16"/>
          <w:lang w:val="sl-SI"/>
        </w:rPr>
        <w:t xml:space="preserve">Uradni list RS, št. 22/25 – uradno prečiščeno besedilo; </w:t>
      </w:r>
      <w:proofErr w:type="spellStart"/>
      <w:r w:rsidRPr="00BE1FB0">
        <w:rPr>
          <w:sz w:val="16"/>
          <w:szCs w:val="16"/>
          <w:lang w:val="sl-SI"/>
        </w:rPr>
        <w:t>ZNPPol</w:t>
      </w:r>
      <w:proofErr w:type="spellEnd"/>
      <w:r w:rsidRPr="00BE1FB0">
        <w:rPr>
          <w:sz w:val="16"/>
          <w:szCs w:val="16"/>
          <w:lang w:val="sl-SI"/>
        </w:rPr>
        <w:t>.</w:t>
      </w:r>
    </w:p>
    <w:p w14:paraId="0F9231F6" w14:textId="213C61D6" w:rsidR="00BE1FB0" w:rsidRPr="00BE1FB0" w:rsidRDefault="00BE1FB0">
      <w:pPr>
        <w:pStyle w:val="Sprotnaopomba-besedilo"/>
        <w:rPr>
          <w:lang w:val="sl-SI"/>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AF4FCF"/>
    <w:multiLevelType w:val="hybridMultilevel"/>
    <w:tmpl w:val="10BC57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69BC0D43"/>
    <w:multiLevelType w:val="hybridMultilevel"/>
    <w:tmpl w:val="6CFC9D14"/>
    <w:lvl w:ilvl="0" w:tplc="3BEC5872">
      <w:start w:val="3"/>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7B472E63"/>
    <w:multiLevelType w:val="hybridMultilevel"/>
    <w:tmpl w:val="84D8D60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404795592">
    <w:abstractNumId w:val="0"/>
  </w:num>
  <w:num w:numId="2" w16cid:durableId="221328399">
    <w:abstractNumId w:val="1"/>
  </w:num>
  <w:num w:numId="3" w16cid:durableId="15989089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FD8"/>
    <w:rsid w:val="00024D87"/>
    <w:rsid w:val="00051C6D"/>
    <w:rsid w:val="00073CBF"/>
    <w:rsid w:val="00075D15"/>
    <w:rsid w:val="000811EE"/>
    <w:rsid w:val="000A4BBD"/>
    <w:rsid w:val="00111D91"/>
    <w:rsid w:val="00142598"/>
    <w:rsid w:val="0016659C"/>
    <w:rsid w:val="00203A80"/>
    <w:rsid w:val="002C2977"/>
    <w:rsid w:val="002C2B48"/>
    <w:rsid w:val="002F1B33"/>
    <w:rsid w:val="003306A2"/>
    <w:rsid w:val="0036346F"/>
    <w:rsid w:val="003A11F2"/>
    <w:rsid w:val="003C55C2"/>
    <w:rsid w:val="003D1B06"/>
    <w:rsid w:val="00413F93"/>
    <w:rsid w:val="0041730C"/>
    <w:rsid w:val="005B0A6C"/>
    <w:rsid w:val="006307D1"/>
    <w:rsid w:val="00647B57"/>
    <w:rsid w:val="006C5FD8"/>
    <w:rsid w:val="00722BFD"/>
    <w:rsid w:val="007A033F"/>
    <w:rsid w:val="007C767D"/>
    <w:rsid w:val="007D51ED"/>
    <w:rsid w:val="008F4956"/>
    <w:rsid w:val="009604BF"/>
    <w:rsid w:val="009A24B3"/>
    <w:rsid w:val="009A630C"/>
    <w:rsid w:val="009B6499"/>
    <w:rsid w:val="009F5B83"/>
    <w:rsid w:val="00A442D7"/>
    <w:rsid w:val="00A63FE0"/>
    <w:rsid w:val="00A8565E"/>
    <w:rsid w:val="00AA3650"/>
    <w:rsid w:val="00B41882"/>
    <w:rsid w:val="00BE1FB0"/>
    <w:rsid w:val="00C5281C"/>
    <w:rsid w:val="00C82FB4"/>
    <w:rsid w:val="00CA363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5FC7B"/>
  <w15:chartTrackingRefBased/>
  <w15:docId w15:val="{C50F1F50-ECCC-411A-8B9C-B344DFD3D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semiHidden/>
    <w:unhideWhenUsed/>
    <w:rsid w:val="002C2B48"/>
    <w:rPr>
      <w:color w:val="0000FF"/>
      <w:u w:val="single"/>
    </w:rPr>
  </w:style>
  <w:style w:type="paragraph" w:styleId="Odstavekseznama">
    <w:name w:val="List Paragraph"/>
    <w:basedOn w:val="Navaden"/>
    <w:uiPriority w:val="34"/>
    <w:qFormat/>
    <w:rsid w:val="002C2B48"/>
    <w:pPr>
      <w:ind w:left="720"/>
      <w:contextualSpacing/>
    </w:p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callout"/>
    <w:link w:val="ftrefCharCharCharCharCharCharCharCharChar"/>
    <w:unhideWhenUsed/>
    <w:qFormat/>
    <w:rsid w:val="002C2B48"/>
    <w:rPr>
      <w:vertAlign w:val="superscript"/>
    </w:rPr>
  </w:style>
  <w:style w:type="paragraph" w:styleId="Sprotnaopomba-besedilo">
    <w:name w:val="footnote text"/>
    <w:aliases w:val="Footnote,Fußnote,Footnote Text Char Char,FSR footnote,lábléc,Footnote Text Char,Sprotna opomba - besedilo Znak1 Char,Sprotna opomba - besedilo Znak Znak Char,Znak Znak Znak Char,Znak Znak Znak Znak Znak Znak Znak Char,Char Char"/>
    <w:basedOn w:val="Navaden"/>
    <w:link w:val="Sprotnaopomba-besediloZnak"/>
    <w:qFormat/>
    <w:rsid w:val="002C2B48"/>
    <w:pPr>
      <w:spacing w:after="0" w:line="260" w:lineRule="exact"/>
    </w:pPr>
    <w:rPr>
      <w:rFonts w:ascii="Arial" w:eastAsia="Times New Roman" w:hAnsi="Arial" w:cs="Times New Roman"/>
      <w:sz w:val="20"/>
      <w:szCs w:val="20"/>
      <w:lang w:val="en-US" w:eastAsia="x-none"/>
    </w:rPr>
  </w:style>
  <w:style w:type="character" w:customStyle="1" w:styleId="Sprotnaopomba-besediloZnak">
    <w:name w:val="Sprotna opomba - besedilo Znak"/>
    <w:aliases w:val="Footnote Znak,Fußnote Znak,Footnote Text Char Char Znak,FSR footnote Znak,lábléc Znak,Footnote Text Char Znak,Sprotna opomba - besedilo Znak1 Char Znak,Sprotna opomba - besedilo Znak Znak Char Znak,Znak Znak Znak Char Znak"/>
    <w:basedOn w:val="Privzetapisavaodstavka"/>
    <w:link w:val="Sprotnaopomba-besedilo"/>
    <w:rsid w:val="002C2B48"/>
    <w:rPr>
      <w:rFonts w:ascii="Arial" w:eastAsia="Times New Roman" w:hAnsi="Arial" w:cs="Times New Roman"/>
      <w:sz w:val="20"/>
      <w:szCs w:val="20"/>
      <w:lang w:val="en-US" w:eastAsia="x-none"/>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avaden"/>
    <w:next w:val="Navaden"/>
    <w:link w:val="Sprotnaopomba-sklic"/>
    <w:uiPriority w:val="99"/>
    <w:rsid w:val="002C2B48"/>
    <w:pPr>
      <w:spacing w:line="240" w:lineRule="exact"/>
      <w:jc w:val="both"/>
    </w:pPr>
    <w:rPr>
      <w:vertAlign w:val="superscript"/>
    </w:rPr>
  </w:style>
  <w:style w:type="character" w:styleId="Pripombasklic">
    <w:name w:val="annotation reference"/>
    <w:basedOn w:val="Privzetapisavaodstavka"/>
    <w:uiPriority w:val="99"/>
    <w:semiHidden/>
    <w:unhideWhenUsed/>
    <w:rsid w:val="003D1B06"/>
    <w:rPr>
      <w:sz w:val="16"/>
      <w:szCs w:val="16"/>
    </w:rPr>
  </w:style>
  <w:style w:type="paragraph" w:styleId="Pripombabesedilo">
    <w:name w:val="annotation text"/>
    <w:basedOn w:val="Navaden"/>
    <w:link w:val="PripombabesediloZnak"/>
    <w:uiPriority w:val="99"/>
    <w:semiHidden/>
    <w:unhideWhenUsed/>
    <w:rsid w:val="003D1B06"/>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3D1B06"/>
    <w:rPr>
      <w:sz w:val="20"/>
      <w:szCs w:val="20"/>
    </w:rPr>
  </w:style>
  <w:style w:type="paragraph" w:styleId="Zadevapripombe">
    <w:name w:val="annotation subject"/>
    <w:basedOn w:val="Pripombabesedilo"/>
    <w:next w:val="Pripombabesedilo"/>
    <w:link w:val="ZadevapripombeZnak"/>
    <w:uiPriority w:val="99"/>
    <w:semiHidden/>
    <w:unhideWhenUsed/>
    <w:rsid w:val="003D1B06"/>
    <w:rPr>
      <w:b/>
      <w:bCs/>
    </w:rPr>
  </w:style>
  <w:style w:type="character" w:customStyle="1" w:styleId="ZadevapripombeZnak">
    <w:name w:val="Zadeva pripombe Znak"/>
    <w:basedOn w:val="PripombabesediloZnak"/>
    <w:link w:val="Zadevapripombe"/>
    <w:uiPriority w:val="99"/>
    <w:semiHidden/>
    <w:rsid w:val="003D1B06"/>
    <w:rPr>
      <w:b/>
      <w:bCs/>
      <w:sz w:val="20"/>
      <w:szCs w:val="20"/>
    </w:rPr>
  </w:style>
  <w:style w:type="paragraph" w:styleId="Besedilooblaka">
    <w:name w:val="Balloon Text"/>
    <w:basedOn w:val="Navaden"/>
    <w:link w:val="BesedilooblakaZnak"/>
    <w:uiPriority w:val="99"/>
    <w:semiHidden/>
    <w:unhideWhenUsed/>
    <w:rsid w:val="003D1B06"/>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D1B06"/>
    <w:rPr>
      <w:rFonts w:ascii="Segoe UI" w:hAnsi="Segoe UI" w:cs="Segoe UI"/>
      <w:sz w:val="18"/>
      <w:szCs w:val="18"/>
    </w:rPr>
  </w:style>
  <w:style w:type="paragraph" w:customStyle="1" w:styleId="Odstavek">
    <w:name w:val="Odstavek"/>
    <w:basedOn w:val="Navaden"/>
    <w:link w:val="OdstavekZnak"/>
    <w:qFormat/>
    <w:rsid w:val="00722BFD"/>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722BFD"/>
    <w:rPr>
      <w:rFonts w:ascii="Arial" w:eastAsia="Times New Roman" w:hAnsi="Arial" w:cs="Arial"/>
      <w:lang w:eastAsia="sl-SI"/>
    </w:rPr>
  </w:style>
  <w:style w:type="paragraph" w:customStyle="1" w:styleId="Odstavekseznama1">
    <w:name w:val="Odstavek seznama1"/>
    <w:basedOn w:val="Navaden"/>
    <w:qFormat/>
    <w:rsid w:val="008F4956"/>
    <w:pPr>
      <w:spacing w:after="0" w:line="240" w:lineRule="auto"/>
      <w:ind w:left="720"/>
      <w:contextualSpacing/>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1-01-3462" TargetMode="External"/><Relationship Id="rId13" Type="http://schemas.openxmlformats.org/officeDocument/2006/relationships/hyperlink" Target="http://www.uradni-list.si/1/objava.jsp?sop=2010-01-449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radni-list.si/glasilo-uradni-list-rs/vsebina/2024-01-181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23-01-2607" TargetMode="External"/><Relationship Id="rId5" Type="http://schemas.openxmlformats.org/officeDocument/2006/relationships/webSettings" Target="webSettings.xml"/><Relationship Id="rId15" Type="http://schemas.openxmlformats.org/officeDocument/2006/relationships/hyperlink" Target="http://www.uradni-list.si/1/objava.jsp?sop=2022-01-2099" TargetMode="External"/><Relationship Id="rId10" Type="http://schemas.openxmlformats.org/officeDocument/2006/relationships/hyperlink" Target="https://www.uradni-list.si/glasilo-uradni-list-rs/vsebina/2023-01-0007" TargetMode="External"/><Relationship Id="rId4" Type="http://schemas.openxmlformats.org/officeDocument/2006/relationships/settings" Target="settings.xml"/><Relationship Id="rId9" Type="http://schemas.openxmlformats.org/officeDocument/2006/relationships/hyperlink" Target="https://www.uradni-list.si/glasilo-uradni-list-rs/vsebina/2022-01-2397" TargetMode="External"/><Relationship Id="rId14" Type="http://schemas.openxmlformats.org/officeDocument/2006/relationships/hyperlink" Target="http://www.uradni-list.si/1/objava.jsp?sop=2021-01-0609"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uradni-list.si/glasilo-uradni-list-rs/vsebina/2024-01-1818" TargetMode="External"/><Relationship Id="rId3" Type="http://schemas.openxmlformats.org/officeDocument/2006/relationships/hyperlink" Target="http://www.uradni-list.si/1/objava.jsp?sop=2022-01-2099" TargetMode="External"/><Relationship Id="rId7" Type="http://schemas.openxmlformats.org/officeDocument/2006/relationships/hyperlink" Target="https://www.uradni-list.si/glasilo-uradni-list-rs/vsebina/2023-01-2607" TargetMode="External"/><Relationship Id="rId2" Type="http://schemas.openxmlformats.org/officeDocument/2006/relationships/hyperlink" Target="http://www.uradni-list.si/1/objava.jsp?sop=2021-01-0609" TargetMode="External"/><Relationship Id="rId1" Type="http://schemas.openxmlformats.org/officeDocument/2006/relationships/hyperlink" Target="http://www.uradni-list.si/1/objava.jsp?sop=2010-01-4491" TargetMode="External"/><Relationship Id="rId6" Type="http://schemas.openxmlformats.org/officeDocument/2006/relationships/hyperlink" Target="https://www.uradni-list.si/glasilo-uradni-list-rs/vsebina/2023-01-0007" TargetMode="External"/><Relationship Id="rId5" Type="http://schemas.openxmlformats.org/officeDocument/2006/relationships/hyperlink" Target="https://www.uradni-list.si/glasilo-uradni-list-rs/vsebina/2022-01-2397" TargetMode="External"/><Relationship Id="rId4" Type="http://schemas.openxmlformats.org/officeDocument/2006/relationships/hyperlink" Target="https://www.uradni-list.si/glasilo-uradni-list-rs/vsebina/2021-01-3462"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9BD3A0A-221A-4283-AEDF-D20E90A46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1822</Words>
  <Characters>10386</Characters>
  <Application>Microsoft Office Word</Application>
  <DocSecurity>0</DocSecurity>
  <Lines>86</Lines>
  <Paragraphs>24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Spasojević</dc:creator>
  <cp:keywords/>
  <dc:description/>
  <cp:lastModifiedBy>Aleksandra Spasojević</cp:lastModifiedBy>
  <cp:revision>2</cp:revision>
  <cp:lastPrinted>2026-08-25T08:27:00Z</cp:lastPrinted>
  <dcterms:created xsi:type="dcterms:W3CDTF">2026-08-27T05:35:00Z</dcterms:created>
  <dcterms:modified xsi:type="dcterms:W3CDTF">2026-08-27T05:35:00Z</dcterms:modified>
</cp:coreProperties>
</file>