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C5C5D" w14:textId="77777777" w:rsidR="00B31580" w:rsidRPr="00C21E2B" w:rsidRDefault="00B31580" w:rsidP="001E0A9A">
      <w:pPr>
        <w:pStyle w:val="Odstavekseznama"/>
        <w:numPr>
          <w:ilvl w:val="0"/>
          <w:numId w:val="0"/>
        </w:numPr>
        <w:jc w:val="center"/>
        <w:rPr>
          <w:rFonts w:cs="Arial"/>
          <w:szCs w:val="20"/>
        </w:rPr>
      </w:pPr>
      <w:r w:rsidRPr="00C21E2B">
        <w:rPr>
          <w:rFonts w:cs="Arial"/>
          <w:b/>
          <w:szCs w:val="20"/>
        </w:rPr>
        <w:t>OBRAZLOŽITEV</w:t>
      </w:r>
    </w:p>
    <w:p w14:paraId="5BD25987" w14:textId="3370F07A" w:rsidR="00B31580" w:rsidRPr="009A6A78" w:rsidRDefault="00B31580" w:rsidP="00B31580">
      <w:pPr>
        <w:suppressAutoHyphens/>
        <w:overflowPunct w:val="0"/>
        <w:autoSpaceDE w:val="0"/>
        <w:autoSpaceDN w:val="0"/>
        <w:adjustRightInd w:val="0"/>
        <w:spacing w:before="120" w:after="160" w:line="240" w:lineRule="auto"/>
        <w:jc w:val="center"/>
        <w:textAlignment w:val="baseline"/>
        <w:rPr>
          <w:rFonts w:cs="Arial"/>
          <w:bCs/>
          <w:szCs w:val="20"/>
          <w:lang w:eastAsia="ar-SA"/>
        </w:rPr>
      </w:pPr>
      <w:r w:rsidRPr="009A6A78">
        <w:rPr>
          <w:rFonts w:cs="Arial"/>
          <w:b/>
          <w:szCs w:val="20"/>
        </w:rPr>
        <w:t xml:space="preserve">K </w:t>
      </w:r>
      <w:r>
        <w:rPr>
          <w:rFonts w:cs="Arial"/>
          <w:b/>
          <w:szCs w:val="20"/>
        </w:rPr>
        <w:t>PREDLOGU</w:t>
      </w:r>
      <w:r w:rsidRPr="009A6A78">
        <w:rPr>
          <w:rFonts w:cs="Arial"/>
          <w:b/>
          <w:szCs w:val="20"/>
        </w:rPr>
        <w:t xml:space="preserve"> UREDBE O VODOVARSTVENIH OBMOČJIH ZA </w:t>
      </w:r>
      <w:r w:rsidRPr="009A6A78">
        <w:rPr>
          <w:rFonts w:cs="Arial"/>
          <w:b/>
          <w:bCs/>
          <w:szCs w:val="20"/>
        </w:rPr>
        <w:t xml:space="preserve">JAVNO OSKRBO S PITNO VODO </w:t>
      </w:r>
      <w:r w:rsidRPr="00C21E2B">
        <w:rPr>
          <w:rFonts w:cs="Arial"/>
          <w:b/>
          <w:bCs/>
          <w:szCs w:val="20"/>
        </w:rPr>
        <w:t>V OBČIN</w:t>
      </w:r>
      <w:r>
        <w:rPr>
          <w:rFonts w:cs="Arial"/>
          <w:b/>
          <w:bCs/>
          <w:szCs w:val="20"/>
        </w:rPr>
        <w:t>I ŠENTILJ</w:t>
      </w:r>
    </w:p>
    <w:p w14:paraId="2FC16936" w14:textId="2DAC0E15" w:rsidR="00B31580" w:rsidRPr="009A6A78" w:rsidRDefault="00B31580" w:rsidP="00B31580">
      <w:pPr>
        <w:tabs>
          <w:tab w:val="left" w:pos="708"/>
        </w:tabs>
        <w:suppressAutoHyphens/>
        <w:jc w:val="both"/>
        <w:rPr>
          <w:rFonts w:cs="Arial"/>
          <w:bCs/>
          <w:szCs w:val="20"/>
          <w:lang w:eastAsia="ar-SA"/>
        </w:rPr>
      </w:pPr>
      <w:r w:rsidRPr="0001720C">
        <w:rPr>
          <w:rFonts w:cs="Arial"/>
          <w:bCs/>
          <w:szCs w:val="20"/>
          <w:lang w:eastAsia="ar-SA"/>
        </w:rPr>
        <w:t>Pravna podlaga za Uredbo o vodovarstvenih območjih za javno oskrbo s pitno vodo v občin</w:t>
      </w:r>
      <w:r>
        <w:rPr>
          <w:rFonts w:cs="Arial"/>
          <w:bCs/>
          <w:szCs w:val="20"/>
          <w:lang w:eastAsia="ar-SA"/>
        </w:rPr>
        <w:t>i Šentilj</w:t>
      </w:r>
      <w:r w:rsidRPr="0001720C">
        <w:rPr>
          <w:rFonts w:cs="Arial"/>
          <w:bCs/>
          <w:szCs w:val="20"/>
          <w:lang w:eastAsia="ar-SA"/>
        </w:rPr>
        <w:t xml:space="preserve"> je v 74. členu Zakona o vodah (Uradni list RS, št. 67/02, 110/02 – ZGO-1, 2/04 – ZZdrI-A, 41/04 – ZVO-1, 57/08, 57/12, 100/13, 40/14, 56/15, 65/20, 35/23 – </w:t>
      </w:r>
      <w:proofErr w:type="spellStart"/>
      <w:r w:rsidRPr="0001720C">
        <w:rPr>
          <w:rFonts w:cs="Arial"/>
          <w:bCs/>
          <w:szCs w:val="20"/>
          <w:lang w:eastAsia="ar-SA"/>
        </w:rPr>
        <w:t>odl</w:t>
      </w:r>
      <w:proofErr w:type="spellEnd"/>
      <w:r w:rsidRPr="0001720C">
        <w:rPr>
          <w:rFonts w:cs="Arial"/>
          <w:bCs/>
          <w:szCs w:val="20"/>
          <w:lang w:eastAsia="ar-SA"/>
        </w:rPr>
        <w:t xml:space="preserve">. US in 78/23 – ZUNPEOVE in 52/24 – </w:t>
      </w:r>
      <w:proofErr w:type="spellStart"/>
      <w:r w:rsidRPr="0001720C">
        <w:rPr>
          <w:rFonts w:cs="Arial"/>
          <w:bCs/>
          <w:szCs w:val="20"/>
          <w:lang w:eastAsia="ar-SA"/>
        </w:rPr>
        <w:t>odl</w:t>
      </w:r>
      <w:proofErr w:type="spellEnd"/>
      <w:r w:rsidRPr="0001720C">
        <w:rPr>
          <w:rFonts w:cs="Arial"/>
          <w:bCs/>
          <w:szCs w:val="20"/>
          <w:lang w:eastAsia="ar-SA"/>
        </w:rPr>
        <w:t>. US; v nadaljnjem besedilu: Zakon o vodah), 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w:t>
      </w:r>
    </w:p>
    <w:p w14:paraId="29EE0CF1" w14:textId="77777777" w:rsidR="00B31580" w:rsidRPr="009A6A78" w:rsidRDefault="00B31580" w:rsidP="00B31580">
      <w:pPr>
        <w:tabs>
          <w:tab w:val="left" w:pos="708"/>
        </w:tabs>
        <w:suppressAutoHyphens/>
        <w:jc w:val="both"/>
        <w:rPr>
          <w:rFonts w:cs="Arial"/>
          <w:bCs/>
          <w:szCs w:val="20"/>
          <w:lang w:eastAsia="ar-SA"/>
        </w:rPr>
      </w:pPr>
    </w:p>
    <w:p w14:paraId="2C73489A" w14:textId="77777777" w:rsidR="00B31580" w:rsidRPr="009A6A78" w:rsidRDefault="00B31580" w:rsidP="00B31580">
      <w:pPr>
        <w:jc w:val="both"/>
        <w:rPr>
          <w:rFonts w:cs="Arial"/>
          <w:szCs w:val="20"/>
          <w:lang w:eastAsia="sl-SI"/>
        </w:rPr>
      </w:pPr>
      <w:r w:rsidRPr="009A6A78">
        <w:rPr>
          <w:rFonts w:cs="Arial"/>
          <w:szCs w:val="20"/>
          <w:lang w:eastAsia="sl-SI"/>
        </w:rPr>
        <w:t xml:space="preserve">V uredbi o </w:t>
      </w:r>
      <w:r w:rsidRPr="009A6A78">
        <w:rPr>
          <w:rFonts w:eastAsia="Lucida Sans Unicode" w:cs="Arial"/>
          <w:szCs w:val="20"/>
          <w:lang w:eastAsia="sl-SI"/>
        </w:rPr>
        <w:t xml:space="preserve">vodovarstvenih območjih </w:t>
      </w:r>
      <w:r w:rsidRPr="009A6A78">
        <w:rPr>
          <w:rFonts w:cs="Arial"/>
          <w:szCs w:val="20"/>
          <w:lang w:eastAsia="sl-SI"/>
        </w:rPr>
        <w:t xml:space="preserve">se na podlagi drugega odstavka 74. člena zakona o vodah določijo: </w:t>
      </w:r>
    </w:p>
    <w:p w14:paraId="5DB5079F" w14:textId="77777777" w:rsidR="00B31580" w:rsidRPr="009A6A78" w:rsidRDefault="00B31580" w:rsidP="00B31580">
      <w:pPr>
        <w:pStyle w:val="Odstavekseznama"/>
        <w:numPr>
          <w:ilvl w:val="0"/>
          <w:numId w:val="6"/>
        </w:numPr>
        <w:overflowPunct w:val="0"/>
        <w:autoSpaceDE w:val="0"/>
        <w:autoSpaceDN w:val="0"/>
        <w:adjustRightInd w:val="0"/>
        <w:spacing w:line="276" w:lineRule="auto"/>
        <w:contextualSpacing w:val="0"/>
        <w:jc w:val="both"/>
        <w:textAlignment w:val="baseline"/>
        <w:rPr>
          <w:rFonts w:cs="Arial"/>
          <w:szCs w:val="20"/>
        </w:rPr>
      </w:pPr>
      <w:r w:rsidRPr="009A6A78">
        <w:rPr>
          <w:rFonts w:cs="Arial"/>
          <w:szCs w:val="20"/>
        </w:rPr>
        <w:t>meje vodovarstvenega območja,</w:t>
      </w:r>
    </w:p>
    <w:p w14:paraId="04F24A23" w14:textId="77777777" w:rsidR="00B31580" w:rsidRPr="009A6A78" w:rsidRDefault="00B31580" w:rsidP="00B31580">
      <w:pPr>
        <w:pStyle w:val="Odstavekseznama"/>
        <w:numPr>
          <w:ilvl w:val="0"/>
          <w:numId w:val="6"/>
        </w:numPr>
        <w:overflowPunct w:val="0"/>
        <w:autoSpaceDE w:val="0"/>
        <w:autoSpaceDN w:val="0"/>
        <w:adjustRightInd w:val="0"/>
        <w:spacing w:line="276" w:lineRule="auto"/>
        <w:contextualSpacing w:val="0"/>
        <w:jc w:val="both"/>
        <w:textAlignment w:val="baseline"/>
        <w:rPr>
          <w:rFonts w:cs="Arial"/>
          <w:szCs w:val="20"/>
        </w:rPr>
      </w:pPr>
      <w:r w:rsidRPr="009A6A78">
        <w:rPr>
          <w:rFonts w:cs="Arial"/>
          <w:szCs w:val="20"/>
        </w:rPr>
        <w:t>meje notranjih območij,</w:t>
      </w:r>
    </w:p>
    <w:p w14:paraId="5E12DF5A" w14:textId="77777777" w:rsidR="00B31580" w:rsidRPr="009A6A78" w:rsidRDefault="00B31580" w:rsidP="00B31580">
      <w:pPr>
        <w:pStyle w:val="Odstavekseznama"/>
        <w:numPr>
          <w:ilvl w:val="0"/>
          <w:numId w:val="6"/>
        </w:numPr>
        <w:overflowPunct w:val="0"/>
        <w:autoSpaceDE w:val="0"/>
        <w:autoSpaceDN w:val="0"/>
        <w:adjustRightInd w:val="0"/>
        <w:spacing w:line="276" w:lineRule="auto"/>
        <w:contextualSpacing w:val="0"/>
        <w:jc w:val="both"/>
        <w:textAlignment w:val="baseline"/>
        <w:rPr>
          <w:rFonts w:cs="Arial"/>
          <w:szCs w:val="20"/>
        </w:rPr>
      </w:pPr>
      <w:r w:rsidRPr="009A6A78">
        <w:rPr>
          <w:rFonts w:cs="Arial"/>
          <w:szCs w:val="20"/>
        </w:rPr>
        <w:t xml:space="preserve">ukrepi, prepovedi in omejitve na </w:t>
      </w:r>
      <w:r w:rsidRPr="009A6A78">
        <w:rPr>
          <w:rFonts w:eastAsia="Lucida Sans Unicode" w:cs="Arial"/>
          <w:szCs w:val="20"/>
        </w:rPr>
        <w:t xml:space="preserve">vodovarstvenem območju </w:t>
      </w:r>
      <w:r w:rsidRPr="009A6A78">
        <w:rPr>
          <w:rFonts w:cs="Arial"/>
          <w:szCs w:val="20"/>
        </w:rPr>
        <w:t>in posameznih notranjih območjih (v nadaljnjem besedilu: vodovarstveni režim),</w:t>
      </w:r>
    </w:p>
    <w:p w14:paraId="150F7A35" w14:textId="77777777" w:rsidR="00B31580" w:rsidRPr="009A6A78" w:rsidRDefault="00B31580" w:rsidP="00B31580">
      <w:pPr>
        <w:pStyle w:val="Odstavekseznama"/>
        <w:numPr>
          <w:ilvl w:val="0"/>
          <w:numId w:val="6"/>
        </w:numPr>
        <w:overflowPunct w:val="0"/>
        <w:autoSpaceDE w:val="0"/>
        <w:autoSpaceDN w:val="0"/>
        <w:adjustRightInd w:val="0"/>
        <w:spacing w:line="276" w:lineRule="auto"/>
        <w:contextualSpacing w:val="0"/>
        <w:jc w:val="both"/>
        <w:textAlignment w:val="baseline"/>
        <w:rPr>
          <w:rFonts w:cs="Arial"/>
          <w:szCs w:val="20"/>
        </w:rPr>
      </w:pPr>
      <w:r w:rsidRPr="009A6A78">
        <w:rPr>
          <w:rFonts w:cs="Arial"/>
          <w:szCs w:val="20"/>
        </w:rPr>
        <w:t>vrsta rabe vodnega telesa,</w:t>
      </w:r>
    </w:p>
    <w:p w14:paraId="0DCFF60F" w14:textId="77777777" w:rsidR="00B31580" w:rsidRPr="009A6A78" w:rsidRDefault="00B31580" w:rsidP="00B31580">
      <w:pPr>
        <w:pStyle w:val="Odstavekseznama"/>
        <w:numPr>
          <w:ilvl w:val="0"/>
          <w:numId w:val="6"/>
        </w:numPr>
        <w:overflowPunct w:val="0"/>
        <w:autoSpaceDE w:val="0"/>
        <w:autoSpaceDN w:val="0"/>
        <w:adjustRightInd w:val="0"/>
        <w:spacing w:line="276" w:lineRule="auto"/>
        <w:contextualSpacing w:val="0"/>
        <w:jc w:val="both"/>
        <w:textAlignment w:val="baseline"/>
        <w:rPr>
          <w:rFonts w:cs="Arial"/>
          <w:szCs w:val="20"/>
        </w:rPr>
      </w:pPr>
      <w:r w:rsidRPr="009A6A78">
        <w:rPr>
          <w:rFonts w:cs="Arial"/>
          <w:szCs w:val="20"/>
        </w:rPr>
        <w:t>navedba lokalne skupnosti, če je vodno telo namenjeno oskrbi prebivalstva s pitno vodo,</w:t>
      </w:r>
    </w:p>
    <w:p w14:paraId="7E1F56C4" w14:textId="77777777" w:rsidR="00B31580" w:rsidRPr="009A6A78" w:rsidRDefault="00B31580" w:rsidP="00B31580">
      <w:pPr>
        <w:pStyle w:val="Odstavekseznama"/>
        <w:numPr>
          <w:ilvl w:val="0"/>
          <w:numId w:val="6"/>
        </w:numPr>
        <w:overflowPunct w:val="0"/>
        <w:autoSpaceDE w:val="0"/>
        <w:autoSpaceDN w:val="0"/>
        <w:adjustRightInd w:val="0"/>
        <w:spacing w:line="276" w:lineRule="auto"/>
        <w:contextualSpacing w:val="0"/>
        <w:jc w:val="both"/>
        <w:textAlignment w:val="baseline"/>
        <w:rPr>
          <w:rFonts w:cs="Arial"/>
          <w:szCs w:val="20"/>
        </w:rPr>
      </w:pPr>
      <w:r w:rsidRPr="009A6A78">
        <w:rPr>
          <w:rFonts w:cs="Arial"/>
          <w:szCs w:val="20"/>
        </w:rPr>
        <w:t>nadzor nad izvajanjem predpisanega režima.</w:t>
      </w:r>
    </w:p>
    <w:p w14:paraId="13509BAF" w14:textId="77777777" w:rsidR="00B31580" w:rsidRPr="009A6A78" w:rsidRDefault="00B31580" w:rsidP="00B31580">
      <w:pPr>
        <w:jc w:val="both"/>
        <w:rPr>
          <w:rFonts w:cs="Arial"/>
          <w:szCs w:val="20"/>
          <w:lang w:eastAsia="sl-SI"/>
        </w:rPr>
      </w:pPr>
    </w:p>
    <w:p w14:paraId="1671536E" w14:textId="61A4BC63" w:rsidR="00B31580" w:rsidRPr="00F964B0" w:rsidRDefault="00B31580" w:rsidP="00B31580">
      <w:pPr>
        <w:jc w:val="both"/>
        <w:rPr>
          <w:rFonts w:cs="Arial"/>
          <w:szCs w:val="20"/>
          <w:lang w:eastAsia="sl-SI"/>
        </w:rPr>
      </w:pPr>
      <w:r w:rsidRPr="00F964B0">
        <w:rPr>
          <w:rFonts w:cs="Arial"/>
          <w:szCs w:val="20"/>
        </w:rPr>
        <w:t xml:space="preserve">S predlagano uredbo se določijo vodovarstvena območja za varstvo podzemne vode v vodonosnikih vodnih teles podzemnih voda na območju </w:t>
      </w:r>
      <w:r w:rsidRPr="00F964B0">
        <w:rPr>
          <w:rFonts w:cs="Arial"/>
          <w:szCs w:val="20"/>
          <w:lang w:eastAsia="sl-SI"/>
        </w:rPr>
        <w:t>občin</w:t>
      </w:r>
      <w:r>
        <w:rPr>
          <w:rFonts w:cs="Arial"/>
          <w:szCs w:val="20"/>
          <w:lang w:eastAsia="sl-SI"/>
        </w:rPr>
        <w:t>e Šentilj</w:t>
      </w:r>
      <w:r w:rsidRPr="00F964B0">
        <w:rPr>
          <w:rFonts w:cs="Arial"/>
          <w:szCs w:val="20"/>
          <w:lang w:eastAsia="sl-SI"/>
        </w:rPr>
        <w:t>. Vodovarstvena območja segajo čez administrativno mejo naveden</w:t>
      </w:r>
      <w:r>
        <w:rPr>
          <w:rFonts w:cs="Arial"/>
          <w:szCs w:val="20"/>
          <w:lang w:eastAsia="sl-SI"/>
        </w:rPr>
        <w:t>e</w:t>
      </w:r>
      <w:r w:rsidRPr="00F964B0">
        <w:rPr>
          <w:rFonts w:cs="Arial"/>
          <w:szCs w:val="20"/>
          <w:lang w:eastAsia="sl-SI"/>
        </w:rPr>
        <w:t xml:space="preserve"> občin</w:t>
      </w:r>
      <w:r>
        <w:rPr>
          <w:rFonts w:cs="Arial"/>
          <w:szCs w:val="20"/>
          <w:lang w:eastAsia="sl-SI"/>
        </w:rPr>
        <w:t>e</w:t>
      </w:r>
      <w:r w:rsidR="001E0A9A">
        <w:rPr>
          <w:rFonts w:cs="Arial"/>
          <w:szCs w:val="20"/>
          <w:lang w:eastAsia="sl-SI"/>
        </w:rPr>
        <w:t>,</w:t>
      </w:r>
      <w:r w:rsidRPr="00F964B0">
        <w:rPr>
          <w:rFonts w:cs="Arial"/>
          <w:szCs w:val="20"/>
          <w:lang w:eastAsia="sl-SI"/>
        </w:rPr>
        <w:t xml:space="preserve"> in </w:t>
      </w:r>
      <w:r>
        <w:rPr>
          <w:rFonts w:cs="Arial"/>
          <w:szCs w:val="20"/>
          <w:lang w:eastAsia="sl-SI"/>
        </w:rPr>
        <w:t>sicer</w:t>
      </w:r>
      <w:r w:rsidRPr="00F964B0">
        <w:rPr>
          <w:rFonts w:cs="Arial"/>
          <w:szCs w:val="20"/>
          <w:lang w:eastAsia="sl-SI"/>
        </w:rPr>
        <w:t xml:space="preserve"> tudi na območje občin</w:t>
      </w:r>
      <w:r>
        <w:rPr>
          <w:rFonts w:cs="Arial"/>
          <w:szCs w:val="20"/>
          <w:lang w:eastAsia="sl-SI"/>
        </w:rPr>
        <w:t xml:space="preserve">e Kamnik. </w:t>
      </w:r>
      <w:r w:rsidRPr="00F964B0">
        <w:rPr>
          <w:rFonts w:cs="Arial"/>
          <w:szCs w:val="20"/>
          <w:lang w:eastAsia="sl-SI"/>
        </w:rPr>
        <w:t>Z določitvijo vodovarstvenih območij in vzpostavitvijo vodovarstvenega režima</w:t>
      </w:r>
      <w:r w:rsidRPr="00F964B0">
        <w:rPr>
          <w:rFonts w:cs="Arial"/>
          <w:szCs w:val="20"/>
        </w:rPr>
        <w:t xml:space="preserve"> se zavarujejo </w:t>
      </w:r>
      <w:r>
        <w:rPr>
          <w:rFonts w:cs="Arial"/>
          <w:szCs w:val="20"/>
        </w:rPr>
        <w:t xml:space="preserve">vodovarstvena </w:t>
      </w:r>
      <w:r w:rsidRPr="00F964B0">
        <w:rPr>
          <w:rFonts w:cs="Arial"/>
          <w:szCs w:val="20"/>
        </w:rPr>
        <w:t>območja za javno oskrbo s pitno vodo za prebivalce občin</w:t>
      </w:r>
      <w:r>
        <w:rPr>
          <w:rFonts w:cs="Arial"/>
          <w:szCs w:val="20"/>
        </w:rPr>
        <w:t>e Šentilj.</w:t>
      </w:r>
    </w:p>
    <w:p w14:paraId="149A680C" w14:textId="77777777" w:rsidR="00B31580" w:rsidRPr="009A6A78" w:rsidRDefault="00B31580" w:rsidP="00B31580">
      <w:pPr>
        <w:jc w:val="both"/>
        <w:rPr>
          <w:rFonts w:cs="Arial"/>
          <w:szCs w:val="20"/>
        </w:rPr>
      </w:pPr>
    </w:p>
    <w:p w14:paraId="029659F9" w14:textId="77777777" w:rsidR="00B31580" w:rsidRPr="009A6A78" w:rsidRDefault="00B31580" w:rsidP="00B31580">
      <w:pPr>
        <w:jc w:val="both"/>
        <w:rPr>
          <w:rFonts w:cs="Arial"/>
          <w:szCs w:val="20"/>
          <w:lang w:eastAsia="sl-SI"/>
        </w:rPr>
      </w:pPr>
      <w:r w:rsidRPr="009A6A78">
        <w:rPr>
          <w:rFonts w:cs="Arial"/>
          <w:szCs w:val="20"/>
          <w:u w:val="single"/>
        </w:rPr>
        <w:t>Meja vodovarstvenih območij</w:t>
      </w:r>
      <w:r w:rsidRPr="009A6A78">
        <w:rPr>
          <w:rFonts w:cs="Arial"/>
          <w:szCs w:val="20"/>
          <w:u w:val="single"/>
          <w:lang w:eastAsia="sl-SI"/>
        </w:rPr>
        <w:t xml:space="preserve"> in notranjih območij</w:t>
      </w:r>
      <w:r w:rsidRPr="009A6A78">
        <w:rPr>
          <w:rFonts w:cs="Arial"/>
          <w:szCs w:val="20"/>
          <w:lang w:eastAsia="sl-SI"/>
        </w:rPr>
        <w:t xml:space="preserve"> </w:t>
      </w:r>
    </w:p>
    <w:p w14:paraId="5D064F1E" w14:textId="77777777" w:rsidR="00B31580" w:rsidRPr="009A6A78" w:rsidRDefault="00B31580" w:rsidP="00B31580">
      <w:pPr>
        <w:overflowPunct w:val="0"/>
        <w:autoSpaceDE w:val="0"/>
        <w:autoSpaceDN w:val="0"/>
        <w:adjustRightInd w:val="0"/>
        <w:jc w:val="both"/>
        <w:textAlignment w:val="baseline"/>
        <w:rPr>
          <w:rFonts w:cs="Arial"/>
          <w:szCs w:val="20"/>
          <w:lang w:eastAsia="sl-SI"/>
        </w:rPr>
      </w:pPr>
    </w:p>
    <w:p w14:paraId="56160B70" w14:textId="13B150C7" w:rsidR="00B31580" w:rsidRDefault="00B31580" w:rsidP="00B31580">
      <w:pPr>
        <w:overflowPunct w:val="0"/>
        <w:autoSpaceDE w:val="0"/>
        <w:autoSpaceDN w:val="0"/>
        <w:adjustRightInd w:val="0"/>
        <w:jc w:val="both"/>
        <w:textAlignment w:val="baseline"/>
        <w:rPr>
          <w:rFonts w:cs="Arial"/>
          <w:szCs w:val="20"/>
          <w:lang w:eastAsia="sl-SI"/>
        </w:rPr>
      </w:pPr>
      <w:r w:rsidRPr="009A6A78">
        <w:rPr>
          <w:rFonts w:cs="Arial"/>
          <w:szCs w:val="20"/>
          <w:lang w:eastAsia="sl-SI"/>
        </w:rPr>
        <w:t>Vodovarstvena območja in notranja vodovarstvena območja so določena na podlagi strokovnih podlag, izdelanih v skladu s Pravilnikom o kriterijih za določitev vodovarstvenega območja (Uradni list RS, št. 64/04, 5/06, 58/11 in 15/16), ki temeljijo na hidrogeoloških karakteristikah vodonosnikov oziroma hidroloških karakteristikah površinskih voda, iz katerih se zajema voda za javno oskrbo prebivalcev s pitno vodo v občin</w:t>
      </w:r>
      <w:r w:rsidR="00705CBF">
        <w:rPr>
          <w:rFonts w:cs="Arial"/>
          <w:szCs w:val="20"/>
          <w:lang w:eastAsia="sl-SI"/>
        </w:rPr>
        <w:t>i Šentilj</w:t>
      </w:r>
      <w:r>
        <w:rPr>
          <w:rFonts w:cs="Arial"/>
          <w:szCs w:val="20"/>
          <w:lang w:eastAsia="sl-SI"/>
        </w:rPr>
        <w:t xml:space="preserve">. </w:t>
      </w:r>
      <w:bookmarkStart w:id="0" w:name="_Hlk151102725"/>
      <w:r w:rsidRPr="001E2435">
        <w:rPr>
          <w:rFonts w:cs="Arial"/>
          <w:szCs w:val="20"/>
          <w:lang w:eastAsia="sl-SI"/>
        </w:rPr>
        <w:t>Izdelovalec strokovnih podlag je</w:t>
      </w:r>
      <w:r w:rsidRPr="009A6A78">
        <w:rPr>
          <w:rFonts w:cs="Arial"/>
          <w:szCs w:val="20"/>
          <w:lang w:eastAsia="sl-SI"/>
        </w:rPr>
        <w:t xml:space="preserve"> Geološki zavod Slovenije, javni zavod. Uredba je pripravljena na podlagi</w:t>
      </w:r>
      <w:r>
        <w:rPr>
          <w:rFonts w:cs="Arial"/>
          <w:szCs w:val="20"/>
          <w:lang w:eastAsia="sl-SI"/>
        </w:rPr>
        <w:t xml:space="preserve"> naslednjih strokovnih podlag</w:t>
      </w:r>
      <w:r w:rsidRPr="009A6A78">
        <w:rPr>
          <w:rFonts w:cs="Arial"/>
          <w:szCs w:val="20"/>
          <w:lang w:eastAsia="sl-SI"/>
        </w:rPr>
        <w:t xml:space="preserve">: </w:t>
      </w:r>
    </w:p>
    <w:bookmarkEnd w:id="0"/>
    <w:p w14:paraId="26C1BADB" w14:textId="23F2053D" w:rsidR="00B31580" w:rsidRDefault="00705CBF" w:rsidP="00705CBF">
      <w:pPr>
        <w:pStyle w:val="Odstavekseznama"/>
        <w:numPr>
          <w:ilvl w:val="0"/>
          <w:numId w:val="7"/>
        </w:numPr>
        <w:overflowPunct w:val="0"/>
        <w:autoSpaceDE w:val="0"/>
        <w:autoSpaceDN w:val="0"/>
        <w:adjustRightInd w:val="0"/>
        <w:spacing w:line="276" w:lineRule="auto"/>
        <w:ind w:left="360"/>
        <w:contextualSpacing w:val="0"/>
        <w:jc w:val="both"/>
        <w:textAlignment w:val="baseline"/>
        <w:rPr>
          <w:rFonts w:cs="Arial"/>
          <w:szCs w:val="20"/>
        </w:rPr>
      </w:pPr>
      <w:r w:rsidRPr="00705CBF">
        <w:rPr>
          <w:rFonts w:cs="Arial"/>
          <w:szCs w:val="20"/>
        </w:rPr>
        <w:t>Strokovne podlage za pripravo Uredbe o vodovarstvenih območjih zavodno telo vodonosnika na območju Občine Šentilj – vodni vir Ceršak črpališče</w:t>
      </w:r>
      <w:r w:rsidR="00B31580" w:rsidRPr="00705CBF">
        <w:rPr>
          <w:rFonts w:cs="Arial"/>
          <w:szCs w:val="20"/>
        </w:rPr>
        <w:t>; (</w:t>
      </w:r>
      <w:proofErr w:type="spellStart"/>
      <w:r w:rsidR="00B31580" w:rsidRPr="00705CBF">
        <w:rPr>
          <w:rFonts w:cs="Arial"/>
          <w:szCs w:val="20"/>
        </w:rPr>
        <w:t>Arh.št</w:t>
      </w:r>
      <w:proofErr w:type="spellEnd"/>
      <w:r w:rsidR="00B31580" w:rsidRPr="00705CBF">
        <w:rPr>
          <w:rFonts w:cs="Arial"/>
          <w:szCs w:val="20"/>
        </w:rPr>
        <w:t xml:space="preserve">.:  </w:t>
      </w:r>
      <w:r w:rsidRPr="00705CBF">
        <w:rPr>
          <w:rFonts w:cs="Arial"/>
          <w:szCs w:val="20"/>
        </w:rPr>
        <w:t>K-II-30d/c-25/1596-2</w:t>
      </w:r>
      <w:r w:rsidR="00B31580" w:rsidRPr="00705CBF">
        <w:rPr>
          <w:rFonts w:cs="Arial"/>
          <w:szCs w:val="20"/>
        </w:rPr>
        <w:t xml:space="preserve">, </w:t>
      </w:r>
      <w:proofErr w:type="spellStart"/>
      <w:r w:rsidR="00B31580" w:rsidRPr="00705CBF">
        <w:rPr>
          <w:rFonts w:cs="Arial"/>
          <w:szCs w:val="20"/>
        </w:rPr>
        <w:t>GeoZS</w:t>
      </w:r>
      <w:proofErr w:type="spellEnd"/>
      <w:r w:rsidR="00B31580" w:rsidRPr="00705CBF">
        <w:rPr>
          <w:rFonts w:cs="Arial"/>
          <w:szCs w:val="20"/>
        </w:rPr>
        <w:t>, Ljubljana, november 201</w:t>
      </w:r>
      <w:r>
        <w:rPr>
          <w:rFonts w:cs="Arial"/>
          <w:szCs w:val="20"/>
        </w:rPr>
        <w:t>4</w:t>
      </w:r>
      <w:r w:rsidR="00B31580" w:rsidRPr="00705CBF">
        <w:rPr>
          <w:rFonts w:cs="Arial"/>
          <w:szCs w:val="20"/>
        </w:rPr>
        <w:t>),</w:t>
      </w:r>
    </w:p>
    <w:p w14:paraId="712A1E00" w14:textId="5A49BFAB" w:rsidR="00B31580" w:rsidRPr="00705CBF" w:rsidRDefault="00705CBF" w:rsidP="00B31580">
      <w:pPr>
        <w:pStyle w:val="Odstavekseznama"/>
        <w:numPr>
          <w:ilvl w:val="0"/>
          <w:numId w:val="7"/>
        </w:numPr>
        <w:overflowPunct w:val="0"/>
        <w:autoSpaceDE w:val="0"/>
        <w:autoSpaceDN w:val="0"/>
        <w:adjustRightInd w:val="0"/>
        <w:spacing w:line="276" w:lineRule="auto"/>
        <w:ind w:left="360"/>
        <w:contextualSpacing w:val="0"/>
        <w:jc w:val="both"/>
        <w:textAlignment w:val="baseline"/>
        <w:rPr>
          <w:rFonts w:cs="Arial"/>
          <w:szCs w:val="20"/>
        </w:rPr>
      </w:pPr>
      <w:r w:rsidRPr="00705CBF">
        <w:rPr>
          <w:rFonts w:cs="Arial"/>
          <w:szCs w:val="20"/>
        </w:rPr>
        <w:t>Dodatek k strokovnim podlagam za pripravo Uredbe o vodovarstvenem območju za vodna telesa vodonosnikov na območju občine Šentilj – vodni vir Ceršak črpališče</w:t>
      </w:r>
      <w:r w:rsidR="00B31580" w:rsidRPr="00705CBF">
        <w:rPr>
          <w:rFonts w:cs="Arial"/>
          <w:szCs w:val="20"/>
        </w:rPr>
        <w:t xml:space="preserve"> (</w:t>
      </w:r>
      <w:proofErr w:type="spellStart"/>
      <w:r w:rsidR="00B31580" w:rsidRPr="00705CBF">
        <w:rPr>
          <w:rFonts w:cs="Arial"/>
          <w:szCs w:val="20"/>
        </w:rPr>
        <w:t>evid</w:t>
      </w:r>
      <w:proofErr w:type="spellEnd"/>
      <w:r w:rsidR="00B31580" w:rsidRPr="00705CBF">
        <w:rPr>
          <w:rFonts w:cs="Arial"/>
          <w:szCs w:val="20"/>
        </w:rPr>
        <w:t xml:space="preserve">. št. </w:t>
      </w:r>
      <w:r w:rsidRPr="00705CBF">
        <w:rPr>
          <w:rFonts w:cs="Arial"/>
          <w:szCs w:val="20"/>
        </w:rPr>
        <w:t>631-218/2019</w:t>
      </w:r>
      <w:r w:rsidR="00B31580" w:rsidRPr="00705CBF">
        <w:rPr>
          <w:rFonts w:cs="Arial"/>
          <w:szCs w:val="20"/>
        </w:rPr>
        <w:t xml:space="preserve">, </w:t>
      </w:r>
      <w:r>
        <w:rPr>
          <w:rFonts w:cs="Arial"/>
          <w:szCs w:val="20"/>
        </w:rPr>
        <w:t>julij</w:t>
      </w:r>
      <w:r w:rsidR="00B31580" w:rsidRPr="00705CBF">
        <w:rPr>
          <w:rFonts w:cs="Arial"/>
          <w:szCs w:val="20"/>
        </w:rPr>
        <w:t xml:space="preserve"> 2019),</w:t>
      </w:r>
    </w:p>
    <w:p w14:paraId="074D4321" w14:textId="77777777" w:rsidR="00B31580" w:rsidRDefault="00B31580" w:rsidP="00B31580">
      <w:pPr>
        <w:jc w:val="both"/>
        <w:rPr>
          <w:rFonts w:cs="Arial"/>
          <w:szCs w:val="20"/>
        </w:rPr>
      </w:pPr>
    </w:p>
    <w:p w14:paraId="3A14ECBB" w14:textId="7A1838CB" w:rsidR="00B31580" w:rsidRPr="009A6A78" w:rsidRDefault="00B31580" w:rsidP="00B31580">
      <w:pPr>
        <w:jc w:val="both"/>
        <w:rPr>
          <w:rFonts w:cs="Arial"/>
          <w:bCs/>
          <w:szCs w:val="20"/>
        </w:rPr>
      </w:pPr>
      <w:r w:rsidRPr="009A6A78">
        <w:rPr>
          <w:rFonts w:cs="Arial"/>
          <w:szCs w:val="20"/>
        </w:rPr>
        <w:t xml:space="preserve">Vodovarstvena območja so sestavljena </w:t>
      </w:r>
      <w:r w:rsidRPr="002A23CC">
        <w:rPr>
          <w:rFonts w:cs="Arial"/>
          <w:szCs w:val="20"/>
        </w:rPr>
        <w:t>iz območj</w:t>
      </w:r>
      <w:r w:rsidR="00B26149">
        <w:rPr>
          <w:rFonts w:cs="Arial"/>
          <w:szCs w:val="20"/>
        </w:rPr>
        <w:t>a</w:t>
      </w:r>
      <w:r w:rsidRPr="002A23CC">
        <w:rPr>
          <w:rFonts w:cs="Arial"/>
          <w:szCs w:val="20"/>
        </w:rPr>
        <w:t xml:space="preserve"> zajetj</w:t>
      </w:r>
      <w:r w:rsidR="00B26149">
        <w:rPr>
          <w:rFonts w:cs="Arial"/>
          <w:szCs w:val="20"/>
        </w:rPr>
        <w:t xml:space="preserve">a </w:t>
      </w:r>
      <w:r w:rsidR="00B26149" w:rsidRPr="002A3DA1">
        <w:rPr>
          <w:rFonts w:cs="Arial"/>
          <w:szCs w:val="20"/>
        </w:rPr>
        <w:t>(v nadaljevanju VVO 0)</w:t>
      </w:r>
      <w:r>
        <w:rPr>
          <w:rFonts w:cs="Arial"/>
          <w:szCs w:val="20"/>
        </w:rPr>
        <w:t xml:space="preserve"> </w:t>
      </w:r>
      <w:r w:rsidRPr="002A23CC">
        <w:rPr>
          <w:rFonts w:cs="Arial"/>
          <w:szCs w:val="20"/>
        </w:rPr>
        <w:t>in</w:t>
      </w:r>
      <w:r w:rsidRPr="009A6A78">
        <w:rPr>
          <w:rFonts w:cs="Arial"/>
          <w:szCs w:val="20"/>
        </w:rPr>
        <w:t xml:space="preserve"> notranjih vodovarstvenih območij </w:t>
      </w:r>
      <w:r w:rsidRPr="009A6A78">
        <w:rPr>
          <w:rFonts w:cs="Arial"/>
          <w:bCs/>
          <w:szCs w:val="20"/>
        </w:rPr>
        <w:t xml:space="preserve">z različnimi stopnjami varovanja. </w:t>
      </w:r>
      <w:r w:rsidR="00B26149" w:rsidRPr="00B26149">
        <w:rPr>
          <w:rFonts w:cs="Arial"/>
          <w:bCs/>
          <w:szCs w:val="20"/>
        </w:rPr>
        <w:t>Zajetj</w:t>
      </w:r>
      <w:r w:rsidR="00B26149">
        <w:rPr>
          <w:rFonts w:cs="Arial"/>
          <w:bCs/>
          <w:szCs w:val="20"/>
        </w:rPr>
        <w:t>e</w:t>
      </w:r>
      <w:r w:rsidR="00B26149" w:rsidRPr="00B26149">
        <w:rPr>
          <w:rFonts w:cs="Arial"/>
          <w:bCs/>
          <w:szCs w:val="20"/>
        </w:rPr>
        <w:t xml:space="preserve"> </w:t>
      </w:r>
      <w:r w:rsidR="00B26149">
        <w:rPr>
          <w:rFonts w:cs="Arial"/>
          <w:bCs/>
          <w:szCs w:val="20"/>
        </w:rPr>
        <w:t>je</w:t>
      </w:r>
      <w:r w:rsidR="00B26149" w:rsidRPr="00B26149">
        <w:rPr>
          <w:rFonts w:cs="Arial"/>
          <w:bCs/>
          <w:szCs w:val="20"/>
        </w:rPr>
        <w:t xml:space="preserve"> črpalna vrtina in </w:t>
      </w:r>
      <w:r w:rsidR="00B26149">
        <w:rPr>
          <w:rFonts w:cs="Arial"/>
          <w:bCs/>
          <w:szCs w:val="20"/>
        </w:rPr>
        <w:t>je</w:t>
      </w:r>
      <w:r w:rsidR="00B26149" w:rsidRPr="00B26149">
        <w:rPr>
          <w:rFonts w:cs="Arial"/>
          <w:bCs/>
          <w:szCs w:val="20"/>
        </w:rPr>
        <w:t xml:space="preserve"> naveden</w:t>
      </w:r>
      <w:r w:rsidR="00B26149">
        <w:rPr>
          <w:rFonts w:cs="Arial"/>
          <w:bCs/>
          <w:szCs w:val="20"/>
        </w:rPr>
        <w:t>o</w:t>
      </w:r>
      <w:r w:rsidR="00B26149" w:rsidRPr="00B26149">
        <w:rPr>
          <w:rFonts w:cs="Arial"/>
          <w:bCs/>
          <w:szCs w:val="20"/>
        </w:rPr>
        <w:t xml:space="preserve"> na seznamu v Prilogi 1.</w:t>
      </w:r>
    </w:p>
    <w:p w14:paraId="28B8C445" w14:textId="77777777" w:rsidR="00B31580" w:rsidRDefault="00B31580" w:rsidP="00B31580">
      <w:pPr>
        <w:overflowPunct w:val="0"/>
        <w:autoSpaceDE w:val="0"/>
        <w:autoSpaceDN w:val="0"/>
        <w:adjustRightInd w:val="0"/>
        <w:jc w:val="both"/>
        <w:textAlignment w:val="baseline"/>
        <w:rPr>
          <w:rFonts w:cs="Arial"/>
          <w:szCs w:val="20"/>
        </w:rPr>
      </w:pPr>
    </w:p>
    <w:p w14:paraId="214CF999" w14:textId="77777777" w:rsidR="000A22BE" w:rsidRPr="002A3DA1" w:rsidRDefault="000A22BE" w:rsidP="000A22BE">
      <w:pPr>
        <w:jc w:val="both"/>
        <w:rPr>
          <w:rFonts w:cs="Arial"/>
          <w:bCs/>
          <w:szCs w:val="20"/>
        </w:rPr>
      </w:pPr>
      <w:r w:rsidRPr="002A3DA1">
        <w:rPr>
          <w:rFonts w:cs="Arial"/>
          <w:bCs/>
          <w:szCs w:val="20"/>
        </w:rPr>
        <w:t xml:space="preserve">Z najstrožjim vodovarstvenim režimom na najožjem vodovarstvenem območju (v nadaljevanju VVO I) se varuje dovolj široko območje okoli zajetja, da se zagotavlja sprejemljivo tveganje onesnaževanja s patogenimi mikrobiološkimi organizmi in drugimi onesnaževali. </w:t>
      </w:r>
    </w:p>
    <w:p w14:paraId="21101503" w14:textId="77777777" w:rsidR="000A22BE" w:rsidRPr="002A3DA1" w:rsidRDefault="000A22BE" w:rsidP="000A22BE">
      <w:pPr>
        <w:jc w:val="both"/>
        <w:rPr>
          <w:rFonts w:cs="Arial"/>
          <w:bCs/>
          <w:szCs w:val="20"/>
        </w:rPr>
      </w:pPr>
      <w:r w:rsidRPr="002A3DA1">
        <w:rPr>
          <w:rFonts w:cs="Arial"/>
          <w:bCs/>
          <w:szCs w:val="20"/>
        </w:rPr>
        <w:t xml:space="preserve">S strogim vodovarstvenim režimom na ožjem vodovarstvenem območju (v nadaljevanju VVO II) se glede na hidrogeološke razmere in dinamiko podzemne vode zagotavljata dovolj dolg zadrževalni čas in dovolj veliko razredčenje onesnaževal ter s tem sprejemljivo tveganje onesnaženja vode v zajetju z onesnaževali, ki počasi razpadejo. </w:t>
      </w:r>
    </w:p>
    <w:p w14:paraId="7F4886C0" w14:textId="6FEDF175" w:rsidR="000A22BE" w:rsidRPr="000A22BE" w:rsidRDefault="000A22BE" w:rsidP="000A22BE">
      <w:pPr>
        <w:jc w:val="both"/>
        <w:rPr>
          <w:rFonts w:cs="Arial"/>
          <w:bCs/>
          <w:szCs w:val="20"/>
        </w:rPr>
      </w:pPr>
      <w:r>
        <w:rPr>
          <w:rFonts w:cs="Arial"/>
          <w:bCs/>
          <w:szCs w:val="20"/>
        </w:rPr>
        <w:lastRenderedPageBreak/>
        <w:t>Š</w:t>
      </w:r>
      <w:r w:rsidRPr="000A22BE">
        <w:rPr>
          <w:rFonts w:cs="Arial"/>
          <w:bCs/>
          <w:szCs w:val="20"/>
        </w:rPr>
        <w:t>irše vodovarstveno območje</w:t>
      </w:r>
      <w:r>
        <w:rPr>
          <w:rFonts w:cs="Arial"/>
          <w:bCs/>
          <w:szCs w:val="20"/>
        </w:rPr>
        <w:t xml:space="preserve">, </w:t>
      </w:r>
      <w:r w:rsidRPr="002A3DA1">
        <w:rPr>
          <w:rFonts w:cs="Arial"/>
          <w:bCs/>
          <w:szCs w:val="20"/>
        </w:rPr>
        <w:t>ki obsega celotno napajalno območje zajetja, je zagotovljeno dolgoročno varstvo kakovosti in količine podzemne vode v vodonosnikih, zavarovanih z uredbo, vodovarstveni režim pa zagotavlja sprejemljivo tveganje onesnaženja z radioaktivnimi snovmi in snovmi</w:t>
      </w:r>
      <w:r w:rsidR="001E0A9A">
        <w:rPr>
          <w:rFonts w:cs="Arial"/>
          <w:bCs/>
          <w:szCs w:val="20"/>
        </w:rPr>
        <w:t>,</w:t>
      </w:r>
      <w:r w:rsidRPr="002A3DA1">
        <w:rPr>
          <w:rFonts w:cs="Arial"/>
          <w:bCs/>
          <w:szCs w:val="20"/>
        </w:rPr>
        <w:t xml:space="preserve"> ki so obstojne ali se razgrajujejo zelo počasi</w:t>
      </w:r>
      <w:r w:rsidRPr="000A22BE">
        <w:rPr>
          <w:rFonts w:cs="Arial"/>
          <w:bCs/>
          <w:szCs w:val="20"/>
        </w:rPr>
        <w:t xml:space="preserve"> je razdeljeno na dve podobmočji</w:t>
      </w:r>
      <w:r>
        <w:rPr>
          <w:rFonts w:cs="Arial"/>
          <w:bCs/>
          <w:szCs w:val="20"/>
        </w:rPr>
        <w:t>:</w:t>
      </w:r>
    </w:p>
    <w:p w14:paraId="1C665DC7" w14:textId="77777777" w:rsidR="000A22BE" w:rsidRPr="000A22BE" w:rsidRDefault="000A22BE" w:rsidP="000A22BE">
      <w:pPr>
        <w:jc w:val="both"/>
        <w:rPr>
          <w:rFonts w:cs="Arial"/>
          <w:bCs/>
          <w:szCs w:val="20"/>
        </w:rPr>
      </w:pPr>
      <w:r w:rsidRPr="000A22BE">
        <w:rPr>
          <w:rFonts w:cs="Arial"/>
          <w:bCs/>
          <w:szCs w:val="20"/>
        </w:rPr>
        <w:t>–  širše vodovarstveno podobmočje z blažjim vodovarstvenim režimom (v nadaljnjem besedilu: VVO IIIA) in</w:t>
      </w:r>
    </w:p>
    <w:p w14:paraId="0EE9CD3E" w14:textId="77777777" w:rsidR="000A22BE" w:rsidRDefault="000A22BE" w:rsidP="000A22BE">
      <w:pPr>
        <w:jc w:val="both"/>
        <w:rPr>
          <w:rFonts w:cs="Arial"/>
          <w:bCs/>
          <w:szCs w:val="20"/>
        </w:rPr>
      </w:pPr>
      <w:r w:rsidRPr="000A22BE">
        <w:rPr>
          <w:rFonts w:cs="Arial"/>
          <w:bCs/>
          <w:szCs w:val="20"/>
        </w:rPr>
        <w:t>– širše vodovarstveno podobmočje z najblažjim vodovarstvenim režimom (v nadaljnjem besedilu: VVO IIIB)</w:t>
      </w:r>
    </w:p>
    <w:p w14:paraId="6416272E" w14:textId="77777777" w:rsidR="000A22BE" w:rsidRPr="002A3DA1" w:rsidRDefault="000A22BE" w:rsidP="000A22BE">
      <w:pPr>
        <w:jc w:val="both"/>
        <w:rPr>
          <w:rFonts w:cs="Arial"/>
          <w:bCs/>
          <w:szCs w:val="20"/>
        </w:rPr>
      </w:pPr>
    </w:p>
    <w:p w14:paraId="40E9FF0E" w14:textId="77777777" w:rsidR="000A22BE" w:rsidRPr="002A3DA1" w:rsidRDefault="000A22BE" w:rsidP="000A22BE">
      <w:pPr>
        <w:jc w:val="both"/>
        <w:rPr>
          <w:rFonts w:cs="Arial"/>
          <w:bCs/>
          <w:szCs w:val="20"/>
        </w:rPr>
      </w:pPr>
      <w:r w:rsidRPr="002A3DA1">
        <w:rPr>
          <w:rFonts w:cs="Arial"/>
          <w:bCs/>
          <w:szCs w:val="20"/>
        </w:rPr>
        <w:t xml:space="preserve">Vodovarstvena območja, notranja območja in VVO 0 ter njihove geografske meje so izdelani v digitalnem podatkovnem sloju za raven merila 1 : 5000 v državnem koordinatnem sistemu. Digitalni podatkovni sloj je del geografskega informacijskega sistema, ki je prikazan v vodnem katastru ter na </w:t>
      </w:r>
      <w:proofErr w:type="spellStart"/>
      <w:r w:rsidRPr="002A3DA1">
        <w:rPr>
          <w:rFonts w:cs="Arial"/>
          <w:bCs/>
          <w:szCs w:val="20"/>
        </w:rPr>
        <w:t>publikacijski</w:t>
      </w:r>
      <w:proofErr w:type="spellEnd"/>
      <w:r w:rsidRPr="002A3DA1">
        <w:rPr>
          <w:rFonts w:cs="Arial"/>
          <w:bCs/>
          <w:szCs w:val="20"/>
        </w:rPr>
        <w:t xml:space="preserve"> karti v Prilogi 2, ki je sestavni del uredbe.</w:t>
      </w:r>
    </w:p>
    <w:p w14:paraId="6534DE2B" w14:textId="77777777" w:rsidR="000A22BE" w:rsidRDefault="000A22BE" w:rsidP="00B31580">
      <w:pPr>
        <w:overflowPunct w:val="0"/>
        <w:autoSpaceDE w:val="0"/>
        <w:autoSpaceDN w:val="0"/>
        <w:adjustRightInd w:val="0"/>
        <w:jc w:val="both"/>
        <w:textAlignment w:val="baseline"/>
        <w:rPr>
          <w:rFonts w:cs="Arial"/>
          <w:szCs w:val="20"/>
        </w:rPr>
      </w:pPr>
    </w:p>
    <w:p w14:paraId="6685EBF6" w14:textId="235A47C6" w:rsidR="000A22BE" w:rsidRPr="002A3DA1" w:rsidRDefault="000A22BE" w:rsidP="000A22BE">
      <w:pPr>
        <w:jc w:val="both"/>
        <w:rPr>
          <w:rFonts w:cs="Arial"/>
          <w:bCs/>
          <w:szCs w:val="20"/>
        </w:rPr>
      </w:pPr>
      <w:r w:rsidRPr="002A3DA1">
        <w:rPr>
          <w:rFonts w:cs="Arial"/>
          <w:bCs/>
          <w:szCs w:val="20"/>
        </w:rPr>
        <w:t xml:space="preserve">Seznam zemljiških parcel na vodovarstvenih območjih je naveden v Prilogi 3 te uredbe in povzet po katastru nepremičnin iz </w:t>
      </w:r>
      <w:r>
        <w:rPr>
          <w:rFonts w:cs="Arial"/>
          <w:bCs/>
          <w:szCs w:val="20"/>
        </w:rPr>
        <w:t>maja</w:t>
      </w:r>
      <w:r w:rsidRPr="002A3DA1">
        <w:rPr>
          <w:rFonts w:cs="Arial"/>
          <w:bCs/>
          <w:szCs w:val="20"/>
        </w:rPr>
        <w:t xml:space="preserve"> 202</w:t>
      </w:r>
      <w:r>
        <w:rPr>
          <w:rFonts w:cs="Arial"/>
          <w:bCs/>
          <w:szCs w:val="20"/>
        </w:rPr>
        <w:t>6</w:t>
      </w:r>
      <w:r w:rsidRPr="002A3DA1">
        <w:rPr>
          <w:rFonts w:cs="Arial"/>
          <w:bCs/>
          <w:szCs w:val="20"/>
        </w:rPr>
        <w:t xml:space="preserve">, ki ga vodi Geodetska uprava Republike Slovenije. Meje notranjih vodovarstvenih območij izhajajo iz strokovnih meja, ki so določene na podlagi hidrogeoloških značilnosti vodonosnikov, iz katerih se zajema voda za oskrbo s pitno vodo. Meje notranjih območij potekajo po parcelnih mejah le naključno. V notranja območja je lahko vključen samo del parcele, kar je razvidno iz Priloge 3 te uredbe, oziroma iz digitalnega podatkovnega sloja, ki bo po sprejemu uredbe objavljen na osrednjem spletnem mestu državne uprave, na spletnem naslovu e-vode.  </w:t>
      </w:r>
    </w:p>
    <w:p w14:paraId="7387C101" w14:textId="77777777" w:rsidR="000A22BE" w:rsidRDefault="000A22BE" w:rsidP="00B31580">
      <w:pPr>
        <w:overflowPunct w:val="0"/>
        <w:autoSpaceDE w:val="0"/>
        <w:autoSpaceDN w:val="0"/>
        <w:adjustRightInd w:val="0"/>
        <w:jc w:val="both"/>
        <w:textAlignment w:val="baseline"/>
        <w:rPr>
          <w:rFonts w:cs="Arial"/>
          <w:szCs w:val="20"/>
        </w:rPr>
      </w:pPr>
    </w:p>
    <w:p w14:paraId="53AEF1C8" w14:textId="77777777" w:rsidR="00AB7F3E" w:rsidRPr="002A3DA1" w:rsidRDefault="00AB7F3E" w:rsidP="00AB7F3E">
      <w:pPr>
        <w:jc w:val="both"/>
        <w:rPr>
          <w:rFonts w:cs="Arial"/>
          <w:bCs/>
          <w:szCs w:val="20"/>
          <w:u w:val="single"/>
        </w:rPr>
      </w:pPr>
      <w:r w:rsidRPr="002A3DA1">
        <w:rPr>
          <w:rFonts w:cs="Arial"/>
          <w:bCs/>
          <w:szCs w:val="20"/>
          <w:u w:val="single"/>
        </w:rPr>
        <w:t>Vodovarstveni režim</w:t>
      </w:r>
    </w:p>
    <w:p w14:paraId="797E6C74" w14:textId="77777777" w:rsidR="00AB7F3E" w:rsidRPr="002A3DA1" w:rsidRDefault="00AB7F3E" w:rsidP="00AB7F3E">
      <w:pPr>
        <w:jc w:val="both"/>
        <w:rPr>
          <w:rFonts w:cs="Arial"/>
          <w:bCs/>
          <w:szCs w:val="20"/>
        </w:rPr>
      </w:pPr>
      <w:r w:rsidRPr="002A3DA1">
        <w:rPr>
          <w:rFonts w:cs="Arial"/>
          <w:bCs/>
          <w:szCs w:val="20"/>
        </w:rPr>
        <w:t>Pojasnjeni so izrazi, ki so uporabljeni v uredbi. Izrazi, ki so definirani v zakonu o vodah, se ne navajajo.</w:t>
      </w:r>
    </w:p>
    <w:p w14:paraId="0213A670" w14:textId="77777777" w:rsidR="00AB7F3E" w:rsidRPr="002A3DA1" w:rsidRDefault="00AB7F3E" w:rsidP="00AB7F3E">
      <w:pPr>
        <w:jc w:val="both"/>
        <w:rPr>
          <w:rFonts w:cs="Arial"/>
          <w:bCs/>
          <w:szCs w:val="20"/>
        </w:rPr>
      </w:pPr>
    </w:p>
    <w:p w14:paraId="46E4D9C0" w14:textId="77777777" w:rsidR="00AB7F3E" w:rsidRPr="002A3DA1" w:rsidRDefault="00AB7F3E" w:rsidP="00AB7F3E">
      <w:pPr>
        <w:jc w:val="both"/>
        <w:rPr>
          <w:rFonts w:cs="Arial"/>
          <w:bCs/>
          <w:szCs w:val="20"/>
        </w:rPr>
      </w:pPr>
      <w:r w:rsidRPr="002A3DA1">
        <w:rPr>
          <w:rFonts w:cs="Arial"/>
          <w:bCs/>
          <w:szCs w:val="20"/>
        </w:rPr>
        <w:t xml:space="preserve">Navedeni so pogoji za izdajo vodne pravice za posebno rabo vode. </w:t>
      </w:r>
    </w:p>
    <w:p w14:paraId="54826408" w14:textId="77777777" w:rsidR="00AB7F3E" w:rsidRPr="002A3DA1" w:rsidRDefault="00AB7F3E" w:rsidP="00AB7F3E">
      <w:pPr>
        <w:jc w:val="both"/>
        <w:rPr>
          <w:rFonts w:cs="Arial"/>
          <w:bCs/>
          <w:szCs w:val="20"/>
        </w:rPr>
      </w:pPr>
    </w:p>
    <w:p w14:paraId="29446A1D" w14:textId="77777777" w:rsidR="00AB7F3E" w:rsidRPr="002A3DA1" w:rsidRDefault="00AB7F3E" w:rsidP="00AB7F3E">
      <w:pPr>
        <w:jc w:val="both"/>
        <w:rPr>
          <w:rFonts w:cs="Arial"/>
          <w:bCs/>
          <w:szCs w:val="20"/>
        </w:rPr>
      </w:pPr>
      <w:r w:rsidRPr="002A3DA1">
        <w:rPr>
          <w:rFonts w:cs="Arial"/>
          <w:bCs/>
          <w:szCs w:val="20"/>
        </w:rPr>
        <w:t>Naveden je vodovarstveni režim na območju zajetja.</w:t>
      </w:r>
      <w:r w:rsidRPr="002A3DA1">
        <w:rPr>
          <w:rFonts w:cs="Arial"/>
          <w:szCs w:val="20"/>
        </w:rPr>
        <w:t xml:space="preserve"> </w:t>
      </w:r>
      <w:r w:rsidRPr="002A3DA1">
        <w:rPr>
          <w:rFonts w:cs="Arial"/>
          <w:bCs/>
          <w:szCs w:val="20"/>
        </w:rPr>
        <w:t>Na območju zajetja je treba zagotavljati varovanje zajetja pred neposrednim poškodovanjem objektov zajetja in neposrednim vnosom onesnaževal v zajetje ali njegovo bližino.</w:t>
      </w:r>
    </w:p>
    <w:p w14:paraId="40A7A0E5" w14:textId="77777777" w:rsidR="00AB7F3E" w:rsidRPr="002A3DA1" w:rsidRDefault="00AB7F3E" w:rsidP="00AB7F3E">
      <w:pPr>
        <w:jc w:val="both"/>
        <w:rPr>
          <w:rFonts w:cs="Arial"/>
          <w:bCs/>
          <w:szCs w:val="20"/>
        </w:rPr>
      </w:pPr>
    </w:p>
    <w:p w14:paraId="79D43A2B" w14:textId="33B12020" w:rsidR="00AB7F3E" w:rsidRPr="002A3DA1" w:rsidRDefault="00AB7F3E" w:rsidP="00AB7F3E">
      <w:pPr>
        <w:jc w:val="both"/>
        <w:rPr>
          <w:rFonts w:cs="Arial"/>
          <w:bCs/>
          <w:szCs w:val="20"/>
        </w:rPr>
      </w:pPr>
      <w:r w:rsidRPr="002A3DA1">
        <w:rPr>
          <w:rFonts w:cs="Arial"/>
          <w:bCs/>
          <w:szCs w:val="20"/>
        </w:rPr>
        <w:t>Navedene so omejitve glede vzpostavitve novih stavbnih zemljišč na vodovarstvenih območjih. Na VVO</w:t>
      </w:r>
      <w:r>
        <w:rPr>
          <w:rFonts w:cs="Arial"/>
          <w:bCs/>
          <w:szCs w:val="20"/>
        </w:rPr>
        <w:t> </w:t>
      </w:r>
      <w:r w:rsidRPr="002A3DA1">
        <w:rPr>
          <w:rFonts w:cs="Arial"/>
          <w:bCs/>
          <w:szCs w:val="20"/>
        </w:rPr>
        <w:t xml:space="preserve">I </w:t>
      </w:r>
      <w:r>
        <w:rPr>
          <w:rFonts w:cs="Arial"/>
          <w:bCs/>
          <w:szCs w:val="20"/>
        </w:rPr>
        <w:t xml:space="preserve">in VVO II </w:t>
      </w:r>
      <w:r w:rsidRPr="002A3DA1">
        <w:rPr>
          <w:rFonts w:cs="Arial"/>
          <w:bCs/>
          <w:szCs w:val="20"/>
        </w:rPr>
        <w:t>je vzpostavitev novih ali širitev obstoječih poselitvenih območij prepovedano.</w:t>
      </w:r>
    </w:p>
    <w:p w14:paraId="6FFD4CD4" w14:textId="77777777" w:rsidR="00AB7F3E" w:rsidRPr="002A3DA1" w:rsidRDefault="00AB7F3E" w:rsidP="00AB7F3E">
      <w:pPr>
        <w:jc w:val="both"/>
        <w:rPr>
          <w:rFonts w:cs="Arial"/>
          <w:bCs/>
          <w:szCs w:val="20"/>
        </w:rPr>
      </w:pPr>
    </w:p>
    <w:p w14:paraId="63795501" w14:textId="4730F500" w:rsidR="00AB7F3E" w:rsidRPr="002A3DA1" w:rsidRDefault="00AB7F3E" w:rsidP="00AB7F3E">
      <w:pPr>
        <w:jc w:val="both"/>
        <w:rPr>
          <w:rFonts w:cs="Arial"/>
          <w:bCs/>
          <w:szCs w:val="20"/>
        </w:rPr>
      </w:pPr>
      <w:r w:rsidRPr="002A3DA1">
        <w:rPr>
          <w:rFonts w:cs="Arial"/>
          <w:bCs/>
          <w:szCs w:val="20"/>
        </w:rPr>
        <w:t>Naveden je vodovarstveni režim na notranjih vodovarstvenih območjih, ki se nanaša na gradnjo, ukrepe, prepovedi in omejitve v zvezi z gradnjo zahtevnih, nezahtevnih in enostavnih objektov ter vzdrževanjem objektov, ki so podrobneje predpisani v Prilogi 4</w:t>
      </w:r>
      <w:r>
        <w:rPr>
          <w:rFonts w:cs="Arial"/>
          <w:bCs/>
          <w:szCs w:val="20"/>
        </w:rPr>
        <w:t>,</w:t>
      </w:r>
      <w:r w:rsidRPr="002A3DA1">
        <w:rPr>
          <w:rFonts w:cs="Arial"/>
          <w:bCs/>
          <w:szCs w:val="20"/>
        </w:rPr>
        <w:t xml:space="preserve"> ter rekonstrukcijo, vzdrževalna dela v javno korist, vzdrževanje objekta, odstranitev in spremembo namembnosti.</w:t>
      </w:r>
    </w:p>
    <w:p w14:paraId="40BEE819" w14:textId="77777777" w:rsidR="00AB7F3E" w:rsidRDefault="00AB7F3E" w:rsidP="00AB7F3E">
      <w:pPr>
        <w:jc w:val="both"/>
        <w:rPr>
          <w:rFonts w:cs="Arial"/>
          <w:bCs/>
          <w:szCs w:val="20"/>
        </w:rPr>
      </w:pPr>
      <w:r w:rsidRPr="002A3DA1">
        <w:rPr>
          <w:rFonts w:cs="Arial"/>
          <w:bCs/>
          <w:szCs w:val="20"/>
        </w:rPr>
        <w:t>Pri uporabi klasifikacije vrst objektov CC-SI se pri določitvi pogojev in omejitev te uredbe ne uporablja princip glavne namembnosti objekta, ampak je potrebno za celoten objekt upoštevati pogoje in omejitve te uredbe za tiste dele objekta, ki imajo strožje pogoje in omejitve.</w:t>
      </w:r>
    </w:p>
    <w:p w14:paraId="6EF25A39" w14:textId="77777777" w:rsidR="00AB7F3E" w:rsidRDefault="00AB7F3E" w:rsidP="00AB7F3E">
      <w:pPr>
        <w:jc w:val="both"/>
        <w:rPr>
          <w:rFonts w:cs="Arial"/>
          <w:bCs/>
          <w:szCs w:val="20"/>
        </w:rPr>
      </w:pPr>
    </w:p>
    <w:p w14:paraId="50A74615" w14:textId="0871F1B0" w:rsidR="00AB7F3E" w:rsidRDefault="00AB7F3E" w:rsidP="00AB7F3E">
      <w:pPr>
        <w:jc w:val="both"/>
      </w:pPr>
      <w:r>
        <w:rPr>
          <w:rFonts w:cs="Arial"/>
          <w:bCs/>
          <w:szCs w:val="20"/>
        </w:rPr>
        <w:t>Ne glede na prepovedi gradnje</w:t>
      </w:r>
      <w:r w:rsidR="00BD5932">
        <w:rPr>
          <w:rFonts w:cs="Arial"/>
          <w:bCs/>
          <w:szCs w:val="20"/>
        </w:rPr>
        <w:t xml:space="preserve"> v 1 odstavku 9. člena in prepovedi iz Priloge 4 j</w:t>
      </w:r>
      <w:r w:rsidR="00BD5932" w:rsidRPr="00BD5932">
        <w:rPr>
          <w:rFonts w:cs="Arial"/>
          <w:bCs/>
          <w:szCs w:val="20"/>
        </w:rPr>
        <w:t>e na VVO II na območju MHE Ceršak izjemoma dovoljena novogradnja objekta strojnice</w:t>
      </w:r>
      <w:r w:rsidR="00BD5932">
        <w:rPr>
          <w:rFonts w:cs="Arial"/>
          <w:bCs/>
          <w:szCs w:val="20"/>
        </w:rPr>
        <w:t xml:space="preserve"> pod pogoji analize tveganja. V</w:t>
      </w:r>
      <w:r w:rsidR="00BD5932">
        <w:t xml:space="preserve">zdrževanje </w:t>
      </w:r>
      <w:r w:rsidR="00BD5932" w:rsidRPr="00E15A29">
        <w:t>in rekonstrukcij</w:t>
      </w:r>
      <w:r w:rsidR="00BD5932">
        <w:t>o</w:t>
      </w:r>
      <w:r w:rsidR="00BD5932" w:rsidRPr="00E15A29">
        <w:t xml:space="preserve"> dovodnega in odvodnega kanala MHE Ceršak</w:t>
      </w:r>
      <w:r w:rsidR="00BD5932">
        <w:rPr>
          <w:rFonts w:cs="Arial"/>
          <w:bCs/>
          <w:szCs w:val="20"/>
        </w:rPr>
        <w:t xml:space="preserve"> je potrebno izvajati na način, ki ne </w:t>
      </w:r>
      <w:r w:rsidR="00BD5932" w:rsidRPr="00E15A29">
        <w:t>zmanjšuje napajanja podzemne vode</w:t>
      </w:r>
      <w:r w:rsidR="007875B2">
        <w:t>.</w:t>
      </w:r>
    </w:p>
    <w:p w14:paraId="5333834F" w14:textId="77777777" w:rsidR="007875B2" w:rsidRDefault="007875B2" w:rsidP="00AB7F3E">
      <w:pPr>
        <w:jc w:val="both"/>
      </w:pPr>
    </w:p>
    <w:p w14:paraId="303446F9" w14:textId="2455D1DB" w:rsidR="007875B2" w:rsidRPr="007875B2" w:rsidRDefault="007875B2" w:rsidP="007875B2">
      <w:pPr>
        <w:jc w:val="both"/>
      </w:pPr>
      <w:r w:rsidRPr="007875B2">
        <w:t xml:space="preserve">Vodni vir Ceršak je s svojo lego iz vidika oskrbe z vodo izredno pomemben, ne samo za sistem občine Šentilj in manjšino porabnikov iz robnega območja občine Apač, temveč posredno tudi za največji centralni vodooskrbni sistem s katerim upravlja Mariborski vodovod. V preteklih letih je Občina Šentilj izvajala raziskave za možnost izvedbe dodatnih vrtin (vodnjakov) na tej ali drugih lokacijah ter raziskave za možnost povečanja izdatnosti obstoječega vodnjaka. Iz vidika vključevanja novega vira vode na </w:t>
      </w:r>
      <w:r w:rsidRPr="007875B2">
        <w:lastRenderedPageBreak/>
        <w:t>vodovodni sistem, so bile druge lokacije in možnosti zajema pitne vode iz globinskih vodnjakov</w:t>
      </w:r>
      <w:r w:rsidR="00775783">
        <w:t xml:space="preserve"> </w:t>
      </w:r>
      <w:r w:rsidR="00775783" w:rsidRPr="00775783">
        <w:t>drage in zelo rizične</w:t>
      </w:r>
      <w:r w:rsidR="00775783">
        <w:t>.</w:t>
      </w:r>
    </w:p>
    <w:p w14:paraId="12D4BD77" w14:textId="77777777" w:rsidR="00775783" w:rsidRDefault="00775783" w:rsidP="00AB7F3E">
      <w:pPr>
        <w:jc w:val="both"/>
        <w:rPr>
          <w:rFonts w:cs="Arial"/>
          <w:bCs/>
          <w:szCs w:val="20"/>
        </w:rPr>
      </w:pPr>
    </w:p>
    <w:p w14:paraId="4310D0A5" w14:textId="0B60922F" w:rsidR="00AB7F3E" w:rsidRPr="002A3DA1" w:rsidRDefault="00AB7F3E" w:rsidP="00AB7F3E">
      <w:pPr>
        <w:jc w:val="both"/>
        <w:rPr>
          <w:rFonts w:cs="Arial"/>
          <w:bCs/>
          <w:szCs w:val="20"/>
        </w:rPr>
      </w:pPr>
      <w:r w:rsidRPr="002A3DA1">
        <w:rPr>
          <w:rFonts w:cs="Arial"/>
          <w:bCs/>
          <w:szCs w:val="20"/>
        </w:rPr>
        <w:t>Ne glede na prepovedi in omejitve iz Priloge 4 te uredbe je na VVO II</w:t>
      </w:r>
      <w:r w:rsidR="00F33968">
        <w:rPr>
          <w:rFonts w:cs="Arial"/>
          <w:bCs/>
          <w:szCs w:val="20"/>
        </w:rPr>
        <w:t>,</w:t>
      </w:r>
      <w:r w:rsidRPr="002A3DA1">
        <w:rPr>
          <w:rFonts w:cs="Arial"/>
          <w:bCs/>
          <w:szCs w:val="20"/>
        </w:rPr>
        <w:t xml:space="preserve"> VVO III</w:t>
      </w:r>
      <w:r>
        <w:rPr>
          <w:rFonts w:cs="Arial"/>
          <w:bCs/>
          <w:szCs w:val="20"/>
        </w:rPr>
        <w:t>A in VVO IIIB</w:t>
      </w:r>
      <w:r w:rsidRPr="002A3DA1">
        <w:rPr>
          <w:rFonts w:cs="Arial"/>
          <w:bCs/>
          <w:szCs w:val="20"/>
        </w:rPr>
        <w:t xml:space="preserve"> podana izjema za novogradnjo enostavnih in nezahtevnih objektov. Pogoji so podani kumulativno.</w:t>
      </w:r>
    </w:p>
    <w:p w14:paraId="77211458" w14:textId="77777777" w:rsidR="00AB7F3E" w:rsidRDefault="00AB7F3E" w:rsidP="00AB7F3E">
      <w:pPr>
        <w:jc w:val="both"/>
        <w:rPr>
          <w:rFonts w:cs="Arial"/>
          <w:bCs/>
          <w:szCs w:val="20"/>
        </w:rPr>
      </w:pPr>
    </w:p>
    <w:p w14:paraId="2CBABE45" w14:textId="77777777" w:rsidR="005C6844" w:rsidRDefault="005C6844" w:rsidP="005C6844">
      <w:pPr>
        <w:jc w:val="both"/>
        <w:rPr>
          <w:rFonts w:cs="Arial"/>
          <w:bCs/>
          <w:szCs w:val="20"/>
        </w:rPr>
      </w:pPr>
      <w:r w:rsidRPr="002A3DA1">
        <w:rPr>
          <w:rFonts w:cs="Arial"/>
          <w:bCs/>
          <w:szCs w:val="20"/>
        </w:rPr>
        <w:t>Naveden je vodovarstveni režim v zvezi s pogoji poseganja za gradnjo glede na gladino podzemne vode</w:t>
      </w:r>
      <w:r>
        <w:rPr>
          <w:rFonts w:cs="Arial"/>
          <w:bCs/>
          <w:szCs w:val="20"/>
        </w:rPr>
        <w:t>.</w:t>
      </w:r>
    </w:p>
    <w:p w14:paraId="15AD1992" w14:textId="77777777" w:rsidR="005C6844" w:rsidRPr="002A3DA1" w:rsidRDefault="005C6844" w:rsidP="00AB7F3E">
      <w:pPr>
        <w:jc w:val="both"/>
        <w:rPr>
          <w:rFonts w:cs="Arial"/>
          <w:bCs/>
          <w:szCs w:val="20"/>
        </w:rPr>
      </w:pPr>
    </w:p>
    <w:p w14:paraId="4B165BF8" w14:textId="77777777" w:rsidR="00AB7F3E" w:rsidRPr="002A3DA1" w:rsidRDefault="00AB7F3E" w:rsidP="00AB7F3E">
      <w:pPr>
        <w:jc w:val="both"/>
        <w:rPr>
          <w:rFonts w:cs="Arial"/>
          <w:bCs/>
          <w:szCs w:val="20"/>
        </w:rPr>
      </w:pPr>
      <w:r w:rsidRPr="002A3DA1">
        <w:rPr>
          <w:rFonts w:cs="Arial"/>
          <w:bCs/>
          <w:szCs w:val="20"/>
        </w:rPr>
        <w:t xml:space="preserve">V zvezi z ravnanjem na kmetijskih zemljiščih so prepovedi, pogoji in zaščitni ukrepi predpisani v določbah posameznih členov uredbe. </w:t>
      </w:r>
    </w:p>
    <w:p w14:paraId="33D3176E" w14:textId="77777777" w:rsidR="00AB7F3E" w:rsidRPr="002A3DA1" w:rsidRDefault="00AB7F3E" w:rsidP="00AB7F3E">
      <w:pPr>
        <w:jc w:val="both"/>
        <w:rPr>
          <w:rFonts w:cs="Arial"/>
          <w:bCs/>
          <w:szCs w:val="20"/>
        </w:rPr>
      </w:pPr>
      <w:r w:rsidRPr="002A3DA1">
        <w:rPr>
          <w:rFonts w:cs="Arial"/>
          <w:bCs/>
          <w:szCs w:val="20"/>
        </w:rPr>
        <w:t xml:space="preserve">Nanašajo se na gnojenje kmetijskih zemljišč ter na rabo fitofarmacevtskih sredstev (v nadaljnjem besedilu: FFS). </w:t>
      </w:r>
    </w:p>
    <w:p w14:paraId="4C68140C" w14:textId="77777777" w:rsidR="000A22BE" w:rsidRDefault="000A22BE" w:rsidP="00B31580">
      <w:pPr>
        <w:overflowPunct w:val="0"/>
        <w:autoSpaceDE w:val="0"/>
        <w:autoSpaceDN w:val="0"/>
        <w:adjustRightInd w:val="0"/>
        <w:jc w:val="both"/>
        <w:textAlignment w:val="baseline"/>
        <w:rPr>
          <w:rFonts w:cs="Arial"/>
          <w:szCs w:val="20"/>
        </w:rPr>
      </w:pPr>
    </w:p>
    <w:p w14:paraId="03D55B9C" w14:textId="77777777" w:rsidR="00F33968" w:rsidRPr="002A3DA1" w:rsidRDefault="00F33968" w:rsidP="00F33968">
      <w:pPr>
        <w:jc w:val="both"/>
        <w:rPr>
          <w:rFonts w:cs="Arial"/>
          <w:szCs w:val="20"/>
        </w:rPr>
      </w:pPr>
      <w:r w:rsidRPr="002A3DA1">
        <w:rPr>
          <w:rFonts w:cs="Arial"/>
          <w:bCs/>
          <w:szCs w:val="20"/>
        </w:rPr>
        <w:t>Na notranjih območjih je prepovedano gnojiti brez gnojilnega načrta, za katerega je poleg usmeritev,</w:t>
      </w:r>
      <w:r w:rsidRPr="002A3DA1">
        <w:rPr>
          <w:rFonts w:cs="Arial"/>
          <w:szCs w:val="20"/>
        </w:rPr>
        <w:t xml:space="preserve"> da se </w:t>
      </w:r>
      <w:r w:rsidRPr="002A3DA1">
        <w:rPr>
          <w:rFonts w:cs="Arial"/>
          <w:bCs/>
          <w:szCs w:val="20"/>
        </w:rPr>
        <w:t>izdela v skladu s Smernicami za strokovno utemeljeno gnojenje dodane oziroma poudarjene potrebne vsebine.</w:t>
      </w:r>
      <w:r w:rsidRPr="002A3DA1">
        <w:rPr>
          <w:rFonts w:cs="Arial"/>
          <w:szCs w:val="20"/>
        </w:rPr>
        <w:t xml:space="preserve"> </w:t>
      </w:r>
    </w:p>
    <w:p w14:paraId="2B2828B2" w14:textId="77777777" w:rsidR="00F33968" w:rsidRPr="002A3DA1" w:rsidRDefault="00F33968" w:rsidP="00F33968">
      <w:pPr>
        <w:pStyle w:val="Odstavekseznama"/>
        <w:numPr>
          <w:ilvl w:val="0"/>
          <w:numId w:val="9"/>
        </w:numPr>
        <w:jc w:val="both"/>
        <w:rPr>
          <w:rFonts w:cs="Arial"/>
          <w:bCs/>
          <w:szCs w:val="20"/>
        </w:rPr>
      </w:pPr>
      <w:r w:rsidRPr="002A3DA1">
        <w:rPr>
          <w:rFonts w:cs="Arial"/>
          <w:bCs/>
          <w:szCs w:val="20"/>
        </w:rPr>
        <w:t xml:space="preserve">Vsebovati mora vsaj podatke o vrsti in količini uporabljenega mineralnega oziroma organskega gnojila za posamezno kmetijsko rastlino ter okvirni čas gnojenja. </w:t>
      </w:r>
    </w:p>
    <w:p w14:paraId="3EADF0E8" w14:textId="77777777" w:rsidR="00F33968" w:rsidRPr="002A3DA1" w:rsidRDefault="00F33968" w:rsidP="00F33968">
      <w:pPr>
        <w:pStyle w:val="Odstavekseznama"/>
        <w:numPr>
          <w:ilvl w:val="0"/>
          <w:numId w:val="9"/>
        </w:numPr>
        <w:jc w:val="both"/>
        <w:rPr>
          <w:rFonts w:cs="Arial"/>
          <w:bCs/>
          <w:szCs w:val="20"/>
        </w:rPr>
      </w:pPr>
      <w:r w:rsidRPr="002A3DA1">
        <w:rPr>
          <w:rFonts w:cs="Arial"/>
          <w:bCs/>
          <w:szCs w:val="20"/>
        </w:rPr>
        <w:t>Za analizo tal za gnojilni načrt se lahko odvzame en povprečni vzorec tal za več parcel skupaj, če gre za enako rabo in enake talne lastnosti na teh parcelah.</w:t>
      </w:r>
    </w:p>
    <w:p w14:paraId="31FFCF9F" w14:textId="77777777" w:rsidR="00F33968" w:rsidRPr="002A3DA1" w:rsidRDefault="00F33968" w:rsidP="00F33968">
      <w:pPr>
        <w:jc w:val="both"/>
        <w:rPr>
          <w:rFonts w:cs="Arial"/>
          <w:bCs/>
          <w:szCs w:val="20"/>
        </w:rPr>
      </w:pPr>
    </w:p>
    <w:p w14:paraId="3DCCCA59" w14:textId="77777777" w:rsidR="00F33968" w:rsidRPr="002A3DA1" w:rsidRDefault="00F33968" w:rsidP="00F33968">
      <w:pPr>
        <w:jc w:val="both"/>
        <w:rPr>
          <w:rFonts w:cs="Arial"/>
          <w:bCs/>
          <w:szCs w:val="20"/>
        </w:rPr>
      </w:pPr>
      <w:r w:rsidRPr="002A3DA1">
        <w:rPr>
          <w:rFonts w:cs="Arial"/>
          <w:bCs/>
          <w:szCs w:val="20"/>
        </w:rPr>
        <w:t>Na VVO I je zaradi preprečevanja mikrobiološkega onesnaženja:</w:t>
      </w:r>
    </w:p>
    <w:p w14:paraId="747B8C06" w14:textId="77777777" w:rsidR="00F33968" w:rsidRPr="002A3DA1" w:rsidRDefault="00F33968" w:rsidP="00F33968">
      <w:pPr>
        <w:pStyle w:val="Odstavekseznama"/>
        <w:numPr>
          <w:ilvl w:val="0"/>
          <w:numId w:val="9"/>
        </w:numPr>
        <w:jc w:val="both"/>
        <w:rPr>
          <w:rFonts w:cs="Arial"/>
          <w:bCs/>
          <w:szCs w:val="20"/>
        </w:rPr>
      </w:pPr>
      <w:r w:rsidRPr="002A3DA1">
        <w:rPr>
          <w:rFonts w:cs="Arial"/>
          <w:bCs/>
          <w:szCs w:val="20"/>
        </w:rPr>
        <w:t xml:space="preserve">prepovedano gnojenje z gnojnico, gnojevko in </w:t>
      </w:r>
      <w:proofErr w:type="spellStart"/>
      <w:r w:rsidRPr="002A3DA1">
        <w:rPr>
          <w:rFonts w:cs="Arial"/>
          <w:bCs/>
          <w:szCs w:val="20"/>
        </w:rPr>
        <w:t>bioplinsko</w:t>
      </w:r>
      <w:proofErr w:type="spellEnd"/>
      <w:r w:rsidRPr="002A3DA1">
        <w:rPr>
          <w:rFonts w:cs="Arial"/>
          <w:bCs/>
          <w:szCs w:val="20"/>
        </w:rPr>
        <w:t xml:space="preserve"> gnojevko, gnojiti z vsebino pretočnih in nepretočnih greznic ter malih komunalnih čistilnih naprav z zmogljivostjo do 50 PE in gnojiti z </w:t>
      </w:r>
      <w:proofErr w:type="spellStart"/>
      <w:r w:rsidRPr="002A3DA1">
        <w:rPr>
          <w:rFonts w:cs="Arial"/>
          <w:bCs/>
          <w:szCs w:val="20"/>
        </w:rPr>
        <w:t>digestatom</w:t>
      </w:r>
      <w:proofErr w:type="spellEnd"/>
      <w:r w:rsidRPr="002A3DA1">
        <w:rPr>
          <w:rFonts w:cs="Arial"/>
          <w:bCs/>
          <w:szCs w:val="20"/>
        </w:rPr>
        <w:t xml:space="preserve"> 1. kakovostnega razreda, vključno z </w:t>
      </w:r>
      <w:proofErr w:type="spellStart"/>
      <w:r w:rsidRPr="002A3DA1">
        <w:rPr>
          <w:rFonts w:cs="Arial"/>
          <w:bCs/>
          <w:szCs w:val="20"/>
        </w:rPr>
        <w:t>digestatom</w:t>
      </w:r>
      <w:proofErr w:type="spellEnd"/>
      <w:r w:rsidRPr="002A3DA1">
        <w:rPr>
          <w:rFonts w:cs="Arial"/>
          <w:bCs/>
          <w:szCs w:val="20"/>
        </w:rPr>
        <w:t xml:space="preserve"> 1. kakovostnega razreda,</w:t>
      </w:r>
    </w:p>
    <w:p w14:paraId="42B7BE43" w14:textId="77777777" w:rsidR="00F33968" w:rsidRPr="002A3DA1" w:rsidRDefault="00F33968" w:rsidP="00F33968">
      <w:pPr>
        <w:pStyle w:val="Odstavekseznama"/>
        <w:numPr>
          <w:ilvl w:val="0"/>
          <w:numId w:val="9"/>
        </w:numPr>
        <w:jc w:val="both"/>
        <w:rPr>
          <w:rFonts w:cs="Arial"/>
          <w:bCs/>
          <w:szCs w:val="20"/>
        </w:rPr>
      </w:pPr>
      <w:r w:rsidRPr="002A3DA1">
        <w:rPr>
          <w:rFonts w:cs="Arial"/>
          <w:bCs/>
          <w:szCs w:val="20"/>
        </w:rPr>
        <w:t>glede rabe hlevskega gnoja in mineralnih gnojil so določene mejne vrednosti vnosa dušika, ki so primerljivi z dobro kmetijsko prakso,</w:t>
      </w:r>
    </w:p>
    <w:p w14:paraId="1E0AE264" w14:textId="77777777" w:rsidR="00F33968" w:rsidRPr="002A3DA1" w:rsidRDefault="00F33968" w:rsidP="00F33968">
      <w:pPr>
        <w:pStyle w:val="Odstavekseznama"/>
        <w:numPr>
          <w:ilvl w:val="0"/>
          <w:numId w:val="9"/>
        </w:numPr>
        <w:jc w:val="both"/>
        <w:rPr>
          <w:rFonts w:cs="Arial"/>
          <w:bCs/>
          <w:szCs w:val="20"/>
        </w:rPr>
      </w:pPr>
      <w:r w:rsidRPr="002A3DA1">
        <w:rPr>
          <w:rFonts w:cs="Arial"/>
          <w:bCs/>
          <w:szCs w:val="20"/>
        </w:rPr>
        <w:t xml:space="preserve">prepovedano </w:t>
      </w:r>
      <w:proofErr w:type="spellStart"/>
      <w:r w:rsidRPr="002A3DA1">
        <w:rPr>
          <w:rFonts w:cs="Arial"/>
          <w:bCs/>
          <w:szCs w:val="20"/>
        </w:rPr>
        <w:t>preoravati</w:t>
      </w:r>
      <w:proofErr w:type="spellEnd"/>
      <w:r w:rsidRPr="002A3DA1">
        <w:rPr>
          <w:rFonts w:cs="Arial"/>
          <w:bCs/>
          <w:szCs w:val="20"/>
        </w:rPr>
        <w:t xml:space="preserve"> trajno travinje</w:t>
      </w:r>
    </w:p>
    <w:p w14:paraId="229BC5D6" w14:textId="77777777" w:rsidR="00F33968" w:rsidRPr="002A3DA1" w:rsidRDefault="00F33968" w:rsidP="00F33968">
      <w:pPr>
        <w:pStyle w:val="Odstavekseznama"/>
        <w:numPr>
          <w:ilvl w:val="0"/>
          <w:numId w:val="9"/>
        </w:numPr>
        <w:jc w:val="both"/>
        <w:rPr>
          <w:rFonts w:cs="Arial"/>
          <w:bCs/>
          <w:szCs w:val="20"/>
        </w:rPr>
      </w:pPr>
      <w:r w:rsidRPr="002A3DA1">
        <w:rPr>
          <w:rFonts w:cs="Arial"/>
          <w:bCs/>
          <w:szCs w:val="20"/>
        </w:rPr>
        <w:t>prepovedano obremenjevati tla z vnašanjem zemeljskega izkopa, ki je pripeljan od drugod, umetno pripravljeno zemljino ali polnilom pri gradnji objektov</w:t>
      </w:r>
    </w:p>
    <w:p w14:paraId="4D015C5D" w14:textId="77777777" w:rsidR="00F33968" w:rsidRPr="002A3DA1" w:rsidRDefault="00F33968" w:rsidP="00F33968">
      <w:pPr>
        <w:pStyle w:val="Odstavekseznama"/>
        <w:numPr>
          <w:ilvl w:val="0"/>
          <w:numId w:val="9"/>
        </w:numPr>
        <w:jc w:val="both"/>
        <w:rPr>
          <w:rFonts w:cs="Arial"/>
          <w:bCs/>
          <w:szCs w:val="20"/>
        </w:rPr>
      </w:pPr>
      <w:r w:rsidRPr="002A3DA1">
        <w:rPr>
          <w:rFonts w:cs="Arial"/>
          <w:bCs/>
          <w:szCs w:val="20"/>
        </w:rPr>
        <w:t>živali se lahko pasejo v ogradah, če so pri paši upoštevane pogoji in omejitve</w:t>
      </w:r>
      <w:r>
        <w:rPr>
          <w:rFonts w:cs="Arial"/>
          <w:bCs/>
          <w:szCs w:val="20"/>
        </w:rPr>
        <w:t>.</w:t>
      </w:r>
    </w:p>
    <w:p w14:paraId="48412969" w14:textId="77777777" w:rsidR="00F33968" w:rsidRPr="002A3DA1" w:rsidRDefault="00F33968" w:rsidP="00F33968">
      <w:pPr>
        <w:jc w:val="both"/>
        <w:rPr>
          <w:rFonts w:cs="Arial"/>
          <w:bCs/>
          <w:szCs w:val="20"/>
        </w:rPr>
      </w:pPr>
    </w:p>
    <w:p w14:paraId="06DE81E1" w14:textId="3541BCED" w:rsidR="00F33968" w:rsidRPr="002A3DA1" w:rsidRDefault="00F33968" w:rsidP="00F33968">
      <w:pPr>
        <w:jc w:val="both"/>
        <w:rPr>
          <w:rFonts w:cs="Arial"/>
          <w:bCs/>
          <w:szCs w:val="20"/>
        </w:rPr>
      </w:pPr>
      <w:r w:rsidRPr="002A3DA1">
        <w:rPr>
          <w:rFonts w:cs="Arial"/>
          <w:bCs/>
          <w:szCs w:val="20"/>
        </w:rPr>
        <w:t>Na VVO II</w:t>
      </w:r>
      <w:r>
        <w:rPr>
          <w:rFonts w:cs="Arial"/>
          <w:bCs/>
          <w:szCs w:val="20"/>
        </w:rPr>
        <w:t xml:space="preserve">, </w:t>
      </w:r>
      <w:r w:rsidRPr="002A3DA1">
        <w:rPr>
          <w:rFonts w:cs="Arial"/>
          <w:bCs/>
          <w:szCs w:val="20"/>
        </w:rPr>
        <w:t>VVO III</w:t>
      </w:r>
      <w:r>
        <w:rPr>
          <w:rFonts w:cs="Arial"/>
          <w:bCs/>
          <w:szCs w:val="20"/>
        </w:rPr>
        <w:t>A in VVO IIIB</w:t>
      </w:r>
      <w:r w:rsidRPr="002A3DA1">
        <w:rPr>
          <w:rFonts w:cs="Arial"/>
          <w:bCs/>
          <w:szCs w:val="20"/>
        </w:rPr>
        <w:t xml:space="preserve"> so določene mejne vrednosti vnosa dušika z mineralnimi gnojili.</w:t>
      </w:r>
    </w:p>
    <w:p w14:paraId="21295B53" w14:textId="77777777" w:rsidR="00F33968" w:rsidRPr="002A3DA1" w:rsidRDefault="00F33968" w:rsidP="00F33968">
      <w:pPr>
        <w:jc w:val="both"/>
        <w:rPr>
          <w:rFonts w:cs="Arial"/>
          <w:bCs/>
          <w:szCs w:val="20"/>
        </w:rPr>
      </w:pPr>
    </w:p>
    <w:p w14:paraId="4AA136AD" w14:textId="77777777" w:rsidR="00F33968" w:rsidRPr="002A3DA1" w:rsidRDefault="00F33968" w:rsidP="00F33968">
      <w:pPr>
        <w:jc w:val="both"/>
        <w:rPr>
          <w:rFonts w:cs="Arial"/>
          <w:bCs/>
          <w:szCs w:val="20"/>
        </w:rPr>
      </w:pPr>
      <w:r w:rsidRPr="002A3DA1">
        <w:rPr>
          <w:rFonts w:cs="Arial"/>
          <w:bCs/>
          <w:szCs w:val="20"/>
        </w:rPr>
        <w:t>Na VVO I je v varovalnih pasovih, določenih z Zakonom o FFS, raba FFS že prepovedana (15 metrski varovalni pas od objekta zajetja ali petmetrski varovalni pas od ograje območja zajetja). Na ostalem delu VVO I se lahko za zatiranje škodljivih organizmov na kmetijskih zemljiščih uporabljajo FFS, ki ne vsebujejo aktivnih snovi s seznama prepovedanih aktivnih snovi, ki se objavlja vsako leto na spletnem mestu državne uprave.</w:t>
      </w:r>
    </w:p>
    <w:p w14:paraId="25BB552E" w14:textId="77777777" w:rsidR="00F33968" w:rsidRPr="002A3DA1" w:rsidRDefault="00F33968" w:rsidP="00F33968">
      <w:pPr>
        <w:jc w:val="both"/>
        <w:rPr>
          <w:rFonts w:cs="Arial"/>
          <w:bCs/>
          <w:szCs w:val="20"/>
        </w:rPr>
      </w:pPr>
      <w:r w:rsidRPr="002A3DA1">
        <w:rPr>
          <w:rFonts w:cs="Arial"/>
          <w:szCs w:val="20"/>
        </w:rPr>
        <w:t>Če je na vodovarstvenem območju s to uredbo dovoljena uporaba FFS, ki vsebujejo aktivne snovi, se FFS med sezonami oziroma v sezoni menjavajo, če je za posamezne škodljive organizme na voljo več razpoložljivih in po učinkovitosti primerljivih FFS.</w:t>
      </w:r>
    </w:p>
    <w:p w14:paraId="1EBF8062" w14:textId="77777777" w:rsidR="00F33968" w:rsidRPr="002A3DA1" w:rsidRDefault="00F33968" w:rsidP="00F33968">
      <w:pPr>
        <w:jc w:val="both"/>
        <w:rPr>
          <w:rFonts w:cs="Arial"/>
          <w:bCs/>
          <w:szCs w:val="20"/>
        </w:rPr>
      </w:pPr>
    </w:p>
    <w:p w14:paraId="33ACEBB2" w14:textId="5B938615" w:rsidR="00F33968" w:rsidRPr="002A3DA1" w:rsidRDefault="00F33968" w:rsidP="00F33968">
      <w:pPr>
        <w:jc w:val="both"/>
        <w:rPr>
          <w:rFonts w:cs="Arial"/>
          <w:bCs/>
          <w:szCs w:val="20"/>
        </w:rPr>
      </w:pPr>
      <w:r w:rsidRPr="002A3DA1">
        <w:rPr>
          <w:rFonts w:cs="Arial"/>
          <w:bCs/>
          <w:szCs w:val="20"/>
        </w:rPr>
        <w:t>Na notranjih območjih ta uredba ureja gnojenje na gozdnih in stavbnih zemljiščih</w:t>
      </w:r>
      <w:r w:rsidR="001E0A9A">
        <w:rPr>
          <w:rFonts w:cs="Arial"/>
          <w:bCs/>
          <w:szCs w:val="20"/>
        </w:rPr>
        <w:t>,</w:t>
      </w:r>
      <w:r w:rsidRPr="002A3DA1">
        <w:rPr>
          <w:rFonts w:cs="Arial"/>
          <w:bCs/>
          <w:szCs w:val="20"/>
        </w:rPr>
        <w:t xml:space="preserve"> vključno z objekti prometne infrastrukture</w:t>
      </w:r>
      <w:r w:rsidR="001E0A9A">
        <w:rPr>
          <w:rFonts w:cs="Arial"/>
          <w:bCs/>
          <w:szCs w:val="20"/>
        </w:rPr>
        <w:t>,</w:t>
      </w:r>
      <w:r w:rsidRPr="002A3DA1">
        <w:rPr>
          <w:rFonts w:cs="Arial"/>
          <w:bCs/>
          <w:szCs w:val="20"/>
        </w:rPr>
        <w:t xml:space="preserve"> kakor tudi rabo FFS na gozdnih in stavbnih zemljiščih, vključno z območji prometnih površin, železniški infrastrukturi, na območju športnih igrišč za športe na prostem, na otroških in drugih javnih igriščih. </w:t>
      </w:r>
    </w:p>
    <w:p w14:paraId="78FFAE79" w14:textId="77777777" w:rsidR="00F33968" w:rsidRDefault="00F33968" w:rsidP="00B31580">
      <w:pPr>
        <w:overflowPunct w:val="0"/>
        <w:autoSpaceDE w:val="0"/>
        <w:autoSpaceDN w:val="0"/>
        <w:adjustRightInd w:val="0"/>
        <w:jc w:val="both"/>
        <w:textAlignment w:val="baseline"/>
        <w:rPr>
          <w:rFonts w:cs="Arial"/>
          <w:szCs w:val="20"/>
        </w:rPr>
      </w:pPr>
    </w:p>
    <w:p w14:paraId="2D3C2D7C" w14:textId="77777777" w:rsidR="00F33968" w:rsidRDefault="00F33968" w:rsidP="00F33968">
      <w:pPr>
        <w:jc w:val="both"/>
        <w:rPr>
          <w:rFonts w:cs="Arial"/>
          <w:bCs/>
          <w:szCs w:val="20"/>
        </w:rPr>
      </w:pPr>
      <w:r w:rsidRPr="002A3DA1">
        <w:rPr>
          <w:rFonts w:cs="Arial"/>
          <w:bCs/>
          <w:szCs w:val="20"/>
        </w:rPr>
        <w:t>Na VVO I je na gozdnih in stavbnih zemljiščih prepovedano obremenjevati tla z vnašanjem zemeljskega izkopa in umetno pripravljeno zemljino ali polnilom pri gradnji objektov.</w:t>
      </w:r>
    </w:p>
    <w:p w14:paraId="6D726FC9" w14:textId="77777777" w:rsidR="007875B2" w:rsidRDefault="007875B2" w:rsidP="00F33968">
      <w:pPr>
        <w:jc w:val="both"/>
        <w:rPr>
          <w:rFonts w:cs="Arial"/>
          <w:bCs/>
          <w:szCs w:val="20"/>
        </w:rPr>
      </w:pPr>
    </w:p>
    <w:p w14:paraId="1C0627CE" w14:textId="68F4C9E1" w:rsidR="007875B2" w:rsidRPr="002A3DA1" w:rsidRDefault="007875B2" w:rsidP="00F33968">
      <w:pPr>
        <w:jc w:val="both"/>
        <w:rPr>
          <w:rFonts w:cs="Arial"/>
          <w:bCs/>
          <w:szCs w:val="20"/>
        </w:rPr>
      </w:pPr>
      <w:r>
        <w:rPr>
          <w:rFonts w:cs="Arial"/>
          <w:bCs/>
          <w:szCs w:val="20"/>
        </w:rPr>
        <w:lastRenderedPageBreak/>
        <w:t>V</w:t>
      </w:r>
      <w:r w:rsidRPr="007875B2">
        <w:rPr>
          <w:rFonts w:cs="Arial"/>
          <w:bCs/>
          <w:szCs w:val="20"/>
        </w:rPr>
        <w:t>odovarstveni režim</w:t>
      </w:r>
      <w:r>
        <w:rPr>
          <w:rFonts w:cs="Arial"/>
          <w:bCs/>
          <w:szCs w:val="20"/>
        </w:rPr>
        <w:t xml:space="preserve"> je bil</w:t>
      </w:r>
      <w:r w:rsidRPr="007875B2">
        <w:rPr>
          <w:rFonts w:cs="Arial"/>
          <w:bCs/>
          <w:szCs w:val="20"/>
        </w:rPr>
        <w:t xml:space="preserve"> določen na podlagi strokovnih podlag z namenom zagotavljanja dolgoročne zaščite vira pitne vode ter da so bile omejitve oblikovane ob upoštevanju načela sorazmernosti glede na stopnjo tveganja posameznega notranjega območja.</w:t>
      </w:r>
    </w:p>
    <w:p w14:paraId="78A9BBD2" w14:textId="77777777" w:rsidR="00F33968" w:rsidRPr="002A3DA1" w:rsidRDefault="00F33968" w:rsidP="00F33968">
      <w:pPr>
        <w:jc w:val="both"/>
        <w:rPr>
          <w:rFonts w:cs="Arial"/>
          <w:bCs/>
          <w:szCs w:val="20"/>
        </w:rPr>
      </w:pPr>
    </w:p>
    <w:p w14:paraId="229755F6" w14:textId="77777777" w:rsidR="00F33968" w:rsidRPr="002A3DA1" w:rsidRDefault="00F33968" w:rsidP="00F33968">
      <w:pPr>
        <w:jc w:val="both"/>
        <w:rPr>
          <w:rFonts w:cs="Arial"/>
          <w:bCs/>
          <w:szCs w:val="20"/>
        </w:rPr>
      </w:pPr>
      <w:r w:rsidRPr="002A3DA1">
        <w:rPr>
          <w:rFonts w:cs="Arial"/>
          <w:bCs/>
          <w:szCs w:val="20"/>
        </w:rPr>
        <w:t xml:space="preserve">Ta uredba ureja vodovarstveni režim, ki se nanaša na gospodarjenje z gozdovi. </w:t>
      </w:r>
    </w:p>
    <w:p w14:paraId="22C97CC9" w14:textId="77777777" w:rsidR="00F33968" w:rsidRPr="002A3DA1" w:rsidRDefault="00F33968" w:rsidP="00F33968">
      <w:pPr>
        <w:jc w:val="both"/>
        <w:rPr>
          <w:rFonts w:cs="Arial"/>
          <w:bCs/>
          <w:szCs w:val="20"/>
        </w:rPr>
      </w:pPr>
      <w:r w:rsidRPr="002A3DA1">
        <w:rPr>
          <w:rFonts w:cs="Arial"/>
          <w:bCs/>
          <w:szCs w:val="20"/>
        </w:rPr>
        <w:t>Ena od določb je tudi zahteva, da investitor obvesti izvajalca javne službe oskrbe s pitno vodo o začetku, trajanju in predvidenem koncu gozdarskih del ter o končanju del, če se ta izvajajo na VVO I.</w:t>
      </w:r>
    </w:p>
    <w:p w14:paraId="79891FD1" w14:textId="77777777" w:rsidR="005C6844" w:rsidRDefault="005C6844" w:rsidP="00F33968">
      <w:pPr>
        <w:jc w:val="both"/>
        <w:rPr>
          <w:rFonts w:cs="Arial"/>
          <w:bCs/>
          <w:szCs w:val="20"/>
        </w:rPr>
      </w:pPr>
    </w:p>
    <w:p w14:paraId="35AC067B" w14:textId="74F83518" w:rsidR="005C6844" w:rsidRDefault="00F33968" w:rsidP="005C6844">
      <w:pPr>
        <w:jc w:val="both"/>
        <w:rPr>
          <w:rFonts w:cs="Arial"/>
          <w:bCs/>
          <w:szCs w:val="20"/>
        </w:rPr>
      </w:pPr>
      <w:r w:rsidRPr="005C6844">
        <w:rPr>
          <w:rFonts w:cs="Arial"/>
          <w:bCs/>
          <w:szCs w:val="20"/>
        </w:rPr>
        <w:t xml:space="preserve">Na notranjih območjih so prepovedani </w:t>
      </w:r>
      <w:proofErr w:type="spellStart"/>
      <w:r w:rsidRPr="005C6844">
        <w:rPr>
          <w:rFonts w:cs="Arial"/>
          <w:bCs/>
          <w:szCs w:val="20"/>
        </w:rPr>
        <w:t>negradbeni</w:t>
      </w:r>
      <w:proofErr w:type="spellEnd"/>
      <w:r w:rsidRPr="005C6844">
        <w:rPr>
          <w:rFonts w:cs="Arial"/>
          <w:bCs/>
          <w:szCs w:val="20"/>
        </w:rPr>
        <w:t xml:space="preserve"> posegi</w:t>
      </w:r>
      <w:r w:rsidR="005C6844" w:rsidRPr="005C6844">
        <w:rPr>
          <w:rFonts w:cs="Arial"/>
          <w:bCs/>
          <w:szCs w:val="20"/>
        </w:rPr>
        <w:t xml:space="preserve">; </w:t>
      </w:r>
      <w:r w:rsidRPr="005C6844">
        <w:rPr>
          <w:rFonts w:cs="Arial"/>
          <w:bCs/>
          <w:szCs w:val="20"/>
        </w:rPr>
        <w:t>zasipavanje in nasipavanje z materiali, ki vsebujejo onesnaževala, zlasti nevarne snovi;</w:t>
      </w:r>
      <w:r w:rsidR="005C6844" w:rsidRPr="005C6844">
        <w:rPr>
          <w:rFonts w:cs="Arial"/>
          <w:bCs/>
          <w:szCs w:val="20"/>
        </w:rPr>
        <w:t xml:space="preserve"> </w:t>
      </w:r>
      <w:r w:rsidRPr="005C6844">
        <w:rPr>
          <w:rFonts w:cs="Arial"/>
          <w:bCs/>
          <w:szCs w:val="20"/>
        </w:rPr>
        <w:t>zasipavanje vrtač in</w:t>
      </w:r>
      <w:r w:rsidR="005C6844" w:rsidRPr="005C6844">
        <w:rPr>
          <w:rFonts w:cs="Arial"/>
          <w:bCs/>
          <w:szCs w:val="20"/>
        </w:rPr>
        <w:t xml:space="preserve"> </w:t>
      </w:r>
      <w:r w:rsidRPr="005C6844">
        <w:rPr>
          <w:rFonts w:cs="Arial"/>
          <w:bCs/>
          <w:szCs w:val="20"/>
        </w:rPr>
        <w:t>izkopi</w:t>
      </w:r>
      <w:r w:rsidR="005C6844" w:rsidRPr="005C6844">
        <w:rPr>
          <w:rFonts w:cs="Arial"/>
          <w:bCs/>
          <w:szCs w:val="20"/>
        </w:rPr>
        <w:t xml:space="preserve">. </w:t>
      </w:r>
      <w:r w:rsidR="005C6844">
        <w:rPr>
          <w:rFonts w:cs="Arial"/>
          <w:bCs/>
          <w:szCs w:val="20"/>
        </w:rPr>
        <w:t>Izjemoma so dovoljeni i</w:t>
      </w:r>
      <w:r w:rsidR="005C6844" w:rsidRPr="005C6844">
        <w:rPr>
          <w:rFonts w:cs="Arial"/>
          <w:bCs/>
          <w:szCs w:val="20"/>
        </w:rPr>
        <w:t>zkopi pod pogoji.</w:t>
      </w:r>
    </w:p>
    <w:p w14:paraId="4B55D483" w14:textId="77777777" w:rsidR="005C6844" w:rsidRPr="005C6844" w:rsidRDefault="005C6844" w:rsidP="005C6844">
      <w:pPr>
        <w:jc w:val="both"/>
        <w:rPr>
          <w:rFonts w:cs="Arial"/>
          <w:bCs/>
          <w:szCs w:val="20"/>
        </w:rPr>
      </w:pPr>
    </w:p>
    <w:p w14:paraId="6B5BCB81" w14:textId="77757618" w:rsidR="00F33968" w:rsidRPr="002A3DA1" w:rsidRDefault="005C6844" w:rsidP="00F33968">
      <w:pPr>
        <w:jc w:val="both"/>
        <w:rPr>
          <w:rFonts w:cs="Arial"/>
          <w:bCs/>
          <w:szCs w:val="20"/>
        </w:rPr>
      </w:pPr>
      <w:r>
        <w:rPr>
          <w:rFonts w:cs="Arial"/>
          <w:bCs/>
          <w:szCs w:val="20"/>
        </w:rPr>
        <w:t xml:space="preserve">Podani so </w:t>
      </w:r>
      <w:r w:rsidR="00F33968" w:rsidRPr="002A3DA1">
        <w:rPr>
          <w:rFonts w:cs="Arial"/>
          <w:bCs/>
          <w:szCs w:val="20"/>
        </w:rPr>
        <w:t xml:space="preserve">pogoji glede organizacije gradbišča, ki jih je treba upoštevati pri gradnji objektov. </w:t>
      </w:r>
    </w:p>
    <w:p w14:paraId="3B9AF26C" w14:textId="77777777" w:rsidR="00F33968" w:rsidRPr="002A3DA1" w:rsidRDefault="00F33968" w:rsidP="00F33968">
      <w:pPr>
        <w:jc w:val="both"/>
        <w:rPr>
          <w:rFonts w:cs="Arial"/>
          <w:bCs/>
          <w:szCs w:val="20"/>
        </w:rPr>
      </w:pPr>
    </w:p>
    <w:p w14:paraId="4252FC11" w14:textId="77777777" w:rsidR="00F33968" w:rsidRPr="002A3DA1" w:rsidRDefault="00F33968" w:rsidP="00F33968">
      <w:pPr>
        <w:jc w:val="both"/>
        <w:rPr>
          <w:rFonts w:cs="Arial"/>
          <w:bCs/>
          <w:szCs w:val="20"/>
        </w:rPr>
      </w:pPr>
      <w:r w:rsidRPr="002A3DA1">
        <w:rPr>
          <w:rFonts w:cs="Arial"/>
          <w:bCs/>
          <w:szCs w:val="20"/>
        </w:rPr>
        <w:t>Podane so prepovedi, omejitve in zahteve glede skladiščenja in prevoza nevarnih snovi, kar vključuje tudi FFS.</w:t>
      </w:r>
    </w:p>
    <w:p w14:paraId="049CE20F" w14:textId="77777777" w:rsidR="00F33968" w:rsidRPr="002A3DA1" w:rsidRDefault="00F33968" w:rsidP="00F33968">
      <w:pPr>
        <w:jc w:val="both"/>
        <w:rPr>
          <w:rFonts w:cs="Arial"/>
          <w:bCs/>
          <w:szCs w:val="20"/>
        </w:rPr>
      </w:pPr>
    </w:p>
    <w:p w14:paraId="119910AD" w14:textId="7B8EEE03" w:rsidR="00F33968" w:rsidRPr="002A3DA1" w:rsidRDefault="00F33968" w:rsidP="00F33968">
      <w:pPr>
        <w:jc w:val="both"/>
        <w:rPr>
          <w:rFonts w:cs="Arial"/>
          <w:bCs/>
          <w:szCs w:val="20"/>
        </w:rPr>
      </w:pPr>
      <w:r w:rsidRPr="002A3DA1">
        <w:rPr>
          <w:rFonts w:cs="Arial"/>
          <w:bCs/>
          <w:szCs w:val="20"/>
        </w:rPr>
        <w:t xml:space="preserve">Podane so prepovedi parkiranja na </w:t>
      </w:r>
      <w:r w:rsidR="005C6844">
        <w:rPr>
          <w:rFonts w:cs="Arial"/>
          <w:bCs/>
          <w:szCs w:val="20"/>
        </w:rPr>
        <w:t>notranjih območjih</w:t>
      </w:r>
      <w:r w:rsidRPr="002A3DA1">
        <w:rPr>
          <w:rFonts w:cs="Arial"/>
          <w:bCs/>
          <w:szCs w:val="20"/>
        </w:rPr>
        <w:t xml:space="preserve"> </w:t>
      </w:r>
      <w:r w:rsidR="005C6844">
        <w:rPr>
          <w:rFonts w:cs="Arial"/>
          <w:bCs/>
          <w:szCs w:val="20"/>
        </w:rPr>
        <w:t>s</w:t>
      </w:r>
      <w:r w:rsidRPr="002A3DA1">
        <w:rPr>
          <w:rFonts w:cs="Arial"/>
          <w:bCs/>
          <w:szCs w:val="20"/>
        </w:rPr>
        <w:t xml:space="preserve"> podanimi izjemami, kdo in ob kakšnih situacijah sme parkirati. </w:t>
      </w:r>
    </w:p>
    <w:p w14:paraId="38216B4E" w14:textId="77777777" w:rsidR="00F33968" w:rsidRPr="002A3DA1" w:rsidRDefault="00F33968" w:rsidP="00F33968">
      <w:pPr>
        <w:jc w:val="both"/>
        <w:rPr>
          <w:rFonts w:cs="Arial"/>
          <w:bCs/>
          <w:szCs w:val="20"/>
        </w:rPr>
      </w:pPr>
    </w:p>
    <w:p w14:paraId="751E5A7C" w14:textId="77777777" w:rsidR="00F33968" w:rsidRDefault="00F33968" w:rsidP="00F33968">
      <w:pPr>
        <w:jc w:val="both"/>
        <w:rPr>
          <w:rFonts w:cs="Arial"/>
          <w:bCs/>
          <w:szCs w:val="20"/>
        </w:rPr>
      </w:pPr>
      <w:r w:rsidRPr="002A3DA1">
        <w:rPr>
          <w:rFonts w:cs="Arial"/>
          <w:bCs/>
          <w:szCs w:val="20"/>
        </w:rPr>
        <w:t>Prepovedano je izkoriščanje mineralnih surovin na notranjih območjih.</w:t>
      </w:r>
    </w:p>
    <w:p w14:paraId="0AF59D3C" w14:textId="77777777" w:rsidR="005C6844" w:rsidRDefault="005C6844" w:rsidP="00F33968">
      <w:pPr>
        <w:jc w:val="both"/>
        <w:rPr>
          <w:rFonts w:cs="Arial"/>
          <w:bCs/>
          <w:szCs w:val="20"/>
        </w:rPr>
      </w:pPr>
    </w:p>
    <w:p w14:paraId="28824E5E" w14:textId="53BEA631" w:rsidR="00F33968" w:rsidRDefault="005C6844" w:rsidP="005C6844">
      <w:pPr>
        <w:jc w:val="both"/>
      </w:pPr>
      <w:r>
        <w:t xml:space="preserve">Za </w:t>
      </w:r>
      <w:r w:rsidRPr="007F5B31">
        <w:t>ugotovitev vpliva vodostaja reke Mure ter vodostaja v dovodnem in odvodnem kanalu MHE Ceršak na zajetje Ceršak</w:t>
      </w:r>
      <w:r w:rsidR="001E0A9A">
        <w:t>,</w:t>
      </w:r>
      <w:r w:rsidRPr="007F5B31">
        <w:t xml:space="preserve"> </w:t>
      </w:r>
      <w:r>
        <w:t xml:space="preserve">je podana zahteva za </w:t>
      </w:r>
      <w:r w:rsidRPr="007F5B31">
        <w:t>izdela</w:t>
      </w:r>
      <w:r>
        <w:t>vo</w:t>
      </w:r>
      <w:r w:rsidRPr="007F5B31">
        <w:t xml:space="preserve"> študij</w:t>
      </w:r>
      <w:r>
        <w:t>e</w:t>
      </w:r>
      <w:r w:rsidRPr="007F5B31">
        <w:t xml:space="preserve"> korelacije</w:t>
      </w:r>
      <w:r>
        <w:t xml:space="preserve"> vključno z </w:t>
      </w:r>
      <w:r w:rsidR="00CB3723">
        <w:t xml:space="preserve">vzpostavitvijo zveznega </w:t>
      </w:r>
      <w:r>
        <w:t>monitoring</w:t>
      </w:r>
      <w:r w:rsidR="00CB3723">
        <w:t>a</w:t>
      </w:r>
      <w:r w:rsidRPr="005C6844">
        <w:t xml:space="preserve"> </w:t>
      </w:r>
      <w:r>
        <w:t>vodostaja reke Mure na vplivnem odseku ter vodostaja v dovodnem in odvodnem kanalu MHE Ceršak ter  vodostaja in črpalnih količin na zajetju Ceršak.</w:t>
      </w:r>
    </w:p>
    <w:p w14:paraId="0856E4AA" w14:textId="3094F394" w:rsidR="005C6844" w:rsidRDefault="005C6844" w:rsidP="005C6844">
      <w:pPr>
        <w:jc w:val="both"/>
      </w:pPr>
      <w:r>
        <w:t xml:space="preserve">Podani so tudi ukrepi na podlagi zaključkov študije, predvsem zagotavljanje minimalnega vodostaja </w:t>
      </w:r>
      <w:r w:rsidRPr="005C6844">
        <w:t>v dovodnem in odvodnem kanalu MHE Ceršak,</w:t>
      </w:r>
      <w:r w:rsidR="00E5762A">
        <w:t xml:space="preserve"> </w:t>
      </w:r>
      <w:r>
        <w:t xml:space="preserve">na nivoju, </w:t>
      </w:r>
      <w:r w:rsidRPr="005C6844">
        <w:t>ki ne vpliva na izvajanje vodne pravice za zajetje Ceršak</w:t>
      </w:r>
      <w:r w:rsidR="007875B2">
        <w:t>.</w:t>
      </w:r>
    </w:p>
    <w:p w14:paraId="2ED68B74" w14:textId="77777777" w:rsidR="007875B2" w:rsidRPr="007875B2" w:rsidRDefault="007875B2" w:rsidP="005C6844">
      <w:pPr>
        <w:jc w:val="both"/>
      </w:pPr>
    </w:p>
    <w:p w14:paraId="490B8829" w14:textId="4A207964" w:rsidR="007875B2" w:rsidRPr="007875B2" w:rsidRDefault="007875B2" w:rsidP="007875B2">
      <w:pPr>
        <w:jc w:val="both"/>
      </w:pPr>
      <w:r>
        <w:t>I</w:t>
      </w:r>
      <w:r w:rsidRPr="007875B2">
        <w:t>zjema za novogradnjo strojnice in zahteva po študiji korelacije</w:t>
      </w:r>
      <w:r>
        <w:t xml:space="preserve"> je bila</w:t>
      </w:r>
      <w:r w:rsidRPr="007875B2">
        <w:t xml:space="preserve"> vključena zaradi posebnih hidroloških razmer na območju vodnega vira ter potrebe po zagotavljanju varne oskrbe s pitno vodo ob hkratnem obratovanju MHE. </w:t>
      </w:r>
    </w:p>
    <w:p w14:paraId="5218FFD2" w14:textId="77777777" w:rsidR="007875B2" w:rsidRDefault="007875B2" w:rsidP="005C6844">
      <w:pPr>
        <w:jc w:val="both"/>
      </w:pPr>
    </w:p>
    <w:p w14:paraId="48F76B2B" w14:textId="56D7285C" w:rsidR="00CB3723" w:rsidRPr="006F2754" w:rsidRDefault="00CB3723" w:rsidP="00CB3723">
      <w:pPr>
        <w:overflowPunct w:val="0"/>
        <w:autoSpaceDE w:val="0"/>
        <w:autoSpaceDN w:val="0"/>
        <w:adjustRightInd w:val="0"/>
        <w:jc w:val="both"/>
        <w:textAlignment w:val="baseline"/>
        <w:rPr>
          <w:rFonts w:cs="Arial"/>
          <w:szCs w:val="20"/>
        </w:rPr>
      </w:pPr>
      <w:r w:rsidRPr="00CB3723">
        <w:rPr>
          <w:rFonts w:cs="Arial"/>
          <w:szCs w:val="20"/>
        </w:rPr>
        <w:t>Zvezni monitoring je potrebno vzpostaviti najkasneje v enem letu po sprejemu te uredbe.</w:t>
      </w:r>
    </w:p>
    <w:p w14:paraId="4547337E" w14:textId="77777777" w:rsidR="005C6844" w:rsidRPr="002A3DA1" w:rsidRDefault="005C6844" w:rsidP="00F33968">
      <w:pPr>
        <w:jc w:val="both"/>
        <w:rPr>
          <w:rFonts w:cs="Arial"/>
          <w:bCs/>
          <w:szCs w:val="20"/>
        </w:rPr>
      </w:pPr>
    </w:p>
    <w:p w14:paraId="2A0547CA" w14:textId="77777777" w:rsidR="00F33968" w:rsidRPr="002A3DA1" w:rsidRDefault="00F33968" w:rsidP="00F33968">
      <w:pPr>
        <w:jc w:val="both"/>
        <w:rPr>
          <w:rFonts w:cs="Arial"/>
          <w:bCs/>
          <w:szCs w:val="20"/>
        </w:rPr>
      </w:pPr>
      <w:r w:rsidRPr="002A3DA1">
        <w:rPr>
          <w:rFonts w:cs="Arial"/>
          <w:bCs/>
          <w:szCs w:val="20"/>
        </w:rPr>
        <w:t>V uredbi je urejen nadzor nad izvajanjem te uredbe in kazenske določbe.</w:t>
      </w:r>
    </w:p>
    <w:p w14:paraId="5FBF7315" w14:textId="77777777" w:rsidR="000A22BE" w:rsidRDefault="000A22BE" w:rsidP="00B31580">
      <w:pPr>
        <w:overflowPunct w:val="0"/>
        <w:autoSpaceDE w:val="0"/>
        <w:autoSpaceDN w:val="0"/>
        <w:adjustRightInd w:val="0"/>
        <w:jc w:val="both"/>
        <w:textAlignment w:val="baseline"/>
        <w:rPr>
          <w:rFonts w:cs="Arial"/>
          <w:szCs w:val="20"/>
        </w:rPr>
      </w:pPr>
    </w:p>
    <w:p w14:paraId="0294F2FB" w14:textId="750BA873" w:rsidR="007875B2" w:rsidRPr="007875B2" w:rsidRDefault="006F2754" w:rsidP="007875B2">
      <w:pPr>
        <w:overflowPunct w:val="0"/>
        <w:autoSpaceDE w:val="0"/>
        <w:autoSpaceDN w:val="0"/>
        <w:adjustRightInd w:val="0"/>
        <w:jc w:val="both"/>
        <w:textAlignment w:val="baseline"/>
        <w:rPr>
          <w:rFonts w:cs="Arial"/>
          <w:szCs w:val="20"/>
        </w:rPr>
      </w:pPr>
      <w:r w:rsidRPr="006F2754">
        <w:rPr>
          <w:rFonts w:cs="Arial"/>
          <w:szCs w:val="20"/>
        </w:rPr>
        <w:t xml:space="preserve">V uredbi so dodane prehodne določbe za nekatere vsebinske zahteve, za uveljavitev katerih je potreben prehodni rok. </w:t>
      </w:r>
      <w:r w:rsidR="007875B2" w:rsidRPr="007875B2">
        <w:rPr>
          <w:rFonts w:cs="Arial"/>
          <w:szCs w:val="20"/>
        </w:rPr>
        <w:t>Določeni</w:t>
      </w:r>
      <w:r w:rsidR="007875B2">
        <w:rPr>
          <w:rFonts w:cs="Arial"/>
          <w:szCs w:val="20"/>
        </w:rPr>
        <w:t xml:space="preserve"> so bili zato</w:t>
      </w:r>
      <w:r w:rsidR="007875B2" w:rsidRPr="007875B2">
        <w:rPr>
          <w:rFonts w:cs="Arial"/>
          <w:szCs w:val="20"/>
        </w:rPr>
        <w:t xml:space="preserve">, da se omogoči prilagoditev upravljavcem zemljišč, izvajalcem javnih služb in lastnikom infrastrukture na nove zahteve uredbe. </w:t>
      </w:r>
    </w:p>
    <w:p w14:paraId="216C55EC" w14:textId="273A3D35" w:rsidR="006F2754" w:rsidRPr="006F2754" w:rsidRDefault="006F2754" w:rsidP="006F2754">
      <w:pPr>
        <w:overflowPunct w:val="0"/>
        <w:autoSpaceDE w:val="0"/>
        <w:autoSpaceDN w:val="0"/>
        <w:adjustRightInd w:val="0"/>
        <w:jc w:val="both"/>
        <w:textAlignment w:val="baseline"/>
        <w:rPr>
          <w:rFonts w:cs="Arial"/>
          <w:szCs w:val="20"/>
        </w:rPr>
      </w:pPr>
    </w:p>
    <w:p w14:paraId="54290E4F" w14:textId="77777777" w:rsidR="006F2754" w:rsidRPr="006F2754" w:rsidRDefault="006F2754" w:rsidP="006F2754">
      <w:pPr>
        <w:overflowPunct w:val="0"/>
        <w:autoSpaceDE w:val="0"/>
        <w:autoSpaceDN w:val="0"/>
        <w:adjustRightInd w:val="0"/>
        <w:jc w:val="both"/>
        <w:textAlignment w:val="baseline"/>
        <w:rPr>
          <w:rFonts w:cs="Arial"/>
          <w:szCs w:val="20"/>
        </w:rPr>
      </w:pPr>
      <w:r w:rsidRPr="006F2754">
        <w:rPr>
          <w:rFonts w:cs="Arial"/>
          <w:szCs w:val="20"/>
        </w:rPr>
        <w:t>Načrt označevanja vodovarstvenih območij je zahtevan v enem letu, izvedba na podlagi tega načrta v dveh letih od uveljavitve te uredbe. Ograja okoli VVO 0 mora biti postavljena najkasneje v enem letu od uveljavitve te uredbe.</w:t>
      </w:r>
    </w:p>
    <w:p w14:paraId="4616C2CB" w14:textId="77777777" w:rsidR="006F2754" w:rsidRPr="006F2754" w:rsidRDefault="006F2754" w:rsidP="006F2754">
      <w:pPr>
        <w:overflowPunct w:val="0"/>
        <w:autoSpaceDE w:val="0"/>
        <w:autoSpaceDN w:val="0"/>
        <w:adjustRightInd w:val="0"/>
        <w:jc w:val="both"/>
        <w:textAlignment w:val="baseline"/>
        <w:rPr>
          <w:rFonts w:cs="Arial"/>
          <w:szCs w:val="20"/>
        </w:rPr>
      </w:pPr>
    </w:p>
    <w:p w14:paraId="723BB445" w14:textId="77777777" w:rsidR="006F2754" w:rsidRPr="006F2754" w:rsidRDefault="006F2754" w:rsidP="006F2754">
      <w:pPr>
        <w:overflowPunct w:val="0"/>
        <w:autoSpaceDE w:val="0"/>
        <w:autoSpaceDN w:val="0"/>
        <w:adjustRightInd w:val="0"/>
        <w:jc w:val="both"/>
        <w:textAlignment w:val="baseline"/>
        <w:rPr>
          <w:rFonts w:cs="Arial"/>
          <w:szCs w:val="20"/>
        </w:rPr>
      </w:pPr>
      <w:r w:rsidRPr="006F2754">
        <w:rPr>
          <w:rFonts w:cs="Arial"/>
          <w:szCs w:val="20"/>
        </w:rPr>
        <w:t>Pri tem je treba posebej poudariti prehodno obdobje za ravnanje s kmetijskimi zemljišči, ki je določeno z namenom, da se v tem prehodnem obdobju kmetijska gospodarstva prilagodijo na novi vodovarstveni režim.</w:t>
      </w:r>
    </w:p>
    <w:p w14:paraId="777FA2B0" w14:textId="77777777" w:rsidR="006F2754" w:rsidRDefault="006F2754" w:rsidP="006F2754">
      <w:pPr>
        <w:overflowPunct w:val="0"/>
        <w:autoSpaceDE w:val="0"/>
        <w:autoSpaceDN w:val="0"/>
        <w:adjustRightInd w:val="0"/>
        <w:jc w:val="both"/>
        <w:textAlignment w:val="baseline"/>
        <w:rPr>
          <w:rFonts w:cs="Arial"/>
          <w:szCs w:val="20"/>
        </w:rPr>
      </w:pPr>
    </w:p>
    <w:p w14:paraId="7691423B" w14:textId="77777777" w:rsidR="006F2754" w:rsidRDefault="006F2754" w:rsidP="006F2754">
      <w:pPr>
        <w:overflowPunct w:val="0"/>
        <w:autoSpaceDE w:val="0"/>
        <w:autoSpaceDN w:val="0"/>
        <w:adjustRightInd w:val="0"/>
        <w:jc w:val="both"/>
        <w:textAlignment w:val="baseline"/>
        <w:rPr>
          <w:rFonts w:cs="Arial"/>
          <w:szCs w:val="20"/>
        </w:rPr>
      </w:pPr>
      <w:r w:rsidRPr="006F2754">
        <w:rPr>
          <w:rFonts w:cs="Arial"/>
          <w:szCs w:val="20"/>
        </w:rPr>
        <w:t>Prepovedi in omejitve glede FFS nastopijo z uveljavitvijo te uredbe.</w:t>
      </w:r>
    </w:p>
    <w:p w14:paraId="41834B5B" w14:textId="77777777" w:rsidR="00CB3723" w:rsidRDefault="00CB3723" w:rsidP="006F2754">
      <w:pPr>
        <w:overflowPunct w:val="0"/>
        <w:autoSpaceDE w:val="0"/>
        <w:autoSpaceDN w:val="0"/>
        <w:adjustRightInd w:val="0"/>
        <w:jc w:val="both"/>
        <w:textAlignment w:val="baseline"/>
        <w:rPr>
          <w:rFonts w:cs="Arial"/>
          <w:szCs w:val="20"/>
        </w:rPr>
      </w:pPr>
    </w:p>
    <w:p w14:paraId="30518815" w14:textId="33F18260" w:rsidR="00CB3723" w:rsidRDefault="00CB3723" w:rsidP="00CB3723">
      <w:pPr>
        <w:overflowPunct w:val="0"/>
        <w:autoSpaceDE w:val="0"/>
        <w:autoSpaceDN w:val="0"/>
        <w:adjustRightInd w:val="0"/>
        <w:jc w:val="both"/>
        <w:textAlignment w:val="baseline"/>
        <w:rPr>
          <w:rFonts w:cs="Arial"/>
          <w:szCs w:val="20"/>
        </w:rPr>
      </w:pPr>
      <w:r>
        <w:rPr>
          <w:rFonts w:cs="Arial"/>
          <w:szCs w:val="20"/>
        </w:rPr>
        <w:lastRenderedPageBreak/>
        <w:t>Kot ukrep zmanjšanja tveganja za onesnaženje je predpisana prestavitev o</w:t>
      </w:r>
      <w:r w:rsidRPr="00CB3723">
        <w:rPr>
          <w:rFonts w:cs="Arial"/>
          <w:szCs w:val="20"/>
        </w:rPr>
        <w:t>bstoječ</w:t>
      </w:r>
      <w:r>
        <w:rPr>
          <w:rFonts w:cs="Arial"/>
          <w:szCs w:val="20"/>
        </w:rPr>
        <w:t>e</w:t>
      </w:r>
      <w:r w:rsidRPr="00CB3723">
        <w:rPr>
          <w:rFonts w:cs="Arial"/>
          <w:szCs w:val="20"/>
        </w:rPr>
        <w:t xml:space="preserve"> kanalizacij</w:t>
      </w:r>
      <w:r>
        <w:rPr>
          <w:rFonts w:cs="Arial"/>
          <w:szCs w:val="20"/>
        </w:rPr>
        <w:t>e</w:t>
      </w:r>
      <w:r w:rsidRPr="00CB3723">
        <w:rPr>
          <w:rFonts w:cs="Arial"/>
          <w:szCs w:val="20"/>
        </w:rPr>
        <w:t>, ki poteka preko VVO I</w:t>
      </w:r>
      <w:r>
        <w:rPr>
          <w:rFonts w:cs="Arial"/>
          <w:szCs w:val="20"/>
        </w:rPr>
        <w:t xml:space="preserve"> izven</w:t>
      </w:r>
      <w:r w:rsidR="00D54F6D">
        <w:rPr>
          <w:rFonts w:cs="Arial"/>
          <w:szCs w:val="20"/>
        </w:rPr>
        <w:t xml:space="preserve"> </w:t>
      </w:r>
      <w:r w:rsidR="00AB2769">
        <w:rPr>
          <w:rFonts w:cs="Arial"/>
          <w:szCs w:val="20"/>
        </w:rPr>
        <w:t>tega območja</w:t>
      </w:r>
      <w:r w:rsidR="00D54F6D">
        <w:rPr>
          <w:rFonts w:cs="Arial"/>
          <w:szCs w:val="20"/>
        </w:rPr>
        <w:t>,</w:t>
      </w:r>
      <w:r>
        <w:rPr>
          <w:rFonts w:cs="Arial"/>
          <w:szCs w:val="20"/>
        </w:rPr>
        <w:t xml:space="preserve"> najkasneje v roku 5 let.</w:t>
      </w:r>
    </w:p>
    <w:p w14:paraId="17F4EB9C" w14:textId="77777777" w:rsidR="007E021F" w:rsidRDefault="007E021F" w:rsidP="00CB3723">
      <w:pPr>
        <w:overflowPunct w:val="0"/>
        <w:autoSpaceDE w:val="0"/>
        <w:autoSpaceDN w:val="0"/>
        <w:adjustRightInd w:val="0"/>
        <w:jc w:val="both"/>
        <w:textAlignment w:val="baseline"/>
        <w:rPr>
          <w:rFonts w:cs="Arial"/>
          <w:szCs w:val="20"/>
        </w:rPr>
      </w:pPr>
    </w:p>
    <w:p w14:paraId="49583E56" w14:textId="1FC3BE24" w:rsidR="007E021F" w:rsidRDefault="007E021F" w:rsidP="00CB3723">
      <w:pPr>
        <w:overflowPunct w:val="0"/>
        <w:autoSpaceDE w:val="0"/>
        <w:autoSpaceDN w:val="0"/>
        <w:adjustRightInd w:val="0"/>
        <w:jc w:val="both"/>
        <w:textAlignment w:val="baseline"/>
        <w:rPr>
          <w:rFonts w:cs="Arial"/>
          <w:szCs w:val="20"/>
        </w:rPr>
      </w:pPr>
      <w:r>
        <w:rPr>
          <w:rFonts w:cs="Arial"/>
          <w:szCs w:val="20"/>
        </w:rPr>
        <w:t>U</w:t>
      </w:r>
      <w:r w:rsidRPr="007E021F">
        <w:rPr>
          <w:rFonts w:cs="Arial"/>
          <w:szCs w:val="20"/>
        </w:rPr>
        <w:t>redba ne vzpostavlja novih organov ali administrativnih postopkov, določa pa določene obveznosti monitoringa, označevanja območij in upravljanja vodnega vira, ki jih izvajajo obstoječi nosilci nalog.</w:t>
      </w:r>
    </w:p>
    <w:p w14:paraId="3DA6BADC" w14:textId="77777777" w:rsidR="006F2754" w:rsidRPr="006F2754" w:rsidRDefault="006F2754" w:rsidP="006F2754">
      <w:pPr>
        <w:overflowPunct w:val="0"/>
        <w:autoSpaceDE w:val="0"/>
        <w:autoSpaceDN w:val="0"/>
        <w:adjustRightInd w:val="0"/>
        <w:jc w:val="both"/>
        <w:textAlignment w:val="baseline"/>
        <w:rPr>
          <w:rFonts w:cs="Arial"/>
          <w:szCs w:val="20"/>
        </w:rPr>
      </w:pPr>
    </w:p>
    <w:p w14:paraId="22E990CB" w14:textId="405B5347" w:rsidR="000A22BE" w:rsidRDefault="006F2754" w:rsidP="006F2754">
      <w:pPr>
        <w:overflowPunct w:val="0"/>
        <w:autoSpaceDE w:val="0"/>
        <w:autoSpaceDN w:val="0"/>
        <w:adjustRightInd w:val="0"/>
        <w:jc w:val="both"/>
        <w:textAlignment w:val="baseline"/>
        <w:rPr>
          <w:rFonts w:cs="Arial"/>
          <w:szCs w:val="20"/>
        </w:rPr>
      </w:pPr>
      <w:r w:rsidRPr="006F2754">
        <w:rPr>
          <w:rFonts w:cs="Arial"/>
          <w:szCs w:val="20"/>
        </w:rPr>
        <w:t>Končna določba določa, kdaj uredba začne veljati.</w:t>
      </w:r>
    </w:p>
    <w:p w14:paraId="2AB23C5F" w14:textId="77777777" w:rsidR="000A22BE" w:rsidRDefault="000A22BE" w:rsidP="00B31580">
      <w:pPr>
        <w:overflowPunct w:val="0"/>
        <w:autoSpaceDE w:val="0"/>
        <w:autoSpaceDN w:val="0"/>
        <w:adjustRightInd w:val="0"/>
        <w:jc w:val="both"/>
        <w:textAlignment w:val="baseline"/>
        <w:rPr>
          <w:rFonts w:cs="Arial"/>
          <w:szCs w:val="20"/>
        </w:rPr>
      </w:pPr>
    </w:p>
    <w:sectPr w:rsidR="000A22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425"/>
    <w:multiLevelType w:val="hybridMultilevel"/>
    <w:tmpl w:val="71A68E8C"/>
    <w:lvl w:ilvl="0" w:tplc="1652A6E4">
      <w:start w:val="1987"/>
      <w:numFmt w:val="bullet"/>
      <w:pStyle w:val="Odstavekseznama"/>
      <w:lvlText w:val="-"/>
      <w:lvlJc w:val="left"/>
      <w:pPr>
        <w:ind w:left="720" w:hanging="360"/>
      </w:pPr>
      <w:rPr>
        <w:rFonts w:ascii="Arial" w:eastAsia="Times New Roman" w:hAnsi="Arial" w:cs="Arial" w:hint="default"/>
      </w:rPr>
    </w:lvl>
    <w:lvl w:ilvl="1" w:tplc="20EEB382">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A34900"/>
    <w:multiLevelType w:val="hybridMultilevel"/>
    <w:tmpl w:val="A9B61CFA"/>
    <w:lvl w:ilvl="0" w:tplc="073E4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DE3115"/>
    <w:multiLevelType w:val="hybridMultilevel"/>
    <w:tmpl w:val="9AF8C072"/>
    <w:lvl w:ilvl="0" w:tplc="519C49FA">
      <w:start w:val="1"/>
      <w:numFmt w:val="decimal"/>
      <w:pStyle w:val="Naslov2"/>
      <w:lvlText w:val="%1."/>
      <w:lvlJc w:val="left"/>
      <w:pPr>
        <w:ind w:left="2912" w:hanging="360"/>
      </w:pPr>
      <w:rPr>
        <w:rFonts w:hint="default"/>
        <w:b/>
      </w:rPr>
    </w:lvl>
    <w:lvl w:ilvl="1" w:tplc="04240019" w:tentative="1">
      <w:start w:val="1"/>
      <w:numFmt w:val="lowerLetter"/>
      <w:lvlText w:val="%2."/>
      <w:lvlJc w:val="left"/>
      <w:pPr>
        <w:ind w:left="4766" w:hanging="360"/>
      </w:pPr>
    </w:lvl>
    <w:lvl w:ilvl="2" w:tplc="0424001B" w:tentative="1">
      <w:start w:val="1"/>
      <w:numFmt w:val="lowerRoman"/>
      <w:lvlText w:val="%3."/>
      <w:lvlJc w:val="right"/>
      <w:pPr>
        <w:ind w:left="5486" w:hanging="180"/>
      </w:pPr>
    </w:lvl>
    <w:lvl w:ilvl="3" w:tplc="0424000F" w:tentative="1">
      <w:start w:val="1"/>
      <w:numFmt w:val="decimal"/>
      <w:lvlText w:val="%4."/>
      <w:lvlJc w:val="left"/>
      <w:pPr>
        <w:ind w:left="6206" w:hanging="360"/>
      </w:pPr>
    </w:lvl>
    <w:lvl w:ilvl="4" w:tplc="04240019" w:tentative="1">
      <w:start w:val="1"/>
      <w:numFmt w:val="lowerLetter"/>
      <w:lvlText w:val="%5."/>
      <w:lvlJc w:val="left"/>
      <w:pPr>
        <w:ind w:left="6926" w:hanging="360"/>
      </w:pPr>
    </w:lvl>
    <w:lvl w:ilvl="5" w:tplc="0424001B" w:tentative="1">
      <w:start w:val="1"/>
      <w:numFmt w:val="lowerRoman"/>
      <w:lvlText w:val="%6."/>
      <w:lvlJc w:val="right"/>
      <w:pPr>
        <w:ind w:left="7646" w:hanging="180"/>
      </w:pPr>
    </w:lvl>
    <w:lvl w:ilvl="6" w:tplc="0424000F" w:tentative="1">
      <w:start w:val="1"/>
      <w:numFmt w:val="decimal"/>
      <w:lvlText w:val="%7."/>
      <w:lvlJc w:val="left"/>
      <w:pPr>
        <w:ind w:left="8366" w:hanging="360"/>
      </w:pPr>
    </w:lvl>
    <w:lvl w:ilvl="7" w:tplc="04240019" w:tentative="1">
      <w:start w:val="1"/>
      <w:numFmt w:val="lowerLetter"/>
      <w:lvlText w:val="%8."/>
      <w:lvlJc w:val="left"/>
      <w:pPr>
        <w:ind w:left="9086" w:hanging="360"/>
      </w:pPr>
    </w:lvl>
    <w:lvl w:ilvl="8" w:tplc="0424001B" w:tentative="1">
      <w:start w:val="1"/>
      <w:numFmt w:val="lowerRoman"/>
      <w:lvlText w:val="%9."/>
      <w:lvlJc w:val="right"/>
      <w:pPr>
        <w:ind w:left="9806" w:hanging="180"/>
      </w:pPr>
    </w:lvl>
  </w:abstractNum>
  <w:abstractNum w:abstractNumId="3" w15:restartNumberingAfterBreak="0">
    <w:nsid w:val="42A44651"/>
    <w:multiLevelType w:val="hybridMultilevel"/>
    <w:tmpl w:val="900EF06A"/>
    <w:lvl w:ilvl="0" w:tplc="B09E2A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ABC2C94"/>
    <w:multiLevelType w:val="hybridMultilevel"/>
    <w:tmpl w:val="470619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5B3D0BC2"/>
    <w:multiLevelType w:val="hybridMultilevel"/>
    <w:tmpl w:val="51000424"/>
    <w:lvl w:ilvl="0" w:tplc="C1F2DCEC">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93654D4"/>
    <w:multiLevelType w:val="multilevel"/>
    <w:tmpl w:val="02D60680"/>
    <w:lvl w:ilvl="0">
      <w:start w:val="1"/>
      <w:numFmt w:val="decimal"/>
      <w:lvlText w:val="%1."/>
      <w:lvlJc w:val="left"/>
      <w:pPr>
        <w:tabs>
          <w:tab w:val="num" w:pos="720"/>
        </w:tabs>
        <w:ind w:left="720" w:hanging="720"/>
      </w:pPr>
    </w:lvl>
    <w:lvl w:ilvl="1">
      <w:start w:val="1"/>
      <w:numFmt w:val="decimal"/>
      <w:pStyle w:val="odstavekseznam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CD4372A"/>
    <w:multiLevelType w:val="hybridMultilevel"/>
    <w:tmpl w:val="AB94C7F6"/>
    <w:lvl w:ilvl="0" w:tplc="B6BE273A">
      <w:start w:val="1"/>
      <w:numFmt w:val="decimal"/>
      <w:pStyle w:val="Naslov3"/>
      <w:lvlText w:val="(%1)"/>
      <w:lvlJc w:val="left"/>
      <w:pPr>
        <w:ind w:left="360" w:hanging="360"/>
      </w:pPr>
      <w:rPr>
        <w:rFonts w:hint="default"/>
        <w:strike w:val="0"/>
      </w:rPr>
    </w:lvl>
    <w:lvl w:ilvl="1" w:tplc="04240019">
      <w:start w:val="1"/>
      <w:numFmt w:val="lowerLetter"/>
      <w:pStyle w:val="-len"/>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num w:numId="1" w16cid:durableId="2000382780">
    <w:abstractNumId w:val="5"/>
  </w:num>
  <w:num w:numId="2" w16cid:durableId="551117303">
    <w:abstractNumId w:val="2"/>
  </w:num>
  <w:num w:numId="3" w16cid:durableId="305357886">
    <w:abstractNumId w:val="7"/>
  </w:num>
  <w:num w:numId="4" w16cid:durableId="2122802019">
    <w:abstractNumId w:val="0"/>
  </w:num>
  <w:num w:numId="5" w16cid:durableId="1795562193">
    <w:abstractNumId w:val="6"/>
  </w:num>
  <w:num w:numId="6" w16cid:durableId="1689336130">
    <w:abstractNumId w:val="4"/>
  </w:num>
  <w:num w:numId="7" w16cid:durableId="221410204">
    <w:abstractNumId w:val="1"/>
  </w:num>
  <w:num w:numId="8" w16cid:durableId="2119374819">
    <w:abstractNumId w:val="0"/>
  </w:num>
  <w:num w:numId="9" w16cid:durableId="83303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580"/>
    <w:rsid w:val="000A22BE"/>
    <w:rsid w:val="000C14BD"/>
    <w:rsid w:val="001D25C7"/>
    <w:rsid w:val="001E0A9A"/>
    <w:rsid w:val="004275E4"/>
    <w:rsid w:val="004753F5"/>
    <w:rsid w:val="00581361"/>
    <w:rsid w:val="005C6844"/>
    <w:rsid w:val="005F7D34"/>
    <w:rsid w:val="006B2BA2"/>
    <w:rsid w:val="006F2754"/>
    <w:rsid w:val="00705CBF"/>
    <w:rsid w:val="00745330"/>
    <w:rsid w:val="00775783"/>
    <w:rsid w:val="007875B2"/>
    <w:rsid w:val="007E021F"/>
    <w:rsid w:val="008B20F8"/>
    <w:rsid w:val="0098440A"/>
    <w:rsid w:val="00A413B1"/>
    <w:rsid w:val="00A7543C"/>
    <w:rsid w:val="00AB2769"/>
    <w:rsid w:val="00AB7F3E"/>
    <w:rsid w:val="00B12AA2"/>
    <w:rsid w:val="00B26149"/>
    <w:rsid w:val="00B31580"/>
    <w:rsid w:val="00BD5814"/>
    <w:rsid w:val="00BD5932"/>
    <w:rsid w:val="00CB3723"/>
    <w:rsid w:val="00D54F6D"/>
    <w:rsid w:val="00E2028B"/>
    <w:rsid w:val="00E5762A"/>
    <w:rsid w:val="00EF2BDD"/>
    <w:rsid w:val="00F20D2C"/>
    <w:rsid w:val="00F339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8FA44"/>
  <w15:chartTrackingRefBased/>
  <w15:docId w15:val="{2C55B03B-D06E-4C22-BC11-98C26EBE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sl-SI" w:eastAsia="en-US" w:bidi="ar-SA"/>
        <w14:ligatures w14:val="standardContextual"/>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31580"/>
    <w:pPr>
      <w:spacing w:after="0" w:line="260" w:lineRule="atLeast"/>
    </w:pPr>
    <w:rPr>
      <w:rFonts w:eastAsia="Times New Roman" w:cs="Times New Roman"/>
      <w:kern w:val="0"/>
      <w:szCs w:val="24"/>
      <w14:ligatures w14:val="none"/>
    </w:rPr>
  </w:style>
  <w:style w:type="paragraph" w:styleId="Naslov1">
    <w:name w:val="heading 1"/>
    <w:basedOn w:val="Navaden"/>
    <w:next w:val="Navaden"/>
    <w:link w:val="Naslov1Znak"/>
    <w:autoRedefine/>
    <w:qFormat/>
    <w:rsid w:val="001D25C7"/>
    <w:pPr>
      <w:keepNext/>
      <w:numPr>
        <w:numId w:val="1"/>
      </w:numPr>
      <w:spacing w:before="480" w:after="60"/>
      <w:jc w:val="center"/>
      <w:outlineLvl w:val="0"/>
    </w:pPr>
    <w:rPr>
      <w:b/>
      <w:kern w:val="32"/>
      <w:lang w:eastAsia="sl-SI"/>
    </w:rPr>
  </w:style>
  <w:style w:type="paragraph" w:styleId="Naslov2">
    <w:name w:val="heading 2"/>
    <w:basedOn w:val="Navaden"/>
    <w:next w:val="Navaden"/>
    <w:link w:val="Naslov2Znak"/>
    <w:autoRedefine/>
    <w:qFormat/>
    <w:rsid w:val="001D25C7"/>
    <w:pPr>
      <w:keepNext/>
      <w:keepLines/>
      <w:widowControl w:val="0"/>
      <w:numPr>
        <w:numId w:val="2"/>
      </w:numPr>
      <w:tabs>
        <w:tab w:val="left" w:pos="426"/>
      </w:tabs>
      <w:overflowPunct w:val="0"/>
      <w:autoSpaceDE w:val="0"/>
      <w:autoSpaceDN w:val="0"/>
      <w:adjustRightInd w:val="0"/>
      <w:spacing w:before="240"/>
      <w:jc w:val="center"/>
      <w:textAlignment w:val="baseline"/>
      <w:outlineLvl w:val="1"/>
    </w:pPr>
    <w:rPr>
      <w:rFonts w:cs="Arial"/>
      <w:b/>
      <w:bCs/>
      <w:lang w:eastAsia="sl-SI"/>
    </w:rPr>
  </w:style>
  <w:style w:type="paragraph" w:styleId="Naslov3">
    <w:name w:val="heading 3"/>
    <w:basedOn w:val="Navaden"/>
    <w:next w:val="Navaden"/>
    <w:link w:val="Naslov3Znak"/>
    <w:autoRedefine/>
    <w:uiPriority w:val="9"/>
    <w:qFormat/>
    <w:rsid w:val="001D25C7"/>
    <w:pPr>
      <w:numPr>
        <w:numId w:val="3"/>
      </w:numPr>
      <w:overflowPunct w:val="0"/>
      <w:autoSpaceDE w:val="0"/>
      <w:autoSpaceDN w:val="0"/>
      <w:adjustRightInd w:val="0"/>
      <w:spacing w:before="240"/>
      <w:jc w:val="both"/>
      <w:textAlignment w:val="baseline"/>
      <w:outlineLvl w:val="2"/>
    </w:pPr>
    <w:rPr>
      <w:rFonts w:cs="Arial"/>
      <w:lang w:eastAsia="sl-SI"/>
    </w:rPr>
  </w:style>
  <w:style w:type="paragraph" w:styleId="Naslov4">
    <w:name w:val="heading 4"/>
    <w:basedOn w:val="Navaden"/>
    <w:next w:val="Navaden"/>
    <w:link w:val="Naslov4Znak"/>
    <w:qFormat/>
    <w:rsid w:val="001D25C7"/>
    <w:pPr>
      <w:keepNext/>
      <w:keepLines/>
      <w:spacing w:before="120"/>
      <w:jc w:val="both"/>
      <w:outlineLvl w:val="3"/>
    </w:pPr>
    <w:rPr>
      <w:rFonts w:eastAsiaTheme="majorEastAsia" w:cstheme="majorBidi"/>
      <w:iCs/>
      <w:lang w:eastAsia="sl-SI"/>
    </w:rPr>
  </w:style>
  <w:style w:type="paragraph" w:styleId="Naslov5">
    <w:name w:val="heading 5"/>
    <w:basedOn w:val="Navaden"/>
    <w:next w:val="Navaden"/>
    <w:link w:val="Naslov5Znak"/>
    <w:uiPriority w:val="9"/>
    <w:semiHidden/>
    <w:unhideWhenUsed/>
    <w:qFormat/>
    <w:rsid w:val="00B31580"/>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avaden"/>
    <w:next w:val="Navaden"/>
    <w:link w:val="Naslov6Znak"/>
    <w:uiPriority w:val="9"/>
    <w:semiHidden/>
    <w:unhideWhenUsed/>
    <w:qFormat/>
    <w:rsid w:val="00B31580"/>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B31580"/>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B31580"/>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B31580"/>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D25C7"/>
    <w:rPr>
      <w:rFonts w:ascii="Arial" w:eastAsia="Times New Roman" w:hAnsi="Arial" w:cs="Times New Roman"/>
      <w:b/>
      <w:kern w:val="32"/>
      <w:sz w:val="20"/>
      <w:szCs w:val="20"/>
      <w:lang w:eastAsia="sl-SI"/>
    </w:rPr>
  </w:style>
  <w:style w:type="character" w:customStyle="1" w:styleId="Naslov2Znak">
    <w:name w:val="Naslov 2 Znak"/>
    <w:basedOn w:val="Privzetapisavaodstavka"/>
    <w:link w:val="Naslov2"/>
    <w:rsid w:val="001D25C7"/>
    <w:rPr>
      <w:rFonts w:ascii="Arial" w:eastAsia="Times New Roman" w:hAnsi="Arial" w:cs="Arial"/>
      <w:b/>
      <w:bCs/>
      <w:kern w:val="0"/>
      <w:sz w:val="20"/>
      <w:szCs w:val="20"/>
      <w:lang w:eastAsia="sl-SI"/>
    </w:rPr>
  </w:style>
  <w:style w:type="character" w:customStyle="1" w:styleId="Naslov3Znak">
    <w:name w:val="Naslov 3 Znak"/>
    <w:basedOn w:val="Privzetapisavaodstavka"/>
    <w:link w:val="Naslov3"/>
    <w:rsid w:val="001D25C7"/>
    <w:rPr>
      <w:rFonts w:ascii="Arial" w:eastAsia="Times New Roman" w:hAnsi="Arial" w:cs="Arial"/>
      <w:kern w:val="0"/>
      <w:sz w:val="20"/>
      <w:szCs w:val="20"/>
      <w:lang w:eastAsia="sl-SI"/>
    </w:rPr>
  </w:style>
  <w:style w:type="character" w:customStyle="1" w:styleId="Naslov4Znak">
    <w:name w:val="Naslov 4 Znak"/>
    <w:basedOn w:val="Privzetapisavaodstavka"/>
    <w:link w:val="Naslov4"/>
    <w:rsid w:val="001D25C7"/>
    <w:rPr>
      <w:rFonts w:ascii="Arial" w:eastAsiaTheme="majorEastAsia" w:hAnsi="Arial" w:cstheme="majorBidi"/>
      <w:iCs/>
      <w:kern w:val="0"/>
      <w:sz w:val="20"/>
      <w:szCs w:val="20"/>
      <w:lang w:eastAsia="sl-SI"/>
    </w:rPr>
  </w:style>
  <w:style w:type="paragraph" w:customStyle="1" w:styleId="odstavekseznam2">
    <w:name w:val="odstavek seznam 2"/>
    <w:basedOn w:val="Odstavekseznama"/>
    <w:link w:val="odstavekseznam2Znak"/>
    <w:autoRedefine/>
    <w:qFormat/>
    <w:rsid w:val="008B20F8"/>
    <w:pPr>
      <w:numPr>
        <w:ilvl w:val="1"/>
        <w:numId w:val="5"/>
      </w:numPr>
      <w:spacing w:after="60" w:line="260" w:lineRule="exact"/>
      <w:ind w:left="993"/>
      <w:jc w:val="both"/>
    </w:pPr>
  </w:style>
  <w:style w:type="character" w:customStyle="1" w:styleId="odstavekseznam2Znak">
    <w:name w:val="odstavek seznam 2 Znak"/>
    <w:basedOn w:val="Privzetapisavaodstavka"/>
    <w:link w:val="odstavekseznam2"/>
    <w:rsid w:val="008B20F8"/>
  </w:style>
  <w:style w:type="paragraph" w:styleId="Odstavekseznama">
    <w:name w:val="List Paragraph"/>
    <w:basedOn w:val="Navaden"/>
    <w:uiPriority w:val="34"/>
    <w:qFormat/>
    <w:rsid w:val="008B20F8"/>
    <w:pPr>
      <w:numPr>
        <w:numId w:val="4"/>
      </w:numPr>
      <w:contextualSpacing/>
    </w:pPr>
  </w:style>
  <w:style w:type="character" w:customStyle="1" w:styleId="Naslov5Znak">
    <w:name w:val="Naslov 5 Znak"/>
    <w:basedOn w:val="Privzetapisavaodstavka"/>
    <w:link w:val="Naslov5"/>
    <w:uiPriority w:val="9"/>
    <w:semiHidden/>
    <w:rsid w:val="00B31580"/>
    <w:rPr>
      <w:rFonts w:asciiTheme="minorHAnsi" w:eastAsiaTheme="majorEastAsia" w:hAnsiTheme="minorHAnsi" w:cstheme="majorBidi"/>
      <w:color w:val="0F4761" w:themeColor="accent1" w:themeShade="BF"/>
    </w:rPr>
  </w:style>
  <w:style w:type="character" w:customStyle="1" w:styleId="Naslov6Znak">
    <w:name w:val="Naslov 6 Znak"/>
    <w:basedOn w:val="Privzetapisavaodstavka"/>
    <w:link w:val="Naslov6"/>
    <w:uiPriority w:val="9"/>
    <w:semiHidden/>
    <w:rsid w:val="00B31580"/>
    <w:rPr>
      <w:rFonts w:asciiTheme="minorHAnsi" w:eastAsiaTheme="majorEastAsia" w:hAnsiTheme="minorHAnsi" w:cstheme="majorBidi"/>
      <w:i/>
      <w:iCs/>
      <w:color w:val="595959" w:themeColor="text1" w:themeTint="A6"/>
    </w:rPr>
  </w:style>
  <w:style w:type="character" w:customStyle="1" w:styleId="Naslov7Znak">
    <w:name w:val="Naslov 7 Znak"/>
    <w:basedOn w:val="Privzetapisavaodstavka"/>
    <w:link w:val="Naslov7"/>
    <w:uiPriority w:val="9"/>
    <w:semiHidden/>
    <w:rsid w:val="00B31580"/>
    <w:rPr>
      <w:rFonts w:asciiTheme="minorHAnsi" w:eastAsiaTheme="majorEastAsia" w:hAnsiTheme="minorHAnsi" w:cstheme="majorBidi"/>
      <w:color w:val="595959" w:themeColor="text1" w:themeTint="A6"/>
    </w:rPr>
  </w:style>
  <w:style w:type="character" w:customStyle="1" w:styleId="Naslov8Znak">
    <w:name w:val="Naslov 8 Znak"/>
    <w:basedOn w:val="Privzetapisavaodstavka"/>
    <w:link w:val="Naslov8"/>
    <w:uiPriority w:val="9"/>
    <w:semiHidden/>
    <w:rsid w:val="00B31580"/>
    <w:rPr>
      <w:rFonts w:asciiTheme="minorHAnsi" w:eastAsiaTheme="majorEastAsia" w:hAnsiTheme="minorHAnsi" w:cstheme="majorBidi"/>
      <w:i/>
      <w:iCs/>
      <w:color w:val="272727" w:themeColor="text1" w:themeTint="D8"/>
    </w:rPr>
  </w:style>
  <w:style w:type="character" w:customStyle="1" w:styleId="Naslov9Znak">
    <w:name w:val="Naslov 9 Znak"/>
    <w:basedOn w:val="Privzetapisavaodstavka"/>
    <w:link w:val="Naslov9"/>
    <w:uiPriority w:val="9"/>
    <w:semiHidden/>
    <w:rsid w:val="00B31580"/>
    <w:rPr>
      <w:rFonts w:asciiTheme="minorHAnsi" w:eastAsiaTheme="majorEastAsia" w:hAnsiTheme="minorHAnsi" w:cstheme="majorBidi"/>
      <w:color w:val="272727" w:themeColor="text1" w:themeTint="D8"/>
    </w:rPr>
  </w:style>
  <w:style w:type="paragraph" w:styleId="Naslov">
    <w:name w:val="Title"/>
    <w:basedOn w:val="Navaden"/>
    <w:next w:val="Navaden"/>
    <w:link w:val="NaslovZnak"/>
    <w:uiPriority w:val="10"/>
    <w:qFormat/>
    <w:rsid w:val="00B31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3158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3158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31580"/>
    <w:rPr>
      <w:rFonts w:asciiTheme="minorHAnsi" w:eastAsiaTheme="majorEastAsia" w:hAnsiTheme="minorHAnsi" w:cstheme="majorBidi"/>
      <w:color w:val="595959" w:themeColor="text1" w:themeTint="A6"/>
      <w:spacing w:val="15"/>
      <w:sz w:val="28"/>
      <w:szCs w:val="28"/>
    </w:rPr>
  </w:style>
  <w:style w:type="paragraph" w:styleId="Citat">
    <w:name w:val="Quote"/>
    <w:basedOn w:val="Navaden"/>
    <w:next w:val="Navaden"/>
    <w:link w:val="CitatZnak"/>
    <w:uiPriority w:val="29"/>
    <w:qFormat/>
    <w:rsid w:val="00B31580"/>
    <w:pPr>
      <w:spacing w:before="160"/>
      <w:jc w:val="center"/>
    </w:pPr>
    <w:rPr>
      <w:i/>
      <w:iCs/>
      <w:color w:val="404040" w:themeColor="text1" w:themeTint="BF"/>
    </w:rPr>
  </w:style>
  <w:style w:type="character" w:customStyle="1" w:styleId="CitatZnak">
    <w:name w:val="Citat Znak"/>
    <w:basedOn w:val="Privzetapisavaodstavka"/>
    <w:link w:val="Citat"/>
    <w:uiPriority w:val="29"/>
    <w:rsid w:val="00B31580"/>
    <w:rPr>
      <w:i/>
      <w:iCs/>
      <w:color w:val="404040" w:themeColor="text1" w:themeTint="BF"/>
    </w:rPr>
  </w:style>
  <w:style w:type="character" w:styleId="Intenzivenpoudarek">
    <w:name w:val="Intense Emphasis"/>
    <w:basedOn w:val="Privzetapisavaodstavka"/>
    <w:uiPriority w:val="21"/>
    <w:qFormat/>
    <w:rsid w:val="00B31580"/>
    <w:rPr>
      <w:i/>
      <w:iCs/>
      <w:color w:val="0F4761" w:themeColor="accent1" w:themeShade="BF"/>
    </w:rPr>
  </w:style>
  <w:style w:type="paragraph" w:styleId="Intenzivencitat">
    <w:name w:val="Intense Quote"/>
    <w:basedOn w:val="Navaden"/>
    <w:next w:val="Navaden"/>
    <w:link w:val="IntenzivencitatZnak"/>
    <w:uiPriority w:val="30"/>
    <w:qFormat/>
    <w:rsid w:val="00B31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31580"/>
    <w:rPr>
      <w:i/>
      <w:iCs/>
      <w:color w:val="0F4761" w:themeColor="accent1" w:themeShade="BF"/>
    </w:rPr>
  </w:style>
  <w:style w:type="character" w:styleId="Intenzivensklic">
    <w:name w:val="Intense Reference"/>
    <w:basedOn w:val="Privzetapisavaodstavka"/>
    <w:uiPriority w:val="32"/>
    <w:qFormat/>
    <w:rsid w:val="00B31580"/>
    <w:rPr>
      <w:b/>
      <w:bCs/>
      <w:smallCaps/>
      <w:color w:val="0F4761" w:themeColor="accent1" w:themeShade="BF"/>
      <w:spacing w:val="5"/>
    </w:rPr>
  </w:style>
  <w:style w:type="paragraph" w:customStyle="1" w:styleId="len">
    <w:name w:val="Člen"/>
    <w:qFormat/>
    <w:rsid w:val="00F33968"/>
    <w:pPr>
      <w:spacing w:before="120" w:after="0" w:line="259" w:lineRule="auto"/>
      <w:ind w:firstLine="720"/>
      <w:jc w:val="both"/>
    </w:pPr>
    <w:rPr>
      <w:kern w:val="0"/>
      <w14:ligatures w14:val="none"/>
    </w:rPr>
  </w:style>
  <w:style w:type="paragraph" w:customStyle="1" w:styleId="-len">
    <w:name w:val="- člen"/>
    <w:basedOn w:val="len"/>
    <w:qFormat/>
    <w:rsid w:val="00F33968"/>
    <w:pPr>
      <w:numPr>
        <w:ilvl w:val="1"/>
        <w:numId w:val="3"/>
      </w:numPr>
      <w:spacing w:before="0"/>
      <w:ind w:left="0"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2041</Words>
  <Characters>11634</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Ines Nekič</cp:lastModifiedBy>
  <cp:revision>14</cp:revision>
  <dcterms:created xsi:type="dcterms:W3CDTF">2026-05-19T12:01:00Z</dcterms:created>
  <dcterms:modified xsi:type="dcterms:W3CDTF">2026-07-15T11:48:00Z</dcterms:modified>
</cp:coreProperties>
</file>