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A44A3" w14:textId="5E06B72F" w:rsidR="000537CC" w:rsidRDefault="000537CC" w:rsidP="000537CC">
      <w:pPr>
        <w:spacing w:before="360" w:line="259" w:lineRule="auto"/>
        <w:ind w:firstLine="567"/>
        <w:jc w:val="right"/>
        <w:rPr>
          <w:rFonts w:eastAsia="Calibri"/>
          <w:szCs w:val="20"/>
          <w:lang w:val="sl-SI"/>
        </w:rPr>
      </w:pPr>
      <w:r>
        <w:rPr>
          <w:rFonts w:eastAsia="Calibri"/>
          <w:szCs w:val="20"/>
          <w:lang w:val="sl-SI"/>
        </w:rPr>
        <w:t>PREDLOG</w:t>
      </w:r>
    </w:p>
    <w:p w14:paraId="1B72E945" w14:textId="1576CAAE" w:rsidR="000537CC" w:rsidRPr="000537CC" w:rsidRDefault="000537CC" w:rsidP="000537CC">
      <w:pPr>
        <w:spacing w:before="360" w:line="259" w:lineRule="auto"/>
        <w:ind w:firstLine="567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Na podlagi sedmega odstavka 21. člena Zakona o Vladi Republike Slovenije (Uradni list RS, št. 24/05 – uradno prečiščeno besedilo, 109/08, 38/10 – ZUKN, 8/12, 21/13, 47/13 – ZDU-1G, 65/14, 55/17, 163/22, 57/25 – ZF in 555/26) Vlada Republike Slovenije izdaja</w:t>
      </w:r>
    </w:p>
    <w:p w14:paraId="226BC4AD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1B64D4B3" w14:textId="77777777" w:rsidR="000537CC" w:rsidRPr="000537CC" w:rsidRDefault="000537CC" w:rsidP="000537CC">
      <w:pPr>
        <w:spacing w:line="259" w:lineRule="auto"/>
        <w:jc w:val="center"/>
        <w:rPr>
          <w:rFonts w:eastAsia="Calibri"/>
          <w:b/>
          <w:szCs w:val="20"/>
          <w:lang w:val="sl-SI"/>
        </w:rPr>
      </w:pPr>
      <w:r w:rsidRPr="000537CC">
        <w:rPr>
          <w:rFonts w:eastAsia="Calibri"/>
          <w:b/>
          <w:szCs w:val="20"/>
          <w:lang w:val="sl-SI"/>
        </w:rPr>
        <w:t>Uredbo o spremembi in dopolnitvi Uredbe o varnosti igrač</w:t>
      </w:r>
    </w:p>
    <w:p w14:paraId="0640A52E" w14:textId="77777777" w:rsidR="000537CC" w:rsidRPr="000537CC" w:rsidRDefault="000537CC" w:rsidP="000537CC">
      <w:pPr>
        <w:spacing w:before="480" w:line="259" w:lineRule="auto"/>
        <w:jc w:val="center"/>
        <w:rPr>
          <w:rFonts w:eastAsia="Calibri"/>
          <w:b/>
          <w:szCs w:val="20"/>
          <w:lang w:val="sl-SI"/>
        </w:rPr>
      </w:pPr>
      <w:r w:rsidRPr="000537CC">
        <w:rPr>
          <w:rFonts w:eastAsia="Calibri"/>
          <w:b/>
          <w:szCs w:val="20"/>
          <w:lang w:val="sl-SI"/>
        </w:rPr>
        <w:t>1. člen</w:t>
      </w:r>
    </w:p>
    <w:p w14:paraId="790D9A7E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19ECCA3D" w14:textId="77777777" w:rsidR="000537CC" w:rsidRPr="000537CC" w:rsidRDefault="000537CC" w:rsidP="000537CC">
      <w:pPr>
        <w:spacing w:line="259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ab/>
        <w:t xml:space="preserve">V Uredbi o varnosti igrač (Uradni list RS, št. 34/11, 84/11 – </w:t>
      </w:r>
      <w:proofErr w:type="spellStart"/>
      <w:r w:rsidRPr="000537CC">
        <w:rPr>
          <w:rFonts w:eastAsia="Calibri"/>
          <w:szCs w:val="20"/>
          <w:lang w:val="sl-SI"/>
        </w:rPr>
        <w:t>popr</w:t>
      </w:r>
      <w:proofErr w:type="spellEnd"/>
      <w:r w:rsidRPr="000537CC">
        <w:rPr>
          <w:rFonts w:eastAsia="Calibri"/>
          <w:szCs w:val="20"/>
          <w:lang w:val="sl-SI"/>
        </w:rPr>
        <w:t>., 102/12, 62/15, 12/17, 31/18, 68/19, 78/21 in 146/22) se v 1. členu prvi odstavek spremeni tako, da se glasi:</w:t>
      </w:r>
    </w:p>
    <w:p w14:paraId="2C174062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130DA840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0DFC5F04" w14:textId="77777777" w:rsidR="000537CC" w:rsidRPr="000537CC" w:rsidRDefault="000537CC" w:rsidP="000537CC">
      <w:pPr>
        <w:spacing w:line="259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ab/>
        <w:t>»(1) Ta uredba določa zahteve o varnosti igrač in njihovem prostem pretoku v skladu z Direktivo 2009/48/ES Evropskega parlamenta in Sveta z dne 18. junija 2009 o varnosti igrač (UL L št. 170 z dne 30. 6. 2009, str. 1), zadnjič spremenjeno z Direktivo Komisije (EU) 2026/192 z dne 28. januarja 2026 o spremembi Dodatka A k Prilogi II k Direktivi 2009/48/ES Evropskega parlamenta in Sveta o varnosti igrač, kar zadeva kobalt (UL L, 2026/192 z dne 29. 1. 2026).«.</w:t>
      </w:r>
    </w:p>
    <w:p w14:paraId="25D5E609" w14:textId="77777777" w:rsidR="000537CC" w:rsidRPr="000537CC" w:rsidRDefault="000537CC" w:rsidP="000537CC">
      <w:pPr>
        <w:spacing w:before="480" w:line="259" w:lineRule="auto"/>
        <w:jc w:val="center"/>
        <w:rPr>
          <w:rFonts w:eastAsia="Calibri"/>
          <w:b/>
          <w:szCs w:val="20"/>
          <w:lang w:val="sl-SI"/>
        </w:rPr>
      </w:pPr>
      <w:r w:rsidRPr="000537CC">
        <w:rPr>
          <w:rFonts w:eastAsia="Calibri"/>
          <w:b/>
          <w:szCs w:val="20"/>
          <w:lang w:val="sl-SI"/>
        </w:rPr>
        <w:t>2. člen</w:t>
      </w:r>
    </w:p>
    <w:p w14:paraId="19E6A8FC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40ED8A7D" w14:textId="77777777" w:rsidR="000537CC" w:rsidRPr="000537CC" w:rsidRDefault="000537CC" w:rsidP="000537CC">
      <w:pPr>
        <w:spacing w:line="259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ab/>
        <w:t>V Prilogi II se v Dodatku A v preglednici za snovjo »Nikelj« doda nova snov, ki se glasi:</w:t>
      </w:r>
    </w:p>
    <w:p w14:paraId="73E6A710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72A3FFDA" w14:textId="77777777" w:rsidR="000537CC" w:rsidRPr="000537CC" w:rsidRDefault="000537CC" w:rsidP="000537CC">
      <w:pPr>
        <w:spacing w:line="240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»</w:t>
      </w:r>
    </w:p>
    <w:tbl>
      <w:tblPr>
        <w:tblW w:w="5000" w:type="pct"/>
        <w:tblInd w:w="76" w:type="dxa"/>
        <w:tblBorders>
          <w:top w:val="outset" w:sz="6" w:space="0" w:color="808080"/>
          <w:left w:val="outset" w:sz="6" w:space="0" w:color="808080"/>
          <w:bottom w:val="outset" w:sz="6" w:space="0" w:color="808080"/>
          <w:right w:val="outset" w:sz="6" w:space="0" w:color="808080"/>
        </w:tblBorders>
        <w:tblLook w:val="04A0" w:firstRow="1" w:lastRow="0" w:firstColumn="1" w:lastColumn="0" w:noHBand="0" w:noVBand="1"/>
      </w:tblPr>
      <w:tblGrid>
        <w:gridCol w:w="704"/>
        <w:gridCol w:w="792"/>
        <w:gridCol w:w="6986"/>
      </w:tblGrid>
      <w:tr w:rsidR="000537CC" w:rsidRPr="000537CC" w14:paraId="449D31C2" w14:textId="77777777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89B55E5" w14:textId="77777777" w:rsidR="000537CC" w:rsidRPr="000537CC" w:rsidRDefault="000537CC" w:rsidP="000537CC">
            <w:pPr>
              <w:spacing w:after="160" w:line="276" w:lineRule="auto"/>
              <w:rPr>
                <w:rFonts w:eastAsia="Calibri" w:cs="Arial"/>
                <w:color w:val="000000"/>
                <w:szCs w:val="20"/>
                <w:lang w:val="sl-SI"/>
              </w:rPr>
            </w:pPr>
            <w:r w:rsidRPr="000537CC">
              <w:rPr>
                <w:rFonts w:eastAsia="Calibri" w:cs="Arial"/>
                <w:color w:val="000000"/>
                <w:szCs w:val="20"/>
                <w:lang w:val="sl-SI"/>
              </w:rPr>
              <w:t>Kobalt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1A3AE3DF" w14:textId="77777777" w:rsidR="000537CC" w:rsidRPr="000537CC" w:rsidRDefault="000537CC" w:rsidP="000537CC">
            <w:pPr>
              <w:spacing w:after="160" w:line="276" w:lineRule="auto"/>
              <w:rPr>
                <w:rFonts w:eastAsia="Calibri" w:cs="Arial"/>
                <w:color w:val="000000"/>
                <w:szCs w:val="20"/>
                <w:lang w:val="sl-SI"/>
              </w:rPr>
            </w:pPr>
            <w:r w:rsidRPr="000537CC">
              <w:rPr>
                <w:rFonts w:eastAsia="Calibri" w:cs="Arial"/>
                <w:color w:val="000000"/>
                <w:szCs w:val="20"/>
                <w:lang w:val="sl-SI"/>
              </w:rPr>
              <w:t>CMR 1B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68" w:type="dxa"/>
              <w:left w:w="68" w:type="dxa"/>
              <w:bottom w:w="68" w:type="dxa"/>
              <w:right w:w="68" w:type="dxa"/>
            </w:tcMar>
            <w:hideMark/>
          </w:tcPr>
          <w:p w14:paraId="6044A5E5" w14:textId="77777777" w:rsidR="000537CC" w:rsidRPr="000537CC" w:rsidRDefault="000537CC" w:rsidP="000537CC">
            <w:pPr>
              <w:spacing w:after="160" w:line="276" w:lineRule="auto"/>
              <w:rPr>
                <w:rFonts w:eastAsia="Calibri" w:cs="Arial"/>
                <w:color w:val="000000"/>
                <w:szCs w:val="20"/>
                <w:lang w:val="sl-SI"/>
              </w:rPr>
            </w:pPr>
            <w:r w:rsidRPr="000537CC">
              <w:rPr>
                <w:rFonts w:eastAsia="Calibri" w:cs="Arial"/>
                <w:color w:val="000000"/>
                <w:szCs w:val="20"/>
                <w:lang w:val="sl-SI"/>
              </w:rPr>
              <w:t>V igračah in v delih igrač, ki so izdelani iz nerjavnega jekla, kot nečistoča v niklju, ki ga vsebuje nerjavno jeklo.</w:t>
            </w:r>
            <w:r w:rsidRPr="000537CC">
              <w:rPr>
                <w:rFonts w:eastAsia="Calibri" w:cs="Arial"/>
                <w:color w:val="000000"/>
                <w:szCs w:val="20"/>
                <w:lang w:val="sl-SI"/>
              </w:rPr>
              <w:br/>
            </w:r>
            <w:r w:rsidRPr="000537CC">
              <w:rPr>
                <w:rFonts w:eastAsia="Calibri" w:cs="Arial"/>
                <w:color w:val="000000"/>
                <w:szCs w:val="20"/>
                <w:lang w:val="sl-SI"/>
              </w:rPr>
              <w:br/>
              <w:t>V delih igrač, ki so namenjeni za prevajanje električnega toka.</w:t>
            </w:r>
            <w:r w:rsidRPr="000537CC">
              <w:rPr>
                <w:rFonts w:eastAsia="Calibri" w:cs="Arial"/>
                <w:color w:val="000000"/>
                <w:szCs w:val="20"/>
                <w:lang w:val="sl-SI"/>
              </w:rPr>
              <w:br/>
            </w:r>
            <w:r w:rsidRPr="000537CC">
              <w:rPr>
                <w:rFonts w:eastAsia="Calibri" w:cs="Arial"/>
                <w:color w:val="000000"/>
                <w:szCs w:val="20"/>
                <w:lang w:val="sl-SI"/>
              </w:rPr>
              <w:br/>
              <w:t>V magnetih iz neodima, ki se uporabljajo v igračah, če teh magnetov ni mogoče pogoltniti ali vdihniti.</w:t>
            </w:r>
          </w:p>
        </w:tc>
      </w:tr>
    </w:tbl>
    <w:p w14:paraId="5D8ACB12" w14:textId="77777777" w:rsidR="000537CC" w:rsidRPr="000537CC" w:rsidRDefault="000537CC" w:rsidP="000537CC">
      <w:pPr>
        <w:spacing w:after="160" w:line="276" w:lineRule="auto"/>
        <w:jc w:val="right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«.</w:t>
      </w:r>
    </w:p>
    <w:p w14:paraId="309D6B73" w14:textId="77777777" w:rsidR="000537CC" w:rsidRPr="000537CC" w:rsidRDefault="000537CC" w:rsidP="000537CC">
      <w:pPr>
        <w:spacing w:before="480" w:line="259" w:lineRule="auto"/>
        <w:jc w:val="center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KONČNA DOLOČBA</w:t>
      </w:r>
    </w:p>
    <w:p w14:paraId="222FE290" w14:textId="77777777" w:rsidR="000537CC" w:rsidRPr="000537CC" w:rsidRDefault="000537CC" w:rsidP="000537CC">
      <w:pPr>
        <w:spacing w:before="480" w:line="259" w:lineRule="auto"/>
        <w:jc w:val="center"/>
        <w:rPr>
          <w:rFonts w:eastAsia="Calibri"/>
          <w:b/>
          <w:szCs w:val="20"/>
          <w:lang w:val="sl-SI"/>
        </w:rPr>
      </w:pPr>
      <w:r w:rsidRPr="000537CC">
        <w:rPr>
          <w:rFonts w:eastAsia="Calibri"/>
          <w:b/>
          <w:szCs w:val="20"/>
          <w:lang w:val="sl-SI"/>
        </w:rPr>
        <w:t>3. člen</w:t>
      </w:r>
    </w:p>
    <w:p w14:paraId="2213623D" w14:textId="77777777" w:rsidR="000537CC" w:rsidRPr="000537CC" w:rsidRDefault="000537CC" w:rsidP="000537CC">
      <w:pPr>
        <w:spacing w:line="259" w:lineRule="auto"/>
        <w:jc w:val="center"/>
        <w:rPr>
          <w:rFonts w:eastAsia="Calibri"/>
          <w:b/>
          <w:szCs w:val="20"/>
          <w:lang w:val="sl-SI"/>
        </w:rPr>
      </w:pPr>
      <w:r w:rsidRPr="000537CC">
        <w:rPr>
          <w:rFonts w:eastAsia="Calibri"/>
          <w:b/>
          <w:szCs w:val="20"/>
          <w:lang w:val="sl-SI"/>
        </w:rPr>
        <w:t>(začetek veljavnosti in uporabe)</w:t>
      </w:r>
    </w:p>
    <w:p w14:paraId="5CAC9347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639AF1D1" w14:textId="77777777" w:rsidR="000537CC" w:rsidRPr="000537CC" w:rsidRDefault="000537CC" w:rsidP="000537CC">
      <w:pPr>
        <w:spacing w:line="259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ab/>
        <w:t>Ta uredba začne veljati naslednji dan po objavi v Uradnem listu Republike Slovenije, uporabljati pa se začne 29. avgusta 2026.</w:t>
      </w:r>
    </w:p>
    <w:p w14:paraId="4A3BD5C3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748476D3" w14:textId="77777777" w:rsidR="000537CC" w:rsidRPr="000537CC" w:rsidRDefault="000537CC" w:rsidP="000537CC">
      <w:pPr>
        <w:spacing w:line="259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 xml:space="preserve">Št. [/2026] </w:t>
      </w:r>
    </w:p>
    <w:p w14:paraId="18CF6674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679A35E6" w14:textId="5F59DCC1" w:rsidR="000537CC" w:rsidRPr="000537CC" w:rsidRDefault="000537CC" w:rsidP="000537CC">
      <w:pPr>
        <w:spacing w:line="259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lastRenderedPageBreak/>
        <w:t xml:space="preserve">Ljubljana, dne </w:t>
      </w:r>
      <w:r>
        <w:rPr>
          <w:rFonts w:eastAsia="Calibri"/>
          <w:szCs w:val="20"/>
          <w:lang w:val="sl-SI"/>
        </w:rPr>
        <w:t>x</w:t>
      </w:r>
      <w:r w:rsidRPr="000537CC">
        <w:rPr>
          <w:rFonts w:eastAsia="Calibri"/>
          <w:szCs w:val="20"/>
          <w:lang w:val="sl-SI"/>
        </w:rPr>
        <w:t>. julija 2026</w:t>
      </w:r>
    </w:p>
    <w:p w14:paraId="22129684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3E251740" w14:textId="77777777" w:rsidR="000537CC" w:rsidRPr="000537CC" w:rsidRDefault="000537CC" w:rsidP="000537CC">
      <w:pPr>
        <w:spacing w:line="259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EVA 2026-2711-0070</w:t>
      </w:r>
    </w:p>
    <w:p w14:paraId="2FF9CF2A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1D8D3ABA" w14:textId="77777777" w:rsidR="000537CC" w:rsidRPr="000537CC" w:rsidRDefault="000537CC" w:rsidP="000537CC">
      <w:pPr>
        <w:widowControl w:val="0"/>
        <w:spacing w:line="259" w:lineRule="auto"/>
        <w:ind w:left="3969"/>
        <w:jc w:val="center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Vlada Republike Slovenije</w:t>
      </w:r>
      <w:r w:rsidRPr="000537CC">
        <w:rPr>
          <w:rFonts w:eastAsia="Calibri"/>
          <w:szCs w:val="20"/>
          <w:lang w:val="sl-SI"/>
        </w:rPr>
        <w:br/>
        <w:t>Janez Janša</w:t>
      </w:r>
      <w:r w:rsidRPr="000537CC">
        <w:rPr>
          <w:rFonts w:eastAsia="Calibri"/>
          <w:szCs w:val="20"/>
          <w:lang w:val="sl-SI"/>
        </w:rPr>
        <w:br/>
        <w:t>predsednik</w:t>
      </w:r>
    </w:p>
    <w:p w14:paraId="51D879C5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1F0969E7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2D45A3CF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0B2E3C92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499FD2D4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12FE3B03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0342A725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02AD792C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40CBEC0D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23FD4428" w14:textId="77777777" w:rsidR="000537CC" w:rsidRDefault="000537CC" w:rsidP="000537CC">
      <w:pPr>
        <w:spacing w:after="160" w:line="276" w:lineRule="auto"/>
        <w:jc w:val="both"/>
        <w:rPr>
          <w:rFonts w:ascii="Times New Roman" w:eastAsia="Calibri" w:hAnsi="Times New Roman"/>
          <w:sz w:val="24"/>
          <w:lang w:val="sl-SI" w:eastAsia="sl-SI"/>
        </w:rPr>
      </w:pPr>
    </w:p>
    <w:p w14:paraId="3FAE085D" w14:textId="1F4E2761" w:rsidR="000537CC" w:rsidRPr="000537CC" w:rsidRDefault="000537CC" w:rsidP="000537CC">
      <w:pPr>
        <w:spacing w:after="160" w:line="276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 w:cs="Arial"/>
          <w:b/>
          <w:szCs w:val="20"/>
          <w:lang w:val="sl-SI"/>
        </w:rPr>
        <w:t>OBRAZLOŽITEV</w:t>
      </w:r>
    </w:p>
    <w:p w14:paraId="1283AC9B" w14:textId="5659120C" w:rsid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  <w:r w:rsidRPr="000537CC">
        <w:rPr>
          <w:rFonts w:eastAsia="Calibri" w:cs="Arial"/>
          <w:szCs w:val="20"/>
          <w:lang w:val="sl-SI"/>
        </w:rPr>
        <w:t>Predlog uredbe je Ministrstvo za zdravje pripravilo zaradi prenosa Direktive Komisije (EU) 2026/192 z dne 28. januarja 2026 o spremembi Dodatka A k Prilogi II k Direktivi 2009/48/ES Evropskega parlamenta in Sveta o varnosti igrač, kar zadeva kobalt (UL L, 2026/192, 29. 1. 2026; v nadaljnjem besedilu: Direktiva Komisije (EU) 2026/192) v pravni red Republike Slovenije. Z Direktivo Komisije (EU) 2026/192 se spreminja Dodatek A k Prilogi II Direktive 2009/48/ES Evropskega parlamenta in Sveta z dne 18. junija 2009 o varnosti igrač (UL L št. 170 z dne 30. 6. 2009, str. 1; v nadaljnjem besedilu: Direktiva 2009/48/ES). Bistvo spremembe je določitev omejenih dovoljenih uporab kobalta v treh vrstah igrač oziroma delih igrač.</w:t>
      </w:r>
    </w:p>
    <w:p w14:paraId="600E1E4A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60818176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b/>
          <w:szCs w:val="20"/>
          <w:lang w:val="sl-SI"/>
        </w:rPr>
      </w:pPr>
      <w:r w:rsidRPr="000537CC">
        <w:rPr>
          <w:rFonts w:eastAsia="Calibri" w:cs="Arial"/>
          <w:b/>
          <w:szCs w:val="20"/>
          <w:lang w:val="sl-SI"/>
        </w:rPr>
        <w:t>K 1. členu:</w:t>
      </w:r>
    </w:p>
    <w:p w14:paraId="63506CD3" w14:textId="77777777" w:rsidR="000537CC" w:rsidRPr="000537CC" w:rsidRDefault="000537CC" w:rsidP="000537CC">
      <w:pPr>
        <w:spacing w:line="240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 xml:space="preserve">Sprememba prvega odstavka 1. člena Uredbe o varnosti igrač (Uradni list RS, št. 34/11, 84/11 – </w:t>
      </w:r>
      <w:proofErr w:type="spellStart"/>
      <w:r w:rsidRPr="000537CC">
        <w:rPr>
          <w:rFonts w:eastAsia="Calibri"/>
          <w:szCs w:val="20"/>
          <w:lang w:val="sl-SI"/>
        </w:rPr>
        <w:t>popr</w:t>
      </w:r>
      <w:proofErr w:type="spellEnd"/>
      <w:r w:rsidRPr="000537CC">
        <w:rPr>
          <w:rFonts w:eastAsia="Calibri"/>
          <w:szCs w:val="20"/>
          <w:lang w:val="sl-SI"/>
        </w:rPr>
        <w:t>., 102/12, 62/15, 12/17, 31/18, 68/19, 78/21 in 146/22; v nadaljnjem besedilu: Uredba), se nanaša na spremenjeni sklic na Direktivo Komisije (EU) 2026/192, in sicer na njeno zadnjo spremembo z Direktivo Komisije (EU) 2026/192 z dne 28. januarja 2026 o spremembi Dodatka A k Prilogi II k Direktivi 2009/48/ES Evropskega parlamenta in Sveta o varnosti igrač, kar zadeva kobalt (UL L, 2026/192 z dne 29. 1. 2026).</w:t>
      </w:r>
    </w:p>
    <w:p w14:paraId="1F6BB624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0237549B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b/>
          <w:szCs w:val="20"/>
          <w:lang w:val="sl-SI"/>
        </w:rPr>
      </w:pPr>
      <w:r w:rsidRPr="000537CC">
        <w:rPr>
          <w:rFonts w:eastAsia="Calibri" w:cs="Arial"/>
          <w:b/>
          <w:szCs w:val="20"/>
          <w:lang w:val="sl-SI"/>
        </w:rPr>
        <w:t>K 2. členu:</w:t>
      </w:r>
    </w:p>
    <w:p w14:paraId="1FB56367" w14:textId="77777777" w:rsidR="000537CC" w:rsidRPr="000537CC" w:rsidRDefault="000537CC" w:rsidP="000537CC">
      <w:pPr>
        <w:spacing w:line="240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Predlagani 2. člen spreminja Dodatek A v Prilogi II Uredbe, in sicer tako, da bo njegova vsebina skladna s spremembo prava Evropske unije. Bistvo spremembe je določitev omejenih dovoljenih uporab kobalta v treh vrstah igrač oziroma delih igrač.</w:t>
      </w:r>
    </w:p>
    <w:p w14:paraId="0CB31687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4D73F4AF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b/>
          <w:szCs w:val="20"/>
          <w:lang w:val="sl-SI"/>
        </w:rPr>
      </w:pPr>
      <w:r w:rsidRPr="000537CC">
        <w:rPr>
          <w:rFonts w:eastAsia="Calibri" w:cs="Arial"/>
          <w:b/>
          <w:szCs w:val="20"/>
          <w:lang w:val="sl-SI"/>
        </w:rPr>
        <w:t>K 3. členu:</w:t>
      </w:r>
    </w:p>
    <w:p w14:paraId="747ECDE4" w14:textId="77777777" w:rsidR="000537CC" w:rsidRPr="000537CC" w:rsidRDefault="000537CC" w:rsidP="000537CC">
      <w:pPr>
        <w:spacing w:line="240" w:lineRule="auto"/>
        <w:jc w:val="both"/>
        <w:rPr>
          <w:rFonts w:eastAsia="Calibri"/>
          <w:szCs w:val="20"/>
          <w:lang w:val="sl-SI"/>
        </w:rPr>
      </w:pPr>
      <w:r w:rsidRPr="000537CC">
        <w:rPr>
          <w:rFonts w:eastAsia="Calibri"/>
          <w:szCs w:val="20"/>
          <w:lang w:val="sl-SI"/>
        </w:rPr>
        <w:t>Končna določba, ki določa začetek veljavnosti in uporabe predlagane uredbe.  Direktiva Komisije (EU) 2026/192 v členu 2 določa, da države članice najpozneje do 29. julija 2026 sprejmejo in objavijo zakone in druge predpise, potrebne za uskladitev s to direktivo, navedene predpise pa uporabljajo od 29. avgusta 2026.</w:t>
      </w:r>
    </w:p>
    <w:p w14:paraId="3FAD8862" w14:textId="77777777" w:rsidR="000537CC" w:rsidRPr="000537CC" w:rsidRDefault="000537CC" w:rsidP="000537CC">
      <w:pPr>
        <w:spacing w:line="259" w:lineRule="auto"/>
        <w:jc w:val="both"/>
        <w:rPr>
          <w:rFonts w:eastAsia="Calibri" w:cs="Arial"/>
          <w:szCs w:val="20"/>
          <w:lang w:val="sl-SI"/>
        </w:rPr>
      </w:pPr>
    </w:p>
    <w:p w14:paraId="7F55E872" w14:textId="462C85A0" w:rsidR="000537CC" w:rsidRPr="000537CC" w:rsidRDefault="000537CC" w:rsidP="000537CC">
      <w:pPr>
        <w:spacing w:after="160" w:line="276" w:lineRule="auto"/>
        <w:jc w:val="both"/>
        <w:rPr>
          <w:rFonts w:eastAsia="Calibri"/>
          <w:szCs w:val="20"/>
          <w:lang w:val="sl-SI"/>
        </w:rPr>
      </w:pPr>
    </w:p>
    <w:sectPr w:rsidR="000537CC" w:rsidRPr="000537CC" w:rsidSect="007B233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EB9FDC" w14:textId="77777777" w:rsidR="008807C5" w:rsidRDefault="008807C5">
      <w:r>
        <w:separator/>
      </w:r>
    </w:p>
  </w:endnote>
  <w:endnote w:type="continuationSeparator" w:id="0">
    <w:p w14:paraId="227A9994" w14:textId="77777777" w:rsidR="008807C5" w:rsidRDefault="008807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DB68C41" w14:textId="77777777" w:rsidR="003F7614" w:rsidRDefault="003F7614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FC5E1" w14:textId="77777777" w:rsidR="003F7614" w:rsidRDefault="003F7614">
    <w:pPr>
      <w:pStyle w:val="Nog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99A02" w14:textId="77777777" w:rsidR="003F7614" w:rsidRDefault="003F7614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D48C60" w14:textId="77777777" w:rsidR="008807C5" w:rsidRDefault="008807C5">
      <w:r>
        <w:separator/>
      </w:r>
    </w:p>
  </w:footnote>
  <w:footnote w:type="continuationSeparator" w:id="0">
    <w:p w14:paraId="0FC7ECE7" w14:textId="77777777" w:rsidR="008807C5" w:rsidRDefault="008807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7CCFC6" w14:textId="77777777" w:rsidR="003F7614" w:rsidRDefault="003F7614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E0C4A3" w14:textId="77777777"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A4C959" w14:textId="77777777" w:rsidR="00A770A6" w:rsidRPr="008F3500" w:rsidRDefault="001F3813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57728" behindDoc="0" locked="0" layoutInCell="1" allowOverlap="1" wp14:anchorId="443B6EAC" wp14:editId="09DC4D90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0" b="0"/>
          <wp:wrapSquare wrapText="bothSides"/>
          <wp:docPr id="20" name="Slika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B233B">
      <w:rPr>
        <w:rFonts w:cs="Arial"/>
        <w:sz w:val="16"/>
        <w:lang w:val="sl-SI"/>
      </w:rPr>
      <w:t>Štefanova ulica 5</w:t>
    </w:r>
    <w:r w:rsidR="00A770A6" w:rsidRPr="008F3500">
      <w:rPr>
        <w:rFonts w:cs="Arial"/>
        <w:sz w:val="16"/>
        <w:lang w:val="sl-SI"/>
      </w:rPr>
      <w:t xml:space="preserve">, </w:t>
    </w:r>
    <w:r w:rsidR="007B233B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7B233B">
      <w:rPr>
        <w:rFonts w:cs="Arial"/>
        <w:sz w:val="16"/>
        <w:lang w:val="sl-SI"/>
      </w:rPr>
      <w:t>01 478 60 01</w:t>
    </w:r>
  </w:p>
  <w:p w14:paraId="26CD1687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7B233B">
      <w:rPr>
        <w:rFonts w:cs="Arial"/>
        <w:sz w:val="16"/>
        <w:lang w:val="sl-SI"/>
      </w:rPr>
      <w:t>01 478 60 58</w:t>
    </w:r>
    <w:r w:rsidRPr="008F3500">
      <w:rPr>
        <w:rFonts w:cs="Arial"/>
        <w:sz w:val="16"/>
        <w:lang w:val="sl-SI"/>
      </w:rPr>
      <w:t xml:space="preserve"> </w:t>
    </w:r>
  </w:p>
  <w:p w14:paraId="24E5FF8D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7B233B">
      <w:rPr>
        <w:rFonts w:cs="Arial"/>
        <w:sz w:val="16"/>
        <w:lang w:val="sl-SI"/>
      </w:rPr>
      <w:t>gp.mz@gov.si</w:t>
    </w:r>
  </w:p>
  <w:p w14:paraId="26899B24" w14:textId="77777777"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7B233B">
      <w:rPr>
        <w:rFonts w:cs="Arial"/>
        <w:sz w:val="16"/>
        <w:lang w:val="sl-SI"/>
      </w:rPr>
      <w:t>www.mz.gov.si</w:t>
    </w:r>
  </w:p>
  <w:p w14:paraId="08118288" w14:textId="77777777"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666205794">
    <w:abstractNumId w:val="4"/>
  </w:num>
  <w:num w:numId="2" w16cid:durableId="899171626">
    <w:abstractNumId w:val="2"/>
  </w:num>
  <w:num w:numId="3" w16cid:durableId="2138210044">
    <w:abstractNumId w:val="3"/>
  </w:num>
  <w:num w:numId="4" w16cid:durableId="1870292526">
    <w:abstractNumId w:val="0"/>
  </w:num>
  <w:num w:numId="5" w16cid:durableId="209592874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DateAndTime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7CC"/>
    <w:rsid w:val="00023A88"/>
    <w:rsid w:val="000537CC"/>
    <w:rsid w:val="00071C70"/>
    <w:rsid w:val="000A7238"/>
    <w:rsid w:val="001357B2"/>
    <w:rsid w:val="0017478F"/>
    <w:rsid w:val="001F3813"/>
    <w:rsid w:val="00202A77"/>
    <w:rsid w:val="00271CE5"/>
    <w:rsid w:val="00282020"/>
    <w:rsid w:val="002911CB"/>
    <w:rsid w:val="002A2B69"/>
    <w:rsid w:val="0034269D"/>
    <w:rsid w:val="003636BF"/>
    <w:rsid w:val="00371442"/>
    <w:rsid w:val="003845B4"/>
    <w:rsid w:val="00387B1A"/>
    <w:rsid w:val="003C5EE5"/>
    <w:rsid w:val="003E1C74"/>
    <w:rsid w:val="003F7614"/>
    <w:rsid w:val="004657EE"/>
    <w:rsid w:val="00526246"/>
    <w:rsid w:val="005655B0"/>
    <w:rsid w:val="00567106"/>
    <w:rsid w:val="005E1D3C"/>
    <w:rsid w:val="00625AE6"/>
    <w:rsid w:val="00632253"/>
    <w:rsid w:val="00642714"/>
    <w:rsid w:val="006455CE"/>
    <w:rsid w:val="00655841"/>
    <w:rsid w:val="006A7B7C"/>
    <w:rsid w:val="00715A45"/>
    <w:rsid w:val="00733017"/>
    <w:rsid w:val="00783310"/>
    <w:rsid w:val="007A4A6D"/>
    <w:rsid w:val="007B233B"/>
    <w:rsid w:val="007D1BCF"/>
    <w:rsid w:val="007D75CF"/>
    <w:rsid w:val="007E0440"/>
    <w:rsid w:val="007E6DC5"/>
    <w:rsid w:val="00842522"/>
    <w:rsid w:val="0086013D"/>
    <w:rsid w:val="0088043C"/>
    <w:rsid w:val="008807C5"/>
    <w:rsid w:val="00884889"/>
    <w:rsid w:val="008906C9"/>
    <w:rsid w:val="008A4985"/>
    <w:rsid w:val="008C5738"/>
    <w:rsid w:val="008D04F0"/>
    <w:rsid w:val="008F3500"/>
    <w:rsid w:val="009006E1"/>
    <w:rsid w:val="00924E3C"/>
    <w:rsid w:val="009612BB"/>
    <w:rsid w:val="009C740A"/>
    <w:rsid w:val="00A125C5"/>
    <w:rsid w:val="00A23C8E"/>
    <w:rsid w:val="00A2451C"/>
    <w:rsid w:val="00A65EE7"/>
    <w:rsid w:val="00A70133"/>
    <w:rsid w:val="00A770A6"/>
    <w:rsid w:val="00A813B1"/>
    <w:rsid w:val="00AB36C4"/>
    <w:rsid w:val="00AC32B2"/>
    <w:rsid w:val="00AD5C06"/>
    <w:rsid w:val="00B17141"/>
    <w:rsid w:val="00B31575"/>
    <w:rsid w:val="00B8547D"/>
    <w:rsid w:val="00B95236"/>
    <w:rsid w:val="00C250D5"/>
    <w:rsid w:val="00C35666"/>
    <w:rsid w:val="00C725FE"/>
    <w:rsid w:val="00C92898"/>
    <w:rsid w:val="00CA4340"/>
    <w:rsid w:val="00CB3AA7"/>
    <w:rsid w:val="00CE5238"/>
    <w:rsid w:val="00CE7514"/>
    <w:rsid w:val="00D248DE"/>
    <w:rsid w:val="00D8542D"/>
    <w:rsid w:val="00D92A35"/>
    <w:rsid w:val="00DC6A71"/>
    <w:rsid w:val="00DE2AED"/>
    <w:rsid w:val="00E007CD"/>
    <w:rsid w:val="00E0357D"/>
    <w:rsid w:val="00E4201C"/>
    <w:rsid w:val="00ED1C3E"/>
    <w:rsid w:val="00F20CE2"/>
    <w:rsid w:val="00F240BB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1CCBC03D"/>
  <w15:chartTrackingRefBased/>
  <w15:docId w15:val="{D3F5EE2C-5F4F-4D58-BC23-CE331900D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ad.sigov.si\DAT\MZ\Predloge\Office\MZ\MZ_SLO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MZ_SLO</Template>
  <TotalTime>3</TotalTime>
  <Pages>2</Pages>
  <Words>529</Words>
  <Characters>3016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3538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Avtor</dc:creator>
  <cp:keywords/>
  <cp:lastModifiedBy>Eva Marina Vukosavljević</cp:lastModifiedBy>
  <cp:revision>1</cp:revision>
  <dcterms:created xsi:type="dcterms:W3CDTF">2026-07-08T11:06:00Z</dcterms:created>
  <dcterms:modified xsi:type="dcterms:W3CDTF">2026-07-08T11:10:00Z</dcterms:modified>
</cp:coreProperties>
</file>