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1AD119" w14:textId="77777777" w:rsidR="00304288" w:rsidRDefault="00304288">
      <w:pPr>
        <w:spacing w:after="0" w:line="260" w:lineRule="auto"/>
        <w:rPr>
          <w:rFonts w:cs="Arial"/>
        </w:rPr>
      </w:pPr>
      <w:bookmarkStart w:id="0" w:name="_GoBack"/>
      <w:bookmarkEnd w:id="0"/>
    </w:p>
    <w:p w14:paraId="07D4657B" w14:textId="77777777" w:rsidR="00304288" w:rsidRDefault="00304288">
      <w:pPr>
        <w:spacing w:after="0" w:line="260" w:lineRule="auto"/>
        <w:rPr>
          <w:rFonts w:cs="Arial"/>
        </w:rPr>
      </w:pPr>
    </w:p>
    <w:p w14:paraId="7A45D867" w14:textId="77777777" w:rsidR="00304288" w:rsidRDefault="00304288">
      <w:pPr>
        <w:spacing w:after="0" w:line="260" w:lineRule="auto"/>
        <w:rPr>
          <w:rFonts w:cs="Arial"/>
        </w:rPr>
      </w:pPr>
    </w:p>
    <w:p w14:paraId="648BD483" w14:textId="77777777" w:rsidR="00304288" w:rsidRDefault="00304288">
      <w:pPr>
        <w:spacing w:after="0" w:line="260" w:lineRule="auto"/>
        <w:rPr>
          <w:rFonts w:cs="Arial"/>
        </w:rPr>
      </w:pPr>
    </w:p>
    <w:p w14:paraId="63649169" w14:textId="77777777" w:rsidR="00304288" w:rsidRDefault="00304288">
      <w:pPr>
        <w:spacing w:after="0" w:line="260" w:lineRule="auto"/>
        <w:rPr>
          <w:rFonts w:cs="Arial"/>
        </w:rPr>
      </w:pPr>
    </w:p>
    <w:p w14:paraId="242B5199" w14:textId="77777777" w:rsidR="00304288" w:rsidRDefault="00304288">
      <w:pPr>
        <w:spacing w:after="0" w:line="260" w:lineRule="auto"/>
        <w:rPr>
          <w:rFonts w:cs="Arial"/>
        </w:rPr>
      </w:pPr>
    </w:p>
    <w:p w14:paraId="2CE61600" w14:textId="77777777" w:rsidR="00304288" w:rsidRDefault="00304288">
      <w:pPr>
        <w:spacing w:after="0" w:line="260" w:lineRule="auto"/>
        <w:rPr>
          <w:rFonts w:cs="Arial"/>
        </w:rPr>
      </w:pPr>
    </w:p>
    <w:p w14:paraId="11E6D96A" w14:textId="77777777" w:rsidR="00304288" w:rsidRDefault="00304288">
      <w:pPr>
        <w:spacing w:after="0" w:line="260" w:lineRule="auto"/>
        <w:rPr>
          <w:rFonts w:cs="Arial"/>
        </w:rPr>
      </w:pPr>
    </w:p>
    <w:p w14:paraId="602F820F" w14:textId="77777777" w:rsidR="00304288" w:rsidRDefault="00304288">
      <w:pPr>
        <w:spacing w:after="0" w:line="260" w:lineRule="auto"/>
        <w:rPr>
          <w:rFonts w:cs="Arial"/>
        </w:rPr>
      </w:pPr>
    </w:p>
    <w:p w14:paraId="199D6F64" w14:textId="77777777" w:rsidR="00304288" w:rsidRDefault="00304288">
      <w:pPr>
        <w:spacing w:after="0" w:line="260" w:lineRule="auto"/>
        <w:rPr>
          <w:rFonts w:cs="Arial"/>
        </w:rPr>
      </w:pPr>
    </w:p>
    <w:p w14:paraId="47C6FF0F" w14:textId="77777777" w:rsidR="00304288" w:rsidRDefault="00304288">
      <w:pPr>
        <w:spacing w:after="0" w:line="260" w:lineRule="auto"/>
        <w:rPr>
          <w:rFonts w:cs="Arial"/>
        </w:rPr>
      </w:pPr>
    </w:p>
    <w:p w14:paraId="3833B0FA" w14:textId="77777777" w:rsidR="00304288" w:rsidRDefault="00304288">
      <w:pPr>
        <w:spacing w:after="0" w:line="260" w:lineRule="auto"/>
        <w:rPr>
          <w:rFonts w:cs="Arial"/>
        </w:rPr>
      </w:pPr>
    </w:p>
    <w:p w14:paraId="32192816" w14:textId="77777777" w:rsidR="00304288" w:rsidRDefault="00304288">
      <w:pPr>
        <w:spacing w:after="0" w:line="260" w:lineRule="auto"/>
        <w:rPr>
          <w:rFonts w:cs="Arial"/>
        </w:rPr>
      </w:pPr>
    </w:p>
    <w:p w14:paraId="0A238F7D" w14:textId="77777777" w:rsidR="00304288" w:rsidRDefault="00304288">
      <w:pPr>
        <w:spacing w:after="0" w:line="260" w:lineRule="auto"/>
        <w:rPr>
          <w:rFonts w:cs="Arial"/>
        </w:rPr>
      </w:pPr>
    </w:p>
    <w:p w14:paraId="11446A6E" w14:textId="77777777" w:rsidR="00304288" w:rsidRDefault="00A464F5">
      <w:pPr>
        <w:pStyle w:val="SredinskoOdebeljeno"/>
        <w:spacing w:line="260" w:lineRule="auto"/>
      </w:pPr>
      <w:r>
        <w:t>ZAKON O SPREMEMBAH IN DOPOLNITVAH ZAKONA O PREPREČEVANJU PRANJA DENARJA IN FINANCIRANJA TERORIZMA</w:t>
      </w:r>
    </w:p>
    <w:p w14:paraId="08B3C466" w14:textId="77777777" w:rsidR="00304288" w:rsidRDefault="00304288">
      <w:pPr>
        <w:spacing w:after="0" w:line="260" w:lineRule="auto"/>
        <w:rPr>
          <w:rFonts w:cs="Arial"/>
        </w:rPr>
      </w:pPr>
    </w:p>
    <w:p w14:paraId="738226A3" w14:textId="77777777" w:rsidR="00304288" w:rsidRDefault="00A464F5">
      <w:pPr>
        <w:pStyle w:val="Sredinsko"/>
        <w:spacing w:line="260" w:lineRule="auto"/>
      </w:pPr>
      <w:r>
        <w:t>PREDLOG</w:t>
      </w:r>
    </w:p>
    <w:p w14:paraId="63113426" w14:textId="77777777" w:rsidR="00304288" w:rsidRDefault="00304288">
      <w:pPr>
        <w:spacing w:after="0" w:line="260" w:lineRule="auto"/>
        <w:rPr>
          <w:rFonts w:cs="Arial"/>
        </w:rPr>
      </w:pPr>
    </w:p>
    <w:p w14:paraId="260A763D" w14:textId="77777777" w:rsidR="00304288" w:rsidRDefault="00304288">
      <w:pPr>
        <w:spacing w:after="0" w:line="260" w:lineRule="auto"/>
        <w:rPr>
          <w:rFonts w:cs="Arial"/>
        </w:rPr>
      </w:pPr>
    </w:p>
    <w:p w14:paraId="7A66D33B" w14:textId="77777777" w:rsidR="00304288" w:rsidRDefault="00A464F5">
      <w:pPr>
        <w:pStyle w:val="Sredinsko"/>
        <w:spacing w:line="260" w:lineRule="auto"/>
      </w:pPr>
      <w:r>
        <w:t>EVA: 2026-1611-0025</w:t>
      </w:r>
    </w:p>
    <w:p w14:paraId="55C26CCD" w14:textId="77777777" w:rsidR="00304288" w:rsidRDefault="00304288">
      <w:pPr>
        <w:spacing w:after="0" w:line="260" w:lineRule="auto"/>
        <w:rPr>
          <w:rFonts w:cs="Arial"/>
        </w:rPr>
      </w:pPr>
    </w:p>
    <w:p w14:paraId="1ED4E3BE" w14:textId="77777777" w:rsidR="00304288" w:rsidRDefault="00A464F5">
      <w:r>
        <w:br w:type="page"/>
      </w:r>
    </w:p>
    <w:p w14:paraId="6831BFBF" w14:textId="77777777" w:rsidR="00304288" w:rsidRDefault="00A464F5">
      <w:pPr>
        <w:pStyle w:val="Odebeljeno"/>
        <w:spacing w:line="260" w:lineRule="auto"/>
      </w:pPr>
      <w:r>
        <w:lastRenderedPageBreak/>
        <w:t>I.</w:t>
      </w:r>
      <w:r>
        <w:tab/>
        <w:t>UVOD</w:t>
      </w:r>
    </w:p>
    <w:p w14:paraId="5795E66A" w14:textId="77777777" w:rsidR="00304288" w:rsidRDefault="00A464F5">
      <w:pPr>
        <w:pStyle w:val="Odebeljeno"/>
        <w:spacing w:line="260" w:lineRule="auto"/>
      </w:pPr>
      <w:r>
        <w:t>1.</w:t>
      </w:r>
      <w:r>
        <w:tab/>
        <w:t>Ocena stanja in razlogi za sprejetje predloga zakona</w:t>
      </w:r>
    </w:p>
    <w:p w14:paraId="2CB55D28" w14:textId="77777777" w:rsidR="00304288" w:rsidRDefault="00304288">
      <w:pPr>
        <w:spacing w:after="0" w:line="260" w:lineRule="auto"/>
        <w:rPr>
          <w:rFonts w:cs="Arial"/>
        </w:rPr>
      </w:pPr>
    </w:p>
    <w:p w14:paraId="44C3898B" w14:textId="77777777" w:rsidR="00304288" w:rsidRDefault="00A464F5">
      <w:pPr>
        <w:spacing w:after="0" w:line="240" w:lineRule="auto"/>
      </w:pPr>
      <w:r>
        <w:t>Zakon o preprečevanju pranja denarja in financiranja terorizma (Uradni list RS, št. 48/22, 145/22, 17/25 in 56/25; v nadaljnjem besedilu: ZPPDFT-2) je temeljni pravni akt, ki v Sloveniji določa ukrepe, pristojne organe in postopke za preprečevanje, odkrivanje in preiskovanje pranja denarja ter financiranja terorizma. Prav tako ureja inšpekcijski nadzor nad izvajanjem določb zakona. Njegov glavni cilj je tako zagotoviti preglednost finančnih transakcij, zmanjšati tveganje za zlorabo finančnega sistema in okrepiti nadzor nad poslovnimi subjekti ter finančnimi institucijami.</w:t>
      </w:r>
    </w:p>
    <w:p w14:paraId="1C807450" w14:textId="77777777" w:rsidR="00304288" w:rsidRDefault="00A464F5">
      <w:pPr>
        <w:spacing w:after="0" w:line="240" w:lineRule="auto"/>
      </w:pPr>
      <w:r>
        <w:t xml:space="preserve"> </w:t>
      </w:r>
    </w:p>
    <w:p w14:paraId="06FADA3D" w14:textId="77777777" w:rsidR="00304288" w:rsidRDefault="00A464F5">
      <w:pPr>
        <w:spacing w:after="0" w:line="240" w:lineRule="auto"/>
      </w:pPr>
      <w:r>
        <w:t>ZPPDFT-2 določa obveznosti zavezancev, kamor med drugim spadajo banke, hranilnice, zavarovalnice, borznoposredniške družbe, notarji, odvetniki, nepremičninske družbe in druge organizacije, ki se pri svojem poslovanju srečujejo s tveganji pranja denarja. Ti zavezanci morajo izvajati ukrepe za ugotavljanje in preverjanje identitete svojih strank, spremljati poslovanje ter poročati o sumljivih transakcijah Uradu Republike Slovenije za preprečevanje pranja denarja (v nadaljnjem besedilu: urad).</w:t>
      </w:r>
    </w:p>
    <w:p w14:paraId="6092F9F9" w14:textId="77777777" w:rsidR="00304288" w:rsidRDefault="00A464F5">
      <w:pPr>
        <w:spacing w:after="0" w:line="240" w:lineRule="auto"/>
      </w:pPr>
      <w:r>
        <w:t xml:space="preserve"> </w:t>
      </w:r>
    </w:p>
    <w:p w14:paraId="018CBEEC" w14:textId="77777777" w:rsidR="00304288" w:rsidRDefault="00A464F5">
      <w:pPr>
        <w:spacing w:after="0" w:line="240" w:lineRule="auto"/>
      </w:pPr>
      <w:r>
        <w:t>Med drugim ZPPDFT-2 ureja register dejanskih lastnikov, ki je ključen instrument za zagotavljanje preglednosti lastniških struktur poslovnih subjektov in preprečevanje finančnih zlorab, predvsem glede pranja denarja in financiranja terorizma. Namen registra dejanskih lastnikov je omogočiti vpogled v to, kdo dejansko nadzoruje pravne osebe in druge subjekte, s čimer se zmanjšuje možnost prikrivanja premoženja ali zlorabe pravnih struktur za nezakonite dejavnosti.</w:t>
      </w:r>
    </w:p>
    <w:p w14:paraId="0F8501B5" w14:textId="77777777" w:rsidR="00304288" w:rsidRDefault="00A464F5">
      <w:pPr>
        <w:spacing w:after="0" w:line="240" w:lineRule="auto"/>
      </w:pPr>
      <w:r>
        <w:t xml:space="preserve"> </w:t>
      </w:r>
    </w:p>
    <w:p w14:paraId="7C9F4967" w14:textId="77777777" w:rsidR="00304288" w:rsidRDefault="00A464F5">
      <w:pPr>
        <w:spacing w:after="0" w:line="240" w:lineRule="auto"/>
      </w:pPr>
      <w:r>
        <w:t>Dejanski lastnik je fizična oseba, ki ima nad poslovnim subjektom končni nadzor. To pomeni, da lahko neposredno ali posredno vpliva na njegovo upravljanje ali sprejemanje odločitev. V skladu z ZPPDFT-2 se za dejanskega lastnika šteje tisti, ki ima v lasti več kot 25-odstotni delež pravne osebe, obvladuje več kot 25 odstotkov glasovalnih pravic ali kako drugače izvaja prevladujoč vpliv na upravljanje pravne osebe.</w:t>
      </w:r>
    </w:p>
    <w:p w14:paraId="05CFF928" w14:textId="77777777" w:rsidR="00304288" w:rsidRDefault="00A464F5">
      <w:pPr>
        <w:spacing w:after="0" w:line="240" w:lineRule="auto"/>
      </w:pPr>
      <w:r>
        <w:t xml:space="preserve"> </w:t>
      </w:r>
    </w:p>
    <w:p w14:paraId="169631A6" w14:textId="77777777" w:rsidR="00304288" w:rsidRDefault="00A464F5">
      <w:pPr>
        <w:spacing w:after="0" w:line="240" w:lineRule="auto"/>
      </w:pPr>
      <w:r>
        <w:t>Vpis dejanskih lastnikov v register dejanskih lastnikov je zakonska obveznost poslovnih subjektov, vključno z gospodarskimi subjekti, društvi, zavodi in drugimi organizacijami. Podatke morajo redno posodabljati in zagotavljati njihovo pravilnost ter resničnost. Obveznost vpisa in posodabljanja podatkov velja tudi za podružnice tujih poslovnih subjektov, če poslujejo v Sloveniji.</w:t>
      </w:r>
    </w:p>
    <w:p w14:paraId="1AFB7709" w14:textId="77777777" w:rsidR="00304288" w:rsidRDefault="00A464F5">
      <w:pPr>
        <w:spacing w:after="0" w:line="240" w:lineRule="auto"/>
      </w:pPr>
      <w:r>
        <w:t xml:space="preserve"> </w:t>
      </w:r>
    </w:p>
    <w:p w14:paraId="3C1263EB" w14:textId="77777777" w:rsidR="00304288" w:rsidRDefault="00A464F5">
      <w:pPr>
        <w:spacing w:after="0" w:line="240" w:lineRule="auto"/>
      </w:pPr>
      <w:r>
        <w:t xml:space="preserve">Zaradi zgoraj navedenega velja področje dejanskega lastništva za eno najobčutljivejših področij sistema preprečevanja pranja denarja, predvsem zaradi sodbe Sodišča Evropske unije iz leta 2022 (združeni zadevi C 37/20 in C 601/20), ki je razveljavila ureditev neomejenega javnega dostopa do registrov dejanskih lastnikov. Sodišče Evropske unije je namreč presodilo, da splošni javni vpogled pomeni nesorazmeren poseg v pravico do zasebnosti in varstva osebnih podatkov, zato so morale države članice vzpostaviti nov model dostopa, utemeljen na dokazovanju upravičenega interesa. Ta odločitev je bistveno spremenila dotedanjo ureditev preglednosti ter sprožila revizijo </w:t>
      </w:r>
      <w:proofErr w:type="spellStart"/>
      <w:r>
        <w:t>notranjepravnih</w:t>
      </w:r>
      <w:proofErr w:type="spellEnd"/>
      <w:r>
        <w:t xml:space="preserve"> postopkov, meril in varovalnih mehanizmov, povezanih z razkrivanjem podatkov o dejanskih lastnikih.</w:t>
      </w:r>
    </w:p>
    <w:p w14:paraId="28900B6F" w14:textId="77777777" w:rsidR="00304288" w:rsidRDefault="00A464F5">
      <w:pPr>
        <w:spacing w:after="0" w:line="240" w:lineRule="auto"/>
      </w:pPr>
      <w:r>
        <w:t xml:space="preserve"> </w:t>
      </w:r>
    </w:p>
    <w:p w14:paraId="39136BBB" w14:textId="2D4805AD" w:rsidR="00304288" w:rsidRDefault="00A464F5">
      <w:pPr>
        <w:spacing w:after="0" w:line="240" w:lineRule="auto"/>
      </w:pPr>
      <w:r>
        <w:t>Že Zakon o spremembah in dopolnitvah Zakona o preprečevanju pranja denarja in financiranja terorizma (Uradni list RS, št. 56/25; v nadaljnjem besedilu: ZPPDFT</w:t>
      </w:r>
      <w:r w:rsidR="00023178">
        <w:t>-</w:t>
      </w:r>
      <w:r>
        <w:t>2C), sprejet v letu 2025, je pomenil spremembo dotedanje ureditve dostopa do registra dejanskih lastnikov in s tem prilagoditev domače pravne ureditve evropskim pravnim standardom ter sodbam Sodišča EU. V skladu z zahtevami Direktive (EU) št.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št. 2024/1640 z dne 19. 6. 2024; v nadaljnjem besedilu: Direktiva 2024/1640/EU) pa se s predlogom zakona v slovenski pravni red prenašajo še strožji in bolj nadzorovani mehanizmi dostopa do registra dejanskih lastnikov.</w:t>
      </w:r>
    </w:p>
    <w:p w14:paraId="3918A692" w14:textId="77777777" w:rsidR="00304288" w:rsidRDefault="00A464F5">
      <w:pPr>
        <w:spacing w:after="0" w:line="240" w:lineRule="auto"/>
      </w:pPr>
      <w:r>
        <w:t xml:space="preserve"> </w:t>
      </w:r>
    </w:p>
    <w:p w14:paraId="01BB0D61" w14:textId="77777777" w:rsidR="00304288" w:rsidRDefault="00A464F5">
      <w:pPr>
        <w:spacing w:after="0" w:line="240" w:lineRule="auto"/>
      </w:pPr>
      <w:r>
        <w:t xml:space="preserve">Nova ureditev registrov dejanskih lastnikov na ravni Evropske unije izhaja iz ugotovitve, da dosedanji sistem kljub izboljšavam ni zagotavljal zadostne stopnje preglednosti in učinkovitosti, zlasti v čezmejnih primerih. Pravni subjekti in pravne ureditve še naprej omogočajo prikrivanje identitete dejanskih lastnikov za uradno zakonitimi strukturami, pri čemer so bile v praksi ugotovljene pomanjkljivosti, kot so nepopolni, netočni ali težko dostopni podatki ter razlike v </w:t>
      </w:r>
      <w:proofErr w:type="spellStart"/>
      <w:r>
        <w:t>notranjepravnih</w:t>
      </w:r>
      <w:proofErr w:type="spellEnd"/>
      <w:r>
        <w:t xml:space="preserve"> načinih obravnave. Takšna razdrobljenost je omejevala </w:t>
      </w:r>
      <w:r>
        <w:lastRenderedPageBreak/>
        <w:t>učinkovito sodelovanje med državami članicami in omogočala izkoriščanje vrzeli v področni zakonodaji. Nova ureditev zato uvaja usklajeni način zbiranja, obdelave in dostopa do podatkov o dejanskem lastništvu ter krepi vlogo osrednjih registrov kot zanesljivega vira informacij. Poseben poudarek je na zagotavljanju točnosti in sprotnem posodabljanju podatkov, kar se dosega z obveznimi preverjanji, uporabo avtomatiziranih mehanizmov in možnostjo pridobivanja dodatnih dokazil. S tem se med državami članicami vzpostavlja prehod od uradnega evidentiranja podatkov k njihovemu aktivnemu upravljanju.</w:t>
      </w:r>
    </w:p>
    <w:p w14:paraId="7FFCE9A6" w14:textId="77777777" w:rsidR="00304288" w:rsidRDefault="00A464F5">
      <w:pPr>
        <w:spacing w:after="0" w:line="240" w:lineRule="auto"/>
      </w:pPr>
      <w:r>
        <w:t xml:space="preserve"> </w:t>
      </w:r>
    </w:p>
    <w:p w14:paraId="249C73FA" w14:textId="77777777" w:rsidR="00304288" w:rsidRDefault="00A464F5">
      <w:pPr>
        <w:spacing w:after="0" w:line="240" w:lineRule="auto"/>
      </w:pPr>
      <w:r>
        <w:t>Pomembna novost je tudi obvezno povezovanje državnih registrov v evropski osrednji platformi, kar omogoča enoten, hiter in učinkovit čezmejni dostop do podatkov ter krepi operativno sodelovanje med pristojnimi organi, finančno obveščevalnimi enotami in drugimi deležniki. Hkrati nova ureditev ohranja in nadgrajuje idejno zasnovo dostopa na podlagi pravnega interesa, pri čemer uvaja bolj usklajena merila na ravni EU ter dodatna varovala za zaščito osebnih podatkov in varnost uporabnikov, zlasti novinarjev in organizacij civilne družbe.</w:t>
      </w:r>
    </w:p>
    <w:p w14:paraId="211A132A" w14:textId="77777777" w:rsidR="00304288" w:rsidRDefault="00A464F5">
      <w:pPr>
        <w:spacing w:after="0" w:line="240" w:lineRule="auto"/>
      </w:pPr>
      <w:r>
        <w:t xml:space="preserve"> </w:t>
      </w:r>
    </w:p>
    <w:p w14:paraId="005E07D5" w14:textId="77777777" w:rsidR="00304288" w:rsidRDefault="00A464F5">
      <w:pPr>
        <w:spacing w:after="0" w:line="240" w:lineRule="auto"/>
      </w:pPr>
      <w:r>
        <w:t>Ob tem nova evropska ureditev dodatno krepi nadzorno funkcijo upravljavcev registrov, saj jim podeljuje pooblastila za izvajanje preverjanj in obveznost poročanja finančno obveščevalnim enotam v primeru suma pranja denarja ali financiranja terorizma. Upravljavci registrov bodo morali voditi tudi evidence o dostopih ob hkratni zaščiti identitete določenih kategorij uporabnikov, kar dodatno krepi ravnovesje med preglednostjo in varstvom temeljnih pravic.</w:t>
      </w:r>
    </w:p>
    <w:p w14:paraId="325F1420" w14:textId="77777777" w:rsidR="00304288" w:rsidRDefault="00A464F5">
      <w:pPr>
        <w:spacing w:after="0" w:line="240" w:lineRule="auto"/>
      </w:pPr>
      <w:r>
        <w:t xml:space="preserve"> </w:t>
      </w:r>
    </w:p>
    <w:p w14:paraId="0493EDBE" w14:textId="77777777" w:rsidR="00304288" w:rsidRDefault="00A464F5">
      <w:pPr>
        <w:spacing w:after="0" w:line="240" w:lineRule="auto"/>
      </w:pPr>
      <w:r>
        <w:t>Po ZPPDFT-2 imajo dostop do registra dejanskih lastnikov zavezanci iz 4. člena ZPPDFT-2 ter državni organi (organi odkrivanja in pregona, sodišča, preiskovalne komisije Državnega zbora Republike Slovenije in nadzorni organi iz 152. člena ZPPDFT-2) že po zakonu. Poleg njih lahko brezplačno do omejenega nabora podatkov (osebno ime, mesec in leto rojstva, država prebivališča, državljanstvo, višina deleža in oblika nadzora dejanskega lastnika) dostopajo tudi fizične ali pravne osebe z izkazanim upravičenim interesom. Ta je podan zlasti, če je namen dostopa povezan s preprečevanjem pranja denarja ali financiranja terorizma, če pravna oseba potrebuje podatke o svojih dejanskih lastnikih ali če oseba preverja nasprotno stranko pred sklenitvijo poslovnega razmerja. Za novinarje, akademike, izobraževalne ustanove in organizacije civilne družbe, ki se ukvarjajo s preprečevanjem pranja denarja in financiranja terorizma ali sorodnimi področji, pa se upravičeni interes domneva. Zavezanci imajo pri izvajanju pregleda stranke neposreden elektronski dostop do vseh vpisanih podatkov v registru dejanskih lastnikov, iskanje pa je omogočeno tudi z uporabo kombinacij osebnega imena in drugih označevalcev oziroma identifikatorjev (na primer davčne številke ali datuma rojstva).</w:t>
      </w:r>
    </w:p>
    <w:p w14:paraId="3A1432EB" w14:textId="77777777" w:rsidR="00304288" w:rsidRDefault="00A464F5">
      <w:pPr>
        <w:spacing w:after="0" w:line="240" w:lineRule="auto"/>
      </w:pPr>
      <w:r>
        <w:t xml:space="preserve"> </w:t>
      </w:r>
    </w:p>
    <w:p w14:paraId="33F2313F" w14:textId="77777777" w:rsidR="00304288" w:rsidRDefault="00A464F5">
      <w:pPr>
        <w:spacing w:after="0" w:line="240" w:lineRule="auto"/>
      </w:pPr>
      <w:r>
        <w:t>Prav tako ZPPDFT-2 posebno pozornost namenja sledljivosti in nadzoru nad dostopi do registra dejanskih lastnikov. Vsaka zahteva za vpogled mora biti vložena pisno in je predmet upravne odločbe, ki jo mora Agencija Republike Slovenije za javnopravne evidence in storitve (v nadaljnjem besedilu: AJPES) izdati v petnajstih delovnih dneh. Vsi dostopi se beležijo, kar omogoča naknadni nadzor zakonitosti vpogledov. Za nepooblaščeno ali nenamensko uporabo podatkov zakon predpisuje visoke globe, ki segajo od 400 do 30.000 evrov, odvisno od statusa kršitelja.</w:t>
      </w:r>
    </w:p>
    <w:p w14:paraId="6D58097D" w14:textId="77777777" w:rsidR="00304288" w:rsidRDefault="00A464F5">
      <w:pPr>
        <w:spacing w:after="0" w:line="240" w:lineRule="auto"/>
      </w:pPr>
      <w:r>
        <w:t xml:space="preserve"> </w:t>
      </w:r>
    </w:p>
    <w:p w14:paraId="6570E4D0" w14:textId="77777777" w:rsidR="00304288" w:rsidRDefault="00A464F5">
      <w:pPr>
        <w:spacing w:after="0" w:line="240" w:lineRule="auto"/>
      </w:pPr>
      <w:r>
        <w:t>Ne glede na že sprejete ukrepe in spremembe na področju registra dejanskih lastnikov morajo države članice na podlagi Direktive 2024/1640/EU izvesti še dodatne prilagoditve, saj ta zahteva celovito posodobitev evropskega sistema preglednosti dejanskega lastništva. Tako Direktiva 2024/1640/EU v 11., 12., 13. in 15. členu določa nove obveznosti, ki jih morajo države članice prenesti v svoje pravne rede najpozneje do 10. julija 2026. Gre za obveznosti, ki se nanašajo na usklajeno ureditev pravnega interesa, nadgradnjo delovanja centralnih registrov ter vzpostavitev višjih standardov pravne varnosti, sledljivosti in preglednosti pri dostopu do podatkov o dejanskih lastnikih.</w:t>
      </w:r>
    </w:p>
    <w:p w14:paraId="3706E8B0" w14:textId="77777777" w:rsidR="00304288" w:rsidRDefault="00A464F5">
      <w:pPr>
        <w:spacing w:after="0" w:line="240" w:lineRule="auto"/>
      </w:pPr>
      <w:r>
        <w:t xml:space="preserve"> </w:t>
      </w:r>
    </w:p>
    <w:p w14:paraId="1F197BB6" w14:textId="77777777" w:rsidR="00304288" w:rsidRDefault="00A464F5">
      <w:pPr>
        <w:spacing w:after="0" w:line="240" w:lineRule="auto"/>
      </w:pPr>
      <w:r>
        <w:t>Nadaljnji prenos predhodno navedenih določb Direktive 2024/1640/EU je zato nujen, da se zagotovi popolna skladnost slovenskega pravnega reda z novo obvezno evropsko ureditvijo, ki stremi k večji učinkovitosti, preglednosti in enotni obravnavi zavezancev v vseh državah članicah. Ti dodatni ukrepi bodo odpravili pomanjkljivosti prejšnje ureditve, okrepili pravno varnost uporabnikov ter zagotovili sodoben sistem upravljanja podatkov o dejanskih lastnikih, ki ustreza najnovejšim evropskim standardom.</w:t>
      </w:r>
    </w:p>
    <w:p w14:paraId="2FABAB71" w14:textId="77777777" w:rsidR="00304288" w:rsidRDefault="00A464F5">
      <w:pPr>
        <w:spacing w:after="0" w:line="240" w:lineRule="auto"/>
      </w:pPr>
      <w:r>
        <w:t xml:space="preserve"> </w:t>
      </w:r>
    </w:p>
    <w:p w14:paraId="67DCDBF9" w14:textId="77777777" w:rsidR="00304288" w:rsidRDefault="00A464F5">
      <w:pPr>
        <w:spacing w:after="0" w:line="240" w:lineRule="auto"/>
      </w:pPr>
      <w:r>
        <w:lastRenderedPageBreak/>
        <w:t>Celovito gledano nova ureditev pomeni kvalitativni premik od razdrobljenega in pretežno formalnega sistema k enotnemu, povezanemu in nadzorovanemu sistemu upravljanja podatkov, ki temelji na visoki stopnji točnosti, dostopnosti in varstva temeljnih pravic, s čimer bistveno krepi sposobnost preprečevanja in odkrivanja finančnega kriminala.</w:t>
      </w:r>
    </w:p>
    <w:p w14:paraId="1EEFDC11" w14:textId="77777777" w:rsidR="00304288" w:rsidRDefault="00304288">
      <w:pPr>
        <w:spacing w:after="0" w:line="260" w:lineRule="auto"/>
        <w:rPr>
          <w:rFonts w:cs="Arial"/>
        </w:rPr>
      </w:pPr>
    </w:p>
    <w:p w14:paraId="72DA2E45" w14:textId="77777777" w:rsidR="00304288" w:rsidRDefault="00A464F5">
      <w:pPr>
        <w:pStyle w:val="Odebeljeno"/>
        <w:spacing w:line="260" w:lineRule="auto"/>
      </w:pPr>
      <w:r>
        <w:t>2.</w:t>
      </w:r>
      <w:r>
        <w:tab/>
        <w:t>CILJI, NAČELA IN POGLAVITNE REŠITVE PREDLOGA ZAKONA</w:t>
      </w:r>
    </w:p>
    <w:p w14:paraId="372E12D0" w14:textId="77777777" w:rsidR="00304288" w:rsidRDefault="00A464F5">
      <w:pPr>
        <w:pStyle w:val="Odebeljeno"/>
        <w:spacing w:line="260" w:lineRule="auto"/>
      </w:pPr>
      <w:r>
        <w:t>2.1</w:t>
      </w:r>
      <w:r>
        <w:tab/>
        <w:t>Cilji</w:t>
      </w:r>
    </w:p>
    <w:p w14:paraId="7D94983D" w14:textId="77777777" w:rsidR="00304288" w:rsidRDefault="00304288">
      <w:pPr>
        <w:spacing w:after="0" w:line="260" w:lineRule="auto"/>
        <w:rPr>
          <w:rFonts w:cs="Arial"/>
        </w:rPr>
      </w:pPr>
    </w:p>
    <w:p w14:paraId="48A164D4" w14:textId="77777777" w:rsidR="00304288" w:rsidRDefault="00A464F5">
      <w:pPr>
        <w:spacing w:after="0" w:line="240" w:lineRule="auto"/>
      </w:pPr>
      <w:r>
        <w:t>Cilj predloga zakona je prenos določb 11., 12., 13. in 15. člena Direktive 2024/1640/EU, ki jih je treba prenesti v slovenski pravni red do 10. julija 2026.</w:t>
      </w:r>
    </w:p>
    <w:p w14:paraId="72A5FED7" w14:textId="77777777" w:rsidR="00304288" w:rsidRDefault="00A464F5">
      <w:pPr>
        <w:spacing w:after="0" w:line="240" w:lineRule="auto"/>
      </w:pPr>
      <w:r>
        <w:t xml:space="preserve"> </w:t>
      </w:r>
    </w:p>
    <w:p w14:paraId="652E7889" w14:textId="77777777" w:rsidR="00304288" w:rsidRDefault="00A464F5">
      <w:pPr>
        <w:spacing w:after="0" w:line="240" w:lineRule="auto"/>
      </w:pPr>
      <w:r>
        <w:t>Tako je bistveni del predloga zakona omejitev dostopa do registra dejanskih lastnikov na način, da je treba izkazati pravni interes, povezan s preprečevanjem pranja denarja in financiranja terorizma, s čimer se kar najbolj upošteva pravica do spoštovanja zasebnega življenja in varstva osebnih podatkov.</w:t>
      </w:r>
    </w:p>
    <w:p w14:paraId="42D3187B" w14:textId="77777777" w:rsidR="00304288" w:rsidRDefault="00304288">
      <w:pPr>
        <w:spacing w:after="0" w:line="260" w:lineRule="auto"/>
        <w:rPr>
          <w:rFonts w:cs="Arial"/>
        </w:rPr>
      </w:pPr>
    </w:p>
    <w:p w14:paraId="375EF210" w14:textId="77777777" w:rsidR="00304288" w:rsidRDefault="00A464F5">
      <w:pPr>
        <w:spacing w:after="0" w:line="240" w:lineRule="auto"/>
      </w:pPr>
      <w:r>
        <w:t xml:space="preserve">Kazalniki za spremljanje doseganja cilja novele zakona vključujejo merjenje pravočasnega in popolnega prenosa določb Direktive 2024/1640/EU ter spremljanje skladnosti s pravnim redom Evropske unije. Učinkovitost omejitve dostopa do registra dejanskih lastnikov se bo ocenjevala z ugotavljanjem deleža odobrenih in zavrnjenih vlog zaradi </w:t>
      </w:r>
      <w:proofErr w:type="spellStart"/>
      <w:r>
        <w:t>neizkazanega</w:t>
      </w:r>
      <w:proofErr w:type="spellEnd"/>
      <w:r>
        <w:t xml:space="preserve"> pravnega interesa, povprečnega časa odločanja o vlogah ter števila preverjanj oseb, ki imajo dostop na podlagi funkcije ali poklica.</w:t>
      </w:r>
    </w:p>
    <w:p w14:paraId="50791F50" w14:textId="77777777" w:rsidR="00304288" w:rsidRDefault="00A464F5">
      <w:pPr>
        <w:spacing w:after="0" w:line="240" w:lineRule="auto"/>
      </w:pPr>
      <w:r>
        <w:t xml:space="preserve"> </w:t>
      </w:r>
    </w:p>
    <w:p w14:paraId="51B30F30" w14:textId="77777777" w:rsidR="00304288" w:rsidRDefault="00A464F5">
      <w:pPr>
        <w:spacing w:after="0" w:line="240" w:lineRule="auto"/>
      </w:pPr>
      <w:r>
        <w:t>Varstvo osebnih podatkov se bo spremljalo z ugotavljanjem števila primerov, v katerih podatki niso bili razkriti zaradi tveganja za varnost dejanskega lastnika, ter z beleženjem morebitnih zlorab podatkov. Delovanje registra bo ocenjeno z analizo števila dostopov z veljavnim pravnim interesom ter deleža odločitev, sprejetih v zakonskih rokih. Prispevek k preprečevanju pranja denarja in financiranja terorizma se bo vrednotil na podlagi primerov, v katerih so podatki registra podprli preiskave, ter na podlagi ocen pristojnih organov o uporabnosti podatkov.</w:t>
      </w:r>
    </w:p>
    <w:p w14:paraId="5D5A7715" w14:textId="77777777" w:rsidR="00304288" w:rsidRDefault="00A464F5">
      <w:pPr>
        <w:spacing w:after="0" w:line="240" w:lineRule="auto"/>
      </w:pPr>
      <w:r>
        <w:t xml:space="preserve"> </w:t>
      </w:r>
    </w:p>
    <w:p w14:paraId="729747E1" w14:textId="77777777" w:rsidR="00304288" w:rsidRDefault="00A464F5">
      <w:pPr>
        <w:spacing w:after="0" w:line="240" w:lineRule="auto"/>
      </w:pPr>
      <w:r>
        <w:t>Skupaj ti kazalniki omogočajo celovito spremljanje učinkov spremembe zakona ter njene skladnosti z evropskim pravnim okvirom.</w:t>
      </w:r>
    </w:p>
    <w:p w14:paraId="30AD681E" w14:textId="77777777" w:rsidR="00304288" w:rsidRDefault="00304288">
      <w:pPr>
        <w:spacing w:after="0" w:line="260" w:lineRule="auto"/>
        <w:rPr>
          <w:rFonts w:cs="Arial"/>
        </w:rPr>
      </w:pPr>
    </w:p>
    <w:p w14:paraId="0780179A" w14:textId="77777777" w:rsidR="00304288" w:rsidRDefault="00A464F5">
      <w:pPr>
        <w:pStyle w:val="Odebeljeno"/>
        <w:spacing w:line="260" w:lineRule="auto"/>
      </w:pPr>
      <w:r>
        <w:t>2.2</w:t>
      </w:r>
      <w:r>
        <w:tab/>
        <w:t>Načela</w:t>
      </w:r>
    </w:p>
    <w:p w14:paraId="5816141C" w14:textId="77777777" w:rsidR="00304288" w:rsidRDefault="00304288">
      <w:pPr>
        <w:spacing w:after="0" w:line="260" w:lineRule="auto"/>
        <w:rPr>
          <w:rFonts w:cs="Arial"/>
        </w:rPr>
      </w:pPr>
    </w:p>
    <w:p w14:paraId="620E539B" w14:textId="77777777" w:rsidR="00304288" w:rsidRDefault="00A464F5">
      <w:pPr>
        <w:spacing w:after="0" w:line="240" w:lineRule="auto"/>
      </w:pPr>
      <w:r>
        <w:t>Pri pripravi predloga zakona sta bili upoštevani naslednji načeli:</w:t>
      </w:r>
    </w:p>
    <w:p w14:paraId="5AAA4E8E" w14:textId="77777777" w:rsidR="00304288" w:rsidRDefault="00A464F5">
      <w:pPr>
        <w:spacing w:after="0" w:line="240" w:lineRule="auto"/>
      </w:pPr>
      <w:r>
        <w:t xml:space="preserve"> </w:t>
      </w:r>
    </w:p>
    <w:p w14:paraId="529470FB" w14:textId="77777777" w:rsidR="00304288" w:rsidRDefault="00A464F5">
      <w:pPr>
        <w:spacing w:after="0" w:line="240" w:lineRule="auto"/>
      </w:pPr>
      <w:r>
        <w:t xml:space="preserve"> - načelo omejenega dostopa na podlagi pravnega interesa: dostop do podatkov o dejanskih lastnikih ni več splošno javen, temveč je omejen na subjekte, ki izkažejo pravni interes;</w:t>
      </w:r>
    </w:p>
    <w:p w14:paraId="23BF2D65" w14:textId="77777777" w:rsidR="00304288" w:rsidRDefault="00A464F5">
      <w:pPr>
        <w:spacing w:after="0" w:line="240" w:lineRule="auto"/>
      </w:pPr>
      <w:r>
        <w:t xml:space="preserve"> </w:t>
      </w:r>
    </w:p>
    <w:p w14:paraId="783D37DB" w14:textId="77777777" w:rsidR="00304288" w:rsidRDefault="00A464F5">
      <w:pPr>
        <w:spacing w:after="0" w:line="240" w:lineRule="auto"/>
      </w:pPr>
      <w:r>
        <w:t xml:space="preserve"> - načelo preglednega postopka za dostop: zahteva za dostop do podatkov o dejanskih lastnikih mora biti vložena pri upravljavcu registra dejanskih lastnikov, pri čemer mora vloga vsebovati utemeljitev pravnega interesa, povezanega s preprečevanjem pranja denarja in financiranja terorizma.</w:t>
      </w:r>
      <w:r>
        <w:br/>
        <w:t xml:space="preserve"> </w:t>
      </w:r>
    </w:p>
    <w:p w14:paraId="5F94C74A" w14:textId="77777777" w:rsidR="00304288" w:rsidRDefault="00A464F5">
      <w:pPr>
        <w:spacing w:after="0" w:line="240" w:lineRule="auto"/>
      </w:pPr>
      <w:r>
        <w:t xml:space="preserve"> </w:t>
      </w:r>
    </w:p>
    <w:p w14:paraId="69AE501A" w14:textId="77777777" w:rsidR="00304288" w:rsidRDefault="00304288">
      <w:pPr>
        <w:spacing w:after="0" w:line="260" w:lineRule="auto"/>
        <w:rPr>
          <w:rFonts w:cs="Arial"/>
        </w:rPr>
      </w:pPr>
    </w:p>
    <w:p w14:paraId="5F43D6B3" w14:textId="77777777" w:rsidR="00304288" w:rsidRDefault="00A464F5">
      <w:pPr>
        <w:pStyle w:val="Odebeljeno"/>
        <w:spacing w:line="260" w:lineRule="auto"/>
      </w:pPr>
      <w:r>
        <w:t>2.3</w:t>
      </w:r>
      <w:r>
        <w:tab/>
        <w:t>Poglavitne rešitve</w:t>
      </w:r>
    </w:p>
    <w:p w14:paraId="48908863" w14:textId="77777777" w:rsidR="00304288" w:rsidRDefault="00304288">
      <w:pPr>
        <w:spacing w:after="0" w:line="260" w:lineRule="auto"/>
        <w:rPr>
          <w:rFonts w:cs="Arial"/>
        </w:rPr>
      </w:pPr>
    </w:p>
    <w:p w14:paraId="6BCD255D" w14:textId="77777777" w:rsidR="00304288" w:rsidRDefault="00A464F5">
      <w:pPr>
        <w:spacing w:after="0" w:line="240" w:lineRule="auto"/>
      </w:pPr>
      <w:r>
        <w:t xml:space="preserve">Predlog zakona določa, da je dostop do podatkov iz registra dejanskih lastnikov omogočen organom odkrivanja in pregona, kot so policija, tožilstvo, sodišča, ter pristojnim nadzornim organom, na primer Banki Slovenije in Agenciji za trg vrednostnih papirjev. Poglavitna novost je, da bo takojšen, nefiltriran, neposreden in brezplačen dostop do vseh podatkov iz registra za namen izvajanja preiskav ter podpore preiskavam državnim organom omogočen tudi organom, uradom in agencijam Evropske unije, in sicer Evropskemu javnemu tožilstvu (EPPO), Evropskemu uradu za boj proti goljufijam (OLAF), Agenciji Evropske unije za sodelovanje na področju preprečevanja, odkrivanja in preiskovanja kaznivih dejanj (Europol) in Agenciji Evropske unije za pravosodno sodelovanje v kazenskih zadevah (Eurojust). Dostop bo imel tudi Evropski </w:t>
      </w:r>
      <w:r>
        <w:lastRenderedPageBreak/>
        <w:t>organ za preprečevanje pranja denarja in financiranja terorizma (AMLA), kadar bo izvajal nadzorne dejavnosti.</w:t>
      </w:r>
    </w:p>
    <w:p w14:paraId="381F541A" w14:textId="77777777" w:rsidR="00304288" w:rsidRDefault="00A464F5">
      <w:pPr>
        <w:spacing w:after="0" w:line="240" w:lineRule="auto"/>
      </w:pPr>
      <w:r>
        <w:t xml:space="preserve"> </w:t>
      </w:r>
    </w:p>
    <w:p w14:paraId="24EA31E7" w14:textId="3F0E93CA" w:rsidR="00304288" w:rsidRDefault="00A464F5">
      <w:pPr>
        <w:spacing w:after="0" w:line="240" w:lineRule="auto"/>
      </w:pPr>
      <w:r>
        <w:t>Že z ZPPDFT-2C je bila spremenjena ureditev dostopa do podatkov v registru dejanskih lastnikov, kar se s predlogom zakona ohrani. Fizične in pravne osebe, ki niso zavezanci po ZPPDFT-2, bodo lahko dostopale do omejenega nabora podatkov iz registra, in sicer do osebnega imena dejanskega lastnika, meseca in leta rojstva, države stalnega ali začasnega prebivališča, državljanstva ter višine lastniškega deleža in oblike nadzora dejanskega lastnika. Tak dostop bo mogoče pridobiti le pod pogojem, da oseba izkaže pravni interes, ki mora biti povezan z odkrivanjem in preprečevanjem pranja denarja in financiranja terorizma, kar zagotavlja, da se podatki uporabljajo izključno za te namene.</w:t>
      </w:r>
    </w:p>
    <w:p w14:paraId="47893732" w14:textId="77777777" w:rsidR="00304288" w:rsidRDefault="00A464F5">
      <w:pPr>
        <w:spacing w:after="0" w:line="240" w:lineRule="auto"/>
      </w:pPr>
      <w:r>
        <w:t xml:space="preserve"> </w:t>
      </w:r>
    </w:p>
    <w:p w14:paraId="76174F8E" w14:textId="77777777" w:rsidR="00304288" w:rsidRDefault="00A464F5">
      <w:pPr>
        <w:spacing w:after="0" w:line="240" w:lineRule="auto"/>
      </w:pPr>
      <w:r>
        <w:t>Predlog zakona določa nabor fizičnih in pravnih oseb, za katere se šteje, da pravni interes izkazujejo na podlagi svoje funkcije ali poklica. Med te osebe spadajo na primer organizacije civilne družbe in akademski krogi, ki se ukvarjajo s preprečevanjem pranja denarja in financiranja terorizma ali sorodnimi področji, ter druge osebe, za namene novinarstva, poročanja ali drugih oblik medijskega izražanja v zvezi s preprečevanjem pranja denarja, s tem povezanih kaznivih dejanj ali financiranja terorizma in bojem proti njim. Predlog zakona nadalje določa, da pravni interes za dostop do podatkov o posameznih poslovnih subjektih izkazujejo osebe, ki nameravajo poslovati s poslovnimi subjekti ali sodelovati s pravnimi ureditvami v Evropski uniji, organi tretjih držav, kadar potrebujejo dostop v okviru svojih preiskav ali analiz na področju preprečevanja pranja denarja in financiranja terorizma, ter fizične ali pravne osebe iz tretjih držav, ki izvajajo ukrepe s tega področja, pod pogojem, da potrebo po dostopu izkažejo za namen izvajanja skrbnega pregleda strank. Pravni interes je priznan tudi registrskemu organu, pristojnemu za vpis pravnih subjektov in nadzor nad zakonitostjo statusnih preoblikovanj, javnim organom, pristojnim za izvajanje mehanizmov kohezijske politike, mehanizma za okrevanje in odpornost ter javnega naročanja, kadar je dostop nujen v zvezi s ponudnikom in izvajalcem, ki mu je bilo naročilo dano v postopku javnega naročanja. Poleg tega je priznan tudi osebam, ki razvijajo ali vzdržujejo informacijske rešitve, analitična orodja ali storitve, namenjene izključno zavezancem ali pristojnim organom.</w:t>
      </w:r>
    </w:p>
    <w:p w14:paraId="7753E4FB" w14:textId="77777777" w:rsidR="00304288" w:rsidRDefault="00A464F5">
      <w:pPr>
        <w:spacing w:after="0" w:line="240" w:lineRule="auto"/>
      </w:pPr>
      <w:r>
        <w:t xml:space="preserve"> </w:t>
      </w:r>
    </w:p>
    <w:p w14:paraId="68846EB0" w14:textId="77777777" w:rsidR="00304288" w:rsidRDefault="00A464F5">
      <w:pPr>
        <w:spacing w:after="0" w:line="240" w:lineRule="auto"/>
      </w:pPr>
      <w:r>
        <w:t>Za pridobitev dostopa do podatkov o dejanskih lastnikih bo morala fizična ali pravna oseba vložiti vlogo pri upravljavcu registra, to je AJPES, in sicer v pisni ali elektronski obliki. Vloga mora vsebovati podatke, ki so glede na vrsto vlagatelja določeni v zakonu in na podlagi katerih vlagatelj izkazuje pravni interes. AJPES bo o popolni vlogi odločil v dvanajstih delovnih dneh. V primeru povečanega števila prejetih vlog se lahko rok podaljša za dodatnih dvanajst delovnih dni. Če se bo povečano število vlog nadaljevalo, se rok lahko podaljša še za dodatnih dvanajst dni, o čemer bo AJPES moral obvestiti Evropsko komisijo. Ko bo pravni interes ugotovljen, bo AJPES izdal potrdilo, ki bo veljalo tri leta in bo moralo vsebovati obvezne sestavine, določene v zakonu. AJPES bo moral tudi redno preverjati, ali oseba, ki ji je bil dostop odobren na podlagi funkcije ali poklica, še vedno izpolnjuje pogoje, in če jih ne, bo potrdilo preklical.</w:t>
      </w:r>
    </w:p>
    <w:p w14:paraId="3B97395E" w14:textId="77777777" w:rsidR="00304288" w:rsidRDefault="00A464F5">
      <w:pPr>
        <w:spacing w:after="0" w:line="240" w:lineRule="auto"/>
      </w:pPr>
      <w:r>
        <w:t xml:space="preserve"> </w:t>
      </w:r>
    </w:p>
    <w:p w14:paraId="3380A66A" w14:textId="77777777" w:rsidR="00304288" w:rsidRDefault="00A464F5">
      <w:pPr>
        <w:spacing w:after="0" w:line="240" w:lineRule="auto"/>
      </w:pPr>
      <w:r>
        <w:t>Predlog zakona določa tudi, da se bo v primeru, ko je upravljavec registra druge države članice že preveril pravni interes na podlagi funkcije ali poklica, to preverjanje štelo kot veljavno tudi v Republiki Sloveniji, če vlagatelj predloži ustrezno potrdilo druge države članice.</w:t>
      </w:r>
    </w:p>
    <w:p w14:paraId="697CED1F" w14:textId="77777777" w:rsidR="00304288" w:rsidRDefault="00A464F5">
      <w:pPr>
        <w:spacing w:after="0" w:line="240" w:lineRule="auto"/>
      </w:pPr>
      <w:r>
        <w:t xml:space="preserve"> </w:t>
      </w:r>
    </w:p>
    <w:p w14:paraId="78A1BC70" w14:textId="77777777" w:rsidR="00304288" w:rsidRDefault="00A464F5">
      <w:pPr>
        <w:spacing w:after="0" w:line="240" w:lineRule="auto"/>
      </w:pPr>
      <w:r>
        <w:t>Če pravnega interesa ne bo mogoče potrditi, bo AJPES vlogo zavrnil z odločbo, zoper katero pritožba ne bo dovoljena, bo pa mogoč upravni spor. AJPES bo moral voditi evidenco vseh vlog, pri čemer zakon taksativno določa omejitve glede razkritja informacij o tem, kdo je dostopal do podatkov o določenem dejanskem lastniku.</w:t>
      </w:r>
    </w:p>
    <w:p w14:paraId="6FC71064" w14:textId="77777777" w:rsidR="00304288" w:rsidRDefault="00A464F5">
      <w:pPr>
        <w:spacing w:after="0" w:line="240" w:lineRule="auto"/>
      </w:pPr>
      <w:r>
        <w:t xml:space="preserve"> </w:t>
      </w:r>
    </w:p>
    <w:p w14:paraId="42CCC856" w14:textId="77777777" w:rsidR="00304288" w:rsidRDefault="00A464F5">
      <w:pPr>
        <w:spacing w:after="0" w:line="240" w:lineRule="auto"/>
      </w:pPr>
      <w:r>
        <w:t>Posebna varovalka je ureditev izjemnih okoliščin, v katerih se osebni podatki dejanskega lastnika ne razkrijejo. Gre za primere, ko bi lahko razkritje povzročilo nesorazmerno tveganje, kot so tveganja prevar, ugrabitve, izsiljevanja, prisiljevanja, nadlegovanja, nasilja ali ustrahovanja.</w:t>
      </w:r>
    </w:p>
    <w:p w14:paraId="452E5665" w14:textId="77777777" w:rsidR="00304288" w:rsidRDefault="00A464F5">
      <w:pPr>
        <w:spacing w:after="0" w:line="240" w:lineRule="auto"/>
      </w:pPr>
      <w:r>
        <w:t xml:space="preserve"> </w:t>
      </w:r>
    </w:p>
    <w:p w14:paraId="1DB541A7" w14:textId="77777777" w:rsidR="00304288" w:rsidRDefault="00A464F5">
      <w:pPr>
        <w:spacing w:after="0" w:line="240" w:lineRule="auto"/>
      </w:pPr>
      <w:r>
        <w:t xml:space="preserve">Ključni cilji predloga zakona so tako uskladitev z evropskim pravnim okvirom na področju preprečevanja pranja denarja in financiranja terorizma, vključno z uredbami in akti, ki uvajajo povezovanje registrov dejanskih lastnikov v evropski platformi, poenotenje standardov dostopa ter uvedbo nadnacionalnega nadzora. Predlog zakona jasneje določa tudi nekatere vsebine veljavne ureditve, zlasti glede definicije in preverjanja pravnega interesa, postopkovnih določb ter sledljivosti in varovalnih mehanizmov. Temeljni </w:t>
      </w:r>
      <w:r>
        <w:lastRenderedPageBreak/>
        <w:t>namen predloga zakona je zagotoviti varno in pregledno finančno okolje, ki bo odporno proti zlorabam, hkrati pa bo poslovnim subjektom omogočalo učinkovito in nemoteno poslovanje.</w:t>
      </w:r>
    </w:p>
    <w:p w14:paraId="4DA458CB" w14:textId="77777777" w:rsidR="00304288" w:rsidRDefault="00304288">
      <w:pPr>
        <w:spacing w:after="0" w:line="260" w:lineRule="auto"/>
        <w:rPr>
          <w:rFonts w:cs="Arial"/>
        </w:rPr>
      </w:pPr>
    </w:p>
    <w:p w14:paraId="34EF3545" w14:textId="77777777" w:rsidR="00304288" w:rsidRDefault="00A464F5">
      <w:pPr>
        <w:pStyle w:val="Odebeljeno"/>
        <w:spacing w:line="260" w:lineRule="auto"/>
      </w:pPr>
      <w:r>
        <w:t>3.</w:t>
      </w:r>
      <w:r>
        <w:tab/>
        <w:t>Ocena finančnih posledic predloga zakona za državni proračun in druga javna finančna sredstva</w:t>
      </w:r>
    </w:p>
    <w:p w14:paraId="57DB6385" w14:textId="77777777" w:rsidR="00304288" w:rsidRDefault="00304288">
      <w:pPr>
        <w:spacing w:after="0" w:line="260" w:lineRule="auto"/>
        <w:rPr>
          <w:rFonts w:cs="Arial"/>
        </w:rPr>
      </w:pPr>
    </w:p>
    <w:p w14:paraId="1685BBC9" w14:textId="77777777" w:rsidR="00304288" w:rsidRDefault="00A464F5">
      <w:pPr>
        <w:pStyle w:val="Odebeljeno"/>
        <w:spacing w:line="260" w:lineRule="auto"/>
        <w:ind w:left="360" w:hanging="360"/>
      </w:pPr>
      <w:r>
        <w:tab/>
        <w:t>Predpis ima posledice za državni proračun in druga javnofinančna sredstva.</w:t>
      </w:r>
    </w:p>
    <w:p w14:paraId="2381D906" w14:textId="77777777" w:rsidR="00304288" w:rsidRDefault="00304288">
      <w:pPr>
        <w:spacing w:after="0" w:line="260" w:lineRule="auto"/>
        <w:rPr>
          <w:rFonts w:cs="Arial"/>
        </w:rPr>
      </w:pPr>
    </w:p>
    <w:p w14:paraId="476F8E33" w14:textId="77777777" w:rsidR="00304288" w:rsidRDefault="00A464F5">
      <w:pPr>
        <w:pStyle w:val="Odebeljeno"/>
        <w:spacing w:line="260" w:lineRule="auto"/>
        <w:ind w:left="720" w:hanging="360"/>
      </w:pPr>
      <w:r>
        <w:t>–</w:t>
      </w:r>
      <w:r>
        <w:tab/>
        <w:t>Predpis ima posledice za blagajne javnega financiranja (državni proračun, občinski proračuni ter pokojninska in zdravstvena blagajna).</w:t>
      </w:r>
    </w:p>
    <w:p w14:paraId="1DAF1E42" w14:textId="77777777" w:rsidR="00304288" w:rsidRDefault="00304288">
      <w:pPr>
        <w:spacing w:after="0" w:line="260" w:lineRule="auto"/>
        <w:rPr>
          <w:rFonts w:cs="Arial"/>
        </w:rPr>
      </w:pPr>
    </w:p>
    <w:p w14:paraId="62289ABF" w14:textId="77777777" w:rsidR="00304288" w:rsidRDefault="00A464F5">
      <w:pPr>
        <w:spacing w:after="0" w:line="260" w:lineRule="auto"/>
        <w:ind w:left="1080" w:hanging="360"/>
      </w:pPr>
      <w:r>
        <w:t>–</w:t>
      </w:r>
      <w:r>
        <w:tab/>
        <w:t>Predpis ima na blagajne javnega financiranja učinek v vrednosti do 40.000 eur.</w:t>
      </w:r>
    </w:p>
    <w:p w14:paraId="4AC58A3F" w14:textId="77777777" w:rsidR="00304288" w:rsidRDefault="00304288">
      <w:pPr>
        <w:spacing w:after="0" w:line="260" w:lineRule="auto"/>
        <w:rPr>
          <w:rFonts w:cs="Arial"/>
        </w:rPr>
      </w:pPr>
    </w:p>
    <w:p w14:paraId="17556C34" w14:textId="77777777" w:rsidR="00304288" w:rsidRDefault="00A464F5">
      <w:pPr>
        <w:spacing w:after="0" w:line="240" w:lineRule="auto"/>
      </w:pPr>
      <w:r>
        <w:t>Ocenjujemo, da bo zaradi predlaganih rešitev zakona že v letu 2026 treba zagotoviti določena sredstva za nadgradnjo Registra dejanskih lastnikov ter z njim povezanih informacijskih rešitev, kar je v domeni Agencije Republike Slovenije za javnopravne evidence in storitve (v nadaljnjem besedilu: AJPES), sicer pa bodo finančne posledice celovito obravnavane prihodnje leto v okviru priprave novega Zakona o preprečevanju pranja denarja in financiranja terorizma.</w:t>
      </w:r>
    </w:p>
    <w:p w14:paraId="4324CE26" w14:textId="77777777" w:rsidR="00304288" w:rsidRDefault="00A464F5">
      <w:pPr>
        <w:spacing w:after="0" w:line="240" w:lineRule="auto"/>
      </w:pPr>
      <w:r>
        <w:br/>
      </w:r>
    </w:p>
    <w:p w14:paraId="760557AD" w14:textId="77777777" w:rsidR="00304288" w:rsidRDefault="00A464F5">
      <w:pPr>
        <w:spacing w:after="0" w:line="240" w:lineRule="auto"/>
      </w:pPr>
      <w:r>
        <w:t>Za leto 2026 ocenjujemo, da predvideni finančni učinki ne bodo presegli zneska 40.000 evrov.</w:t>
      </w:r>
    </w:p>
    <w:p w14:paraId="460179D0" w14:textId="77777777" w:rsidR="00304288" w:rsidRDefault="00A464F5">
      <w:pPr>
        <w:spacing w:after="0" w:line="240" w:lineRule="auto"/>
      </w:pPr>
      <w:r>
        <w:br/>
      </w:r>
    </w:p>
    <w:p w14:paraId="41AB050B" w14:textId="2D489356" w:rsidR="00304288" w:rsidRDefault="00A464F5">
      <w:pPr>
        <w:spacing w:after="0" w:line="240" w:lineRule="auto"/>
      </w:pPr>
      <w:r>
        <w:t xml:space="preserve">Za leto 2027 finančnih učinkov v okviru tega predloga zakona ni mogoče napovedati, saj je v pripravi nov </w:t>
      </w:r>
      <w:r w:rsidR="00023178">
        <w:t>Z</w:t>
      </w:r>
      <w:r>
        <w:t>akon o preprečevanju pranja denarja in financiranja terorizma, ki bo med drugim urejal tudi področje, opredeljeno v tem predlogu zakona.</w:t>
      </w:r>
    </w:p>
    <w:p w14:paraId="58ED40B9" w14:textId="77777777" w:rsidR="00304288" w:rsidRDefault="00A464F5">
      <w:pPr>
        <w:spacing w:after="0" w:line="240" w:lineRule="auto"/>
      </w:pPr>
      <w:r>
        <w:br/>
      </w:r>
    </w:p>
    <w:p w14:paraId="20D8EF39" w14:textId="77777777" w:rsidR="00304288" w:rsidRDefault="00A464F5">
      <w:pPr>
        <w:spacing w:after="0" w:line="240" w:lineRule="auto"/>
      </w:pPr>
      <w:r>
        <w:t>Predlog zakona nima finančnih posledic za druga javnofinančna sredstva (občinske proračune, pokojninsko in zdravstveno blagajno).</w:t>
      </w:r>
    </w:p>
    <w:p w14:paraId="3D5E1468" w14:textId="77777777" w:rsidR="00304288" w:rsidRDefault="00304288">
      <w:pPr>
        <w:spacing w:after="0" w:line="240" w:lineRule="auto"/>
        <w:ind w:left="1080"/>
      </w:pPr>
    </w:p>
    <w:p w14:paraId="5D41A42F" w14:textId="77777777" w:rsidR="00304288" w:rsidRDefault="00A464F5">
      <w:pPr>
        <w:pStyle w:val="Odebeljeno"/>
        <w:spacing w:line="260" w:lineRule="auto"/>
        <w:ind w:left="720" w:hanging="360"/>
      </w:pPr>
      <w:r>
        <w:t>–</w:t>
      </w:r>
      <w:r>
        <w:tab/>
        <w:t>Predpis ima pozitiven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3A448713" w14:textId="77777777" w:rsidR="00304288" w:rsidRDefault="00304288">
      <w:pPr>
        <w:spacing w:after="0" w:line="260" w:lineRule="auto"/>
        <w:rPr>
          <w:rFonts w:cs="Arial"/>
        </w:rPr>
      </w:pPr>
    </w:p>
    <w:p w14:paraId="71FEC23C" w14:textId="77777777" w:rsidR="00304288" w:rsidRDefault="00A464F5">
      <w:pPr>
        <w:spacing w:after="0" w:line="240" w:lineRule="auto"/>
      </w:pPr>
      <w:r>
        <w:t>Predvideni zakon ima učinek na povečanje potrebnih finančnih sredstev, predvsem zaradi prilagoditev obstoječih procesov in podpornih sistemov. Na področju stroškov dela se učinek kaže v potrebi po dodatnem usposabljanju dveh zaposlenih, ki bosta prevzeli naloge na tem področju, kar pomeni povečanje stroškov usposabljanja in delno prerazporeditev dela. Pomemben vpliv ima zakon tudi na informacijske rešitve, saj bo treba obstoječe informacijske sisteme nadgraditi, kar vključuje stroške razvoja, testiranja in uvedbe nadgradenj ter morebitne dodatne stroške licenc in vzdrževanja. Pri drugih operativnih stroških se pričakuje manjše povečanje, zlasti v povezavi z opremo in podporo sistemom, medtem ko zakon ne predvideva bistvenih vplivov na stroške nepremičnin, saj se bodo naloge izvajale v okviru obstoječih prostorskih kapacitet.</w:t>
      </w:r>
    </w:p>
    <w:p w14:paraId="556E6BEF" w14:textId="77777777" w:rsidR="00304288" w:rsidRDefault="00304288">
      <w:pPr>
        <w:spacing w:after="0" w:line="240" w:lineRule="auto"/>
        <w:ind w:left="720"/>
      </w:pPr>
    </w:p>
    <w:p w14:paraId="082F9EA6" w14:textId="77777777" w:rsidR="00304288" w:rsidRDefault="00A464F5">
      <w:pPr>
        <w:pStyle w:val="Odebeljeno"/>
        <w:spacing w:line="260" w:lineRule="auto"/>
        <w:ind w:left="720" w:hanging="360"/>
      </w:pPr>
      <w:r>
        <w:t>–</w:t>
      </w:r>
      <w:r>
        <w:tab/>
        <w:t>Predpis ima pozitiven učinek na zvišanje posrednih stroškov glede javnih financ pri njegovem izvajanju (zaposlovanje in stroški, povezani s tem, stroški zunanjih izvajalcev itd.).</w:t>
      </w:r>
    </w:p>
    <w:p w14:paraId="25E5EC38" w14:textId="77777777" w:rsidR="00304288" w:rsidRDefault="00304288">
      <w:pPr>
        <w:spacing w:after="0" w:line="260" w:lineRule="auto"/>
        <w:rPr>
          <w:rFonts w:cs="Arial"/>
        </w:rPr>
      </w:pPr>
    </w:p>
    <w:p w14:paraId="00A3F6BE" w14:textId="77777777" w:rsidR="00304288" w:rsidRDefault="00A464F5">
      <w:pPr>
        <w:spacing w:after="0" w:line="240" w:lineRule="auto"/>
      </w:pPr>
      <w:r>
        <w:t xml:space="preserve">Dodatni materialni stroški so omejeni in se nanašajo predvsem na nadgradnjo obstoječih informacijskih rešitev, kar bo izboljšalo učinkovitost dela. Razen nadgradnje informacijskih rešitev ni pričakovati potrebe po najemanju zunanjih strokovnjakov, saj se bodo naloge izvajale z obstoječimi zaposlenimi ob dodatnem </w:t>
      </w:r>
      <w:r>
        <w:lastRenderedPageBreak/>
        <w:t>usposabljanju. Predpis tako prispeva k racionalni porabi javnih sredstev in učinkovitejšemu upravljanju stroškov.</w:t>
      </w:r>
    </w:p>
    <w:p w14:paraId="2D3D74B2" w14:textId="77777777" w:rsidR="00304288" w:rsidRDefault="00304288">
      <w:pPr>
        <w:spacing w:after="0" w:line="240" w:lineRule="auto"/>
        <w:ind w:left="720"/>
      </w:pPr>
    </w:p>
    <w:p w14:paraId="29B2A7CF" w14:textId="77777777" w:rsidR="00304288" w:rsidRDefault="00A464F5">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45DC78B1" w14:textId="77777777" w:rsidR="00304288" w:rsidRDefault="00304288">
      <w:pPr>
        <w:spacing w:after="0" w:line="260" w:lineRule="auto"/>
        <w:rPr>
          <w:rFonts w:cs="Arial"/>
        </w:rPr>
      </w:pPr>
    </w:p>
    <w:p w14:paraId="360F013F" w14:textId="3C3B7920" w:rsidR="00304288" w:rsidRDefault="00A464F5">
      <w:pPr>
        <w:spacing w:after="0" w:line="240" w:lineRule="auto"/>
      </w:pPr>
      <w:r>
        <w:t>Ker gre za znesek do 40.000 evrov, se bodo sredstva zagotovila iz proračunske postavke, ki je namenjen</w:t>
      </w:r>
      <w:r w:rsidR="00023178">
        <w:t>a</w:t>
      </w:r>
      <w:r>
        <w:t xml:space="preserve"> stroškom AJPES na podlagi sprejetega proračuna. Dodatno pojasnjujemo, da bodo manjkajoče pravice porabe zagotovljene na proračunski postavki 251002 Stroški, povezani s pripravo predhodnega mnenja na podlagi ZPSVIKOB-1, v okviru ukrepa 1611-25-0002 Izdelava predhodnega mnenja na podlagi ZPSVIKOB-1.</w:t>
      </w:r>
    </w:p>
    <w:p w14:paraId="78AF8F12" w14:textId="77777777" w:rsidR="00304288" w:rsidRDefault="00304288">
      <w:pPr>
        <w:spacing w:after="0" w:line="260" w:lineRule="auto"/>
      </w:pPr>
    </w:p>
    <w:p w14:paraId="0210A6CB" w14:textId="77777777" w:rsidR="00304288" w:rsidRDefault="00304288">
      <w:pPr>
        <w:spacing w:after="0" w:line="260" w:lineRule="auto"/>
        <w:rPr>
          <w:rFonts w:cs="Arial"/>
        </w:rPr>
      </w:pPr>
    </w:p>
    <w:p w14:paraId="53DB79F5" w14:textId="77777777" w:rsidR="00304288" w:rsidRDefault="00A464F5">
      <w:pPr>
        <w:pStyle w:val="Odebeljeno"/>
        <w:spacing w:line="260" w:lineRule="auto"/>
      </w:pPr>
      <w:r>
        <w:t>5.</w:t>
      </w:r>
      <w:r>
        <w:tab/>
        <w:t>Prikaz ureditve v drugih pravnih sistemih in prilagojenosti predlagane ureditve pravu Evropske unije</w:t>
      </w:r>
    </w:p>
    <w:p w14:paraId="25E29F66" w14:textId="77777777" w:rsidR="00304288" w:rsidRDefault="00304288">
      <w:pPr>
        <w:spacing w:after="0" w:line="260" w:lineRule="auto"/>
        <w:rPr>
          <w:rFonts w:cs="Arial"/>
        </w:rPr>
      </w:pPr>
    </w:p>
    <w:p w14:paraId="0209CC0C" w14:textId="77777777" w:rsidR="00304288" w:rsidRDefault="00A464F5">
      <w:pPr>
        <w:pStyle w:val="Odebeljeno"/>
        <w:spacing w:line="260" w:lineRule="auto"/>
      </w:pPr>
      <w:r>
        <w:t>5.1</w:t>
      </w:r>
      <w:r>
        <w:tab/>
        <w:t>Prikaz ureditve v drugih pravnih sistemih</w:t>
      </w:r>
    </w:p>
    <w:p w14:paraId="4CE5A07B" w14:textId="77777777" w:rsidR="00304288" w:rsidRDefault="00304288">
      <w:pPr>
        <w:spacing w:after="0" w:line="260" w:lineRule="auto"/>
        <w:rPr>
          <w:rFonts w:cs="Arial"/>
        </w:rPr>
      </w:pPr>
    </w:p>
    <w:p w14:paraId="204A6A67" w14:textId="77777777" w:rsidR="00304288" w:rsidRDefault="00A464F5">
      <w:pPr>
        <w:spacing w:after="0" w:line="260" w:lineRule="auto"/>
      </w:pPr>
      <w:r>
        <w:t>/</w:t>
      </w:r>
    </w:p>
    <w:p w14:paraId="61E0A21F" w14:textId="77777777" w:rsidR="00304288" w:rsidRDefault="00304288">
      <w:pPr>
        <w:spacing w:after="0" w:line="260" w:lineRule="auto"/>
        <w:rPr>
          <w:rFonts w:cs="Arial"/>
        </w:rPr>
      </w:pPr>
    </w:p>
    <w:p w14:paraId="01B85BA7" w14:textId="77777777" w:rsidR="00304288" w:rsidRDefault="00A464F5">
      <w:pPr>
        <w:pStyle w:val="Odebeljeno"/>
        <w:spacing w:line="260" w:lineRule="auto"/>
      </w:pPr>
      <w:r>
        <w:t>5.2</w:t>
      </w:r>
      <w:r>
        <w:tab/>
        <w:t>Prikaz ureditve v pravnem redu Evropske unije</w:t>
      </w:r>
    </w:p>
    <w:p w14:paraId="56C0E6B9" w14:textId="77777777" w:rsidR="001F4349" w:rsidRDefault="001F4349">
      <w:pPr>
        <w:pStyle w:val="Odebeljeno"/>
        <w:spacing w:line="260" w:lineRule="auto"/>
      </w:pPr>
    </w:p>
    <w:p w14:paraId="79C3466D" w14:textId="77777777" w:rsidR="001F4349" w:rsidRPr="00025C4F" w:rsidRDefault="001F4349" w:rsidP="001F4349">
      <w:pPr>
        <w:pStyle w:val="Odebeljeno"/>
        <w:spacing w:line="260" w:lineRule="auto"/>
        <w:rPr>
          <w:b w:val="0"/>
          <w:bCs/>
        </w:rPr>
      </w:pPr>
      <w:r w:rsidRPr="00025C4F">
        <w:rPr>
          <w:b w:val="0"/>
          <w:bCs/>
        </w:rPr>
        <w:t>Predlog zakona je predmet usklajevanja s pravom EU.</w:t>
      </w:r>
    </w:p>
    <w:p w14:paraId="2F753EDC" w14:textId="77777777" w:rsidR="001F4349" w:rsidRDefault="001F4349">
      <w:pPr>
        <w:pStyle w:val="Odebeljeno"/>
        <w:spacing w:line="260" w:lineRule="auto"/>
      </w:pPr>
    </w:p>
    <w:p w14:paraId="18A0C7B9" w14:textId="77777777" w:rsidR="00304288" w:rsidRDefault="00304288">
      <w:pPr>
        <w:spacing w:after="0" w:line="260" w:lineRule="auto"/>
        <w:rPr>
          <w:rFonts w:cs="Arial"/>
        </w:rPr>
      </w:pPr>
    </w:p>
    <w:tbl>
      <w:tblPr>
        <w:tblStyle w:val="Tabelamrea"/>
        <w:tblW w:w="0" w:type="auto"/>
        <w:tblLook w:val="04A0" w:firstRow="1" w:lastRow="0" w:firstColumn="1" w:lastColumn="0" w:noHBand="0" w:noVBand="1"/>
      </w:tblPr>
      <w:tblGrid>
        <w:gridCol w:w="9062"/>
      </w:tblGrid>
      <w:tr w:rsidR="00304288" w14:paraId="7CF40700" w14:textId="77777777" w:rsidTr="00E91806">
        <w:trPr>
          <w:trHeight w:val="416"/>
        </w:trPr>
        <w:tc>
          <w:tcPr>
            <w:tcW w:w="9062" w:type="dxa"/>
            <w:tcBorders>
              <w:bottom w:val="triple" w:sz="4" w:space="0" w:color="auto"/>
            </w:tcBorders>
            <w:vAlign w:val="center"/>
          </w:tcPr>
          <w:p w14:paraId="6B1AC492" w14:textId="77777777" w:rsidR="00304288" w:rsidRDefault="00A464F5">
            <w:pPr>
              <w:jc w:val="center"/>
              <w:rPr>
                <w:b/>
              </w:rPr>
            </w:pPr>
            <w:r>
              <w:rPr>
                <w:b/>
              </w:rPr>
              <w:t>IZJAVA O SKLADNOSTI S PRAVNIM REDOM EU</w:t>
            </w:r>
          </w:p>
        </w:tc>
      </w:tr>
    </w:tbl>
    <w:p w14:paraId="38BD95D8" w14:textId="77777777" w:rsidR="00304288" w:rsidRDefault="00A464F5">
      <w:pPr>
        <w:spacing w:after="0"/>
        <w:rPr>
          <w:b/>
          <w:u w:val="single"/>
        </w:rPr>
      </w:pPr>
      <w:r>
        <w:rPr>
          <w:b/>
          <w:u w:val="single"/>
        </w:rPr>
        <w:t>NASLOV PREDPISA RS</w:t>
      </w:r>
    </w:p>
    <w:p w14:paraId="5C2A4946" w14:textId="77777777" w:rsidR="00304288" w:rsidRDefault="00304288">
      <w:pPr>
        <w:spacing w:after="0"/>
      </w:pPr>
    </w:p>
    <w:p w14:paraId="5D49D90C" w14:textId="77777777" w:rsidR="00304288" w:rsidRDefault="00A464F5">
      <w:pPr>
        <w:spacing w:after="0" w:line="360" w:lineRule="auto"/>
      </w:pPr>
      <w:r>
        <w:t>Zakon o spremembah in dopolnitvah Zakona o preprečevanju pranja denarja in financiranja terorizma</w:t>
      </w:r>
    </w:p>
    <w:p w14:paraId="75187A4C" w14:textId="77777777" w:rsidR="00304288" w:rsidRDefault="00304288">
      <w:pPr>
        <w:spacing w:after="0"/>
      </w:pPr>
    </w:p>
    <w:p w14:paraId="4718A6C0" w14:textId="77777777" w:rsidR="00304288" w:rsidRDefault="00A464F5">
      <w:pPr>
        <w:spacing w:after="0"/>
        <w:rPr>
          <w:b/>
        </w:rPr>
      </w:pPr>
      <w:r>
        <w:rPr>
          <w:b/>
          <w:u w:val="single"/>
        </w:rPr>
        <w:t>EVA</w:t>
      </w:r>
    </w:p>
    <w:p w14:paraId="17C1F862" w14:textId="77777777" w:rsidR="00304288" w:rsidRDefault="00A464F5">
      <w:pPr>
        <w:spacing w:after="0"/>
      </w:pPr>
      <w:r>
        <w:t>2026-1611-0025</w:t>
      </w:r>
    </w:p>
    <w:p w14:paraId="076278E8" w14:textId="77777777" w:rsidR="00304288" w:rsidRDefault="00304288">
      <w:pPr>
        <w:spacing w:after="0"/>
      </w:pPr>
    </w:p>
    <w:p w14:paraId="67C523B0" w14:textId="77777777" w:rsidR="00304288" w:rsidRDefault="00A464F5">
      <w:pPr>
        <w:spacing w:after="0"/>
        <w:rPr>
          <w:b/>
          <w:u w:val="single"/>
        </w:rPr>
      </w:pPr>
      <w:r>
        <w:rPr>
          <w:b/>
          <w:u w:val="single"/>
        </w:rPr>
        <w:t>AKTI EU, KATERIH PRENOS ALI IZVAJANJE SE ZAGOTAVLJA S PREDPISOM RS</w:t>
      </w:r>
    </w:p>
    <w:p w14:paraId="10F6F4C0" w14:textId="77777777" w:rsidR="00304288" w:rsidRDefault="00304288">
      <w:pPr>
        <w:spacing w:after="0"/>
      </w:pPr>
    </w:p>
    <w:tbl>
      <w:tblPr>
        <w:tblStyle w:val="Navadnatabela11"/>
        <w:tblW w:w="8628" w:type="dxa"/>
        <w:tblInd w:w="127" w:type="dxa"/>
        <w:tblLook w:val="04A0" w:firstRow="1" w:lastRow="0" w:firstColumn="1" w:lastColumn="0" w:noHBand="0" w:noVBand="1"/>
      </w:tblPr>
      <w:tblGrid>
        <w:gridCol w:w="672"/>
        <w:gridCol w:w="1535"/>
        <w:gridCol w:w="4758"/>
        <w:gridCol w:w="1663"/>
      </w:tblGrid>
      <w:tr w:rsidR="00304288" w14:paraId="72C5AF0E" w14:textId="77777777" w:rsidTr="00304288">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6D182D1C" w14:textId="77777777" w:rsidR="00304288" w:rsidRDefault="00A464F5">
            <w:pPr>
              <w:jc w:val="center"/>
            </w:pPr>
            <w:r>
              <w:t>Št.</w:t>
            </w:r>
          </w:p>
        </w:tc>
        <w:tc>
          <w:tcPr>
            <w:tcW w:w="1559" w:type="dxa"/>
            <w:shd w:val="clear" w:color="auto" w:fill="808080"/>
          </w:tcPr>
          <w:p w14:paraId="53877053" w14:textId="77777777" w:rsidR="00304288" w:rsidRDefault="00A464F5">
            <w:pPr>
              <w:jc w:val="center"/>
            </w:pPr>
            <w:r>
              <w:t>CELEX</w:t>
            </w:r>
          </w:p>
        </w:tc>
        <w:tc>
          <w:tcPr>
            <w:tcW w:w="4816" w:type="dxa"/>
            <w:shd w:val="clear" w:color="auto" w:fill="808080"/>
          </w:tcPr>
          <w:p w14:paraId="0DED0263" w14:textId="77777777" w:rsidR="00304288" w:rsidRDefault="00A464F5">
            <w:pPr>
              <w:jc w:val="center"/>
            </w:pPr>
            <w:r>
              <w:t>Naslov</w:t>
            </w:r>
          </w:p>
        </w:tc>
        <w:tc>
          <w:tcPr>
            <w:tcW w:w="1559" w:type="dxa"/>
            <w:shd w:val="clear" w:color="auto" w:fill="808080"/>
          </w:tcPr>
          <w:p w14:paraId="58814876" w14:textId="77777777" w:rsidR="00304288" w:rsidRDefault="00A464F5">
            <w:pPr>
              <w:jc w:val="center"/>
            </w:pPr>
            <w:r>
              <w:t>Zadnjič spremenjen z (CELEX)</w:t>
            </w:r>
          </w:p>
        </w:tc>
      </w:tr>
      <w:tr w:rsidR="00304288" w14:paraId="2361B8A2" w14:textId="77777777" w:rsidTr="00304288">
        <w:trPr>
          <w:cnfStyle w:val="000000100000" w:firstRow="0" w:lastRow="0" w:firstColumn="0" w:lastColumn="0" w:oddVBand="0" w:evenVBand="0" w:oddHBand="1" w:evenHBand="0" w:firstRowFirstColumn="0" w:firstRowLastColumn="0" w:lastRowFirstColumn="0" w:lastRowLastColumn="0"/>
        </w:trPr>
        <w:tc>
          <w:tcPr>
            <w:tcW w:w="694" w:type="dxa"/>
          </w:tcPr>
          <w:p w14:paraId="24D9A446" w14:textId="77777777" w:rsidR="00304288" w:rsidRDefault="00A464F5">
            <w:r>
              <w:t>1</w:t>
            </w:r>
          </w:p>
        </w:tc>
        <w:tc>
          <w:tcPr>
            <w:tcW w:w="1559" w:type="dxa"/>
          </w:tcPr>
          <w:p w14:paraId="4C7FD264" w14:textId="77777777" w:rsidR="00304288" w:rsidRDefault="00A464F5">
            <w:r>
              <w:t>32024L1640</w:t>
            </w:r>
          </w:p>
        </w:tc>
        <w:tc>
          <w:tcPr>
            <w:tcW w:w="5099" w:type="dxa"/>
          </w:tcPr>
          <w:p w14:paraId="5EB732AC" w14:textId="77777777" w:rsidR="00304288" w:rsidRDefault="00A464F5">
            <w:r>
              <w:t>Direktiva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2015/849Besedilo velja za EGP.</w:t>
            </w:r>
          </w:p>
        </w:tc>
        <w:tc>
          <w:tcPr>
            <w:tcW w:w="1701" w:type="dxa"/>
          </w:tcPr>
          <w:p w14:paraId="351FE35A" w14:textId="77777777" w:rsidR="00304288" w:rsidRDefault="00304288"/>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304288" w14:paraId="713A4256" w14:textId="77777777">
        <w:trPr>
          <w:trHeight w:val="452"/>
          <w:tblHeader/>
        </w:trPr>
        <w:tc>
          <w:tcPr>
            <w:tcW w:w="3529" w:type="dxa"/>
            <w:gridSpan w:val="4"/>
            <w:shd w:val="clear" w:color="auto" w:fill="808080"/>
          </w:tcPr>
          <w:p w14:paraId="76F4D685" w14:textId="77777777" w:rsidR="00304288" w:rsidRDefault="00A464F5">
            <w:pPr>
              <w:jc w:val="center"/>
              <w:rPr>
                <w:b/>
              </w:rPr>
            </w:pPr>
            <w:r>
              <w:rPr>
                <w:b/>
              </w:rPr>
              <w:lastRenderedPageBreak/>
              <w:t>Predpis RS</w:t>
            </w:r>
          </w:p>
        </w:tc>
        <w:tc>
          <w:tcPr>
            <w:tcW w:w="1559" w:type="dxa"/>
            <w:vMerge w:val="restart"/>
            <w:shd w:val="clear" w:color="auto" w:fill="808080"/>
          </w:tcPr>
          <w:p w14:paraId="29D6AAF2" w14:textId="77777777" w:rsidR="00304288" w:rsidRDefault="00A464F5">
            <w:pPr>
              <w:jc w:val="center"/>
              <w:rPr>
                <w:b/>
              </w:rPr>
            </w:pPr>
            <w:r>
              <w:rPr>
                <w:b/>
              </w:rPr>
              <w:t>Opomba ali CELEX akta EU predpisa</w:t>
            </w:r>
          </w:p>
        </w:tc>
        <w:tc>
          <w:tcPr>
            <w:tcW w:w="3528" w:type="dxa"/>
            <w:gridSpan w:val="4"/>
            <w:shd w:val="clear" w:color="auto" w:fill="808080"/>
          </w:tcPr>
          <w:p w14:paraId="2B68DEDB" w14:textId="77777777" w:rsidR="00304288" w:rsidRDefault="00A464F5">
            <w:pPr>
              <w:jc w:val="center"/>
              <w:rPr>
                <w:b/>
              </w:rPr>
            </w:pPr>
            <w:r>
              <w:rPr>
                <w:b/>
              </w:rPr>
              <w:t>Akt EU</w:t>
            </w:r>
          </w:p>
        </w:tc>
      </w:tr>
      <w:tr w:rsidR="00304288" w14:paraId="386E833D" w14:textId="77777777">
        <w:trPr>
          <w:trHeight w:val="250"/>
          <w:tblHeader/>
        </w:trPr>
        <w:tc>
          <w:tcPr>
            <w:tcW w:w="709" w:type="dxa"/>
            <w:tcBorders>
              <w:bottom w:val="double" w:sz="4" w:space="0" w:color="auto"/>
            </w:tcBorders>
            <w:shd w:val="clear" w:color="auto" w:fill="808080"/>
          </w:tcPr>
          <w:p w14:paraId="630FC1B8" w14:textId="77777777" w:rsidR="00304288" w:rsidRDefault="00A464F5">
            <w:r>
              <w:t>Člen</w:t>
            </w:r>
          </w:p>
        </w:tc>
        <w:tc>
          <w:tcPr>
            <w:tcW w:w="1134" w:type="dxa"/>
            <w:tcBorders>
              <w:bottom w:val="double" w:sz="4" w:space="0" w:color="auto"/>
            </w:tcBorders>
            <w:shd w:val="clear" w:color="auto" w:fill="808080"/>
          </w:tcPr>
          <w:p w14:paraId="6E87A002" w14:textId="77777777" w:rsidR="00304288" w:rsidRDefault="00A464F5">
            <w:r>
              <w:t>Odstavek</w:t>
            </w:r>
          </w:p>
        </w:tc>
        <w:tc>
          <w:tcPr>
            <w:tcW w:w="851" w:type="dxa"/>
            <w:tcBorders>
              <w:bottom w:val="double" w:sz="4" w:space="0" w:color="auto"/>
            </w:tcBorders>
            <w:shd w:val="clear" w:color="auto" w:fill="808080"/>
          </w:tcPr>
          <w:p w14:paraId="641269B4" w14:textId="77777777" w:rsidR="00304288" w:rsidRDefault="00A464F5">
            <w:r>
              <w:t>Točka</w:t>
            </w:r>
          </w:p>
        </w:tc>
        <w:tc>
          <w:tcPr>
            <w:tcW w:w="850" w:type="dxa"/>
            <w:tcBorders>
              <w:bottom w:val="double" w:sz="4" w:space="0" w:color="auto"/>
            </w:tcBorders>
            <w:shd w:val="clear" w:color="auto" w:fill="808080"/>
          </w:tcPr>
          <w:p w14:paraId="316E1DB2" w14:textId="77777777" w:rsidR="00304288" w:rsidRDefault="00A464F5">
            <w:r>
              <w:t>Alinea</w:t>
            </w:r>
          </w:p>
        </w:tc>
        <w:tc>
          <w:tcPr>
            <w:tcW w:w="1985" w:type="dxa"/>
            <w:vMerge/>
            <w:tcBorders>
              <w:bottom w:val="double" w:sz="4" w:space="0" w:color="auto"/>
            </w:tcBorders>
            <w:shd w:val="clear" w:color="auto" w:fill="808080"/>
          </w:tcPr>
          <w:p w14:paraId="68760071" w14:textId="77777777" w:rsidR="00304288" w:rsidRDefault="00304288">
            <w:pPr>
              <w:rPr>
                <w:b/>
              </w:rPr>
            </w:pPr>
          </w:p>
        </w:tc>
        <w:tc>
          <w:tcPr>
            <w:tcW w:w="709" w:type="dxa"/>
            <w:tcBorders>
              <w:bottom w:val="double" w:sz="4" w:space="0" w:color="auto"/>
            </w:tcBorders>
            <w:shd w:val="clear" w:color="auto" w:fill="808080"/>
          </w:tcPr>
          <w:p w14:paraId="11FBD388" w14:textId="77777777" w:rsidR="00304288" w:rsidRDefault="00A464F5">
            <w:r>
              <w:t>Člen</w:t>
            </w:r>
          </w:p>
        </w:tc>
        <w:tc>
          <w:tcPr>
            <w:tcW w:w="1134" w:type="dxa"/>
            <w:tcBorders>
              <w:bottom w:val="double" w:sz="4" w:space="0" w:color="auto"/>
            </w:tcBorders>
            <w:shd w:val="clear" w:color="auto" w:fill="808080"/>
          </w:tcPr>
          <w:p w14:paraId="04EED224" w14:textId="77777777" w:rsidR="00304288" w:rsidRDefault="00A464F5">
            <w:r>
              <w:t>Odstavek</w:t>
            </w:r>
          </w:p>
        </w:tc>
        <w:tc>
          <w:tcPr>
            <w:tcW w:w="851" w:type="dxa"/>
            <w:tcBorders>
              <w:bottom w:val="double" w:sz="4" w:space="0" w:color="auto"/>
            </w:tcBorders>
            <w:shd w:val="clear" w:color="auto" w:fill="808080"/>
          </w:tcPr>
          <w:p w14:paraId="5900585D" w14:textId="77777777" w:rsidR="00304288" w:rsidRDefault="00A464F5">
            <w:r>
              <w:t>Točka</w:t>
            </w:r>
          </w:p>
        </w:tc>
        <w:tc>
          <w:tcPr>
            <w:tcW w:w="850" w:type="dxa"/>
            <w:tcBorders>
              <w:bottom w:val="double" w:sz="4" w:space="0" w:color="auto"/>
            </w:tcBorders>
            <w:shd w:val="clear" w:color="auto" w:fill="808080"/>
          </w:tcPr>
          <w:p w14:paraId="7D4AC4D8" w14:textId="77777777" w:rsidR="00304288" w:rsidRDefault="00A464F5">
            <w:r>
              <w:t>Alinea</w:t>
            </w:r>
          </w:p>
        </w:tc>
      </w:tr>
      <w:tr w:rsidR="00304288" w14:paraId="370FA43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D7CE0" w14:textId="77777777" w:rsidR="00304288" w:rsidRDefault="00A464F5">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C5C50"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E5916"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C5A50" w14:textId="77777777" w:rsidR="00304288" w:rsidRDefault="00304288">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1872D" w14:textId="77777777" w:rsidR="00304288" w:rsidRDefault="00A464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BBA90" w14:textId="77777777" w:rsidR="00304288" w:rsidRDefault="00304288">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111D7"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60B52"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D14B0" w14:textId="77777777" w:rsidR="00304288" w:rsidRDefault="00304288">
            <w:pPr>
              <w:jc w:val="center"/>
            </w:pPr>
          </w:p>
        </w:tc>
      </w:tr>
      <w:tr w:rsidR="00304288" w14:paraId="398E7C7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BAA9E" w14:textId="77777777" w:rsidR="00304288" w:rsidRDefault="00A464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D6B08"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FE0A9"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A6333" w14:textId="77777777" w:rsidR="00304288" w:rsidRDefault="00304288">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C7106" w14:textId="77777777" w:rsidR="00304288" w:rsidRDefault="00A464F5">
            <w:pPr>
              <w:jc w:val="center"/>
            </w:pPr>
            <w:r>
              <w:t>32024L1640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18B052" w14:textId="77777777" w:rsidR="00304288" w:rsidRDefault="00A464F5">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311C05"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CCAAD"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8270A" w14:textId="77777777" w:rsidR="00304288" w:rsidRDefault="00304288">
            <w:pPr>
              <w:jc w:val="center"/>
            </w:pPr>
          </w:p>
        </w:tc>
      </w:tr>
      <w:tr w:rsidR="00304288" w14:paraId="043847D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95578" w14:textId="77777777" w:rsidR="00304288" w:rsidRDefault="00A464F5">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60A293"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49D444"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12000" w14:textId="77777777" w:rsidR="00304288" w:rsidRDefault="00304288">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57E09" w14:textId="77777777" w:rsidR="00304288" w:rsidRDefault="00A464F5">
            <w:pPr>
              <w:jc w:val="center"/>
            </w:pPr>
            <w:r>
              <w:t>32024L1640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0F789" w14:textId="77777777" w:rsidR="00304288" w:rsidRDefault="00A464F5">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51B8F"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F2027"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164E3" w14:textId="77777777" w:rsidR="00304288" w:rsidRDefault="00304288">
            <w:pPr>
              <w:jc w:val="center"/>
            </w:pPr>
          </w:p>
        </w:tc>
      </w:tr>
      <w:tr w:rsidR="00304288" w14:paraId="0250BF9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7A6E3" w14:textId="77777777" w:rsidR="00304288" w:rsidRDefault="00A464F5">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A58BC"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B1152"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43547" w14:textId="77777777" w:rsidR="00304288" w:rsidRDefault="00304288">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CD15D" w14:textId="77777777" w:rsidR="00304288" w:rsidRDefault="00A464F5">
            <w:pPr>
              <w:jc w:val="center"/>
            </w:pPr>
            <w:r>
              <w:t>32024L1640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8BE32" w14:textId="77777777" w:rsidR="00304288" w:rsidRDefault="00A464F5">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53CBC"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7D775"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17135" w14:textId="77777777" w:rsidR="00304288" w:rsidRDefault="00304288">
            <w:pPr>
              <w:jc w:val="center"/>
            </w:pPr>
          </w:p>
        </w:tc>
      </w:tr>
      <w:tr w:rsidR="00304288" w14:paraId="3F700FF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2ECAD" w14:textId="77777777" w:rsidR="00304288" w:rsidRDefault="00A464F5">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EAD79"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1D8D8"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8A0CC" w14:textId="77777777" w:rsidR="00304288" w:rsidRDefault="00304288">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D9325" w14:textId="77777777" w:rsidR="00304288" w:rsidRDefault="00A464F5">
            <w:pPr>
              <w:jc w:val="center"/>
            </w:pPr>
            <w:r>
              <w:t>32024L1640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12AE89" w14:textId="77777777" w:rsidR="00304288" w:rsidRDefault="00A464F5">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BE8B2B"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DE2D0"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31882" w14:textId="77777777" w:rsidR="00304288" w:rsidRDefault="00304288">
            <w:pPr>
              <w:jc w:val="center"/>
            </w:pPr>
          </w:p>
        </w:tc>
      </w:tr>
      <w:tr w:rsidR="00304288" w14:paraId="0E30C2F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231CE" w14:textId="77777777" w:rsidR="00304288" w:rsidRDefault="00A464F5">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D7DF5"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5FCD7"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19FF8" w14:textId="77777777" w:rsidR="00304288" w:rsidRDefault="00304288">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2BB19" w14:textId="77777777" w:rsidR="00304288" w:rsidRDefault="00A464F5">
            <w:pPr>
              <w:jc w:val="center"/>
            </w:pPr>
            <w:r>
              <w:t>32024L1640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064ED" w14:textId="77777777" w:rsidR="00304288" w:rsidRDefault="00A464F5">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CD6CD"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9564F"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90D463" w14:textId="77777777" w:rsidR="00304288" w:rsidRDefault="00304288">
            <w:pPr>
              <w:jc w:val="center"/>
            </w:pPr>
          </w:p>
        </w:tc>
      </w:tr>
      <w:tr w:rsidR="00304288" w14:paraId="272D7C7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35D61" w14:textId="77777777" w:rsidR="00304288" w:rsidRDefault="00A464F5">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25D88"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AF7A9"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1BCC49" w14:textId="77777777" w:rsidR="00304288" w:rsidRDefault="00304288">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8E7B5" w14:textId="77777777" w:rsidR="00304288" w:rsidRDefault="00A464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DE6C4" w14:textId="77777777" w:rsidR="00304288" w:rsidRDefault="00304288">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AC924"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B33F0B"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68873" w14:textId="77777777" w:rsidR="00304288" w:rsidRDefault="00304288">
            <w:pPr>
              <w:jc w:val="center"/>
            </w:pPr>
          </w:p>
        </w:tc>
      </w:tr>
      <w:tr w:rsidR="00304288" w14:paraId="5856938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DCA03" w14:textId="77777777" w:rsidR="00304288" w:rsidRDefault="00A464F5">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B9F93"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56CA5"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5D027" w14:textId="77777777" w:rsidR="00304288" w:rsidRDefault="00304288">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F5CAE" w14:textId="77777777" w:rsidR="00304288" w:rsidRDefault="00A464F5">
            <w:pPr>
              <w:jc w:val="center"/>
            </w:pPr>
            <w:r>
              <w:t>32024L1640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36A5B" w14:textId="77777777" w:rsidR="00304288" w:rsidRDefault="00A464F5">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41B85" w14:textId="77777777" w:rsidR="00304288" w:rsidRDefault="00A464F5">
            <w:pPr>
              <w:jc w:val="center"/>
            </w:pPr>
            <w: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09DD3"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37FB2" w14:textId="77777777" w:rsidR="00304288" w:rsidRDefault="00304288">
            <w:pPr>
              <w:jc w:val="center"/>
            </w:pPr>
          </w:p>
        </w:tc>
      </w:tr>
      <w:tr w:rsidR="00304288" w14:paraId="09EAF19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7516F" w14:textId="77777777" w:rsidR="00304288" w:rsidRDefault="00A464F5">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BC532"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90002"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2157B" w14:textId="77777777" w:rsidR="00304288" w:rsidRDefault="00304288">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EF7D5" w14:textId="77777777" w:rsidR="00304288" w:rsidRDefault="00A464F5">
            <w:pPr>
              <w:jc w:val="center"/>
            </w:pPr>
            <w:r>
              <w:t>32024L1640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692A8" w14:textId="77777777" w:rsidR="00304288" w:rsidRDefault="00A464F5">
            <w:pPr>
              <w:jc w:val="center"/>
            </w:pPr>
            <w:r>
              <w:t>78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4D634" w14:textId="77777777" w:rsidR="00304288" w:rsidRDefault="00A464F5">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A51F2"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6A593" w14:textId="77777777" w:rsidR="00304288" w:rsidRDefault="00304288">
            <w:pPr>
              <w:jc w:val="center"/>
            </w:pPr>
          </w:p>
        </w:tc>
      </w:tr>
      <w:tr w:rsidR="00304288" w14:paraId="30D4073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41F037" w14:textId="77777777" w:rsidR="00304288" w:rsidRDefault="00A464F5">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92BB9"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F2574"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CDDC2" w14:textId="77777777" w:rsidR="00304288" w:rsidRDefault="00304288">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436D0" w14:textId="77777777" w:rsidR="00304288" w:rsidRDefault="00A464F5">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7B383" w14:textId="77777777" w:rsidR="00304288" w:rsidRDefault="00304288">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4E7C4A" w14:textId="77777777" w:rsidR="00304288" w:rsidRDefault="00304288">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2D23C" w14:textId="77777777" w:rsidR="00304288" w:rsidRDefault="00304288">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84035" w14:textId="77777777" w:rsidR="00304288" w:rsidRDefault="00304288">
            <w:pPr>
              <w:jc w:val="center"/>
            </w:pPr>
          </w:p>
        </w:tc>
      </w:tr>
    </w:tbl>
    <w:p w14:paraId="5124F01D" w14:textId="77777777" w:rsidR="00304288" w:rsidRDefault="00304288">
      <w:pPr>
        <w:spacing w:after="0"/>
        <w:rPr>
          <w:b/>
        </w:rPr>
      </w:pPr>
    </w:p>
    <w:p w14:paraId="111C7868" w14:textId="77777777" w:rsidR="00304288" w:rsidRDefault="00304288">
      <w:pPr>
        <w:spacing w:after="0" w:line="260" w:lineRule="auto"/>
        <w:rPr>
          <w:rFonts w:cs="Arial"/>
        </w:rPr>
      </w:pPr>
    </w:p>
    <w:p w14:paraId="0C43E887" w14:textId="77777777" w:rsidR="00304288" w:rsidRDefault="00A464F5">
      <w:pPr>
        <w:pStyle w:val="SrajckaNaslovZamik"/>
        <w:spacing w:line="260" w:lineRule="auto"/>
      </w:pPr>
      <w:r>
        <w:t>5.3</w:t>
      </w:r>
      <w:r>
        <w:tab/>
        <w:t>Prikaz ureditve v posameznih državah članicah Evropske unije</w:t>
      </w:r>
    </w:p>
    <w:p w14:paraId="243C461B" w14:textId="77777777" w:rsidR="00304288" w:rsidRDefault="00304288">
      <w:pPr>
        <w:spacing w:after="0" w:line="260" w:lineRule="auto"/>
        <w:rPr>
          <w:rFonts w:cs="Arial"/>
        </w:rPr>
      </w:pPr>
    </w:p>
    <w:p w14:paraId="375A4317" w14:textId="77777777" w:rsidR="00304288" w:rsidRDefault="00A464F5">
      <w:pPr>
        <w:spacing w:after="0" w:line="260" w:lineRule="auto"/>
      </w:pPr>
      <w:r>
        <w:t>Avstrija</w:t>
      </w:r>
    </w:p>
    <w:p w14:paraId="1CCC958F" w14:textId="77777777" w:rsidR="00304288" w:rsidRDefault="00304288">
      <w:pPr>
        <w:spacing w:after="0" w:line="260" w:lineRule="auto"/>
        <w:rPr>
          <w:rFonts w:cs="Arial"/>
        </w:rPr>
      </w:pPr>
    </w:p>
    <w:p w14:paraId="6F925E5F" w14:textId="77777777" w:rsidR="00304288" w:rsidRDefault="00A464F5">
      <w:pPr>
        <w:spacing w:after="0" w:line="240" w:lineRule="auto"/>
      </w:pPr>
      <w:r>
        <w:t>V Avstriji je pravna podlaga za register dejanskih lastnikov Zakon o registru dejanskih lastnikov, ki je začel veljati 15. januarja 2018, vpogled v register pa je omogočen od 2. maja 2018.</w:t>
      </w:r>
    </w:p>
    <w:p w14:paraId="5D3B5108" w14:textId="77777777" w:rsidR="00304288" w:rsidRDefault="00A464F5">
      <w:pPr>
        <w:spacing w:after="0" w:line="240" w:lineRule="auto"/>
      </w:pPr>
      <w:r>
        <w:t xml:space="preserve"> </w:t>
      </w:r>
    </w:p>
    <w:p w14:paraId="47A076BF" w14:textId="77777777" w:rsidR="00304288" w:rsidRDefault="00A464F5">
      <w:pPr>
        <w:spacing w:after="0" w:line="240" w:lineRule="auto"/>
      </w:pPr>
      <w:r>
        <w:t>Med novostmi je ločeno evidentiranje (za preprečevanje pranja denarja in financiranja terorizma) podatkov o dejanskih lastnikih, ki so ključni. Dejanski lastnik je opredeljen kot posameznik, ki mu je z ekonomskega vidika mogoče pripisati lastništvo podjetja, fundacije ali sklada. Poleg tega je bila uvedena podatkovna zbirka, ki vključuje informacije o ustreznih pravnih osebah iz registra podjetij, registra združenj ter zveznih in državnih dobrodelnih fundacij in skladov.</w:t>
      </w:r>
    </w:p>
    <w:p w14:paraId="71F86B3B" w14:textId="77777777" w:rsidR="00304288" w:rsidRDefault="00A464F5">
      <w:pPr>
        <w:spacing w:after="0" w:line="240" w:lineRule="auto"/>
      </w:pPr>
      <w:r>
        <w:t xml:space="preserve"> </w:t>
      </w:r>
    </w:p>
    <w:p w14:paraId="62369B36" w14:textId="77777777" w:rsidR="00304288" w:rsidRDefault="00A464F5">
      <w:pPr>
        <w:spacing w:after="0" w:line="240" w:lineRule="auto"/>
      </w:pPr>
      <w:r>
        <w:t xml:space="preserve">Dostop do registra je omogočen v elektronskem portalu, in sicer bankam, zavarovalnicam, odvetnikom, notarjem, revizorjem, davčnim svetovalcem, računovodjem, nepremičninskim agentom, poslovnim svetovalcem, ponudnikom kripto storitev in drugim reguliranim subjektom. Dostop je izključno omogočen za namen vnosov ali sprememb, izpolnjevanja obveznosti preprečevanja pranja denarja in financiranja </w:t>
      </w:r>
      <w:r>
        <w:lastRenderedPageBreak/>
        <w:t>terorizma ali svetovanja strankam pri preverjanju dejanskih lastnikov. Do registra lahko dostopajo tudi javne ustanove, pristojne za javna naročila.</w:t>
      </w:r>
    </w:p>
    <w:p w14:paraId="63ED4C4B" w14:textId="77777777" w:rsidR="00304288" w:rsidRDefault="00A464F5">
      <w:pPr>
        <w:spacing w:after="0" w:line="240" w:lineRule="auto"/>
      </w:pPr>
      <w:r>
        <w:t xml:space="preserve"> </w:t>
      </w:r>
    </w:p>
    <w:p w14:paraId="2194C5BF" w14:textId="77777777" w:rsidR="00304288" w:rsidRDefault="00A464F5">
      <w:pPr>
        <w:spacing w:after="0" w:line="240" w:lineRule="auto"/>
      </w:pPr>
      <w:r>
        <w:t>Do registra lahko dostopajo tudi fizične osebe in organizacije, ki lahko dokažejo pravni interes, ki mora biti splošno dokazan. Za določene kategorije oseb, kot so novinarji, akademiki in organizacije civilne družbe, ki se ukvarjajo s preprečevanjem pranja denarja, financiranjem terorizma ali sorodnimi področji, se šteje, da je pravni interes izkazan.</w:t>
      </w:r>
    </w:p>
    <w:p w14:paraId="6372E476" w14:textId="77777777" w:rsidR="00304288" w:rsidRDefault="00A464F5">
      <w:pPr>
        <w:spacing w:after="0" w:line="240" w:lineRule="auto"/>
      </w:pPr>
      <w:r>
        <w:t xml:space="preserve"> </w:t>
      </w:r>
    </w:p>
    <w:p w14:paraId="49B365EC" w14:textId="77777777" w:rsidR="00304288" w:rsidRDefault="00A464F5">
      <w:pPr>
        <w:spacing w:after="0" w:line="240" w:lineRule="auto"/>
      </w:pPr>
      <w:r>
        <w:t>Na pisno zahtevo dejanskega lastnika mora registrski organ ugotoviti, ali naj se informacije o dejanskem lastniku zadržijo iz izvlečkov registra. V ta namen mora dejanski lastnik izkazati pravni interes, ki upravičuje takšno omejitev. Zakon navaja primere takšnih interesov, na primer goljufije ali druga kazniva dejanja.</w:t>
      </w:r>
    </w:p>
    <w:p w14:paraId="0259ED86" w14:textId="77777777" w:rsidR="00304288" w:rsidRDefault="00A464F5">
      <w:pPr>
        <w:spacing w:after="0" w:line="240" w:lineRule="auto"/>
      </w:pPr>
      <w:r>
        <w:t xml:space="preserve"> </w:t>
      </w:r>
    </w:p>
    <w:p w14:paraId="4EF9D88A" w14:textId="77777777" w:rsidR="00304288" w:rsidRDefault="00A464F5">
      <w:pPr>
        <w:spacing w:after="0" w:line="240" w:lineRule="auto"/>
      </w:pPr>
      <w:r>
        <w:t>Zakon določa seznam javnih organov, ki imajo pravico dostopati do registra za opravljanje svojih uradnih dolžnosti. Najpomembnejši med njimi so avstrijski nadzorni organi, organi, pristojni za upravne kazenske postopke, organi kazenskega pravosodja, davčni organi, Avstrijska narodna banka in številni drugi.</w:t>
      </w:r>
    </w:p>
    <w:p w14:paraId="61F4FC13" w14:textId="77777777" w:rsidR="00304288" w:rsidRDefault="00304288">
      <w:pPr>
        <w:spacing w:after="0" w:line="260" w:lineRule="auto"/>
        <w:rPr>
          <w:rFonts w:cs="Arial"/>
        </w:rPr>
      </w:pPr>
    </w:p>
    <w:p w14:paraId="0E7762DC" w14:textId="77777777" w:rsidR="00304288" w:rsidRDefault="00A464F5">
      <w:pPr>
        <w:spacing w:after="0" w:line="260" w:lineRule="auto"/>
      </w:pPr>
      <w:r>
        <w:t>Španija</w:t>
      </w:r>
    </w:p>
    <w:p w14:paraId="1518525D" w14:textId="77777777" w:rsidR="00304288" w:rsidRDefault="00304288">
      <w:pPr>
        <w:spacing w:after="0" w:line="260" w:lineRule="auto"/>
        <w:rPr>
          <w:rFonts w:cs="Arial"/>
        </w:rPr>
      </w:pPr>
    </w:p>
    <w:p w14:paraId="611C755A" w14:textId="77777777" w:rsidR="00304288" w:rsidRDefault="00A464F5">
      <w:pPr>
        <w:spacing w:after="0" w:line="240" w:lineRule="auto"/>
      </w:pPr>
      <w:r>
        <w:t>Španija je leta 2023 sprejela Kraljevi odlok 609/2023 z dne 11. julija o ustanovitvi osrednjega registra dejanskih lastnikov in potrditvi njegove uredbe (</w:t>
      </w:r>
      <w:r>
        <w:rPr>
          <w:i/>
        </w:rPr>
        <w:t>Real Decreto 609/2023, de 11 de julio, por el que se crea el Registro Central de Titularidades Reales y se aprueba su Reglamento, Boletín Oficial del Estado, št. 165, 12. 7. 2023, str. 101182–101198</w:t>
      </w:r>
      <w:r>
        <w:t>). Namen odloka je prilagoditev notranje zakonodaje na področju preprečevanja pranja denarja in financiranja terorizma ter vključitev sprememb nekaterih določb Direktive 2024/1640/EU.</w:t>
      </w:r>
    </w:p>
    <w:p w14:paraId="1BCEE70C" w14:textId="77777777" w:rsidR="00304288" w:rsidRDefault="00A464F5">
      <w:pPr>
        <w:spacing w:after="0" w:line="240" w:lineRule="auto"/>
      </w:pPr>
      <w:r>
        <w:t xml:space="preserve"> </w:t>
      </w:r>
    </w:p>
    <w:p w14:paraId="6B8279AB" w14:textId="77777777" w:rsidR="00304288" w:rsidRDefault="00A464F5">
      <w:pPr>
        <w:spacing w:after="0" w:line="240" w:lineRule="auto"/>
      </w:pPr>
      <w:r>
        <w:t>V skladu z navedenim odlokom je bil v Španiji vzpostavljen osrednji register dejanskih lastnikov, ki zajema podatke o vseh španskih pravnih osebah ter subjektih brez pravne osebnosti, ki imajo sedež ali glavno dejavnost v Španiji oziroma jih upravljajo osebe iz Španije. Register vključuje tudi informacije o subjektih, ki nameravajo vzpostaviti poslovni odnos ali pridobiti nepremičnino v Španiji. Kraljevi odlok ureja pridobivanje podatkov o dejanskem lastništvu omenjenih oseb ter določa, da do registra dejanskih lastnikov lahko dostopajo zavezanci in posamezniki, ki izkažejo legitimni interes.</w:t>
      </w:r>
    </w:p>
    <w:p w14:paraId="07828BD0" w14:textId="77777777" w:rsidR="00304288" w:rsidRDefault="00A464F5">
      <w:pPr>
        <w:spacing w:after="0" w:line="240" w:lineRule="auto"/>
      </w:pPr>
      <w:r>
        <w:t xml:space="preserve"> </w:t>
      </w:r>
    </w:p>
    <w:p w14:paraId="363A5340" w14:textId="77777777" w:rsidR="00304288" w:rsidRDefault="00A464F5">
      <w:pPr>
        <w:spacing w:after="0" w:line="240" w:lineRule="auto"/>
      </w:pPr>
      <w:r>
        <w:t>Za medije ali civilnodružbene organizacije, ki se ukvarjajo s preprečevanjem pranja denarja in financiranja terorizma, se šteje, da je pravni interes izkazan.</w:t>
      </w:r>
    </w:p>
    <w:p w14:paraId="769889ED" w14:textId="77777777" w:rsidR="00304288" w:rsidRDefault="00304288">
      <w:pPr>
        <w:spacing w:after="0" w:line="260" w:lineRule="auto"/>
        <w:rPr>
          <w:rFonts w:cs="Arial"/>
        </w:rPr>
      </w:pPr>
    </w:p>
    <w:p w14:paraId="54F03478" w14:textId="77777777" w:rsidR="00304288" w:rsidRDefault="00A464F5">
      <w:pPr>
        <w:spacing w:after="0" w:line="260" w:lineRule="auto"/>
      </w:pPr>
      <w:r>
        <w:t>Latvija</w:t>
      </w:r>
    </w:p>
    <w:p w14:paraId="1E19C4AD" w14:textId="77777777" w:rsidR="00304288" w:rsidRDefault="00304288">
      <w:pPr>
        <w:spacing w:after="0" w:line="260" w:lineRule="auto"/>
        <w:rPr>
          <w:rFonts w:cs="Arial"/>
        </w:rPr>
      </w:pPr>
    </w:p>
    <w:p w14:paraId="5D9AD598" w14:textId="77777777" w:rsidR="00304288" w:rsidRDefault="00A464F5">
      <w:pPr>
        <w:spacing w:after="0" w:line="240" w:lineRule="auto"/>
      </w:pPr>
      <w:r>
        <w:t>Register dejanskih lastnikov se vodi v okviru Registra podjetij Republike Latvije. Spremembe in dopolnitve Zakona o preprečevanju pranja denarja, financiranja terorizma in širjenja orožja, ki so začele veljati 1. julija 2020, so spodbudile vzpostavitev posebnega postopka za izmenjavo informacij med javnimi organi, subjekti in zavezanci, kot so računovodje, odvetniki, stečajni upravitelji in banke. Tako je 1. junija 2020 začel delovati Register podjetij Republike Latvije, ki med drugim zagotavlja poročanje o dejanskih lastnikih. Register omogoča subjektom nadzora, da prijavijo morebitne lažne podatke o dejanskih lastnikih pravnih oseb.</w:t>
      </w:r>
    </w:p>
    <w:p w14:paraId="180123A1" w14:textId="77777777" w:rsidR="00304288" w:rsidRDefault="00A464F5">
      <w:pPr>
        <w:spacing w:after="0" w:line="240" w:lineRule="auto"/>
      </w:pPr>
      <w:r>
        <w:t xml:space="preserve"> </w:t>
      </w:r>
    </w:p>
    <w:p w14:paraId="7EC0912E" w14:textId="77777777" w:rsidR="00304288" w:rsidRDefault="00A464F5">
      <w:pPr>
        <w:spacing w:after="0" w:line="240" w:lineRule="auto"/>
      </w:pPr>
      <w:r>
        <w:t>Latvija je ohranila visoko stopnjo preglednosti. Po odločitvi sodišča Evropske unije iz leta 2022 se je Latvija izrecno odločila, da bo svoj register dejanskih lastnikov ohranila javno dostopen.</w:t>
      </w:r>
    </w:p>
    <w:p w14:paraId="3C8E8CAB" w14:textId="77777777" w:rsidR="00304288" w:rsidRDefault="00A464F5">
      <w:pPr>
        <w:spacing w:after="0" w:line="240" w:lineRule="auto"/>
      </w:pPr>
      <w:r>
        <w:t xml:space="preserve"> </w:t>
      </w:r>
    </w:p>
    <w:p w14:paraId="43B758CF" w14:textId="77777777" w:rsidR="00304288" w:rsidRDefault="00A464F5">
      <w:pPr>
        <w:spacing w:after="0" w:line="240" w:lineRule="auto"/>
      </w:pPr>
      <w:r>
        <w:t>Javnost si lahko brezplačno ogleda aktualne podatke dejanskih lastnikov v portalu Register of Enterprises. Razpoložljive informacije vključujejo: polno ime, osebno identifikacijsko številko (ali datum rojstva, državljanstvo in podrobnosti osebnega dokumenta za tujce), narodnost, državo prebivališča ter informacijo o njihovega nadzora.</w:t>
      </w:r>
    </w:p>
    <w:p w14:paraId="6BD6CB1F" w14:textId="77777777" w:rsidR="00304288" w:rsidRDefault="00304288">
      <w:pPr>
        <w:spacing w:after="0" w:line="260" w:lineRule="auto"/>
        <w:rPr>
          <w:rFonts w:cs="Arial"/>
        </w:rPr>
      </w:pPr>
    </w:p>
    <w:p w14:paraId="2A3B60DE" w14:textId="77777777" w:rsidR="00304288" w:rsidRDefault="00A464F5">
      <w:pPr>
        <w:pStyle w:val="Odebeljeno"/>
        <w:spacing w:line="260" w:lineRule="auto"/>
      </w:pPr>
      <w:r>
        <w:t>6.</w:t>
      </w:r>
      <w:r>
        <w:tab/>
        <w:t>Presoja posledic</w:t>
      </w:r>
    </w:p>
    <w:p w14:paraId="4300012F" w14:textId="77777777" w:rsidR="00304288" w:rsidRDefault="00A464F5">
      <w:pPr>
        <w:pStyle w:val="Odebeljeno"/>
        <w:spacing w:line="260" w:lineRule="auto"/>
      </w:pPr>
      <w:r>
        <w:t>6.1</w:t>
      </w:r>
      <w:r>
        <w:tab/>
        <w:t>Presoja administrativnih posledic</w:t>
      </w:r>
    </w:p>
    <w:p w14:paraId="723A4E6C" w14:textId="77777777" w:rsidR="00304288" w:rsidRDefault="00304288">
      <w:pPr>
        <w:spacing w:after="0" w:line="260" w:lineRule="auto"/>
        <w:rPr>
          <w:rFonts w:cs="Arial"/>
        </w:rPr>
      </w:pPr>
    </w:p>
    <w:p w14:paraId="41DF8A15" w14:textId="77777777" w:rsidR="00304288" w:rsidRDefault="00A464F5">
      <w:pPr>
        <w:pStyle w:val="Odebeljeno"/>
        <w:spacing w:line="260" w:lineRule="auto"/>
        <w:ind w:left="360" w:hanging="360"/>
      </w:pPr>
      <w:r>
        <w:lastRenderedPageBreak/>
        <w:t>a)</w:t>
      </w:r>
      <w:r>
        <w:tab/>
        <w:t>Predpis ima učinek na uvajanje nove obveznosti, spreminjanje ali ukinjanje obstoječe obveznosti.</w:t>
      </w:r>
    </w:p>
    <w:p w14:paraId="37C1236B" w14:textId="77777777" w:rsidR="00304288" w:rsidRDefault="00304288">
      <w:pPr>
        <w:spacing w:after="0" w:line="260" w:lineRule="auto"/>
        <w:rPr>
          <w:rFonts w:cs="Arial"/>
        </w:rPr>
      </w:pPr>
    </w:p>
    <w:p w14:paraId="077886E8" w14:textId="77777777" w:rsidR="00304288" w:rsidRDefault="00A464F5">
      <w:pPr>
        <w:pStyle w:val="Odebeljeno"/>
        <w:spacing w:line="260" w:lineRule="auto"/>
        <w:ind w:left="720" w:hanging="360"/>
      </w:pPr>
      <w:r>
        <w:t>–</w:t>
      </w:r>
      <w:r>
        <w:tab/>
        <w:t>Predpis ima pozitiven učinek na število trenutno veljavnih obveznosti.</w:t>
      </w:r>
    </w:p>
    <w:p w14:paraId="35DC2D40" w14:textId="77777777" w:rsidR="00304288" w:rsidRDefault="00304288">
      <w:pPr>
        <w:spacing w:after="0" w:line="260" w:lineRule="auto"/>
        <w:rPr>
          <w:rFonts w:cs="Arial"/>
        </w:rPr>
      </w:pPr>
    </w:p>
    <w:p w14:paraId="5AC0C837" w14:textId="77777777" w:rsidR="00304288" w:rsidRDefault="00A464F5">
      <w:pPr>
        <w:spacing w:after="0" w:line="240" w:lineRule="auto"/>
        <w:ind w:left="720"/>
      </w:pPr>
      <w:r>
        <w:t>Predpis ima učinek tako na uvajanje novih obveznosti kot na spremembo in delno preoblikovanje že vzpostavljenih obveznosti. Uvaja nove obveznosti predvsem zaradi uskladitve z evropskim pravnim okvirom na področju preprečevanja pranja denarja in financiranja terorizma, zlasti v delu, ki se nanaša na povezovanje registrov dejanskih lastnikov v evropski platformi, poenotenje standardov dostopa do podatkov ter uvedbo nadnacionalnega nadzora. S tem se uveljavljeni domači sistem nadgrajuje in vključuje v širši evropski nadzorni in informacijski okvir.</w:t>
      </w:r>
    </w:p>
    <w:p w14:paraId="30CDC943" w14:textId="77777777" w:rsidR="00304288" w:rsidRDefault="00A464F5">
      <w:pPr>
        <w:spacing w:after="0" w:line="240" w:lineRule="auto"/>
      </w:pPr>
      <w:r>
        <w:br/>
        <w:t>Hkrati predpis spreminja in natančneje določa obstoječe obveznosti, zlasti glede opredelitve in preverjanja pravnega interesa, postopkovnih pravil za dostop do podatkov ter zagotavljanja sledljivosti dostopov in ustreznih varovalnih mehanizmov. Te spremembe ne pomenijo vsebinske ukinitve obstoječih obveznosti, temveč njihovo večjo jasnost, pravno predvidljivost in učinkovitejše izvajanje v praksi.</w:t>
      </w:r>
    </w:p>
    <w:p w14:paraId="61AEDCAA" w14:textId="77777777" w:rsidR="00304288" w:rsidRDefault="00A464F5">
      <w:pPr>
        <w:spacing w:after="0" w:line="240" w:lineRule="auto"/>
      </w:pPr>
      <w:r>
        <w:br/>
      </w:r>
    </w:p>
    <w:p w14:paraId="0C5450FC" w14:textId="77777777" w:rsidR="00304288" w:rsidRDefault="00A464F5">
      <w:pPr>
        <w:spacing w:after="0" w:line="240" w:lineRule="auto"/>
      </w:pPr>
      <w:r>
        <w:t>Temeljni namen predpisa je tako zagotoviti varno, pregledno in zlorabam odporno finančno okolje, obenem pa omogočiti učinkovito in nemoteno poslovanje poslovnih subjektov, kar pomeni uravnoteženo delovanje med krepitvijo nadzora in zmanjševanjem pravnih nejasnosti za zavezance.</w:t>
      </w:r>
    </w:p>
    <w:p w14:paraId="19B38441" w14:textId="77777777" w:rsidR="00304288" w:rsidRDefault="00304288">
      <w:pPr>
        <w:spacing w:after="0" w:line="240" w:lineRule="auto"/>
        <w:ind w:left="720"/>
      </w:pPr>
    </w:p>
    <w:p w14:paraId="16E567A4" w14:textId="77777777" w:rsidR="00304288" w:rsidRDefault="00A464F5">
      <w:pPr>
        <w:pStyle w:val="Odebeljeno"/>
        <w:spacing w:line="260" w:lineRule="auto"/>
        <w:ind w:left="720" w:hanging="360"/>
      </w:pPr>
      <w:r>
        <w:t>–</w:t>
      </w:r>
      <w:r>
        <w:tab/>
        <w:t>Predpis ima pozitiven učinek na upoštevanje načela »vse na enem mestu«.</w:t>
      </w:r>
    </w:p>
    <w:p w14:paraId="79C5B0A1" w14:textId="77777777" w:rsidR="00304288" w:rsidRDefault="00304288">
      <w:pPr>
        <w:spacing w:after="0" w:line="260" w:lineRule="auto"/>
        <w:rPr>
          <w:rFonts w:cs="Arial"/>
        </w:rPr>
      </w:pPr>
    </w:p>
    <w:p w14:paraId="3015F737" w14:textId="77777777" w:rsidR="00304288" w:rsidRDefault="00A464F5">
      <w:pPr>
        <w:spacing w:after="0" w:line="240" w:lineRule="auto"/>
      </w:pPr>
      <w:r>
        <w:t>Predpis ima pozitiven učinek na upoštevanje načela »vse na enem mestu«, saj krepi centraliziran dostop do podatkov iz registra in postopkov. Z vključitvijo nacionalnega registra dejanskih lastnikov v povezano evropsko platformo omogoča enoten dostop do pomembnih informacij ter zmanjšuje potrebo po vlaganju zahtevkov pri več organih. Poenotenje pravil dostopa in postopkov dodatno prispeva k večji preglednosti in učinkovitosti sistema ter zmanjšuje upravno breme za uporabnike in poslovne subjekte.</w:t>
      </w:r>
    </w:p>
    <w:p w14:paraId="55B9D404" w14:textId="77777777" w:rsidR="00304288" w:rsidRDefault="00304288">
      <w:pPr>
        <w:spacing w:after="0" w:line="240" w:lineRule="auto"/>
        <w:ind w:left="720"/>
      </w:pPr>
    </w:p>
    <w:p w14:paraId="550791E4" w14:textId="77777777" w:rsidR="00304288" w:rsidRDefault="00A464F5">
      <w:pPr>
        <w:pStyle w:val="Odebeljeno"/>
        <w:spacing w:line="260" w:lineRule="auto"/>
        <w:ind w:left="720" w:hanging="360"/>
      </w:pPr>
      <w:r>
        <w:t>–</w:t>
      </w:r>
      <w:r>
        <w:tab/>
        <w:t>Predpis ima pozitiven učinek na aktivnosti zaposlenih v organih državne uprave, pravosodnih organih in nosilce javnih pooblastil.</w:t>
      </w:r>
    </w:p>
    <w:p w14:paraId="1E74BC02" w14:textId="77777777" w:rsidR="00304288" w:rsidRDefault="00304288">
      <w:pPr>
        <w:spacing w:after="0" w:line="260" w:lineRule="auto"/>
        <w:rPr>
          <w:rFonts w:cs="Arial"/>
        </w:rPr>
      </w:pPr>
    </w:p>
    <w:p w14:paraId="7F5D6CF1" w14:textId="77777777" w:rsidR="00304288" w:rsidRDefault="00A464F5">
      <w:pPr>
        <w:spacing w:after="0" w:line="240" w:lineRule="auto"/>
      </w:pPr>
      <w:r>
        <w:t>Predpis ima zmeren, vendar pomemben vpliv na aktivnosti zaposlenih pri upravljavcu registra. Z vidika zaposlenih pri upravljavcu registra predpis pomeni razširitev in natančnejšo opredelitev nalog, zlasti glede zagotavljanja kakovosti in sprotnega posodabljanja podatkov, preverjanja izpolnjevanja pogojev za dostop (pravni interes), izvajanja postopkovnih določb ter zagotavljanja sledljivosti dostopov in varovalnih mehanizmov.</w:t>
      </w:r>
    </w:p>
    <w:p w14:paraId="3E29600C" w14:textId="77777777" w:rsidR="00304288" w:rsidRDefault="00A464F5">
      <w:pPr>
        <w:spacing w:after="0" w:line="240" w:lineRule="auto"/>
      </w:pPr>
      <w:r>
        <w:br/>
        <w:t>Hkrati pa jasnejša pravila, poenoteni postopki in standardizirani mehanizmi dostopa prispevajo k večji pravni varnosti, preglednosti dela in učinkovitejšemu izvajanju nalog, dolgoročno pa lahko zmanjšujejo število nejasnih vlog, pritožb in hitrih zasilnih pojasnjevanj. Predpis tako ne pomeni bistvenega povečanja obsega dela, temveč predvsem kakovostno nadgradnjo aktivnosti in večjo strokovno zahtevnost izvajanja nalog.</w:t>
      </w:r>
    </w:p>
    <w:p w14:paraId="545687FF" w14:textId="77777777" w:rsidR="00304288" w:rsidRDefault="00304288">
      <w:pPr>
        <w:spacing w:after="0" w:line="240" w:lineRule="auto"/>
        <w:ind w:left="720"/>
      </w:pPr>
    </w:p>
    <w:p w14:paraId="16AC2119" w14:textId="77777777" w:rsidR="00304288" w:rsidRDefault="00A464F5">
      <w:pPr>
        <w:pStyle w:val="Odebeljeno"/>
        <w:spacing w:line="260" w:lineRule="auto"/>
        <w:ind w:left="720" w:hanging="360"/>
      </w:pPr>
      <w:r>
        <w:t>–</w:t>
      </w:r>
      <w:r>
        <w:tab/>
        <w:t>Predpis ima pozitiven učinek na pridobitev podatkov iz uradnih evidenc.</w:t>
      </w:r>
    </w:p>
    <w:p w14:paraId="647E7F4A" w14:textId="77777777" w:rsidR="00304288" w:rsidRDefault="00304288">
      <w:pPr>
        <w:spacing w:after="0" w:line="260" w:lineRule="auto"/>
        <w:rPr>
          <w:rFonts w:cs="Arial"/>
        </w:rPr>
      </w:pPr>
    </w:p>
    <w:p w14:paraId="63E63776" w14:textId="77777777" w:rsidR="00304288" w:rsidRDefault="00A464F5">
      <w:pPr>
        <w:spacing w:after="0" w:line="240" w:lineRule="auto"/>
      </w:pPr>
      <w:r>
        <w:t>Za določene organe (na primer organe odkrivanja in pregona, nadzorne organe ter nekatere organe EU) predpis olajšuje pridobivanje podatkov, saj jim omogoča neposreden, hiter in brezplačen dostop do podatkov iz registra.</w:t>
      </w:r>
    </w:p>
    <w:p w14:paraId="11EA9432" w14:textId="77777777" w:rsidR="00304288" w:rsidRDefault="00A464F5">
      <w:pPr>
        <w:spacing w:after="0" w:line="240" w:lineRule="auto"/>
      </w:pPr>
      <w:r>
        <w:br/>
      </w:r>
    </w:p>
    <w:p w14:paraId="6F43EBF9" w14:textId="77777777" w:rsidR="00304288" w:rsidRDefault="00A464F5">
      <w:pPr>
        <w:spacing w:after="0" w:line="240" w:lineRule="auto"/>
      </w:pPr>
      <w:r>
        <w:t>Za druge organe in nosilce javnih pooblastil pa predpis ne poenostavlja bistveno pridobivanja podatkov, saj morajo še naprej izkazovati pravni interes in podatke pridobivati po predpisanem postopku pri upravljavcu registra. V teh primerih predpis predvsem natančneje ureja pogoje in postopke dostopa, ne pa da bi jih kar preprosto razbremenil.</w:t>
      </w:r>
    </w:p>
    <w:p w14:paraId="1BC096EF" w14:textId="77777777" w:rsidR="00304288" w:rsidRDefault="00A464F5">
      <w:pPr>
        <w:spacing w:after="0" w:line="240" w:lineRule="auto"/>
      </w:pPr>
      <w:r>
        <w:lastRenderedPageBreak/>
        <w:br/>
      </w:r>
    </w:p>
    <w:p w14:paraId="466B22D2" w14:textId="77777777" w:rsidR="00304288" w:rsidRDefault="00A464F5">
      <w:pPr>
        <w:spacing w:after="0" w:line="240" w:lineRule="auto"/>
      </w:pPr>
      <w:r>
        <w:t>Skupno gledano predpis selektivno izboljšuje dostop do podatkov iz registra, odvisno od vloge in pristojnosti posameznega organa, ob hkratnem ohranjanju varovalnih mehanizmov.</w:t>
      </w:r>
    </w:p>
    <w:p w14:paraId="17239D85" w14:textId="77777777" w:rsidR="00304288" w:rsidRDefault="00304288">
      <w:pPr>
        <w:spacing w:after="0" w:line="240" w:lineRule="auto"/>
        <w:ind w:left="720"/>
      </w:pPr>
    </w:p>
    <w:p w14:paraId="4C5EB8E1" w14:textId="77777777" w:rsidR="00304288" w:rsidRDefault="00A464F5">
      <w:pPr>
        <w:pStyle w:val="Odebeljeno"/>
        <w:spacing w:line="260" w:lineRule="auto"/>
        <w:ind w:left="360" w:hanging="360"/>
      </w:pPr>
      <w:r>
        <w:t>b)</w:t>
      </w:r>
      <w:r>
        <w:tab/>
        <w:t>Predpis spodbuja digitalno vključenost.</w:t>
      </w:r>
    </w:p>
    <w:p w14:paraId="68E7671A" w14:textId="77777777" w:rsidR="00304288" w:rsidRDefault="00304288">
      <w:pPr>
        <w:spacing w:after="0" w:line="260" w:lineRule="auto"/>
        <w:rPr>
          <w:rFonts w:cs="Arial"/>
        </w:rPr>
      </w:pPr>
    </w:p>
    <w:p w14:paraId="106B48B5" w14:textId="77777777" w:rsidR="00304288" w:rsidRDefault="00A464F5">
      <w:pPr>
        <w:pStyle w:val="Odebeljeno"/>
        <w:spacing w:line="260" w:lineRule="auto"/>
        <w:ind w:left="720" w:hanging="360"/>
      </w:pPr>
      <w:r>
        <w:t>–</w:t>
      </w:r>
      <w:r>
        <w:tab/>
        <w:t>Predpis ima pozitiven učinek na digitalno vključenost.</w:t>
      </w:r>
    </w:p>
    <w:p w14:paraId="7ED10FAE" w14:textId="77777777" w:rsidR="00304288" w:rsidRDefault="00304288">
      <w:pPr>
        <w:spacing w:after="0" w:line="260" w:lineRule="auto"/>
        <w:rPr>
          <w:rFonts w:cs="Arial"/>
        </w:rPr>
      </w:pPr>
    </w:p>
    <w:p w14:paraId="355394CD" w14:textId="77777777" w:rsidR="00304288" w:rsidRDefault="00A464F5">
      <w:pPr>
        <w:spacing w:after="0" w:line="240" w:lineRule="auto"/>
      </w:pPr>
      <w:r>
        <w:t>Predpis ima omejen, a pozitiven učinek na digitalno vključenost, saj spodbuja uporabo elektronskih postopkov in digitalnih registrov na rani države in na evropski ravni.</w:t>
      </w:r>
    </w:p>
    <w:p w14:paraId="6280496C" w14:textId="77777777" w:rsidR="00304288" w:rsidRDefault="00A464F5">
      <w:pPr>
        <w:spacing w:after="0" w:line="240" w:lineRule="auto"/>
      </w:pPr>
      <w:r>
        <w:br/>
      </w:r>
    </w:p>
    <w:p w14:paraId="6E8DA2FA" w14:textId="77777777" w:rsidR="00304288" w:rsidRDefault="00A464F5">
      <w:pPr>
        <w:spacing w:after="0" w:line="240" w:lineRule="auto"/>
      </w:pPr>
      <w:r>
        <w:t>Vloge je mogoče vlagati tudi elektronsko, hkrati pa so ohranjene druge možnosti (na primer vloga v papirni obliki), zato predpis ne povečuje tveganja digitalne izključenosti prebivalstva.</w:t>
      </w:r>
    </w:p>
    <w:p w14:paraId="4AB23C7E" w14:textId="77777777" w:rsidR="00304288" w:rsidRDefault="00304288">
      <w:pPr>
        <w:spacing w:after="0" w:line="240" w:lineRule="auto"/>
        <w:ind w:left="720"/>
      </w:pPr>
    </w:p>
    <w:p w14:paraId="32C7885D" w14:textId="77777777" w:rsidR="00304288" w:rsidRDefault="00A464F5">
      <w:pPr>
        <w:pStyle w:val="Odebeljeno"/>
        <w:spacing w:line="260" w:lineRule="auto"/>
        <w:ind w:left="360" w:hanging="360"/>
      </w:pPr>
      <w:r>
        <w:t>c)</w:t>
      </w:r>
      <w:r>
        <w:tab/>
        <w:t>Predpis ima učinek na uresničevanje pravic posameznika.</w:t>
      </w:r>
    </w:p>
    <w:p w14:paraId="2BC7226A" w14:textId="77777777" w:rsidR="00304288" w:rsidRDefault="00304288">
      <w:pPr>
        <w:spacing w:after="0" w:line="260" w:lineRule="auto"/>
        <w:rPr>
          <w:rFonts w:cs="Arial"/>
        </w:rPr>
      </w:pPr>
    </w:p>
    <w:p w14:paraId="1180130E" w14:textId="77777777" w:rsidR="00304288" w:rsidRDefault="00A464F5">
      <w:pPr>
        <w:pStyle w:val="Odebeljeno"/>
        <w:spacing w:line="260" w:lineRule="auto"/>
        <w:ind w:left="720" w:hanging="360"/>
      </w:pPr>
      <w:r>
        <w:t>–</w:t>
      </w:r>
      <w:r>
        <w:tab/>
        <w:t>Predpis ima pozitiven učinek na upoštevanje dolžnosti informiranja posameznika o obdelavi podatkov.</w:t>
      </w:r>
    </w:p>
    <w:p w14:paraId="7967ABB1" w14:textId="77777777" w:rsidR="00304288" w:rsidRDefault="00304288">
      <w:pPr>
        <w:spacing w:after="0" w:line="260" w:lineRule="auto"/>
        <w:rPr>
          <w:rFonts w:cs="Arial"/>
        </w:rPr>
      </w:pPr>
    </w:p>
    <w:p w14:paraId="19329A91" w14:textId="77777777" w:rsidR="00304288" w:rsidRDefault="00A464F5">
      <w:pPr>
        <w:spacing w:after="0" w:line="240" w:lineRule="auto"/>
      </w:pPr>
      <w:r>
        <w:t>Predpis ima na prebivalstvo pretežno posreden, uravnotežen in pozitiven učinek, saj krepi varnost in preglednost finančnega sistema ter hkrati zagotavlja varstvo osebnih podatkov posameznikov.</w:t>
      </w:r>
    </w:p>
    <w:p w14:paraId="45606A7E" w14:textId="77777777" w:rsidR="00304288" w:rsidRDefault="00A464F5">
      <w:pPr>
        <w:spacing w:after="0" w:line="240" w:lineRule="auto"/>
      </w:pPr>
      <w:r>
        <w:br/>
        <w:t>Za prebivalstvo predpis pomeni večjo zaščito pred finančnimi zlorabami, pranjem denarja in financiranjem terorizma, tudi zaradi razširjenega dostopa do registra dejanskih lastnikov za nacionalne in evropske organe odkrivanja in pregona. Dodatno učinkovitejše preiskave in nadzor ter povečujejo zaupanje v pravno državo ter prispevajo k bolj stabilnemu in zaupanja vrednemu poslovnemu okolju.</w:t>
      </w:r>
    </w:p>
    <w:p w14:paraId="1EE237FF" w14:textId="77777777" w:rsidR="00304288" w:rsidRDefault="00A464F5">
      <w:pPr>
        <w:spacing w:after="0" w:line="240" w:lineRule="auto"/>
      </w:pPr>
      <w:r>
        <w:br/>
        <w:t>Za posameznike, ki so dejanski lastniki, predpis pomeni, da se njihovi podatki uporabljajo strogo za zakonsko določene namene, ob jasneje opredeljenih postopkih, sledljivosti dostopov in uvedbi varovalnih mehanizmov. Poseben poudarek je na zaščiti pred nesorazmernimi tveganji, saj zakon določa izjemne okoliščine, v katerih se podatki ne razkrijejo, kadar bi razkritje lahko povzročilo ogroženost posameznika.</w:t>
      </w:r>
    </w:p>
    <w:p w14:paraId="678AEB68" w14:textId="77777777" w:rsidR="00304288" w:rsidRDefault="00A464F5">
      <w:pPr>
        <w:spacing w:after="0" w:line="240" w:lineRule="auto"/>
      </w:pPr>
      <w:r>
        <w:br/>
        <w:t>Za splošno javnost, ki ni zavezanec po ZPPDFT-2, predpis ne uvaja novih obveznosti. Dostop do omejenega nabora podatkov je mogoč le ob izkazanem pravnem interesu, povezanem izključno s preprečevanjem pranja denarja in financiranja terorizma, kar preprečuje neupravičeno ali množično uporabo osebnih podatkov.</w:t>
      </w:r>
    </w:p>
    <w:p w14:paraId="5775D058" w14:textId="77777777" w:rsidR="00304288" w:rsidRDefault="00A464F5">
      <w:pPr>
        <w:spacing w:after="0" w:line="240" w:lineRule="auto"/>
      </w:pPr>
      <w:r>
        <w:br/>
        <w:t>Skupno gledano predpis izboljšuje javne koristi za prebivalstvo z večjo integriteto finančnega sistema in večjo učinkovitostjo nadzora, ob hkratnem ohranjanju ravnotežja med preglednostjo, zasebnostjo in varstvom posameznikovih pravic.</w:t>
      </w:r>
    </w:p>
    <w:p w14:paraId="5DC69875" w14:textId="77777777" w:rsidR="00304288" w:rsidRDefault="00304288">
      <w:pPr>
        <w:spacing w:after="0" w:line="240" w:lineRule="auto"/>
        <w:ind w:left="720"/>
      </w:pPr>
    </w:p>
    <w:p w14:paraId="26D3AE33" w14:textId="77777777" w:rsidR="00304288" w:rsidRDefault="00A464F5">
      <w:pPr>
        <w:pStyle w:val="Odebeljeno"/>
        <w:spacing w:line="260" w:lineRule="auto"/>
        <w:ind w:left="720" w:hanging="360"/>
      </w:pPr>
      <w:r>
        <w:t>–</w:t>
      </w:r>
      <w:r>
        <w:tab/>
        <w:t>Predpis ima pozitiven učinek na upoštevanje pravice do seznanitve in prenosljivosti podatkov.</w:t>
      </w:r>
    </w:p>
    <w:p w14:paraId="21CEB15F" w14:textId="77777777" w:rsidR="00304288" w:rsidRDefault="00304288">
      <w:pPr>
        <w:spacing w:after="0" w:line="260" w:lineRule="auto"/>
        <w:rPr>
          <w:rFonts w:cs="Arial"/>
        </w:rPr>
      </w:pPr>
    </w:p>
    <w:p w14:paraId="117750FF" w14:textId="77777777" w:rsidR="00304288" w:rsidRDefault="00A464F5">
      <w:pPr>
        <w:spacing w:after="0" w:line="240" w:lineRule="auto"/>
      </w:pPr>
      <w:r>
        <w:t xml:space="preserve">Predpis ima omejen in uravnotežen učinek na uresničevanje pravice do seznanitve ter pravice do prenosljivosti podatkov. Pravica do seznanitve z obdelavo osebnih podatkov je zagotovljena v okviru predpisov o varstvu osebnih podatkov, vendar se lahko časovno ali vsebinsko omeji, kadar je to nujno za preprečevanje oviranja ali razkritja preiskav ter drugih postopkov na področju preprečevanja pranja denarja in financiranja terorizma. Takšne omejitve so zakonsko določene in sorazmerne z javnim interesom. Pravica do prenosljivosti podatkov ima v okviru registra dejanskih lastnikov omejen pomen, saj se osebni podatki obdelujejo na podlagi zakonske obveznosti in v javnem interesu, ne pa na podlagi privolitve ali pogodbenega razmerja. Zato ta pravica praviloma ni uporabna oziroma je lahko izključena v skladu z Uredbo (EU) 2016/679 Evropskega parlamenta in Sveta z dne 27. aprila 2016 o varstvu posameznikov pri obdelavi </w:t>
      </w:r>
      <w:r>
        <w:lastRenderedPageBreak/>
        <w:t>osebnih podatkov in o prostem pretoku takih podatkov ter o razveljavitvi Direktive 95/46/ES (Splošna uredba o varstvu podatkov) (UL L št. 119 z dne 4. 5. 2016, str. 1), zadnjič popravljeno s Popravkom (UL L št. 127 z dne 23. 5. 2018, str. 2), (v nadaljnjem besedilu: Splošna uredba o varstvu podatkov).</w:t>
      </w:r>
    </w:p>
    <w:p w14:paraId="296B050E" w14:textId="77777777" w:rsidR="00304288" w:rsidRDefault="00A464F5">
      <w:pPr>
        <w:spacing w:after="0" w:line="240" w:lineRule="auto"/>
      </w:pPr>
      <w:r>
        <w:br/>
        <w:t>Skupno predpis zagotavlja spoštovanje bistva obeh pravic, hkrati pa omogoča zakonsko dopustne omejitve, potrebne za učinkovito izvajanje nalog v javnem interesu in varstvo finančnega sistema.</w:t>
      </w:r>
    </w:p>
    <w:p w14:paraId="09ADA954" w14:textId="77777777" w:rsidR="00304288" w:rsidRDefault="00A464F5">
      <w:pPr>
        <w:spacing w:after="0" w:line="240" w:lineRule="auto"/>
      </w:pPr>
      <w:r>
        <w:br/>
      </w:r>
    </w:p>
    <w:p w14:paraId="6645BAAE" w14:textId="77777777" w:rsidR="00304288" w:rsidRDefault="00304288">
      <w:pPr>
        <w:spacing w:after="0" w:line="240" w:lineRule="auto"/>
        <w:ind w:left="720"/>
      </w:pPr>
    </w:p>
    <w:p w14:paraId="1C1783C6" w14:textId="77777777" w:rsidR="00304288" w:rsidRDefault="00A464F5">
      <w:pPr>
        <w:pStyle w:val="Odebeljeno"/>
        <w:spacing w:line="260" w:lineRule="auto"/>
        <w:ind w:left="720" w:hanging="360"/>
      </w:pPr>
      <w:r>
        <w:t>–</w:t>
      </w:r>
      <w:r>
        <w:tab/>
        <w:t>Predpis ima pozitiven učinek na upoštevanje pravice do popravka in izbrisa podatkov.</w:t>
      </w:r>
    </w:p>
    <w:p w14:paraId="4D26FF3F" w14:textId="77777777" w:rsidR="00304288" w:rsidRDefault="00304288">
      <w:pPr>
        <w:spacing w:after="0" w:line="260" w:lineRule="auto"/>
        <w:rPr>
          <w:rFonts w:cs="Arial"/>
        </w:rPr>
      </w:pPr>
    </w:p>
    <w:p w14:paraId="6C1AF631" w14:textId="77777777" w:rsidR="00304288" w:rsidRDefault="00A464F5">
      <w:pPr>
        <w:spacing w:after="0" w:line="240" w:lineRule="auto"/>
      </w:pPr>
      <w:r>
        <w:t>Predpis ima omejen in sorazmeren učinek na uresničevanje pravice do popravka in pravice do izbrisa podatkov.</w:t>
      </w:r>
    </w:p>
    <w:p w14:paraId="61639BA0" w14:textId="77777777" w:rsidR="00304288" w:rsidRDefault="00A464F5">
      <w:pPr>
        <w:spacing w:after="0" w:line="240" w:lineRule="auto"/>
      </w:pPr>
      <w:r>
        <w:br/>
      </w:r>
    </w:p>
    <w:p w14:paraId="455643A2" w14:textId="77777777" w:rsidR="00304288" w:rsidRDefault="00A464F5">
      <w:pPr>
        <w:spacing w:after="0" w:line="240" w:lineRule="auto"/>
      </w:pPr>
      <w:r>
        <w:t>Pravica do popravka je zagotovljena, saj zakon spodbuja pravilnost, sprotno posodabljanje in zanesljivost podatkov v registru dejanskih lastnikov. Posameznikom je omogočeno zahtevati popravek netočnih ali nepopolnih podatkov, pri čemer mora upravljavec registra zagotoviti ustrezne postopke za njihovo preverjanje in popravo.</w:t>
      </w:r>
    </w:p>
    <w:p w14:paraId="196D7705" w14:textId="77777777" w:rsidR="00304288" w:rsidRDefault="00A464F5">
      <w:pPr>
        <w:spacing w:after="0" w:line="240" w:lineRule="auto"/>
      </w:pPr>
      <w:r>
        <w:br/>
      </w:r>
    </w:p>
    <w:p w14:paraId="177BB424" w14:textId="77777777" w:rsidR="00304288" w:rsidRDefault="00A464F5">
      <w:pPr>
        <w:spacing w:after="0" w:line="240" w:lineRule="auto"/>
      </w:pPr>
      <w:r>
        <w:t>Pravica do izbrisa (»pravica do pozabe«) je lahko omejena, kadar je obdelava osebnih podatkov nujna za izpolnjevanje zakonskih obveznosti ter doseganje pomembnih ciljev v splošnem javnem interesu, zlasti preprečevanja pranja denarja in financiranja terorizma. Izbris podatkov zato ni dopusten, dokler obstajajo zakonski razlogi za njihovo hrambo in uporabo.</w:t>
      </w:r>
    </w:p>
    <w:p w14:paraId="7FBA7AD4" w14:textId="77777777" w:rsidR="00304288" w:rsidRDefault="00A464F5">
      <w:pPr>
        <w:spacing w:after="0" w:line="240" w:lineRule="auto"/>
      </w:pPr>
      <w:r>
        <w:br/>
      </w:r>
    </w:p>
    <w:p w14:paraId="3007083C" w14:textId="77777777" w:rsidR="00304288" w:rsidRDefault="00A464F5">
      <w:pPr>
        <w:spacing w:after="0" w:line="240" w:lineRule="auto"/>
      </w:pPr>
      <w:r>
        <w:t>Omejitve obeh pravic so zakonsko določene, časovno in vsebinsko omejene ter skladne z načelom sorazmernosti, ob hkratnem upoštevanju varovalnih mehanizmov za varstvo pravic in svoboščin posameznika.</w:t>
      </w:r>
    </w:p>
    <w:p w14:paraId="18D3AAF5" w14:textId="77777777" w:rsidR="00304288" w:rsidRDefault="00304288">
      <w:pPr>
        <w:spacing w:after="0" w:line="240" w:lineRule="auto"/>
        <w:ind w:left="720"/>
      </w:pPr>
    </w:p>
    <w:p w14:paraId="0B524596" w14:textId="77777777" w:rsidR="00304288" w:rsidRDefault="00A464F5">
      <w:pPr>
        <w:pStyle w:val="Odebeljeno"/>
        <w:spacing w:line="260" w:lineRule="auto"/>
        <w:ind w:left="720" w:hanging="360"/>
      </w:pPr>
      <w:r>
        <w:t>–</w:t>
      </w:r>
      <w:r>
        <w:tab/>
        <w:t>Predpis ima pozitiven učinek na upoštevanje pravice do ugovora in omejitve obdelave.</w:t>
      </w:r>
    </w:p>
    <w:p w14:paraId="6E443107" w14:textId="77777777" w:rsidR="00304288" w:rsidRDefault="00304288">
      <w:pPr>
        <w:spacing w:after="0" w:line="260" w:lineRule="auto"/>
        <w:rPr>
          <w:rFonts w:cs="Arial"/>
        </w:rPr>
      </w:pPr>
    </w:p>
    <w:p w14:paraId="4919D9D2" w14:textId="77777777" w:rsidR="00304288" w:rsidRDefault="00A464F5">
      <w:pPr>
        <w:spacing w:after="0" w:line="240" w:lineRule="auto"/>
      </w:pPr>
      <w:r>
        <w:t>Predpis ima omejen in jasno urejen učinek na uresničevanje pravice do ugovora in pravice do omejitve obdelave. V skladu s Splošno uredbo o varstvu podatkov in Zakonom o varstvu osebnih podatkov na področju obravnavanja kaznivih dejanj (Uradni list RS, št. 177/20; v nadaljnjem besedilu: ZVOPOKD) predpis dopušča, da se ti pravici delno omejita, kadar je to nujno in sorazmerno za doseganje pomembnih ciljev v splošnem javnem interesu, zlasti za preprečevanje, odkrivanje in preiskovanje pranja denarja in financiranja terorizma.</w:t>
      </w:r>
    </w:p>
    <w:p w14:paraId="7FC625ED" w14:textId="77777777" w:rsidR="00304288" w:rsidRDefault="00A464F5">
      <w:pPr>
        <w:spacing w:after="0" w:line="240" w:lineRule="auto"/>
      </w:pPr>
      <w:r>
        <w:br/>
      </w:r>
    </w:p>
    <w:p w14:paraId="6FA9F0BA" w14:textId="77777777" w:rsidR="00304288" w:rsidRDefault="00A464F5">
      <w:pPr>
        <w:spacing w:after="0" w:line="240" w:lineRule="auto"/>
      </w:pPr>
      <w:r>
        <w:t>Omejitve preprečujejo, da bi uveljavljanje ugovora ali omejitve obdelave ovirale ali ogrozile preiskave, nadzorne ali druge uradne postopke. Hkrati so omejitve zakonsko določene, vsebinsko omejene in opremljene z varovalnimi mehanizmi, kot so opredeljeni nameni obdelave, sledljivost dostopov in zaščita pred zlorabami, kar zagotavlja spoštovanje bistva pravic posameznika in načela sorazmernosti.</w:t>
      </w:r>
    </w:p>
    <w:p w14:paraId="658504AE" w14:textId="77777777" w:rsidR="00304288" w:rsidRDefault="00A464F5">
      <w:pPr>
        <w:spacing w:after="0" w:line="240" w:lineRule="auto"/>
      </w:pPr>
      <w:r>
        <w:br/>
      </w:r>
    </w:p>
    <w:p w14:paraId="3B1183D1" w14:textId="77777777" w:rsidR="00304288" w:rsidRDefault="00A464F5">
      <w:pPr>
        <w:spacing w:after="0" w:line="240" w:lineRule="auto"/>
      </w:pPr>
      <w:r>
        <w:t xml:space="preserve">Predpis zagotavlja ustrezne in </w:t>
      </w:r>
      <w:proofErr w:type="spellStart"/>
      <w:r>
        <w:t>večnivojske</w:t>
      </w:r>
      <w:proofErr w:type="spellEnd"/>
      <w:r>
        <w:t xml:space="preserve"> možnosti pravnega varstva v skladu z domačo zakonodajo in pravom EU. Posameznik ali pravna oseba, ki vloži vlogo za dostop do podatkov iz registra in ji je ta zavrnjena, ima zagotovljeno sodno varstvo v upravnem sporu, saj zoper odločbo upravljavca registra (AJPES) pritožba ni dopustna, možen pa je upravni spor pred pristojnim sodiščem.</w:t>
      </w:r>
    </w:p>
    <w:p w14:paraId="29FAC564" w14:textId="77777777" w:rsidR="00304288" w:rsidRDefault="00304288">
      <w:pPr>
        <w:spacing w:after="0" w:line="240" w:lineRule="auto"/>
        <w:ind w:left="720"/>
      </w:pPr>
    </w:p>
    <w:p w14:paraId="1473465A" w14:textId="77777777" w:rsidR="00304288" w:rsidRDefault="00A464F5">
      <w:pPr>
        <w:pStyle w:val="Odebeljeno"/>
        <w:spacing w:line="260" w:lineRule="auto"/>
        <w:ind w:left="720" w:hanging="360"/>
      </w:pPr>
      <w:r>
        <w:t>–</w:t>
      </w:r>
      <w:r>
        <w:tab/>
        <w:t>Predpis ima pozitiven učinek na omejitve pravic posameznika.</w:t>
      </w:r>
    </w:p>
    <w:p w14:paraId="255EA6F1" w14:textId="77777777" w:rsidR="00304288" w:rsidRDefault="00304288">
      <w:pPr>
        <w:spacing w:after="0" w:line="260" w:lineRule="auto"/>
        <w:rPr>
          <w:rFonts w:cs="Arial"/>
        </w:rPr>
      </w:pPr>
    </w:p>
    <w:p w14:paraId="3B372087" w14:textId="77777777" w:rsidR="00304288" w:rsidRDefault="00A464F5">
      <w:pPr>
        <w:spacing w:after="0" w:line="240" w:lineRule="auto"/>
      </w:pPr>
      <w:r>
        <w:t xml:space="preserve">Predpis omejuje posamezne pravice posameznika v zvezi z obdelavo osebnih podatkov le v zakonsko določenem, nujnem in sorazmernem obsegu v skladu s 23. členom Splošne uredbe o varstvu podatkov ter </w:t>
      </w:r>
      <w:r>
        <w:lastRenderedPageBreak/>
        <w:t>14., 20. in 25. členom ZVOPOKD. Omejitve so utemeljene z zagotavljanjem pomembnih ciljev v splošnem javnem interesu, zlasti preprečevanja, odkrivanja in preiskovanja pranja denarja in financiranja terorizma ter varovanja javne in finančne varnosti.</w:t>
      </w:r>
    </w:p>
    <w:p w14:paraId="4CE79EA1" w14:textId="77777777" w:rsidR="00304288" w:rsidRDefault="00A464F5">
      <w:pPr>
        <w:spacing w:after="0" w:line="240" w:lineRule="auto"/>
      </w:pPr>
      <w:r>
        <w:br/>
      </w:r>
    </w:p>
    <w:p w14:paraId="6CBD5A2E" w14:textId="77777777" w:rsidR="00304288" w:rsidRDefault="00A464F5">
      <w:pPr>
        <w:spacing w:after="0" w:line="240" w:lineRule="auto"/>
      </w:pPr>
      <w:r>
        <w:t>Predpis določa natančne namene obdelave, vrste osebnih podatkov, upravičene uporabnike, časovno omejen dostop, sledljivost dostopov ter zaščitne in varovalne mehanizme, vključno z izjemami v primerih nesorazmernega tveganja za posameznika. S tem so omejitve pravic posameznika zakonite, vsebinsko omejene in sorazmerne s ciljem, ki se namerava doseči.</w:t>
      </w:r>
    </w:p>
    <w:p w14:paraId="373992CB" w14:textId="77777777" w:rsidR="00304288" w:rsidRDefault="00304288">
      <w:pPr>
        <w:spacing w:after="0" w:line="240" w:lineRule="auto"/>
        <w:ind w:left="720"/>
      </w:pPr>
    </w:p>
    <w:p w14:paraId="36C147CB" w14:textId="77777777" w:rsidR="00304288" w:rsidRDefault="00A464F5">
      <w:pPr>
        <w:pStyle w:val="Odebeljeno"/>
        <w:spacing w:line="260" w:lineRule="auto"/>
      </w:pPr>
      <w:r>
        <w:t>6.2</w:t>
      </w:r>
      <w:r>
        <w:tab/>
        <w:t>Presoja posledic za okolje, vključno s prostorskimi in varstvenimi vidiki</w:t>
      </w:r>
    </w:p>
    <w:p w14:paraId="2FEC0C9D" w14:textId="77777777" w:rsidR="00304288" w:rsidRDefault="00304288">
      <w:pPr>
        <w:spacing w:after="0" w:line="260" w:lineRule="auto"/>
        <w:rPr>
          <w:rFonts w:cs="Arial"/>
        </w:rPr>
      </w:pPr>
    </w:p>
    <w:p w14:paraId="0DACC306" w14:textId="77777777" w:rsidR="00304288" w:rsidRDefault="00A464F5">
      <w:pPr>
        <w:spacing w:after="0" w:line="260" w:lineRule="auto"/>
      </w:pPr>
      <w:r>
        <w:t>Predpis nima posledic na tem področju.</w:t>
      </w:r>
    </w:p>
    <w:p w14:paraId="37C26471" w14:textId="77777777" w:rsidR="00304288" w:rsidRDefault="00304288">
      <w:pPr>
        <w:spacing w:after="0" w:line="260" w:lineRule="auto"/>
        <w:rPr>
          <w:rFonts w:cs="Arial"/>
        </w:rPr>
      </w:pPr>
    </w:p>
    <w:p w14:paraId="379423C9" w14:textId="77777777" w:rsidR="00304288" w:rsidRDefault="00A464F5">
      <w:pPr>
        <w:pStyle w:val="Odebeljeno"/>
        <w:spacing w:line="260" w:lineRule="auto"/>
      </w:pPr>
      <w:r>
        <w:t>6.3</w:t>
      </w:r>
      <w:r>
        <w:tab/>
        <w:t>Presoja posledic za gospodarstvo</w:t>
      </w:r>
    </w:p>
    <w:p w14:paraId="492D9C9A" w14:textId="77777777" w:rsidR="00304288" w:rsidRDefault="00304288">
      <w:pPr>
        <w:spacing w:after="0" w:line="260" w:lineRule="auto"/>
        <w:rPr>
          <w:rFonts w:cs="Arial"/>
        </w:rPr>
      </w:pPr>
    </w:p>
    <w:p w14:paraId="75DD9DD4" w14:textId="77777777" w:rsidR="00304288" w:rsidRDefault="00A464F5">
      <w:pPr>
        <w:pStyle w:val="Odebeljeno"/>
        <w:spacing w:line="260" w:lineRule="auto"/>
        <w:ind w:left="360" w:hanging="360"/>
      </w:pPr>
      <w:r>
        <w:t>a)</w:t>
      </w:r>
      <w:r>
        <w:tab/>
        <w:t>Predpis ima učinek na fizične in pravne osebe, ki opravljajo dejavnost.</w:t>
      </w:r>
    </w:p>
    <w:p w14:paraId="51FCBEB5" w14:textId="77777777" w:rsidR="00304288" w:rsidRDefault="00304288">
      <w:pPr>
        <w:spacing w:after="0" w:line="260" w:lineRule="auto"/>
        <w:rPr>
          <w:rFonts w:cs="Arial"/>
        </w:rPr>
      </w:pPr>
    </w:p>
    <w:p w14:paraId="682D06C9" w14:textId="77777777" w:rsidR="00304288" w:rsidRDefault="00A464F5">
      <w:pPr>
        <w:pStyle w:val="Odebeljeno"/>
        <w:spacing w:line="260" w:lineRule="auto"/>
        <w:ind w:left="720" w:hanging="360"/>
      </w:pPr>
      <w:r>
        <w:t>–</w:t>
      </w:r>
      <w:r>
        <w:tab/>
        <w:t>Predpis ima pozitiven učinek na pravno varnost.</w:t>
      </w:r>
    </w:p>
    <w:p w14:paraId="226A2F7A" w14:textId="77777777" w:rsidR="00304288" w:rsidRDefault="00304288">
      <w:pPr>
        <w:spacing w:after="0" w:line="260" w:lineRule="auto"/>
        <w:rPr>
          <w:rFonts w:cs="Arial"/>
        </w:rPr>
      </w:pPr>
    </w:p>
    <w:p w14:paraId="5EAC28B8" w14:textId="77777777" w:rsidR="00304288" w:rsidRDefault="00A464F5">
      <w:pPr>
        <w:spacing w:after="0" w:line="240" w:lineRule="auto"/>
      </w:pPr>
      <w:r>
        <w:t>Predpis ima pozitiven učinek na pravno varnost, saj jasneje in natančneje določa pogoje, obseg in postopke dostopa do podatkov iz registra dejanskih lastnikov, s čimer povečuje predvidljivost in preglednost pravnega okolja. Z opredelitvijo pravnega interesa, določitvijo upravičenih oseb, procesnimi roki ter varovalkami za varstvo osebnih podatkov zmanjšuje tveganje arbitrarnosti in krepi zaupanje v pravni red. Hkrati uskladitev z evropskim okvirom in uvedba nadnacionalnega nadzora prispevata k večji stabilnosti in pravni gotovosti v čezmejnih razmerjih, pri čemer so morebitni posegi v zasebnost normativno omejeni in sorazmerni glede na javni interes.</w:t>
      </w:r>
    </w:p>
    <w:p w14:paraId="0DA30D0A" w14:textId="77777777" w:rsidR="00304288" w:rsidRDefault="00304288">
      <w:pPr>
        <w:spacing w:after="0" w:line="240" w:lineRule="auto"/>
        <w:ind w:left="720"/>
      </w:pPr>
    </w:p>
    <w:p w14:paraId="4337E537" w14:textId="77777777" w:rsidR="00304288" w:rsidRDefault="00A464F5">
      <w:pPr>
        <w:pStyle w:val="Odebeljeno"/>
        <w:spacing w:line="260" w:lineRule="auto"/>
        <w:ind w:left="720" w:hanging="360"/>
      </w:pPr>
      <w:r>
        <w:t>–</w:t>
      </w:r>
      <w:r>
        <w:tab/>
        <w:t>Predpis ima pozitiven učinek na število podjetij in njihovo velikost (</w:t>
      </w:r>
      <w:proofErr w:type="spellStart"/>
      <w:r>
        <w:t>mikro</w:t>
      </w:r>
      <w:proofErr w:type="spellEnd"/>
      <w:r>
        <w:t>, mala, srednja).</w:t>
      </w:r>
    </w:p>
    <w:p w14:paraId="52614BBE" w14:textId="77777777" w:rsidR="00304288" w:rsidRDefault="00304288">
      <w:pPr>
        <w:spacing w:after="0" w:line="260" w:lineRule="auto"/>
        <w:rPr>
          <w:rFonts w:cs="Arial"/>
        </w:rPr>
      </w:pPr>
    </w:p>
    <w:p w14:paraId="79A38CEA" w14:textId="77777777" w:rsidR="00304288" w:rsidRDefault="00A464F5">
      <w:pPr>
        <w:spacing w:after="0" w:line="240" w:lineRule="auto"/>
      </w:pPr>
      <w:r>
        <w:t xml:space="preserve">Predpis ima pozitiven učinek na poslovno okolje, saj ne vpliva na število podjetij ali njihovo velikostno strukturo, hkrati pa z večjo preglednostjo lastništva in pravno jasnimi pravili krepi zaupanje na trgu. To je zlasti ugodno za </w:t>
      </w:r>
      <w:proofErr w:type="spellStart"/>
      <w:r>
        <w:t>mikro</w:t>
      </w:r>
      <w:proofErr w:type="spellEnd"/>
      <w:r>
        <w:t>, mala in srednja podjetja, ker zmanjšuje poslovna tveganja, povečuje pravno gotovost in olajšuje sodelovanje v domačih in čezmejnih gospodarskih razmerjih.</w:t>
      </w:r>
    </w:p>
    <w:p w14:paraId="1261E57F" w14:textId="77777777" w:rsidR="00304288" w:rsidRDefault="00A464F5">
      <w:pPr>
        <w:spacing w:after="0" w:line="240" w:lineRule="auto"/>
      </w:pPr>
      <w:r>
        <w:br/>
      </w:r>
    </w:p>
    <w:p w14:paraId="50ADEF9C" w14:textId="77777777" w:rsidR="00304288" w:rsidRDefault="00304288">
      <w:pPr>
        <w:spacing w:after="0" w:line="240" w:lineRule="auto"/>
        <w:ind w:left="720"/>
      </w:pPr>
    </w:p>
    <w:p w14:paraId="3BCE0F89" w14:textId="77777777" w:rsidR="00304288" w:rsidRDefault="00A464F5">
      <w:pPr>
        <w:pStyle w:val="Odebeljeno"/>
        <w:spacing w:line="260" w:lineRule="auto"/>
        <w:ind w:left="720" w:hanging="360"/>
      </w:pPr>
      <w:r>
        <w:t>–</w:t>
      </w:r>
      <w:r>
        <w:tab/>
        <w:t>Predpis ima pozitiven učinek na kapitalsko strukturo MSP (bilanca stanja, sredstva).</w:t>
      </w:r>
    </w:p>
    <w:p w14:paraId="6B36C8C4" w14:textId="77777777" w:rsidR="00304288" w:rsidRDefault="00304288">
      <w:pPr>
        <w:spacing w:after="0" w:line="260" w:lineRule="auto"/>
        <w:rPr>
          <w:rFonts w:cs="Arial"/>
        </w:rPr>
      </w:pPr>
    </w:p>
    <w:p w14:paraId="2FC10AC7" w14:textId="77777777" w:rsidR="00304288" w:rsidRDefault="00A464F5">
      <w:pPr>
        <w:spacing w:after="0" w:line="240" w:lineRule="auto"/>
      </w:pPr>
      <w:r>
        <w:t>Predpis ima pozitiven učinek na kapitalsko strukturo MSP, saj ne uvaja novih finančnih obveznosti niti ne vpliva neposredno na bilanco stanja ali obseg sredstev podjetij. Z večjo preglednostjo lastništva in večjo pravno varnostjo posredno izboljšuje dostop MSP do financiranja, saj povečuje zaupanje bank, vlagateljev in poslovnih partnerjev. To lahko prispeva k stabilnejši kapitalski strukturi, ugodnejšim pogojem financiranja in lažjemu vključevanju MSP v domače in čezmejne poslovne tokove brez negativnih učinkov na njihovo premoženje ali finančno strukturo.</w:t>
      </w:r>
    </w:p>
    <w:p w14:paraId="1BC74CA3" w14:textId="77777777" w:rsidR="00304288" w:rsidRDefault="00304288">
      <w:pPr>
        <w:spacing w:after="0" w:line="240" w:lineRule="auto"/>
        <w:ind w:left="720"/>
      </w:pPr>
    </w:p>
    <w:p w14:paraId="47D3C29C" w14:textId="77777777" w:rsidR="00304288" w:rsidRDefault="00A464F5">
      <w:pPr>
        <w:pStyle w:val="Odebeljeno"/>
        <w:spacing w:line="260" w:lineRule="auto"/>
        <w:ind w:left="720" w:hanging="360"/>
      </w:pPr>
      <w:r>
        <w:t>–</w:t>
      </w:r>
      <w:r>
        <w:tab/>
        <w:t>Predpis ima pozitiven učinek na konkurenčnost dobaviteljev.</w:t>
      </w:r>
    </w:p>
    <w:p w14:paraId="21DDB9C2" w14:textId="77777777" w:rsidR="00304288" w:rsidRDefault="00304288">
      <w:pPr>
        <w:spacing w:after="0" w:line="260" w:lineRule="auto"/>
        <w:rPr>
          <w:rFonts w:cs="Arial"/>
        </w:rPr>
      </w:pPr>
    </w:p>
    <w:p w14:paraId="522C0E35" w14:textId="77777777" w:rsidR="00304288" w:rsidRDefault="00A464F5">
      <w:pPr>
        <w:spacing w:after="0" w:line="240" w:lineRule="auto"/>
      </w:pPr>
      <w:r>
        <w:t>Predpis ima pozitiven učinek na konkurenčnost dobaviteljev, saj z večjo preglednostjo lastništva in enotnimi pravili dostopa do podatkov krepi zaupanje na trgu in zagotavlja bolj enake konkurenčne pogoje. Dobavitelji z jasno in preverljivo lastniško strukturo lažje izkazujejo zanesljivost, kar izboljšuje njihov položaj pri sklepanju poslov, zlasti v postopkih javnega naročanja pri čezmejnem sodelovanju, ter zmanjšuje prednost nepreglednosti ali manj urejenih subjektov.</w:t>
      </w:r>
    </w:p>
    <w:p w14:paraId="7F29F312" w14:textId="77777777" w:rsidR="00304288" w:rsidRDefault="00304288">
      <w:pPr>
        <w:spacing w:after="0" w:line="240" w:lineRule="auto"/>
        <w:ind w:left="720"/>
      </w:pPr>
    </w:p>
    <w:p w14:paraId="075F085B" w14:textId="77777777" w:rsidR="00304288" w:rsidRDefault="00A464F5">
      <w:pPr>
        <w:pStyle w:val="Odebeljeno"/>
        <w:spacing w:line="260" w:lineRule="auto"/>
        <w:ind w:left="720" w:hanging="360"/>
      </w:pPr>
      <w:r>
        <w:t>–</w:t>
      </w:r>
      <w:r>
        <w:tab/>
        <w:t>Predpis ima pozitiven učinek na spodbude dobaviteljem za učinkovito konkurenčnost.</w:t>
      </w:r>
    </w:p>
    <w:p w14:paraId="63D046A0" w14:textId="77777777" w:rsidR="00304288" w:rsidRDefault="00304288">
      <w:pPr>
        <w:spacing w:after="0" w:line="260" w:lineRule="auto"/>
        <w:rPr>
          <w:rFonts w:cs="Arial"/>
        </w:rPr>
      </w:pPr>
    </w:p>
    <w:p w14:paraId="48325179" w14:textId="77777777" w:rsidR="00304288" w:rsidRDefault="00A464F5">
      <w:pPr>
        <w:spacing w:after="0" w:line="240" w:lineRule="auto"/>
      </w:pPr>
      <w:r>
        <w:t>Predpis ima pozitiven učinek na spodbude dobaviteljem za učinkovito konkurenčnost, saj z večjo preglednostjo lastništva in jasnimi pravili dostopa do podatkov krepi zaupanje ter enake konkurenčne pogoje na trgu. Dobavitelje spodbuja k preglednemu in skladnemu poslovanju, kar povečuje njihovo verodostojnost in konkurenčno prednost, zlasti pri sklepanju poslov, sodelovanju v javnih naročilih in čezmejnem poslovanju. S tem se krepi konkurenca na podlagi kakovosti, zanesljivosti in skladnosti, ne pa nepreglednih praks.</w:t>
      </w:r>
    </w:p>
    <w:p w14:paraId="4D6C77A2" w14:textId="77777777" w:rsidR="00304288" w:rsidRDefault="00304288">
      <w:pPr>
        <w:spacing w:after="0" w:line="240" w:lineRule="auto"/>
        <w:ind w:left="720"/>
      </w:pPr>
    </w:p>
    <w:p w14:paraId="5536522C" w14:textId="77777777" w:rsidR="00304288" w:rsidRDefault="00A464F5">
      <w:pPr>
        <w:pStyle w:val="Odebeljeno"/>
        <w:spacing w:line="260" w:lineRule="auto"/>
        <w:ind w:left="720" w:hanging="360"/>
      </w:pPr>
      <w:r>
        <w:t>–</w:t>
      </w:r>
      <w:r>
        <w:tab/>
        <w:t>Predpis ima pozitiven učinek na raziskave in razvoj.</w:t>
      </w:r>
    </w:p>
    <w:p w14:paraId="1FFB5766" w14:textId="77777777" w:rsidR="00304288" w:rsidRDefault="00304288">
      <w:pPr>
        <w:spacing w:after="0" w:line="260" w:lineRule="auto"/>
        <w:rPr>
          <w:rFonts w:cs="Arial"/>
        </w:rPr>
      </w:pPr>
    </w:p>
    <w:p w14:paraId="0854AFBC" w14:textId="77777777" w:rsidR="00304288" w:rsidRDefault="00A464F5">
      <w:pPr>
        <w:spacing w:after="0" w:line="240" w:lineRule="auto"/>
      </w:pPr>
      <w:r>
        <w:t>Predpis ima pozitiven posreden učinek na raziskave in razvoj, saj z večjo preglednostjo pravno gotovostjo in zaupanjem v poslovno okolje ustvarja stabilnejše pogoje za dolgoročne razvojne naložbe. Jasna in predvidljiva pravila zmanjšujejo zakonodajna tveganja, kar spodbuja podjetja, zlasti MSP, ter raziskovalne in inovacijske organizacije k sodelovanju, dostopu do financiranja in vključevanju v domače ter čezmejne razvojne projekte.</w:t>
      </w:r>
    </w:p>
    <w:p w14:paraId="33E6844F" w14:textId="77777777" w:rsidR="00304288" w:rsidRDefault="00304288">
      <w:pPr>
        <w:spacing w:after="0" w:line="240" w:lineRule="auto"/>
        <w:ind w:left="720"/>
      </w:pPr>
    </w:p>
    <w:p w14:paraId="2D6E8957" w14:textId="77777777" w:rsidR="00304288" w:rsidRDefault="00A464F5">
      <w:pPr>
        <w:pStyle w:val="Odebeljeno"/>
        <w:spacing w:line="260" w:lineRule="auto"/>
        <w:ind w:left="720" w:hanging="360"/>
      </w:pPr>
      <w:r>
        <w:t>–</w:t>
      </w:r>
      <w:r>
        <w:tab/>
        <w:t>Predpis ima pozitiven učinek na spodbujanje digitalizacije v poslovne procese.</w:t>
      </w:r>
    </w:p>
    <w:p w14:paraId="0497A2C1" w14:textId="77777777" w:rsidR="00304288" w:rsidRDefault="00304288">
      <w:pPr>
        <w:spacing w:after="0" w:line="260" w:lineRule="auto"/>
        <w:rPr>
          <w:rFonts w:cs="Arial"/>
        </w:rPr>
      </w:pPr>
    </w:p>
    <w:p w14:paraId="484B78EA" w14:textId="77777777" w:rsidR="00304288" w:rsidRDefault="00A464F5">
      <w:pPr>
        <w:spacing w:after="0" w:line="240" w:lineRule="auto"/>
      </w:pPr>
      <w:r>
        <w:t xml:space="preserve">Predpis ima pozitiven posreden učinek na spodbujanje digitalizacije poslovnih procesov, saj spodbuja uporabo elektronskih postopkov, digitalnih evidenc in </w:t>
      </w:r>
      <w:proofErr w:type="spellStart"/>
      <w:r>
        <w:t>interoperabilnih</w:t>
      </w:r>
      <w:proofErr w:type="spellEnd"/>
      <w:r>
        <w:t xml:space="preserve"> informacijskih sistemov. Z ureditvijo elektronskega vlaganja vlog, digitalnega preverjanja pravnega interesa ter povezovanja registrov na državni in evropski ravni prispeva k večji uporabi digitalnih rešitev v poslovanju. Ne posega neposredno v odločitve podjetij glede naložb v napredne tehnologije ali digitalne poslovne modele, vendar ustvarja stabilno in pregledno okolje, ki podpira izvedbo digitalne preobrazbe, vključno z uporabo programske opreme, analiz podatkov in informacijske varnosti.</w:t>
      </w:r>
    </w:p>
    <w:p w14:paraId="126A88B2" w14:textId="77777777" w:rsidR="00304288" w:rsidRDefault="00304288">
      <w:pPr>
        <w:spacing w:after="0" w:line="240" w:lineRule="auto"/>
        <w:ind w:left="720"/>
      </w:pPr>
    </w:p>
    <w:p w14:paraId="1C0AC66B" w14:textId="77777777" w:rsidR="00304288" w:rsidRDefault="00A464F5">
      <w:pPr>
        <w:pStyle w:val="Odebeljeno"/>
        <w:spacing w:line="260" w:lineRule="auto"/>
        <w:ind w:left="720" w:hanging="360"/>
      </w:pPr>
      <w:r>
        <w:t>–</w:t>
      </w:r>
      <w:r>
        <w:tab/>
        <w:t>Predpis ima pozitiven učinek na izvajanje digitalizacije.</w:t>
      </w:r>
    </w:p>
    <w:p w14:paraId="646AC1B9" w14:textId="77777777" w:rsidR="00304288" w:rsidRDefault="00304288">
      <w:pPr>
        <w:spacing w:after="0" w:line="260" w:lineRule="auto"/>
        <w:rPr>
          <w:rFonts w:cs="Arial"/>
        </w:rPr>
      </w:pPr>
    </w:p>
    <w:p w14:paraId="6E96C1A7" w14:textId="77777777" w:rsidR="00304288" w:rsidRDefault="00A464F5">
      <w:pPr>
        <w:spacing w:after="0" w:line="240" w:lineRule="auto"/>
      </w:pPr>
      <w:r>
        <w:t xml:space="preserve">Predpis ima omejen, vendar pozitiven učinek na izvajanje digitalizacije, saj bo pri upravljavcu registra (AJPES) potrebna manjša nadgradnja informacijskega sistema zaradi novih vrst dostopa, povezovanja z evropskimi sistemi ter upravljanja vlog in evidenc. To lahko vključuje nadgradnjo programske opreme, prilagoditve zaradi </w:t>
      </w:r>
      <w:proofErr w:type="spellStart"/>
      <w:r>
        <w:t>interoperabilnosti</w:t>
      </w:r>
      <w:proofErr w:type="spellEnd"/>
      <w:r>
        <w:t>, večje zahteve glede informacijske in kibernetske varnosti ter podporo elektronskim postopkom, vendar brez potrebe po večjih naložbah v strojno opremo ali obsežnem povečanju kadrov za digitalno področje. Učinek na širšo digitalno preobrazbo drugih poslovnih subjektov je zanemarljiv.</w:t>
      </w:r>
    </w:p>
    <w:p w14:paraId="28900FA4" w14:textId="77777777" w:rsidR="00304288" w:rsidRDefault="00304288">
      <w:pPr>
        <w:spacing w:after="0" w:line="240" w:lineRule="auto"/>
        <w:ind w:left="720"/>
      </w:pPr>
    </w:p>
    <w:p w14:paraId="39B4D6AD" w14:textId="77777777" w:rsidR="00304288" w:rsidRDefault="00A464F5">
      <w:pPr>
        <w:pStyle w:val="Odebeljeno"/>
        <w:spacing w:line="260" w:lineRule="auto"/>
        <w:ind w:left="720" w:hanging="360"/>
      </w:pPr>
      <w:r>
        <w:t>–</w:t>
      </w:r>
      <w:r>
        <w:tab/>
        <w:t>Predpis ima pozitiven učinek na čezmejno opravljanje storitev.</w:t>
      </w:r>
    </w:p>
    <w:p w14:paraId="699C8B5A" w14:textId="77777777" w:rsidR="00304288" w:rsidRDefault="00304288">
      <w:pPr>
        <w:spacing w:after="0" w:line="260" w:lineRule="auto"/>
        <w:rPr>
          <w:rFonts w:cs="Arial"/>
        </w:rPr>
      </w:pPr>
    </w:p>
    <w:p w14:paraId="359AFA1A" w14:textId="77777777" w:rsidR="00304288" w:rsidRDefault="00A464F5">
      <w:pPr>
        <w:spacing w:after="0" w:line="240" w:lineRule="auto"/>
      </w:pPr>
      <w:r>
        <w:t xml:space="preserve">Predpis ima pozitiven učinek na čezmejno opravljanje storitev, saj z uskladitvijo notranje ureditve z evropskim pravnim okvirom omogoča neposreden in poenoten dostop do podatkov iz registra za organe in upravičene subjekte v drugih državah članicah EU. Povečana preglednost in </w:t>
      </w:r>
      <w:proofErr w:type="spellStart"/>
      <w:r>
        <w:t>interoperabilnost</w:t>
      </w:r>
      <w:proofErr w:type="spellEnd"/>
      <w:r>
        <w:t xml:space="preserve"> registrov zmanjšujeta pravno negotovost ter upravne ovire pri čezmejnem poslovanju, skrbnem pregledu strank in sodelovanju v postopkih javnega naročanja, s čimer se olajšuje prost pretok storitev na notranjem trgu EU.</w:t>
      </w:r>
    </w:p>
    <w:p w14:paraId="15797B55" w14:textId="77777777" w:rsidR="00304288" w:rsidRDefault="00304288">
      <w:pPr>
        <w:spacing w:after="0" w:line="240" w:lineRule="auto"/>
        <w:ind w:left="720"/>
      </w:pPr>
    </w:p>
    <w:p w14:paraId="707D3515" w14:textId="77777777" w:rsidR="00304288" w:rsidRDefault="00A464F5">
      <w:pPr>
        <w:pStyle w:val="Odebeljeno"/>
        <w:spacing w:line="260" w:lineRule="auto"/>
        <w:ind w:left="360" w:hanging="360"/>
      </w:pPr>
      <w:r>
        <w:t>b)</w:t>
      </w:r>
      <w:r>
        <w:tab/>
        <w:t>Predpis ima učinek na potrošnike oziroma gospodinjstva.</w:t>
      </w:r>
    </w:p>
    <w:p w14:paraId="0E6A523B" w14:textId="77777777" w:rsidR="00304288" w:rsidRDefault="00304288">
      <w:pPr>
        <w:spacing w:after="0" w:line="260" w:lineRule="auto"/>
        <w:rPr>
          <w:rFonts w:cs="Arial"/>
        </w:rPr>
      </w:pPr>
    </w:p>
    <w:p w14:paraId="1FE14E9E" w14:textId="77777777" w:rsidR="00304288" w:rsidRDefault="00A464F5">
      <w:pPr>
        <w:pStyle w:val="Odebeljeno"/>
        <w:spacing w:line="260" w:lineRule="auto"/>
        <w:ind w:left="720" w:hanging="360"/>
      </w:pPr>
      <w:r>
        <w:t>–</w:t>
      </w:r>
      <w:r>
        <w:tab/>
        <w:t>Predpis ima pozitiven učinek na cene blaga/storitev za potrošnike oziroma gospodinjstva.</w:t>
      </w:r>
    </w:p>
    <w:p w14:paraId="2191CB2F" w14:textId="77777777" w:rsidR="00304288" w:rsidRDefault="00304288">
      <w:pPr>
        <w:spacing w:after="0" w:line="260" w:lineRule="auto"/>
        <w:rPr>
          <w:rFonts w:cs="Arial"/>
        </w:rPr>
      </w:pPr>
    </w:p>
    <w:p w14:paraId="712C7DFF" w14:textId="77777777" w:rsidR="00304288" w:rsidRDefault="00A464F5">
      <w:pPr>
        <w:spacing w:after="0" w:line="240" w:lineRule="auto"/>
      </w:pPr>
      <w:r>
        <w:t>Predpis ima nevtralen do posredno pozitiven učinek na potrošnike oziroma gospodinjstva. Ne uvaja novih obveznosti, stroškov ali omejitev za potrošnike in neposredno ne posega v njihov pravni ali ekonomski položaj. Posredno pa prispeva k večji preglednosti poslovnega okolja, večjemu zaupanju v finančne tokove ter učinkovitejšemu preprečevanju pranja denarja in financiranja terorizma, kar dolgoročno krepi stabilnost finančnega sistema in varnost potrošnikov pri poslovanju z gospodarskimi subjekti.</w:t>
      </w:r>
    </w:p>
    <w:p w14:paraId="52EA9B1E" w14:textId="77777777" w:rsidR="00304288" w:rsidRDefault="00304288">
      <w:pPr>
        <w:spacing w:after="0" w:line="240" w:lineRule="auto"/>
        <w:ind w:left="720"/>
      </w:pPr>
    </w:p>
    <w:p w14:paraId="0D4DB4EE" w14:textId="77777777" w:rsidR="00304288" w:rsidRDefault="00A464F5">
      <w:pPr>
        <w:pStyle w:val="Odebeljeno"/>
        <w:spacing w:line="260" w:lineRule="auto"/>
        <w:ind w:left="360" w:hanging="360"/>
      </w:pPr>
      <w:r>
        <w:t>c)</w:t>
      </w:r>
      <w:r>
        <w:tab/>
        <w:t>Predpis ima učinek na preglednost postopka priprave predpisa.</w:t>
      </w:r>
    </w:p>
    <w:p w14:paraId="7922B891" w14:textId="77777777" w:rsidR="00304288" w:rsidRDefault="00304288">
      <w:pPr>
        <w:spacing w:after="0" w:line="260" w:lineRule="auto"/>
        <w:rPr>
          <w:rFonts w:cs="Arial"/>
        </w:rPr>
      </w:pPr>
    </w:p>
    <w:p w14:paraId="440F9606" w14:textId="77777777" w:rsidR="00304288" w:rsidRDefault="00A464F5">
      <w:pPr>
        <w:pStyle w:val="Odebeljeno"/>
        <w:spacing w:line="260" w:lineRule="auto"/>
        <w:ind w:left="720" w:hanging="360"/>
      </w:pPr>
      <w:r>
        <w:lastRenderedPageBreak/>
        <w:t>–</w:t>
      </w:r>
      <w:r>
        <w:tab/>
        <w:t>Predpis ima pozitiven učinek na evidentiranje v sistemu vodenja dokumentarnega gradiva.</w:t>
      </w:r>
    </w:p>
    <w:p w14:paraId="24FB4E0E" w14:textId="77777777" w:rsidR="00304288" w:rsidRDefault="00304288">
      <w:pPr>
        <w:spacing w:after="0" w:line="260" w:lineRule="auto"/>
        <w:rPr>
          <w:rFonts w:cs="Arial"/>
        </w:rPr>
      </w:pPr>
    </w:p>
    <w:p w14:paraId="57EE3BD0" w14:textId="77777777" w:rsidR="00304288" w:rsidRDefault="00A464F5">
      <w:pPr>
        <w:spacing w:after="0" w:line="240" w:lineRule="auto"/>
      </w:pPr>
      <w:r>
        <w:t>Predpis ima pozitiven učinek na preglednost postopka priprave predpisa. Priprava predpisa je potekala v skladu z veljavnimi pravili, cilji in rešitve so jasno opredeljeni ter strokovno utemeljeni, zlasti glede uskladitve z evropskim pravnim okvirom. V postopku so bila upoštevana pravila o integriteti in preprečevanju nasprotja interesov, kar prispeva k preglednosti, sledljivosti odločanja in zaupanju javnosti v zakonodajni postopek.</w:t>
      </w:r>
    </w:p>
    <w:p w14:paraId="69797466" w14:textId="77777777" w:rsidR="00304288" w:rsidRDefault="00304288">
      <w:pPr>
        <w:spacing w:after="0" w:line="240" w:lineRule="auto"/>
        <w:ind w:left="720"/>
      </w:pPr>
    </w:p>
    <w:p w14:paraId="73736516" w14:textId="77777777" w:rsidR="00304288" w:rsidRDefault="00A464F5">
      <w:pPr>
        <w:pStyle w:val="Odebeljeno"/>
        <w:spacing w:line="260" w:lineRule="auto"/>
      </w:pPr>
      <w:r>
        <w:t>6.4</w:t>
      </w:r>
      <w:r>
        <w:tab/>
        <w:t>Presoja posledic za socialno področje</w:t>
      </w:r>
    </w:p>
    <w:p w14:paraId="2CF9FCBF" w14:textId="77777777" w:rsidR="00304288" w:rsidRDefault="00304288">
      <w:pPr>
        <w:spacing w:after="0" w:line="260" w:lineRule="auto"/>
        <w:rPr>
          <w:rFonts w:cs="Arial"/>
        </w:rPr>
      </w:pPr>
    </w:p>
    <w:p w14:paraId="0D61F9B1" w14:textId="77777777" w:rsidR="00304288" w:rsidRDefault="00A464F5">
      <w:pPr>
        <w:spacing w:after="0" w:line="260" w:lineRule="auto"/>
      </w:pPr>
      <w:r>
        <w:t>Predpis nima posledic na tem področju.</w:t>
      </w:r>
    </w:p>
    <w:p w14:paraId="02B4A7AA" w14:textId="77777777" w:rsidR="00304288" w:rsidRDefault="00304288">
      <w:pPr>
        <w:spacing w:after="0" w:line="260" w:lineRule="auto"/>
        <w:rPr>
          <w:rFonts w:cs="Arial"/>
        </w:rPr>
      </w:pPr>
    </w:p>
    <w:p w14:paraId="6790C640" w14:textId="77777777" w:rsidR="00304288" w:rsidRDefault="00A464F5">
      <w:pPr>
        <w:pStyle w:val="Odebeljeno"/>
        <w:spacing w:line="260" w:lineRule="auto"/>
      </w:pPr>
      <w:r>
        <w:t>6.5</w:t>
      </w:r>
      <w:r>
        <w:tab/>
        <w:t>Presoja posledic za dokumente razvojnega načrtovanja</w:t>
      </w:r>
    </w:p>
    <w:p w14:paraId="38126683" w14:textId="77777777" w:rsidR="00304288" w:rsidRDefault="00304288">
      <w:pPr>
        <w:spacing w:after="0" w:line="260" w:lineRule="auto"/>
        <w:rPr>
          <w:rFonts w:cs="Arial"/>
        </w:rPr>
      </w:pPr>
    </w:p>
    <w:p w14:paraId="34F3713A" w14:textId="77777777" w:rsidR="00304288" w:rsidRDefault="00A464F5">
      <w:pPr>
        <w:spacing w:after="0" w:line="260" w:lineRule="auto"/>
      </w:pPr>
      <w:r>
        <w:t>Predpis nima posledic na tem področju.</w:t>
      </w:r>
    </w:p>
    <w:p w14:paraId="7A4B9C67" w14:textId="77777777" w:rsidR="00304288" w:rsidRDefault="00304288">
      <w:pPr>
        <w:spacing w:after="0" w:line="260" w:lineRule="auto"/>
        <w:rPr>
          <w:rFonts w:cs="Arial"/>
        </w:rPr>
      </w:pPr>
    </w:p>
    <w:p w14:paraId="41BC0F8F" w14:textId="77777777" w:rsidR="00304288" w:rsidRDefault="00A464F5">
      <w:pPr>
        <w:pStyle w:val="Odebeljeno"/>
        <w:spacing w:line="260" w:lineRule="auto"/>
      </w:pPr>
      <w:r>
        <w:t>6.6</w:t>
      </w:r>
      <w:r>
        <w:tab/>
        <w:t>Presoja posledic za druga področja</w:t>
      </w:r>
    </w:p>
    <w:p w14:paraId="66ADA967" w14:textId="77777777" w:rsidR="00304288" w:rsidRDefault="00304288">
      <w:pPr>
        <w:spacing w:after="0" w:line="260" w:lineRule="auto"/>
        <w:rPr>
          <w:rFonts w:cs="Arial"/>
        </w:rPr>
      </w:pPr>
    </w:p>
    <w:p w14:paraId="2F48C70F" w14:textId="77777777" w:rsidR="00304288" w:rsidRDefault="00A464F5">
      <w:pPr>
        <w:spacing w:after="0" w:line="260" w:lineRule="auto"/>
      </w:pPr>
      <w:r>
        <w:t>Predpis nima posledic na tem področju.</w:t>
      </w:r>
    </w:p>
    <w:p w14:paraId="160960D8" w14:textId="77777777" w:rsidR="00304288" w:rsidRDefault="00304288">
      <w:pPr>
        <w:spacing w:after="0" w:line="260" w:lineRule="auto"/>
        <w:rPr>
          <w:rFonts w:cs="Arial"/>
        </w:rPr>
      </w:pPr>
    </w:p>
    <w:p w14:paraId="00D50282" w14:textId="77777777" w:rsidR="00304288" w:rsidRDefault="00A464F5">
      <w:pPr>
        <w:pStyle w:val="Odebeljeno"/>
        <w:spacing w:line="260" w:lineRule="auto"/>
      </w:pPr>
      <w:r>
        <w:t>6.7</w:t>
      </w:r>
      <w:r>
        <w:tab/>
        <w:t>Izvajanje sprejetega predpisa</w:t>
      </w:r>
    </w:p>
    <w:p w14:paraId="06CDE602" w14:textId="77777777" w:rsidR="00304288" w:rsidRDefault="00304288">
      <w:pPr>
        <w:spacing w:after="0" w:line="260" w:lineRule="auto"/>
        <w:rPr>
          <w:rFonts w:cs="Arial"/>
        </w:rPr>
      </w:pPr>
    </w:p>
    <w:p w14:paraId="23FD97B9" w14:textId="77777777" w:rsidR="00304288" w:rsidRDefault="00A464F5">
      <w:pPr>
        <w:spacing w:after="0" w:line="240" w:lineRule="auto"/>
      </w:pPr>
      <w:r>
        <w:t>Predstavitev ZPPDFT-2D bo usmerjena k ciljnim skupinam, zlasti zavezancem in pristojnim organom, tudi z organiziranjem seminarjev, delavnic in strokovnih usposabljanj. Posebna pozornost bo namenjena novostim, kot so dostop do registra dejanskih lastnikov in obveznosti poročanja. Širša javnost bo o novostih obveščena po medijih, na javnih predstavitvah in spletnih straneh pristojnih organov s ciljem zagotavljanja preglednosti in razumevanja sistema.</w:t>
      </w:r>
    </w:p>
    <w:p w14:paraId="52B24DA4" w14:textId="77777777" w:rsidR="00304288" w:rsidRDefault="00A464F5">
      <w:pPr>
        <w:spacing w:after="0" w:line="240" w:lineRule="auto"/>
      </w:pPr>
      <w:r>
        <w:t xml:space="preserve"> </w:t>
      </w:r>
    </w:p>
    <w:p w14:paraId="1D595BF8" w14:textId="77777777" w:rsidR="00304288" w:rsidRDefault="00A464F5">
      <w:pPr>
        <w:spacing w:after="0" w:line="240" w:lineRule="auto"/>
      </w:pPr>
      <w:r>
        <w:t>Spremljanje izvajanja te spremembe zakona bo zagotavljal Urad Republike Slovenije za preprečevanje pranja denarja (UPPD) v sodelovanju z Ministrstvom za finance Republike Slovenije ter nadzornimi organi (Banka Slovenije, Agencija za trg vrednostnih papirjev, Agencija za zavarovalni nadzor, Finančna uprava Republike Slovenije) in organi odkrivanja in pregona. V spremljanje bodo po potrebi vključeni tudi predstavniki civilne družbe in strokovne javnosti.</w:t>
      </w:r>
    </w:p>
    <w:p w14:paraId="0829EA8D" w14:textId="77777777" w:rsidR="00304288" w:rsidRDefault="00A464F5">
      <w:pPr>
        <w:spacing w:after="0" w:line="240" w:lineRule="auto"/>
      </w:pPr>
      <w:r>
        <w:t xml:space="preserve"> </w:t>
      </w:r>
    </w:p>
    <w:p w14:paraId="4B17D234" w14:textId="77777777" w:rsidR="00304288" w:rsidRDefault="00A464F5">
      <w:pPr>
        <w:spacing w:after="0" w:line="240" w:lineRule="auto"/>
      </w:pPr>
      <w:r>
        <w:t>Doseganje ciljev se bo spremljalo z uporabo kvantitativnih in kvalitativnih metod, zlasti z analizo podatkov o poročilih o sumljivih transakcijah, nadzornih postopkih, ugotovljenih kršitvah ter z anketami in strokovnimi analizami izvajanja ukrepov. Med merili za ugotavljanje uspešnosti bodo predvsem stopnja skladnosti zavezancev, kakovost poročanja, preglednost lastništva, učinkovitost nadzora, sodelovanje med organi ter zmanjševanje tveganj pranja denarja in financiranja terorizma.</w:t>
      </w:r>
    </w:p>
    <w:p w14:paraId="6BE7EA75" w14:textId="77777777" w:rsidR="00304288" w:rsidRDefault="00A464F5">
      <w:pPr>
        <w:spacing w:after="0" w:line="240" w:lineRule="auto"/>
      </w:pPr>
      <w:r>
        <w:t xml:space="preserve"> </w:t>
      </w:r>
    </w:p>
    <w:p w14:paraId="3B1A74FA" w14:textId="77777777" w:rsidR="00304288" w:rsidRDefault="00A464F5">
      <w:pPr>
        <w:spacing w:after="0" w:line="240" w:lineRule="auto"/>
      </w:pPr>
      <w:r>
        <w:t>Izvajanje zakona se bo spremljalo stalno, z rednim zbiranjem podatkov ter celovito evalvacijo v obdobju treh do petih let. Prvo poročilo o izvajanju zakona, doseženih ciljih in nadaljnjih ukrepih bo pripravljeno v dvanajstih mesecih po začetku uporabe zakona, nato pa vsako leto.</w:t>
      </w:r>
    </w:p>
    <w:p w14:paraId="01067902" w14:textId="77777777" w:rsidR="00304288" w:rsidRDefault="00304288">
      <w:pPr>
        <w:spacing w:after="0" w:line="260" w:lineRule="auto"/>
        <w:rPr>
          <w:rFonts w:cs="Arial"/>
        </w:rPr>
      </w:pPr>
    </w:p>
    <w:p w14:paraId="705D0190" w14:textId="77777777" w:rsidR="00304288" w:rsidRDefault="00A464F5">
      <w:pPr>
        <w:pStyle w:val="Odebeljeno"/>
        <w:spacing w:line="260" w:lineRule="auto"/>
      </w:pPr>
      <w:r>
        <w:t>7.</w:t>
      </w:r>
      <w:r>
        <w:tab/>
        <w:t>Prikaz sodelovanja javnosti</w:t>
      </w:r>
    </w:p>
    <w:p w14:paraId="3B11E83A" w14:textId="77777777" w:rsidR="00304288" w:rsidRDefault="00304288">
      <w:pPr>
        <w:spacing w:after="0" w:line="260" w:lineRule="auto"/>
        <w:rPr>
          <w:rFonts w:cs="Arial"/>
        </w:rPr>
      </w:pPr>
    </w:p>
    <w:p w14:paraId="3906C247" w14:textId="77777777" w:rsidR="00304288" w:rsidRDefault="00A464F5">
      <w:pPr>
        <w:spacing w:after="0" w:line="260" w:lineRule="auto"/>
      </w:pPr>
      <w:r>
        <w:t>Gradivo je bilo predmet sodelovanja z javnostjo.</w:t>
      </w:r>
    </w:p>
    <w:p w14:paraId="5357E307" w14:textId="77777777" w:rsidR="00304288" w:rsidRDefault="00304288">
      <w:pPr>
        <w:spacing w:after="0" w:line="260" w:lineRule="auto"/>
        <w:rPr>
          <w:rFonts w:cs="Arial"/>
        </w:rPr>
      </w:pPr>
    </w:p>
    <w:p w14:paraId="6DAD5716" w14:textId="77777777" w:rsidR="00304288" w:rsidRDefault="00A464F5">
      <w:pPr>
        <w:spacing w:after="0" w:line="260" w:lineRule="auto"/>
      </w:pPr>
      <w:r>
        <w:t>Datum objave na portalu eDemokracija:</w:t>
      </w:r>
    </w:p>
    <w:p w14:paraId="2DF2D523" w14:textId="77777777" w:rsidR="00304288" w:rsidRDefault="00A464F5">
      <w:pPr>
        <w:spacing w:after="0" w:line="260" w:lineRule="auto"/>
      </w:pPr>
      <w:r>
        <w:t>30. 3. 2026</w:t>
      </w:r>
    </w:p>
    <w:p w14:paraId="57E77A27" w14:textId="77777777" w:rsidR="00304288" w:rsidRDefault="00304288">
      <w:pPr>
        <w:spacing w:after="0" w:line="260" w:lineRule="auto"/>
        <w:rPr>
          <w:rFonts w:cs="Arial"/>
        </w:rPr>
      </w:pPr>
    </w:p>
    <w:p w14:paraId="66460D39" w14:textId="77777777" w:rsidR="00304288" w:rsidRDefault="00A464F5">
      <w:pPr>
        <w:spacing w:after="0" w:line="260" w:lineRule="auto"/>
      </w:pPr>
      <w:r>
        <w:t>Na gradivo so bila podana mnenja, predlogi in pripombe.</w:t>
      </w:r>
    </w:p>
    <w:p w14:paraId="2876227E" w14:textId="77777777" w:rsidR="00304288" w:rsidRDefault="00304288">
      <w:pPr>
        <w:spacing w:after="0" w:line="260" w:lineRule="auto"/>
        <w:rPr>
          <w:rFonts w:cs="Arial"/>
        </w:rPr>
      </w:pPr>
    </w:p>
    <w:p w14:paraId="57160CFF" w14:textId="77777777" w:rsidR="00304288" w:rsidRDefault="00A464F5">
      <w:pPr>
        <w:spacing w:after="0" w:line="260" w:lineRule="auto"/>
      </w:pPr>
      <w:r>
        <w:t>V razpravo vključeni subjekti:</w:t>
      </w:r>
    </w:p>
    <w:p w14:paraId="03FD6895" w14:textId="1B340217" w:rsidR="00304288" w:rsidRDefault="00A464F5">
      <w:pPr>
        <w:spacing w:after="0" w:line="240" w:lineRule="auto"/>
      </w:pPr>
      <w:r>
        <w:lastRenderedPageBreak/>
        <w:t>Agencija Republike Slovenije za javnopravne evidence in storitve, Banka Slovenije, Gospodarska zbornica Slovenije, Informacijski pooblaščenec, Komisija za preprečevanje korupcije, Obrtno-podjetniška zbornica Slovenije, Urad Republike Slovenije za preprečevanje pranja denarja</w:t>
      </w:r>
      <w:r w:rsidR="00276403">
        <w:t>.</w:t>
      </w:r>
    </w:p>
    <w:p w14:paraId="2BA1DCB8" w14:textId="77777777" w:rsidR="00304288" w:rsidRDefault="00304288">
      <w:pPr>
        <w:spacing w:after="0" w:line="260" w:lineRule="auto"/>
        <w:rPr>
          <w:rFonts w:cs="Arial"/>
        </w:rPr>
      </w:pPr>
    </w:p>
    <w:p w14:paraId="7B9D4858" w14:textId="77777777" w:rsidR="00304288" w:rsidRDefault="00A464F5">
      <w:pPr>
        <w:spacing w:after="0" w:line="260" w:lineRule="auto"/>
      </w:pPr>
      <w:r>
        <w:t>Obrazložitev upoštevanja mnenj, predlogov in pripomb v razpravo vključenih subjektov:</w:t>
      </w:r>
    </w:p>
    <w:p w14:paraId="5BED5F70" w14:textId="77777777" w:rsidR="00304288" w:rsidRDefault="00A464F5">
      <w:pPr>
        <w:spacing w:after="0" w:line="240" w:lineRule="auto"/>
      </w:pPr>
      <w:r>
        <w:t>Pripombe javnosti so bile pretežno upoštevane. Za tiste pripombe, ki niso bile upoštevane, so razlogi za neupoštevanje pojasnjeni v nadaljevanju.</w:t>
      </w:r>
    </w:p>
    <w:p w14:paraId="3C73351D" w14:textId="77777777" w:rsidR="00304288" w:rsidRDefault="00A464F5">
      <w:pPr>
        <w:spacing w:after="0" w:line="240" w:lineRule="auto"/>
      </w:pPr>
      <w:r>
        <w:t xml:space="preserve"> </w:t>
      </w:r>
    </w:p>
    <w:p w14:paraId="2AC962D1" w14:textId="77777777" w:rsidR="00304288" w:rsidRDefault="00A464F5">
      <w:pPr>
        <w:spacing w:after="0" w:line="240" w:lineRule="auto"/>
      </w:pPr>
      <w:r>
        <w:t>Pripombe na predlog zakona so podali Agencija Republike Slovenije za javnopravne evidence in storitve (v nadaljnjem besedilu: AJPES), Agencija za trg vrednostnih papirjev (v nadaljnjem besedilu: ATVP), Komisija za preprečevanje korupcije (v nadaljnjem besedilu: KPK), Informacijski pooblaščenec (v nadaljnjem besedilu: IP), Gospodarska zbornica Slovenije - Zbornica računovodskih servisov, Obrtno-podjetniška zbornica Slovenije (v nadaljnjem besedilu: OZS) ter Banka Slovenije.</w:t>
      </w:r>
    </w:p>
    <w:p w14:paraId="0AE0B822" w14:textId="77777777" w:rsidR="00304288" w:rsidRDefault="00A464F5">
      <w:pPr>
        <w:spacing w:after="0" w:line="240" w:lineRule="auto"/>
      </w:pPr>
      <w:r>
        <w:t xml:space="preserve"> </w:t>
      </w:r>
    </w:p>
    <w:p w14:paraId="6A049969" w14:textId="544913BF" w:rsidR="00304288" w:rsidRDefault="00A464F5">
      <w:pPr>
        <w:spacing w:after="0" w:line="240" w:lineRule="auto"/>
      </w:pPr>
      <w:r>
        <w:t xml:space="preserve">Pripombe AJPES so se nanašale na nejasnosti, in sicer z vidika skladnosti z </w:t>
      </w:r>
      <w:r w:rsidR="00276403" w:rsidRPr="00276403">
        <w:t>Zakon</w:t>
      </w:r>
      <w:r w:rsidR="00276403">
        <w:t>om</w:t>
      </w:r>
      <w:r w:rsidR="00276403" w:rsidRPr="00276403">
        <w:t xml:space="preserve"> o splošnem upravnem postopku </w:t>
      </w:r>
      <w:r w:rsidR="00276403">
        <w:t>(</w:t>
      </w:r>
      <w:r w:rsidR="00276403" w:rsidRPr="00276403">
        <w:t>Uradni list RS, št. 24/06 – uradno prečiščeno besedilo, 105/06 – ZUS-1, 126/07, 65/08, 8/10, 82/13, 175/20 – ZIUOPDVE, 3/22 – ZDeb in 85/25</w:t>
      </w:r>
      <w:r w:rsidR="00276403">
        <w:t>)</w:t>
      </w:r>
      <w:r>
        <w:t>, zlasti glede rokov odločanja, obravnave nepopolnih vlog ter razlikovanja med zavrženjem in zavrnitvijo vlog, kar lahko vodi v pravno negotovost in neenotno prakso. Ministrstvo za finance Republike Slovenije (v nadaljnjem besedilu: MF</w:t>
      </w:r>
      <w:r w:rsidR="00481107">
        <w:t xml:space="preserve"> oziroma ministrstvo</w:t>
      </w:r>
      <w:r>
        <w:t>) jih je preučilo ter jih v največji možni meri upoštevalo pri nadaljnji pripravi zakona. Predlogi AJPES glede jasnejše ureditve, kot so tek rokov od vložitve vloge, možnost dopolnjevanja nepopolnih vlog ter uvedba pritožbe na ministrstvo kot dodatnega pravnega sredstva, so bili prav tako predmet presoje, pri čemer je ministrstvo upoštevalo načelo učinkovitosti postopkov in zagotavljanje ustreznega pravnega varstva. Opozorila AJPES glede redakcijskih izboljšav ter ustreznejše sistemske ureditve (vključno z vprašanjem upravnih taks) so bila delno upoštevana, predvsem tam, kjer prispevajo k večji jasnosti in izvedljivosti zakonskih rešitev. Vezano na pripombo AJPES glede finančnih in kadrovskih posledic predloga zakona je ministrstvo pristopilo k pripravi rešitve, ki bo za AJPES najbolj sprejemljiva, ob hkratnem upoštevanju dejstva, da imajo finančni učinki neposreden vpliv na državni proračun tako v letu 2026 kot tudi v letu 2027.</w:t>
      </w:r>
    </w:p>
    <w:p w14:paraId="4D7E3FAA" w14:textId="77777777" w:rsidR="00304288" w:rsidRDefault="00A464F5">
      <w:pPr>
        <w:spacing w:after="0" w:line="240" w:lineRule="auto"/>
      </w:pPr>
      <w:r>
        <w:t xml:space="preserve"> </w:t>
      </w:r>
    </w:p>
    <w:p w14:paraId="7F5D3385" w14:textId="77777777" w:rsidR="00304288" w:rsidRDefault="00A464F5">
      <w:pPr>
        <w:spacing w:after="0" w:line="240" w:lineRule="auto"/>
      </w:pPr>
      <w:r>
        <w:t>Pripombe ATVP na drugi odstavek novega 51.c člena ZPPDFT-2, ali ne bi bila z vidika zagotovitve pravice do učinkovitega pravnega varstva oziroma odločanja v razumnem roku primernejša rešitev, da se zagotovi dvostopenjski postopek, in sicer pritožba, ki se vloži pri ministrstvu, pristojnem za finance,  MF ni upoštevalo. Po mnenju MF je predlagana rešitev v skladu z načelom sorazmernosti ob upoštevanju hierarhije organov znotraj izvršilne veje oblasti. V teh postopkih je tudi ključno, da se zagotovi razumen čas odločanja oziroma uveljavitve odločitve prvostopenjskega organa (AJPES), zato se je s predlagano rešitvijo  omejila pravica do pravnega sredstva (glej 25. člen ustave), pri čemer vlagatelj pravico do učinkovitega pravnega sredstva uveljavlja v sodnem postopku (glej 23. člen ustave – pravica do sodnega varstva).</w:t>
      </w:r>
    </w:p>
    <w:p w14:paraId="358E828F" w14:textId="77777777" w:rsidR="00304288" w:rsidRDefault="00A464F5">
      <w:pPr>
        <w:spacing w:after="0" w:line="240" w:lineRule="auto"/>
      </w:pPr>
      <w:r>
        <w:t xml:space="preserve"> </w:t>
      </w:r>
    </w:p>
    <w:p w14:paraId="37336A90" w14:textId="77777777" w:rsidR="00304288" w:rsidRDefault="00A464F5">
      <w:pPr>
        <w:spacing w:after="0" w:line="240" w:lineRule="auto"/>
      </w:pPr>
      <w:r>
        <w:t>Predlog Gospodarske zbornice Slovenije - Zbornice računovodskih servisov za spremembo spremenjenega 51. člena ZPPDFT-2, in sicer, da se zagotovi brezplačen dostop tudi zavezancem iz 4. člena zakona, med katere spadajo računovodski servisi in davčni svetovalci, nismo upoštevali, saj je iz predlagane rešitve že jasno razvidno, da bo višina nadomestila stroškov za dostop določena v višini stroškov, ki so nujni za zagotavljanje kakovosti podatkov v registru in za njihovo dostopnost, pri čemer se ne sme ogrožati učinkovit dostop do podatkov, shranjenih v registru.</w:t>
      </w:r>
    </w:p>
    <w:p w14:paraId="4A8BDC25" w14:textId="77777777" w:rsidR="00304288" w:rsidRDefault="00A464F5">
      <w:pPr>
        <w:spacing w:after="0" w:line="240" w:lineRule="auto"/>
      </w:pPr>
      <w:r>
        <w:t xml:space="preserve"> </w:t>
      </w:r>
    </w:p>
    <w:p w14:paraId="72895C5E" w14:textId="77777777" w:rsidR="00304288" w:rsidRDefault="00A464F5">
      <w:pPr>
        <w:spacing w:after="0" w:line="240" w:lineRule="auto"/>
      </w:pPr>
      <w:r>
        <w:t xml:space="preserve">Predloga OZS na spremenjeni 51. člen ZPPDFT-2, da se </w:t>
      </w:r>
      <w:proofErr w:type="spellStart"/>
      <w:r>
        <w:t>mikro</w:t>
      </w:r>
      <w:proofErr w:type="spellEnd"/>
      <w:r>
        <w:t xml:space="preserve"> in malim družbam ter samostojnim podjetnikom omogoči brezplačen dostop do omejenega nabora podatkov za namen preverjanja poslovnih partnerjev, MF ni upoštevalo iz razloga, kot izhaja iz prejšnjega odstavka. Pripombe OZS na spremenjeni 51.a in novi 51.b člen ZPPDFT-2, in sicer, da se uvaja formalen postopek za pridobitev dostopa, ki vključuje vloge pri AJPES, s čimer bi se več tednov čakalo na pridobitev osnovnih podatkov o potencialnem partnerju, kar bi lahko vodilo v izgubo poslovnih priložnosti in predloga za poenostavljen in avtomatiziran elektronski postopek za poslovne subjekte, ki želijo preveriti drugega poslovnega subjekta, nismo upoštevali. MF pojasnjuje, da vsebina navedene določbe izhaja iz Direktive 2024/1640/EU, ki je predmet prenosa določb predloga zakona, zato vsebinska odstopanja niso mogoča, pa tudi sicer se v praksi ne pričakujejo takšne situacije. Prav tako nismo upoštevali predloga OZS, da mora AJPES imetnike potrdil elektronsko opomniti </w:t>
      </w:r>
      <w:r>
        <w:lastRenderedPageBreak/>
        <w:t>na njihove obveznosti, vključno z obveznostjo sporočanja sprememb, s čimer bi se zmanjšalo število nenamernih kršitev, ki ne izvirajo iz zlorabe, temveč iz preobremenjenosti, saj gre za tehnično rešitev, ki pa bi upravljavcu povzročila dodatno upravno oviro, ki se ji želimo izogniti.</w:t>
      </w:r>
    </w:p>
    <w:p w14:paraId="1AA975B1" w14:textId="77777777" w:rsidR="00304288" w:rsidRDefault="00A464F5">
      <w:pPr>
        <w:spacing w:after="0" w:line="240" w:lineRule="auto"/>
      </w:pPr>
      <w:r>
        <w:t xml:space="preserve"> </w:t>
      </w:r>
    </w:p>
    <w:p w14:paraId="7214BE5F" w14:textId="77777777" w:rsidR="00304288" w:rsidRDefault="00A464F5">
      <w:pPr>
        <w:spacing w:after="0" w:line="240" w:lineRule="auto"/>
      </w:pPr>
      <w:r>
        <w:t xml:space="preserve">Banka Slovenije je predlagala spremembo 2. točke prvega odstavka 187. člena ZPPDFT-2, ki določa prekršek, ki ga stori pravna oseba, ki ne vzpostavi učinkovitih politik, kontrol in postopkov za učinkovito ublažitev in obvladovanje tveganj (prvi odstavek 20. člena ZPPDFT-2). Tudi ta prekršek je namreč v sedanji ureditvi glede na stališče Višjega sodišča v Ljubljani v zadevi </w:t>
      </w:r>
      <w:proofErr w:type="spellStart"/>
      <w:r>
        <w:t>PRp</w:t>
      </w:r>
      <w:proofErr w:type="spellEnd"/>
      <w:r>
        <w:t xml:space="preserve"> 449-2025 z dne 14. 1. 2026 določen kot prekršek stanja, zato Banka Slovenije predlaga, da se določba ustrezno spremeni in jasno določi, da gre za trajajoči prekršek stanja, in se to jasno poudari v obrazložitvi. Pojasnjujemo, da predloga MF ni upoštevalo, saj se ne navezuje na predmetne člene predloga zakona, bo pa predlog upoštevalo pri pripravi novega področnega zakona, ki bo sprejet prihodnje leto.</w:t>
      </w:r>
    </w:p>
    <w:p w14:paraId="20D82FC2" w14:textId="77777777" w:rsidR="00304288" w:rsidRDefault="00A464F5">
      <w:pPr>
        <w:spacing w:after="0" w:line="240" w:lineRule="auto"/>
      </w:pPr>
      <w:r>
        <w:t xml:space="preserve"> </w:t>
      </w:r>
    </w:p>
    <w:p w14:paraId="20ACF906" w14:textId="7030EF46" w:rsidR="00304288" w:rsidRDefault="00A464F5">
      <w:pPr>
        <w:spacing w:after="0" w:line="240" w:lineRule="auto"/>
      </w:pPr>
      <w:proofErr w:type="spellStart"/>
      <w:r>
        <w:t>Eko</w:t>
      </w:r>
      <w:proofErr w:type="spellEnd"/>
      <w:r>
        <w:t xml:space="preserve"> sklad na predlagano besedilo predloga zakona ni imel pripomb, je pa podal pobudo za dodatno spremembo predloga zakona, in sicer </w:t>
      </w:r>
      <w:r w:rsidR="00481107">
        <w:t xml:space="preserve">da </w:t>
      </w:r>
      <w:r>
        <w:t>se v 19. točki 4. člena ZPPDFT-2 v a) točki doda besedilo »razen kreditnih poslov, sklenjenih s skupnostjo etažnih lastnikov, ki ni organizirana kot samostojna pravna oseba«. Tudi tega predloga MF ni upoštevalo, saj se ne navezuje na predmetne člene predloga zakona, bo pa predlog obravnavan v okviru priprave novega področnega zakona, ki bo sprejet prihodnje leto.</w:t>
      </w:r>
    </w:p>
    <w:p w14:paraId="26DA22F6" w14:textId="77777777" w:rsidR="00304288" w:rsidRDefault="00A464F5">
      <w:pPr>
        <w:spacing w:after="0" w:line="240" w:lineRule="auto"/>
      </w:pPr>
      <w:r>
        <w:t xml:space="preserve"> </w:t>
      </w:r>
    </w:p>
    <w:p w14:paraId="197C11A9" w14:textId="77777777" w:rsidR="00304288" w:rsidRDefault="00A464F5">
      <w:pPr>
        <w:spacing w:after="0" w:line="240" w:lineRule="auto"/>
      </w:pPr>
      <w:r>
        <w:t xml:space="preserve">Zaradi menjave vlade je bil predlog zakona dan v ponovno medresorsko obravnavo dne 11. 6. 2026, hkrati pa je bil poslan tudi na UPPD in AJPES (14. 6. 2026). S strani AJPES so bile podane pripombe, ki so bile na ministrstvu podrobno preučene. Ministrstvo se z navedbami AJPES glede potrebe po podaljšanju prehodnega obdobja zaradi organizacijskih in tehničnih prilagoditev načeloma ne more strinjati. Ob tem razume, da uvedba sprememb lahko zahteva določene prilagoditve, vendar poudarja, da je bila Direktiva 2024/1640/EU sprejeta že v letu 2024, AJPES pa je bil z načrtovanimi spremembami na področju registra dejanskih lastnikov seznanjen že od njenega sprejema. Na tej podlagi ministrstvo ocenjuje, da je bil na voljo primeren časovni okvir za postopno pripravo na implementacijo novih obveznosti. Ministrstvo se je seznanilo z navedbami glede časovne razlike med rokom za prenos direktive in začetkom izvajanja posameznih obveznosti, zlasti v povezavi s šestim odstavkom 13. člena Direktive 2024/1640/EU. Ocenjuje, da navedena določba ureja predvsem operativni vidik izvajanja posameznih nalog in ne vpliva na obveznost držav članic glede pravočasnega prenosa direktive v nacionalni pravni red in na potencialni zamik začetka uporabe spremenjene ureditve glede pogojev in način dostopa do podatkov iz registra dejanskih lastnikov v celoti, zato iz nje ni mogoče neposredno utemeljevati potrebe po dodatnem splošnem prehodnem obdobju na ravni zakona. Določba glede tarife je urejena kot opcijska možnost, o uvedbi katere se AJPES kot upravljavec registra odloči sam. Takšna ureditev ni nova, saj je primerljiva določba že vsebovana v veljavnem ZPPDFT-2. Glede predloga, da bi se določil rok za sprejem tarife ter uredil prehodni režim do njenega sprejema, ministrstvo ocenjuje, da dodatna normativna ureditev ni potrebna, saj navedeno ne vpliva na izvajanje zakonskih določb. Predlog zakona ureja predvsem pogoje in način dostopa do podatkov iz registra dejanskih lastnikov, ne posega pa v vrsto podatkov, ki se v register dejanskih lastnikov vpisujejo, saj bo to predmet novega zakona, ki je v pripravi. Ti podatki ostajajo nespremenjeni in so že določeni v veljavnem ZPPDFT-2 (50. člen), zato dodatna normativna ureditev v tem delu ni potrebna. V zvezi z navedbami o morebitni neenotni ureditvi dostopa za subjekte iz prvega, drugega in tretjega odstavka 51. člena predloga zakona ministrstvo pojasnjuje, da različen položaj posameznih kategorij upravičencev izhaja iz narave njihovih nalog in pravne podlage za dostop. Takšna ureditev je skladna z načelom sorazmernosti in ne pomeni pravne nejasnosti, temveč odraža funkcionalno prilagojen dostop glede na vlogo posameznih subjektov. Glede pripombe AJPES, da besedilo ne opredeljuje jasno obsega dostopnih podatkov, ministrstvo pojasnjuje, da Direktiva 2024/1640/EU nikjer ne določa, da imajo zavezanci avtomatičen dostop do vseh podatkov iz registra dejanskih lastnikov, temveč državam članicam prepušča ureditev obsega dostopa ob upoštevanju načel sorazmernosti in varstva podatkov. Iz tega razloga je ministrstvo v zadnji različici predloga zakona opustilo izrecno določbo o dostopu do vseh podatkov ter besedilo uskladilo z direktivo. Dodatno ministrstvo pojasnjuje, da smiselna razlaga prvega in drugega odstavka 11. člena v povezavi s prvim odstavkom 12. člena Direktive 2024/1640/EU kaže, da dostop do podatkov ni absolutne narave, temveč je vezan na namen preprečevanja pranja denarja in financiranja terorizma ter na potrebo po dostopu za izvajanje zakonskih nalog posameznih zavezancev. Gre torej za funkcionalen (namenski) dostop, ne pa za splošen in neomejen vpogled v celoten register, s čimer se zagotavlja, da je dostop omejen na obseg, ki je potreben in sorazmeren glede na naloge posameznih upravičencev. Ministrstvo ocenjuje, </w:t>
      </w:r>
      <w:r>
        <w:lastRenderedPageBreak/>
        <w:t>da predlog zakona sledi določbam Direktive 2024/1640/EU glede dostopa do podatkov iz registra dejanskih lastnikov ter zagotavlja ustrezno ravnovesje med dostopom do podatkov in varstvom osebnih podatkov, zato dodatne spremembe v tej fazi niso potrebne.</w:t>
      </w:r>
    </w:p>
    <w:p w14:paraId="47BE2F26" w14:textId="77777777" w:rsidR="00304288" w:rsidRDefault="00304288">
      <w:pPr>
        <w:spacing w:after="0" w:line="260" w:lineRule="auto"/>
        <w:rPr>
          <w:rFonts w:cs="Arial"/>
        </w:rPr>
      </w:pPr>
    </w:p>
    <w:p w14:paraId="6623ABD4" w14:textId="77777777" w:rsidR="00304288" w:rsidRDefault="00A464F5">
      <w:pPr>
        <w:spacing w:after="0" w:line="260" w:lineRule="auto"/>
      </w:pPr>
      <w:r>
        <w:t>Poročilo o sodelovanju z javnostjo:</w:t>
      </w:r>
    </w:p>
    <w:p w14:paraId="0183DADB" w14:textId="77777777" w:rsidR="00304288" w:rsidRDefault="00A464F5">
      <w:pPr>
        <w:spacing w:after="0" w:line="240" w:lineRule="auto"/>
      </w:pPr>
      <w:r>
        <w:t xml:space="preserve">Predlog zakona je bil 30. marca 2026 objavljen na spletnem portalu e-Demokracija, s čimer je bilo javnosti omogočeno, da do 30. aprila 2026 poda pripombe. Na objavo predloga zakona so bili z dopisom 30. marca 2026 še posebej opozorjeni Banka Slovenije, ATVP, KPK, AJPES in IP. Zaradi menjave vlade je bilo vladno gradivo ponovno posredovano v medresorsko obravnavo 11. junija 2026 ter tudi v pregled in mnenje na SVZ, AJPES in na UPPD.  </w:t>
      </w:r>
    </w:p>
    <w:p w14:paraId="3A6FBA2F" w14:textId="77777777" w:rsidR="00304288" w:rsidRDefault="00304288">
      <w:pPr>
        <w:spacing w:after="0" w:line="260" w:lineRule="auto"/>
        <w:rPr>
          <w:rFonts w:cs="Arial"/>
        </w:rPr>
      </w:pPr>
    </w:p>
    <w:p w14:paraId="6B466082" w14:textId="77777777" w:rsidR="00304288" w:rsidRDefault="00A464F5">
      <w:pPr>
        <w:pStyle w:val="Odebeljeno"/>
        <w:spacing w:line="260" w:lineRule="auto"/>
      </w:pPr>
      <w:r>
        <w:t>8.</w:t>
      </w:r>
      <w:r>
        <w:tab/>
        <w:t>Zunanji strokovnjak oziroma pravna oseba, ki je sodelovala pri pripravi predloga zakona</w:t>
      </w:r>
    </w:p>
    <w:p w14:paraId="05F152D1" w14:textId="77777777" w:rsidR="00304288" w:rsidRDefault="00304288">
      <w:pPr>
        <w:spacing w:after="0" w:line="260" w:lineRule="auto"/>
        <w:rPr>
          <w:rFonts w:cs="Arial"/>
        </w:rPr>
      </w:pPr>
    </w:p>
    <w:p w14:paraId="1602CB82" w14:textId="77777777" w:rsidR="00304288" w:rsidRDefault="00A464F5">
      <w:pPr>
        <w:spacing w:after="0" w:line="240" w:lineRule="auto"/>
      </w:pPr>
      <w:r>
        <w:t>Pri pripravi predpisa ni sodeloval zunanji strokovnjak oziroma pravna oseba.</w:t>
      </w:r>
    </w:p>
    <w:p w14:paraId="0445FAD2" w14:textId="77777777" w:rsidR="00304288" w:rsidRDefault="00304288">
      <w:pPr>
        <w:spacing w:after="0" w:line="260" w:lineRule="auto"/>
        <w:rPr>
          <w:rFonts w:cs="Arial"/>
        </w:rPr>
      </w:pPr>
    </w:p>
    <w:p w14:paraId="0BB3ED6F" w14:textId="77777777" w:rsidR="00304288" w:rsidRDefault="00A464F5">
      <w:pPr>
        <w:pStyle w:val="Odebeljeno"/>
        <w:spacing w:line="260" w:lineRule="auto"/>
      </w:pPr>
      <w:r>
        <w:t>9.</w:t>
      </w:r>
      <w:r>
        <w:tab/>
        <w:t>Navedba, kateri predstavniki predlagatelja bodo sodelovali pri delu državnega zbora in delovnih teles</w:t>
      </w:r>
    </w:p>
    <w:p w14:paraId="10A87612" w14:textId="77777777" w:rsidR="00304288" w:rsidRDefault="00304288">
      <w:pPr>
        <w:spacing w:after="0" w:line="260" w:lineRule="auto"/>
        <w:rPr>
          <w:rFonts w:cs="Arial"/>
        </w:rPr>
      </w:pPr>
    </w:p>
    <w:p w14:paraId="29C6539A" w14:textId="77777777" w:rsidR="00304288" w:rsidRDefault="00A464F5">
      <w:pPr>
        <w:spacing w:after="0" w:line="240" w:lineRule="auto"/>
      </w:pPr>
      <w:r>
        <w:t>– mag. Andrej Šircelj, minister za finance</w:t>
      </w:r>
    </w:p>
    <w:p w14:paraId="3882043A" w14:textId="77777777" w:rsidR="00304288" w:rsidRDefault="00A464F5">
      <w:pPr>
        <w:spacing w:after="0" w:line="240" w:lineRule="auto"/>
      </w:pPr>
      <w:r>
        <w:t xml:space="preserve">– Peter Papež, državni sekretar na ministrstvu za finance </w:t>
      </w:r>
    </w:p>
    <w:p w14:paraId="6EE8F145" w14:textId="77777777" w:rsidR="00304288" w:rsidRDefault="00A464F5">
      <w:pPr>
        <w:spacing w:after="0" w:line="240" w:lineRule="auto"/>
      </w:pPr>
      <w:r>
        <w:t xml:space="preserve">– mag. Maja Hostnik Kališek, državna sekretarka na ministrstvu za finance </w:t>
      </w:r>
    </w:p>
    <w:p w14:paraId="797CD9DA" w14:textId="77777777" w:rsidR="00304288" w:rsidRDefault="00A464F5">
      <w:pPr>
        <w:spacing w:after="0" w:line="240" w:lineRule="auto"/>
      </w:pPr>
      <w:r>
        <w:t xml:space="preserve">– mag. Kristina Šteblaj, državna sekretarka na ministrstvu za finance </w:t>
      </w:r>
    </w:p>
    <w:p w14:paraId="45BE6EB7" w14:textId="77777777" w:rsidR="00304288" w:rsidRDefault="00A464F5">
      <w:pPr>
        <w:spacing w:after="0" w:line="240" w:lineRule="auto"/>
      </w:pPr>
      <w:r>
        <w:t>– Urška Cvelbar, generalna direktorica Direktorata za finančni sistem</w:t>
      </w:r>
    </w:p>
    <w:p w14:paraId="35AA3953" w14:textId="77777777" w:rsidR="00304288" w:rsidRDefault="00A464F5">
      <w:pPr>
        <w:spacing w:after="0" w:line="240" w:lineRule="auto"/>
      </w:pPr>
      <w:r>
        <w:t xml:space="preserve">– mag. Robert Petek, vodja Sektorja za bančništvo, Direktorat za finančni sistem </w:t>
      </w:r>
    </w:p>
    <w:p w14:paraId="5E65ECA2" w14:textId="77777777" w:rsidR="00304288" w:rsidRDefault="00A464F5">
      <w:pPr>
        <w:spacing w:after="0" w:line="240" w:lineRule="auto"/>
      </w:pPr>
      <w:r>
        <w:t xml:space="preserve">– dr. Katja Meško Kuralt, podsekretarka v Sektorju za bančništvo, Direktorat za finančni sistem </w:t>
      </w:r>
    </w:p>
    <w:p w14:paraId="0733E7A2" w14:textId="77777777" w:rsidR="00304288" w:rsidRDefault="00A464F5">
      <w:pPr>
        <w:spacing w:after="0" w:line="240" w:lineRule="auto"/>
      </w:pPr>
      <w:r>
        <w:t xml:space="preserve">– mag. Tadeja Rupnik, sekretarka v Sektorju za bančništvo, Direktorat za finančni sistem </w:t>
      </w:r>
    </w:p>
    <w:p w14:paraId="6D49F117" w14:textId="77777777" w:rsidR="00304288" w:rsidRDefault="00A464F5">
      <w:r>
        <w:br w:type="page"/>
      </w:r>
    </w:p>
    <w:p w14:paraId="48B2E4E2" w14:textId="77777777" w:rsidR="00304288" w:rsidRDefault="00A464F5">
      <w:pPr>
        <w:pStyle w:val="Odebeljeno"/>
        <w:spacing w:line="260" w:lineRule="auto"/>
      </w:pPr>
      <w:r>
        <w:lastRenderedPageBreak/>
        <w:t>II.</w:t>
      </w:r>
      <w:r>
        <w:tab/>
        <w:t>BESEDILO ČLENOV</w:t>
      </w:r>
    </w:p>
    <w:p w14:paraId="120390BD" w14:textId="77777777" w:rsidR="00304288" w:rsidRDefault="00304288">
      <w:pPr>
        <w:spacing w:after="0" w:line="260" w:lineRule="auto"/>
        <w:rPr>
          <w:rFonts w:cs="Arial"/>
        </w:rPr>
      </w:pPr>
    </w:p>
    <w:p w14:paraId="2DD465F2" w14:textId="77777777" w:rsidR="00304288" w:rsidRDefault="00A464F5">
      <w:pPr>
        <w:pStyle w:val="Naslov1"/>
        <w:spacing w:line="260" w:lineRule="auto"/>
      </w:pPr>
      <w:r>
        <w:t>Zakon o spremembah in dopolnitvah Zakona o preprečevanju pranja denarja in financiranja terorizma</w:t>
      </w:r>
    </w:p>
    <w:p w14:paraId="4857D319" w14:textId="77777777" w:rsidR="00304288" w:rsidRDefault="00A464F5">
      <w:pPr>
        <w:pStyle w:val="len"/>
        <w:spacing w:line="260" w:lineRule="auto"/>
      </w:pPr>
      <w:r>
        <w:t>1. člen</w:t>
      </w:r>
    </w:p>
    <w:p w14:paraId="6C4A4C48" w14:textId="77777777" w:rsidR="00304288" w:rsidRDefault="00304288">
      <w:pPr>
        <w:spacing w:after="0" w:line="260" w:lineRule="auto"/>
        <w:rPr>
          <w:rFonts w:cs="Arial"/>
        </w:rPr>
      </w:pPr>
    </w:p>
    <w:p w14:paraId="795D5D10" w14:textId="01BCA8D6" w:rsidR="00304288" w:rsidRDefault="00A464F5">
      <w:pPr>
        <w:spacing w:after="0" w:line="260" w:lineRule="auto"/>
      </w:pPr>
      <w:r>
        <w:tab/>
        <w:t xml:space="preserve">V Zakonu o preprečevanju pranja denarja in financiranja terorizma (Uradni list RS, št. 48/22, </w:t>
      </w:r>
      <w:r w:rsidR="00C0389C">
        <w:t>1</w:t>
      </w:r>
      <w:r>
        <w:t>45/22, 17/25 in 56/25; v nadaljnjem besedilu: ZPPDFT-2) se v 1. členu v sedmem odstavku besedilo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795 z dne 29. 2. 2024, str. 1)« nadomesti z besedilom »Delegirano uredbo Komisije (EU) 2025/2190 z dne 22. septembra 2025 o spremembi Priloge I k Uredbi (EU) 2021/1060 Evropskega parlamenta in Sveta glede nomenklature za razsežnosti in kode za vrste ukrepov za ESRR, ESS+, Kohezijski sklad in SPP (UL L št. 2025/2190 z dne 24. 10. 2025)«.</w:t>
      </w:r>
    </w:p>
    <w:p w14:paraId="0DC83935" w14:textId="77777777" w:rsidR="00304288" w:rsidRDefault="00304288">
      <w:pPr>
        <w:spacing w:after="0" w:line="260" w:lineRule="auto"/>
        <w:rPr>
          <w:rFonts w:cs="Arial"/>
        </w:rPr>
      </w:pPr>
    </w:p>
    <w:p w14:paraId="55476C9C" w14:textId="77777777" w:rsidR="00304288" w:rsidRDefault="00A464F5">
      <w:pPr>
        <w:pStyle w:val="len"/>
        <w:spacing w:line="260" w:lineRule="auto"/>
      </w:pPr>
      <w:r>
        <w:t>2. člen</w:t>
      </w:r>
    </w:p>
    <w:p w14:paraId="301E8C04" w14:textId="77777777" w:rsidR="00304288" w:rsidRDefault="00304288">
      <w:pPr>
        <w:spacing w:after="0" w:line="260" w:lineRule="auto"/>
        <w:rPr>
          <w:rFonts w:cs="Arial"/>
        </w:rPr>
      </w:pPr>
    </w:p>
    <w:p w14:paraId="1EEE4C26" w14:textId="77777777" w:rsidR="00304288" w:rsidRDefault="00A464F5">
      <w:pPr>
        <w:spacing w:after="0" w:line="260" w:lineRule="auto"/>
      </w:pPr>
      <w:r>
        <w:tab/>
        <w:t>51. člen se spremeni tako, da se glasi:</w:t>
      </w:r>
    </w:p>
    <w:p w14:paraId="36EC075A" w14:textId="77777777" w:rsidR="00304288" w:rsidRDefault="00304288">
      <w:pPr>
        <w:spacing w:after="0" w:line="260" w:lineRule="auto"/>
        <w:rPr>
          <w:rFonts w:cs="Arial"/>
        </w:rPr>
      </w:pPr>
    </w:p>
    <w:p w14:paraId="17E2CE5B" w14:textId="77777777" w:rsidR="00304288" w:rsidRDefault="00304288">
      <w:pPr>
        <w:spacing w:after="0" w:line="260" w:lineRule="auto"/>
        <w:rPr>
          <w:rFonts w:cs="Arial"/>
        </w:rPr>
      </w:pPr>
    </w:p>
    <w:p w14:paraId="7313378C" w14:textId="77777777" w:rsidR="00304288" w:rsidRDefault="00A464F5">
      <w:pPr>
        <w:pStyle w:val="lennaslov"/>
        <w:spacing w:line="260" w:lineRule="auto"/>
      </w:pPr>
      <w:r>
        <w:t xml:space="preserve">»51. člen </w:t>
      </w:r>
      <w:r>
        <w:br/>
        <w:t xml:space="preserve">(dostop do podatkov iz registra) </w:t>
      </w:r>
    </w:p>
    <w:p w14:paraId="4346E26E" w14:textId="77777777" w:rsidR="00304288" w:rsidRDefault="00304288">
      <w:pPr>
        <w:spacing w:after="0" w:line="260" w:lineRule="auto"/>
        <w:rPr>
          <w:rFonts w:cs="Arial"/>
        </w:rPr>
      </w:pPr>
    </w:p>
    <w:p w14:paraId="11697772" w14:textId="77777777" w:rsidR="00304288" w:rsidRDefault="00A464F5">
      <w:pPr>
        <w:spacing w:after="0" w:line="260" w:lineRule="auto"/>
      </w:pPr>
      <w:r>
        <w:tab/>
        <w:t xml:space="preserve">(1) Takojšen, nefiltriran, neposreden in brezplačen dostop do podatkov iz registra, ki se po iskalnem parametru omogoči tudi z uporabo kombinacije osebnega imena in davčne številke, osebnega imena in datuma rojstva ali kombinacije osebnega imena in naslova stalnega prebivališča, vpisanega v register, imajo: </w:t>
      </w:r>
    </w:p>
    <w:p w14:paraId="16180FF5" w14:textId="77777777" w:rsidR="00304288" w:rsidRDefault="00A464F5">
      <w:pPr>
        <w:pStyle w:val="tevilnatoka"/>
        <w:spacing w:after="0" w:line="260" w:lineRule="auto"/>
      </w:pPr>
      <w:r>
        <w:tab/>
        <w:t xml:space="preserve">1. urad, </w:t>
      </w:r>
    </w:p>
    <w:p w14:paraId="3428DEAE" w14:textId="77777777" w:rsidR="00304288" w:rsidRDefault="00A464F5">
      <w:pPr>
        <w:pStyle w:val="tevilnatoka"/>
        <w:spacing w:after="0" w:line="260" w:lineRule="auto"/>
      </w:pPr>
      <w:r>
        <w:tab/>
        <w:t xml:space="preserve">2. organi odkrivanja in pregona, </w:t>
      </w:r>
    </w:p>
    <w:p w14:paraId="1EF3874A" w14:textId="77777777" w:rsidR="00304288" w:rsidRDefault="00A464F5">
      <w:pPr>
        <w:pStyle w:val="tevilnatoka"/>
        <w:spacing w:after="0" w:line="260" w:lineRule="auto"/>
      </w:pPr>
      <w:r>
        <w:tab/>
        <w:t xml:space="preserve">3. sodišča, </w:t>
      </w:r>
    </w:p>
    <w:p w14:paraId="7F99DFB2" w14:textId="77777777" w:rsidR="00304288" w:rsidRDefault="00A464F5">
      <w:pPr>
        <w:pStyle w:val="tevilnatoka"/>
        <w:spacing w:after="0" w:line="260" w:lineRule="auto"/>
      </w:pPr>
      <w:r>
        <w:tab/>
        <w:t xml:space="preserve">4. nadzorni organi iz prvega odstavka 152. člena tega zakona, razen nadzorna organa iz točk g) in h), ki imata dostop izključno pri izvajanju nalog na področju preprečevanja pranja denarja in financiranja terorizma, </w:t>
      </w:r>
    </w:p>
    <w:p w14:paraId="4D27AA3F" w14:textId="77777777" w:rsidR="00304288" w:rsidRDefault="00A464F5">
      <w:pPr>
        <w:pStyle w:val="tevilnatoka"/>
        <w:spacing w:after="0" w:line="260" w:lineRule="auto"/>
      </w:pPr>
      <w:r>
        <w:tab/>
        <w:t xml:space="preserve">5. državni organi, ki odločajo o davčnih zadevah, </w:t>
      </w:r>
    </w:p>
    <w:p w14:paraId="05BB1306" w14:textId="77777777" w:rsidR="00304288" w:rsidRDefault="00A464F5">
      <w:pPr>
        <w:pStyle w:val="tevilnatoka"/>
        <w:spacing w:after="0" w:line="260" w:lineRule="auto"/>
      </w:pPr>
      <w:r>
        <w:tab/>
        <w:t xml:space="preserve">6. organi, pristojni za izvajanje omejevalnih ukrepov, opredeljeni v zakonu, ki ureja omejevalne ukrepe, in </w:t>
      </w:r>
    </w:p>
    <w:p w14:paraId="74D58260" w14:textId="77777777" w:rsidR="00304288" w:rsidRDefault="00A464F5">
      <w:pPr>
        <w:pStyle w:val="tevilnatoka"/>
        <w:spacing w:after="0" w:line="260" w:lineRule="auto"/>
      </w:pPr>
      <w:r>
        <w:tab/>
        <w:t>7. preiskovalna komisija Državnega zbora Republike Slovenije.</w:t>
      </w:r>
    </w:p>
    <w:p w14:paraId="3DF79BBB" w14:textId="77777777" w:rsidR="00304288" w:rsidRDefault="00304288">
      <w:pPr>
        <w:spacing w:after="0" w:line="260" w:lineRule="auto"/>
        <w:rPr>
          <w:rFonts w:cs="Arial"/>
        </w:rPr>
      </w:pPr>
    </w:p>
    <w:p w14:paraId="5F1E1C57" w14:textId="77777777" w:rsidR="00304288" w:rsidRDefault="00A464F5">
      <w:pPr>
        <w:spacing w:after="0" w:line="260" w:lineRule="auto"/>
      </w:pPr>
      <w:r>
        <w:tab/>
        <w:t>(2) Zavezanci iz 4. člena tega zakona in zavezanci držav članic, ki izvajajo ukrepe skrbnega pregleda strank, imajo pri izvajanju ukrepa skrbnega pregleda strank dostop do podatkov iz registra. Iskanje podatkov o dejanskih lastnikih se zavezancem iz 4. člena tega zakona po iskalnem parametru omogoči tudi z uporabo kombinacije osebnega imena in davčne številke, osebnega imena in datuma rojstva ali kombinacije osebnega imena in naslova stalnega prebivališča, vpisanega v register.</w:t>
      </w:r>
    </w:p>
    <w:p w14:paraId="2132136B" w14:textId="77777777" w:rsidR="00304288" w:rsidRDefault="00304288">
      <w:pPr>
        <w:spacing w:after="0" w:line="260" w:lineRule="auto"/>
        <w:rPr>
          <w:rFonts w:cs="Arial"/>
        </w:rPr>
      </w:pPr>
    </w:p>
    <w:p w14:paraId="191FB33C" w14:textId="77777777" w:rsidR="00304288" w:rsidRDefault="00A464F5">
      <w:pPr>
        <w:spacing w:after="0" w:line="260" w:lineRule="auto"/>
      </w:pPr>
      <w:r>
        <w:tab/>
        <w:t>(3) Takojšen, nefiltriran, neposreden in brezplačen dostop do podatkov iz registra imajo tudi:</w:t>
      </w:r>
    </w:p>
    <w:p w14:paraId="702BC396" w14:textId="77777777" w:rsidR="00304288" w:rsidRDefault="00A464F5">
      <w:pPr>
        <w:pStyle w:val="tevilnatoka"/>
        <w:spacing w:after="0" w:line="260" w:lineRule="auto"/>
      </w:pPr>
      <w:r>
        <w:tab/>
        <w:t>1. organi držav članic, ki po naravi in pristojnosti ustrezajo organom iz prve do šeste točke prvega odstavka tega člena,</w:t>
      </w:r>
    </w:p>
    <w:p w14:paraId="59FB3392" w14:textId="11A37133" w:rsidR="00304288" w:rsidRDefault="00A464F5">
      <w:pPr>
        <w:pStyle w:val="tevilnatoka"/>
        <w:spacing w:after="0" w:line="260" w:lineRule="auto"/>
      </w:pPr>
      <w:r>
        <w:lastRenderedPageBreak/>
        <w:tab/>
        <w:t xml:space="preserve">2. Evropski organ za preprečevanje pranja denarja, ustanovljen z  Uredbo (EU) 2024/1620 Evropskega parlamenta in Sveta z dne 31. maja 2024 o ustanovitvi organa za preprečevanje pranja denarja in financiranja terorizma ter o spremembi uredb (EU) št. 1093/2010, (EU) št. 1094/2010 in (EU) št. 1095/2010 (UL L </w:t>
      </w:r>
      <w:r w:rsidR="00615E7B">
        <w:t xml:space="preserve">št. </w:t>
      </w:r>
      <w:r>
        <w:t xml:space="preserve">2024/1620 z dne 19. 6. 2024), zadnjič spremenjeno z Uredbo (EU) 2025/2088 Evropskega parlamenta in Sveta z dne 8. oktobra 2025 o spremembi uredb (EU) št. 1092/2010, (EU) št. 1093/2010, (EU) št. 1094/2010, (EU) št. 1095/2010, (EU) št. 806/2014, (EU) 2021/523 in (EU) 2024/1620 v zvezi z nekaterimi zahtevami glede poročanja na področju finančnih storitev in podpore za naložbe (UL L </w:t>
      </w:r>
      <w:r w:rsidR="00615E7B">
        <w:t xml:space="preserve">št. </w:t>
      </w:r>
      <w:r>
        <w:t>2025/2088 z dne 21. 10. 2025),</w:t>
      </w:r>
    </w:p>
    <w:p w14:paraId="14F65F67" w14:textId="77777777" w:rsidR="00304288" w:rsidRDefault="00A464F5">
      <w:pPr>
        <w:pStyle w:val="tevilnatoka"/>
        <w:spacing w:after="0" w:line="260" w:lineRule="auto"/>
      </w:pPr>
      <w:r>
        <w:tab/>
        <w:t xml:space="preserve">3. Evropsko javno tožilstvo, </w:t>
      </w:r>
    </w:p>
    <w:p w14:paraId="4AB6B375" w14:textId="77777777" w:rsidR="00304288" w:rsidRDefault="00A464F5">
      <w:pPr>
        <w:pStyle w:val="tevilnatoka"/>
        <w:spacing w:after="0" w:line="260" w:lineRule="auto"/>
      </w:pPr>
      <w:r>
        <w:tab/>
        <w:t xml:space="preserve">4. Evropski urad za boj proti goljufijam, </w:t>
      </w:r>
    </w:p>
    <w:p w14:paraId="5E0F5C74" w14:textId="77777777" w:rsidR="00304288" w:rsidRDefault="00A464F5">
      <w:pPr>
        <w:pStyle w:val="tevilnatoka"/>
        <w:spacing w:after="0" w:line="260" w:lineRule="auto"/>
      </w:pPr>
      <w:r>
        <w:tab/>
        <w:t>5. Agencija Evropske unije za sodelovanje na področju preprečevanja, odkrivanja in preiskovanja kaznivih dejanj pri zagotavljanju operativne podpore pristojnim organom držav članic, in</w:t>
      </w:r>
    </w:p>
    <w:p w14:paraId="0E5ABCE3" w14:textId="77777777" w:rsidR="00304288" w:rsidRDefault="00A464F5">
      <w:pPr>
        <w:pStyle w:val="tevilnatoka"/>
        <w:spacing w:after="0" w:line="260" w:lineRule="auto"/>
      </w:pPr>
      <w:r>
        <w:tab/>
        <w:t xml:space="preserve">6. Agencija Evropske unije za pravosodno sodelovanje v kazenskih zadevah pri zagotavljanju operativne podpore pristojnim organom držav članic.   </w:t>
      </w:r>
    </w:p>
    <w:p w14:paraId="4A0D15C6" w14:textId="77777777" w:rsidR="00304288" w:rsidRDefault="00304288">
      <w:pPr>
        <w:spacing w:after="0" w:line="260" w:lineRule="auto"/>
        <w:rPr>
          <w:rFonts w:cs="Arial"/>
        </w:rPr>
      </w:pPr>
    </w:p>
    <w:p w14:paraId="73092771" w14:textId="77777777" w:rsidR="00304288" w:rsidRDefault="00A464F5">
      <w:pPr>
        <w:spacing w:after="0" w:line="260" w:lineRule="auto"/>
      </w:pPr>
      <w:r>
        <w:tab/>
        <w:t xml:space="preserve">(4) Dostop do podatkov iz registra imajo tudi fizične ali pravne osebe, ki izkažejo pravni interes, povezan z odkrivanjem in preprečevanjem pranja denarja ter financiranja terorizma in povezanih predhodnih kaznivih dejanj. Osebe iz prejšnjega stavka lahko pridobijo naslednje podatke o dejanskem lastniku:  </w:t>
      </w:r>
    </w:p>
    <w:p w14:paraId="413B0413" w14:textId="77777777" w:rsidR="00304288" w:rsidRDefault="00A464F5">
      <w:pPr>
        <w:spacing w:after="0" w:line="260" w:lineRule="auto"/>
      </w:pPr>
      <w:r>
        <w:tab/>
        <w:t>– osebno ime,</w:t>
      </w:r>
    </w:p>
    <w:p w14:paraId="101827A5" w14:textId="77777777" w:rsidR="00304288" w:rsidRDefault="00A464F5">
      <w:pPr>
        <w:spacing w:after="0" w:line="260" w:lineRule="auto"/>
      </w:pPr>
      <w:r>
        <w:tab/>
        <w:t>– mesec in leto rojstva,</w:t>
      </w:r>
    </w:p>
    <w:p w14:paraId="09B59726" w14:textId="77777777" w:rsidR="00304288" w:rsidRDefault="00A464F5">
      <w:pPr>
        <w:spacing w:after="0" w:line="260" w:lineRule="auto"/>
      </w:pPr>
      <w:r>
        <w:tab/>
        <w:t>– državo stalnega in začasnega prebivališča,</w:t>
      </w:r>
    </w:p>
    <w:p w14:paraId="167434BF" w14:textId="77777777" w:rsidR="00304288" w:rsidRDefault="00A464F5">
      <w:pPr>
        <w:spacing w:after="0" w:line="260" w:lineRule="auto"/>
      </w:pPr>
      <w:r>
        <w:tab/>
        <w:t>– državljanstvo oziroma državljanstva,</w:t>
      </w:r>
    </w:p>
    <w:p w14:paraId="03182FC0" w14:textId="77777777" w:rsidR="00304288" w:rsidRDefault="00A464F5">
      <w:pPr>
        <w:spacing w:after="0" w:line="260" w:lineRule="auto"/>
      </w:pPr>
      <w:r>
        <w:tab/>
        <w:t xml:space="preserve">– v primeru dejanskega lastnika gospodarskega subjekta višino njegovega lastniškega deleža in obliko nadzora dejanskega lastnika,  </w:t>
      </w:r>
    </w:p>
    <w:p w14:paraId="51EC7A3E" w14:textId="77777777" w:rsidR="00304288" w:rsidRDefault="00A464F5">
      <w:pPr>
        <w:spacing w:after="0" w:line="260" w:lineRule="auto"/>
      </w:pPr>
      <w:r>
        <w:tab/>
        <w:t>– v primeru dejanskega lastnika subjektov iz 43. ali 44. člena tega zakona obliko nadzora dejanskega lastnika.</w:t>
      </w:r>
    </w:p>
    <w:p w14:paraId="781A7DC8" w14:textId="77777777" w:rsidR="00304288" w:rsidRDefault="00304288">
      <w:pPr>
        <w:spacing w:after="0" w:line="260" w:lineRule="auto"/>
        <w:rPr>
          <w:rFonts w:cs="Arial"/>
        </w:rPr>
      </w:pPr>
    </w:p>
    <w:p w14:paraId="2B5849A9" w14:textId="77777777" w:rsidR="00304288" w:rsidRDefault="00A464F5">
      <w:pPr>
        <w:spacing w:after="0" w:line="260" w:lineRule="auto"/>
      </w:pPr>
      <w:r>
        <w:tab/>
        <w:t xml:space="preserve">(5) Šteje se, da ima pravni interes za dostop do podatkov iz registra na podlagi funkcije ali poklica: </w:t>
      </w:r>
    </w:p>
    <w:p w14:paraId="750E905D" w14:textId="77777777" w:rsidR="00304288" w:rsidRDefault="00A464F5">
      <w:pPr>
        <w:pStyle w:val="rkovnatoka"/>
        <w:spacing w:after="0" w:line="260" w:lineRule="auto"/>
      </w:pPr>
      <w:r>
        <w:tab/>
        <w:t>a) fizična ali pravna oseba, za namene novinarstva, poročanja ali drugih oblik medijskega izražanja v zvezi s preprečevanjem pranja denarja, s tem povezanih kaznivih dejanj ali financiranja terorizma in bojem proti njim;</w:t>
      </w:r>
    </w:p>
    <w:p w14:paraId="4AC533EC" w14:textId="77777777" w:rsidR="00304288" w:rsidRDefault="00A464F5">
      <w:pPr>
        <w:pStyle w:val="rkovnatoka"/>
        <w:spacing w:after="0" w:line="260" w:lineRule="auto"/>
      </w:pPr>
      <w:r>
        <w:tab/>
        <w:t>b) organizacija civilne družbe, vključno z nevladnimi organizacijami, kot jih opredeljuje zakon, ki ureja nevladne organizacije, in akademskimi krogi, ki so povezani s preprečevanjem pranja denarja, s tem povezanih predhodnih kaznivih dejanj ali financiranja terorizma ali bojem proti njim.</w:t>
      </w:r>
    </w:p>
    <w:p w14:paraId="0A65D38F" w14:textId="77777777" w:rsidR="00304288" w:rsidRDefault="00304288">
      <w:pPr>
        <w:spacing w:after="0" w:line="260" w:lineRule="auto"/>
        <w:rPr>
          <w:rFonts w:cs="Arial"/>
        </w:rPr>
      </w:pPr>
    </w:p>
    <w:p w14:paraId="7F71BADC" w14:textId="77777777" w:rsidR="00304288" w:rsidRDefault="00A464F5">
      <w:pPr>
        <w:spacing w:after="0" w:line="260" w:lineRule="auto"/>
      </w:pPr>
      <w:r>
        <w:tab/>
        <w:t>(6) Dostop do podatkov iz registra iz četrtega odstavka tega člena o posameznem poslovnem subjektu, za katerega izkaže pravni interes, ima:</w:t>
      </w:r>
    </w:p>
    <w:p w14:paraId="491A86AD" w14:textId="77777777" w:rsidR="00304288" w:rsidRDefault="00A464F5">
      <w:pPr>
        <w:pStyle w:val="rkovnatoka"/>
        <w:spacing w:after="0" w:line="260" w:lineRule="auto"/>
      </w:pPr>
      <w:r>
        <w:tab/>
        <w:t>a) fizična ali pravna oseba, za katero je verjetno, da bo sklenila poslovno razmerje s poslovnim subjektom in ki želi s pridobitvijo podatkov iz registra preprečiti kakršno koli povezavo poslovnega razmerja s pranjem denarja, s tem povezanimi predhodnimi kaznivimi dejanji ali financiranjem terorizma;</w:t>
      </w:r>
    </w:p>
    <w:p w14:paraId="19AD8553" w14:textId="77777777" w:rsidR="00304288" w:rsidRDefault="00A464F5">
      <w:pPr>
        <w:pStyle w:val="rkovnatoka"/>
        <w:spacing w:after="0" w:line="260" w:lineRule="auto"/>
      </w:pPr>
      <w:r>
        <w:tab/>
        <w:t xml:space="preserve">b) poslovni subjekt iz tretje države, ki izvaja ukrepe s področja preprečevanja pranja denarja ali financiranja terorizma, pod pogojem, da lahko izkaže potrebo po dostopu do podatkov iz registra za izvajanje skrbnega pregleda strank ali potencialnih strank, na podlagi zahtev glede preprečevanja pranja denarja ali financiranja terorizma v tej tretji državi;  </w:t>
      </w:r>
    </w:p>
    <w:p w14:paraId="30E078E6" w14:textId="77777777" w:rsidR="00304288" w:rsidRDefault="00A464F5">
      <w:pPr>
        <w:pStyle w:val="rkovnatoka"/>
        <w:spacing w:after="0" w:line="260" w:lineRule="auto"/>
      </w:pPr>
      <w:r>
        <w:tab/>
        <w:t xml:space="preserve">c) pristojni organ tretje države, ki izvaja naloge s področja preprečevanja pranja denarja ali financiranja terorizma, pod pogojem, da lahko izkaže potrebo po dostopu do podatkov iz registra za opravljanje svojih nalog, ki temeljijo na zakonodaji tretje države za področje preprečevanja pranja denarja ali financiranja terorizma;  </w:t>
      </w:r>
    </w:p>
    <w:p w14:paraId="2E8AEECA" w14:textId="77777777" w:rsidR="00304288" w:rsidRDefault="00A464F5">
      <w:pPr>
        <w:pStyle w:val="rkovnatoka"/>
        <w:spacing w:after="0" w:line="260" w:lineRule="auto"/>
      </w:pPr>
      <w:r>
        <w:tab/>
        <w:t>č) druga oseba, če izkaže pravni interes v zvezi s preprečevanjem pranja denarja, s tem povezanih kaznivih dejanj ali financiranja terorizma in bojem proti njim, za vsak primer posebej.</w:t>
      </w:r>
    </w:p>
    <w:p w14:paraId="22F7900E" w14:textId="77777777" w:rsidR="00304288" w:rsidRDefault="00304288">
      <w:pPr>
        <w:spacing w:after="0" w:line="260" w:lineRule="auto"/>
        <w:rPr>
          <w:rFonts w:cs="Arial"/>
        </w:rPr>
      </w:pPr>
    </w:p>
    <w:p w14:paraId="0E5E264E" w14:textId="77777777" w:rsidR="00304288" w:rsidRDefault="00A464F5">
      <w:pPr>
        <w:spacing w:after="0" w:line="260" w:lineRule="auto"/>
      </w:pPr>
      <w:r>
        <w:lastRenderedPageBreak/>
        <w:tab/>
        <w:t>(7) Dostop do podatkov iz registra iz četrtega odstavka tega člena o posameznem poslovnem subjektu, za katerega izkaže namen in pravno podlago, ima:</w:t>
      </w:r>
    </w:p>
    <w:p w14:paraId="4CF0412C" w14:textId="77777777" w:rsidR="00304288" w:rsidRDefault="00A464F5">
      <w:pPr>
        <w:pStyle w:val="rkovnatoka"/>
        <w:spacing w:after="0" w:line="260" w:lineRule="auto"/>
      </w:pPr>
      <w:r>
        <w:tab/>
        <w:t xml:space="preserve">a) registrski organ, pristojen za vpis pravnih subjektov v register ter izvajanje nadzora nad zakonitostjo postopkov združitev, delitev in preoblikovanj gospodarskih družb, in sorodni organ države članice;  </w:t>
      </w:r>
    </w:p>
    <w:p w14:paraId="38010FB9" w14:textId="77777777" w:rsidR="00304288" w:rsidRDefault="00A464F5">
      <w:pPr>
        <w:pStyle w:val="rkovnatoka"/>
        <w:spacing w:after="0" w:line="260" w:lineRule="auto"/>
      </w:pPr>
      <w:r>
        <w:tab/>
        <w:t xml:space="preserve">b) javni organ, pristojen za izvajanje mehanizma za kohezijo in regionalni razvoj ter programov v skladu z Uredbo (EU) 2021/1060, in sorodni organ države članice;  </w:t>
      </w:r>
    </w:p>
    <w:p w14:paraId="1BC504C6" w14:textId="77777777" w:rsidR="00304288" w:rsidRDefault="00A464F5">
      <w:pPr>
        <w:pStyle w:val="rkovnatoka"/>
        <w:spacing w:after="0" w:line="260" w:lineRule="auto"/>
      </w:pPr>
      <w:r>
        <w:tab/>
        <w:t>c) javni organ, pristojen za izvajanje mehanizma za okrevanje in odpornost, in sorodni organ države članice;</w:t>
      </w:r>
    </w:p>
    <w:p w14:paraId="7054EE3A" w14:textId="77777777" w:rsidR="00304288" w:rsidRDefault="00A464F5">
      <w:pPr>
        <w:pStyle w:val="rkovnatoka"/>
        <w:spacing w:after="0" w:line="260" w:lineRule="auto"/>
      </w:pPr>
      <w:r>
        <w:tab/>
        <w:t xml:space="preserve">č) javni organ ali pravna oseba javnega prava, ki v skladu z zakonom, ki ureja javno naročanje, izvaja postopek javnega naročanja ali v njem sodeluje kot pristojni organ, kadar zahteva dostop do podatkov iz registra v zvezi s ponudnikom in izvajalcem, ki mu je bilo naročilo dano v postopku javnega naročanja, in sorodni organ države članice;  </w:t>
      </w:r>
    </w:p>
    <w:p w14:paraId="05442029" w14:textId="77777777" w:rsidR="00304288" w:rsidRDefault="00A464F5">
      <w:pPr>
        <w:pStyle w:val="rkovnatoka"/>
        <w:spacing w:after="0" w:line="260" w:lineRule="auto"/>
      </w:pPr>
      <w:r>
        <w:tab/>
        <w:t>d) fizična ali pravna oseba, ki razvija, vzdržuje ali zagotavlja informacijske tehnološke rešitve, storitve ali analitična orodja, namenjena izključno zavezancem ali pristojnim organom za izvajanje obveznosti po tem zakonu.</w:t>
      </w:r>
    </w:p>
    <w:p w14:paraId="21926664" w14:textId="77777777" w:rsidR="00304288" w:rsidRDefault="00304288">
      <w:pPr>
        <w:spacing w:after="0" w:line="260" w:lineRule="auto"/>
        <w:rPr>
          <w:rFonts w:cs="Arial"/>
        </w:rPr>
      </w:pPr>
    </w:p>
    <w:p w14:paraId="086EC53A" w14:textId="77777777" w:rsidR="00304288" w:rsidRDefault="00A464F5">
      <w:pPr>
        <w:spacing w:after="0" w:line="260" w:lineRule="auto"/>
      </w:pPr>
      <w:r>
        <w:tab/>
        <w:t>(8) Fizične ali pravne osebe iz točk a) in b) petega odstavka in točke c) šestega odstavka tega člena imajo dostop tudi do preteklih podatkov o dejanskih lastnikih poslovnih subjektov, vključno s poslovnimi subjekti, ki so bili likvidirani ali so prenehali obstajati v preteklih petih letih, ter tudi do opisa nadzorne ali lastniške strukture.</w:t>
      </w:r>
    </w:p>
    <w:p w14:paraId="1C90ECB5" w14:textId="77777777" w:rsidR="00304288" w:rsidRDefault="00304288">
      <w:pPr>
        <w:spacing w:after="0" w:line="260" w:lineRule="auto"/>
        <w:rPr>
          <w:rFonts w:cs="Arial"/>
        </w:rPr>
      </w:pPr>
    </w:p>
    <w:p w14:paraId="7ED59CCA" w14:textId="77777777" w:rsidR="00304288" w:rsidRDefault="00A464F5">
      <w:pPr>
        <w:spacing w:after="0" w:line="260" w:lineRule="auto"/>
      </w:pPr>
      <w:r>
        <w:tab/>
        <w:t xml:space="preserve">(9) Dostop do podatkov iz registra na podlagi tega člena je mogoč z uporabo sredstev elektronske identifikacije najmanj srednje ravni zanesljivosti. Upravljavec registra zagotovi, da imajo fizične ali pravne osebe, ki izkažejo pravni interes, na svojo zahtevo dostop do podatkov iz registra tudi v pisni obliki, kadar elektronskih sredstev ne morejo uporabljati. Upravljavec registra lahko za preveritev identitete od vlagatelja ali pooblaščenca zahteva, da ta izkaže osebno identiteto. </w:t>
      </w:r>
    </w:p>
    <w:p w14:paraId="63ECE4B2" w14:textId="77777777" w:rsidR="00304288" w:rsidRDefault="00304288">
      <w:pPr>
        <w:spacing w:after="0" w:line="260" w:lineRule="auto"/>
        <w:rPr>
          <w:rFonts w:cs="Arial"/>
        </w:rPr>
      </w:pPr>
    </w:p>
    <w:p w14:paraId="120E6F7C" w14:textId="77777777" w:rsidR="00304288" w:rsidRDefault="00A464F5">
      <w:pPr>
        <w:spacing w:after="0" w:line="260" w:lineRule="auto"/>
      </w:pPr>
      <w:r>
        <w:tab/>
        <w:t>(10) Dostop do podatkov iz registra se osebam iz tega člena iz drugih držav članic omogoči s povezovanjem registra prek evropske platforme v skladu z 49. členom tega zakona. Če dostop do podatkov iz registra v skladu z 49. členom tega zakona ni mogoč, se dostop omogoči pri upravljavcu registra po iskalnem parametru z uporabo kombinacije osebnega imena in davčne številke, osebnega imena in datuma rojstva ali kombinacije osebnega imena in naslova stalnega prebivališča.</w:t>
      </w:r>
    </w:p>
    <w:p w14:paraId="4ED7B453" w14:textId="77777777" w:rsidR="00304288" w:rsidRDefault="00304288">
      <w:pPr>
        <w:spacing w:after="0" w:line="260" w:lineRule="auto"/>
        <w:rPr>
          <w:rFonts w:cs="Arial"/>
        </w:rPr>
      </w:pPr>
    </w:p>
    <w:p w14:paraId="442DAA8B" w14:textId="77777777" w:rsidR="00304288" w:rsidRDefault="00A464F5">
      <w:pPr>
        <w:spacing w:after="0" w:line="260" w:lineRule="auto"/>
      </w:pPr>
      <w:r>
        <w:tab/>
        <w:t>(11) Dostop do podatkov iz registra ima tudi poslovni subjekt, ki želi pridobiti podatke o svojih dejanskih lastnikih. Dostop se omogoči zastopniku ali pooblaščeni osebi poslovnega subjekta iz prejšnjega stavka na podlagi izkazane osebne identitete in pooblastila za zastopanje.</w:t>
      </w:r>
    </w:p>
    <w:p w14:paraId="26F480E5" w14:textId="77777777" w:rsidR="00304288" w:rsidRDefault="00304288">
      <w:pPr>
        <w:spacing w:after="0" w:line="260" w:lineRule="auto"/>
        <w:rPr>
          <w:rFonts w:cs="Arial"/>
        </w:rPr>
      </w:pPr>
    </w:p>
    <w:p w14:paraId="0D01A856" w14:textId="77777777" w:rsidR="00304288" w:rsidRDefault="00A464F5">
      <w:pPr>
        <w:spacing w:after="0" w:line="260" w:lineRule="auto"/>
      </w:pPr>
      <w:r>
        <w:tab/>
        <w:t>(12) Zavezancu iz 4. člena tega zakona, zavezancu države članice, ki izvaja ukrepe skrbnega pregleda strank, in osebam iz petega do sedmega odstavka tega člena za dostop do podatkov iz registra upravljavec registra lahko zaračuna stroške v skladu s tarifo. Tarifo določi upravljavec registra v soglasju z ministrom, pristojnim za finance. Višina nadomestila stroškov za dostop se določi v višini stroškov, ki so nujni za zagotavljanje kakovosti podatkov v registru in za njihovo dostopnost, pri čemer ne sme ogrožati učinkovitega dostopa do podatkov, shranjenih v registru.«.</w:t>
      </w:r>
    </w:p>
    <w:p w14:paraId="13A3A83D" w14:textId="77777777" w:rsidR="00304288" w:rsidRDefault="00A464F5">
      <w:pPr>
        <w:pStyle w:val="len"/>
        <w:spacing w:line="260" w:lineRule="auto"/>
      </w:pPr>
      <w:r>
        <w:t>3. člen</w:t>
      </w:r>
    </w:p>
    <w:p w14:paraId="0879DA18" w14:textId="77777777" w:rsidR="00304288" w:rsidRDefault="00304288">
      <w:pPr>
        <w:spacing w:after="0" w:line="260" w:lineRule="auto"/>
        <w:rPr>
          <w:rFonts w:cs="Arial"/>
        </w:rPr>
      </w:pPr>
    </w:p>
    <w:p w14:paraId="45B08B75" w14:textId="77777777" w:rsidR="00304288" w:rsidRDefault="00A464F5">
      <w:pPr>
        <w:spacing w:after="0" w:line="260" w:lineRule="auto"/>
      </w:pPr>
      <w:r>
        <w:tab/>
        <w:t>51.a člen se spremeni tako, da se glasi:</w:t>
      </w:r>
    </w:p>
    <w:p w14:paraId="20E2DEF3" w14:textId="77777777" w:rsidR="00304288" w:rsidRDefault="00304288">
      <w:pPr>
        <w:spacing w:after="0" w:line="260" w:lineRule="auto"/>
        <w:rPr>
          <w:rFonts w:cs="Arial"/>
        </w:rPr>
      </w:pPr>
    </w:p>
    <w:p w14:paraId="3A8FC2C8" w14:textId="77777777" w:rsidR="00304288" w:rsidRDefault="00304288">
      <w:pPr>
        <w:spacing w:after="0" w:line="260" w:lineRule="auto"/>
        <w:rPr>
          <w:rFonts w:cs="Arial"/>
        </w:rPr>
      </w:pPr>
    </w:p>
    <w:p w14:paraId="38303678" w14:textId="77777777" w:rsidR="00304288" w:rsidRDefault="00A464F5">
      <w:pPr>
        <w:pStyle w:val="lennaslov"/>
        <w:spacing w:line="260" w:lineRule="auto"/>
      </w:pPr>
      <w:r>
        <w:lastRenderedPageBreak/>
        <w:t xml:space="preserve">»51.a člen </w:t>
      </w:r>
      <w:r>
        <w:br/>
        <w:t xml:space="preserve">(vloga za dostop do podatkov iz registra na podlagi pravnega interesa)  </w:t>
      </w:r>
    </w:p>
    <w:p w14:paraId="2CA65BD5" w14:textId="77777777" w:rsidR="00304288" w:rsidRDefault="00304288">
      <w:pPr>
        <w:spacing w:after="0" w:line="260" w:lineRule="auto"/>
        <w:rPr>
          <w:rFonts w:cs="Arial"/>
        </w:rPr>
      </w:pPr>
    </w:p>
    <w:p w14:paraId="051DC3BD" w14:textId="77777777" w:rsidR="00304288" w:rsidRDefault="00A464F5">
      <w:pPr>
        <w:spacing w:after="0" w:line="260" w:lineRule="auto"/>
      </w:pPr>
      <w:r>
        <w:tab/>
        <w:t xml:space="preserve">(1) Oseba iz petega do sedmega odstavka prejšnjega člena vlogo za dostop do podatkov iz registra na podlagi pravnega interesa vloži pri upravljavcu registra v pisni ali elektronski obliki.  </w:t>
      </w:r>
    </w:p>
    <w:p w14:paraId="61EAD677" w14:textId="77777777" w:rsidR="00304288" w:rsidRDefault="00304288">
      <w:pPr>
        <w:spacing w:after="0" w:line="260" w:lineRule="auto"/>
        <w:rPr>
          <w:rFonts w:cs="Arial"/>
        </w:rPr>
      </w:pPr>
    </w:p>
    <w:p w14:paraId="093284E6" w14:textId="77777777" w:rsidR="00304288" w:rsidRDefault="00A464F5">
      <w:pPr>
        <w:spacing w:after="0" w:line="260" w:lineRule="auto"/>
      </w:pPr>
      <w:r>
        <w:tab/>
        <w:t>(2) Oseba iz petega odstavka prejšnjega člena v vlogi navede:</w:t>
      </w:r>
    </w:p>
    <w:p w14:paraId="72213415" w14:textId="77777777" w:rsidR="00304288" w:rsidRDefault="00A464F5">
      <w:pPr>
        <w:spacing w:after="0" w:line="260" w:lineRule="auto"/>
      </w:pPr>
      <w:r>
        <w:tab/>
        <w:t>– če je vlagatelj fizična oseba, osebno ime, datum in kraj rojstva, stalno in začasno prebivališče, kontaktne podatke ter, kadar je vlagatelj vpisan v davčni register v Republiki Sloveniji, tudi davčno številko;</w:t>
      </w:r>
    </w:p>
    <w:p w14:paraId="7ED8033C" w14:textId="77777777" w:rsidR="00304288" w:rsidRDefault="00A464F5">
      <w:pPr>
        <w:spacing w:after="0" w:line="260" w:lineRule="auto"/>
      </w:pPr>
      <w:r>
        <w:tab/>
        <w:t xml:space="preserve">– če je vlagatelj pravna oseba, vpisana v Poslovni register Slovenije, firmo, poslovni naslov, matično številko, dokazilo o pooblastilu za delovanje v imenu vlagatelja ter podatke iz prejšnje alineje za fizično osebo, ki vlogo vloži v imenu vlagatelja; </w:t>
      </w:r>
    </w:p>
    <w:p w14:paraId="40010D82" w14:textId="77777777" w:rsidR="00304288" w:rsidRDefault="00A464F5">
      <w:pPr>
        <w:spacing w:after="0" w:line="260" w:lineRule="auto"/>
      </w:pPr>
      <w:r>
        <w:tab/>
        <w:t xml:space="preserve">– če je vlagatelj poslovni subjekt iz druge države članice, firmo oziroma polno ime, poslovni naslov, evropsko enotno identifikacijsko številko (v nadaljnjem besedilu: EUID) ali nacionalno registracijsko številko ali drugo ustrezno dokazilo o njegovem obstoju, dokazilo o pooblastilu za delovanje v imenu vlagatelja ter podatke iz prve alineje te točke za fizično osebo, ki vlogo vloži v imenu vlagatelja;  </w:t>
      </w:r>
    </w:p>
    <w:p w14:paraId="036FFFAF" w14:textId="77777777" w:rsidR="00304288" w:rsidRDefault="00A464F5">
      <w:pPr>
        <w:spacing w:after="0" w:line="260" w:lineRule="auto"/>
      </w:pPr>
      <w:r>
        <w:tab/>
        <w:t xml:space="preserve">– podatke o funkciji ali poklicu vlagatelja. </w:t>
      </w:r>
    </w:p>
    <w:p w14:paraId="7AB08CAD" w14:textId="77777777" w:rsidR="00304288" w:rsidRDefault="00304288">
      <w:pPr>
        <w:spacing w:after="0" w:line="260" w:lineRule="auto"/>
        <w:rPr>
          <w:rFonts w:cs="Arial"/>
        </w:rPr>
      </w:pPr>
    </w:p>
    <w:p w14:paraId="6211BA36" w14:textId="77777777" w:rsidR="00304288" w:rsidRDefault="00A464F5">
      <w:pPr>
        <w:spacing w:after="0" w:line="260" w:lineRule="auto"/>
      </w:pPr>
      <w:r>
        <w:tab/>
        <w:t>(3) Oseba iz šestega odstavka prejšnjega člena v vlogi navede:</w:t>
      </w:r>
    </w:p>
    <w:p w14:paraId="5D21A313" w14:textId="77777777" w:rsidR="00304288" w:rsidRDefault="00A464F5">
      <w:pPr>
        <w:pStyle w:val="tevilnatoka"/>
        <w:spacing w:after="0" w:line="260" w:lineRule="auto"/>
      </w:pPr>
      <w:r>
        <w:tab/>
        <w:t>1. v primeru osebe iz točke a):</w:t>
      </w:r>
    </w:p>
    <w:p w14:paraId="6E79FA99" w14:textId="77777777" w:rsidR="00304288" w:rsidRDefault="00A464F5">
      <w:pPr>
        <w:spacing w:after="0" w:line="260" w:lineRule="auto"/>
      </w:pPr>
      <w:r>
        <w:tab/>
        <w:t>– če je vlagatelj fizična oseba, podatke iz prve alineje prejšnjega odstavka;</w:t>
      </w:r>
    </w:p>
    <w:p w14:paraId="588FB299" w14:textId="77777777" w:rsidR="00304288" w:rsidRDefault="00A464F5">
      <w:pPr>
        <w:spacing w:after="0" w:line="260" w:lineRule="auto"/>
      </w:pPr>
      <w:r>
        <w:tab/>
        <w:t xml:space="preserve">– če je vlagatelj pravna oseba, vpisana v Poslovni register Slovenije, firmo, poslovni naslov, matično številko, dokazilo o pooblastilu za delovanje v imenu vlagatelja ter podatke iz prve alineje prejšnjega odstavka za fizično osebo, ki vlogo vloži v imenu vlagatelja; </w:t>
      </w:r>
    </w:p>
    <w:p w14:paraId="1BC36A88" w14:textId="77777777" w:rsidR="00304288" w:rsidRDefault="00A464F5">
      <w:pPr>
        <w:spacing w:after="0" w:line="260" w:lineRule="auto"/>
      </w:pPr>
      <w:r>
        <w:tab/>
        <w:t xml:space="preserve">– če je vlagatelj poslovni subjekt iz druge države članice, firmo oziroma polno ime, poslovni naslov, EUID ali nacionalno registracijsko številko ali drugo ustrezno dokazilo o njegovem obstoju, dokazilo o pooblastilu za delovanje v imenu vlagatelja ter podatke iz prve alineje prejšnjega odstavka za fizično osebo, ki vlogo vloži v imenu vlagatelja;  </w:t>
      </w:r>
    </w:p>
    <w:p w14:paraId="32DA99CE" w14:textId="77777777" w:rsidR="00304288" w:rsidRDefault="00A464F5">
      <w:pPr>
        <w:spacing w:after="0" w:line="260" w:lineRule="auto"/>
      </w:pPr>
      <w:r>
        <w:tab/>
        <w:t>– naziv in matično številko poslovnega subjekta, glede katerega želi pridobiti podatke o njegovih dejanskih lastnikih;</w:t>
      </w:r>
    </w:p>
    <w:p w14:paraId="074B48BC" w14:textId="77777777" w:rsidR="00304288" w:rsidRDefault="00A464F5">
      <w:pPr>
        <w:spacing w:after="0" w:line="260" w:lineRule="auto"/>
      </w:pPr>
      <w:r>
        <w:tab/>
        <w:t>– dokazilo o sklenjenem poslovnem razmerju oziroma o nameri sklenitve poslovnega razmerja;</w:t>
      </w:r>
    </w:p>
    <w:p w14:paraId="6E32000D" w14:textId="77777777" w:rsidR="00304288" w:rsidRDefault="00A464F5">
      <w:pPr>
        <w:pStyle w:val="tevilnatoka"/>
        <w:spacing w:after="0" w:line="260" w:lineRule="auto"/>
      </w:pPr>
      <w:r>
        <w:tab/>
        <w:t>2. v primeru osebe iz točke b):</w:t>
      </w:r>
    </w:p>
    <w:p w14:paraId="0F38F5ED" w14:textId="77777777" w:rsidR="00304288" w:rsidRDefault="00A464F5">
      <w:pPr>
        <w:spacing w:after="0" w:line="260" w:lineRule="auto"/>
      </w:pPr>
      <w:r>
        <w:tab/>
        <w:t>– firmo oziroma polno ime vlagatelja, poslovni naslov, nacionalno registracijsko številko ali drugo ustrezno dokazilo o njegovem obstoju, dokazilo o pooblastilu za delovanje v imenu vlagatelja ter podatke iz prve alineje prejšnjega odstavka za fizično osebo, ki vlogo vloži v imenu vlagatelja;</w:t>
      </w:r>
    </w:p>
    <w:p w14:paraId="173F3AAD" w14:textId="77777777" w:rsidR="00304288" w:rsidRDefault="00A464F5">
      <w:pPr>
        <w:spacing w:after="0" w:line="260" w:lineRule="auto"/>
      </w:pPr>
      <w:r>
        <w:tab/>
        <w:t xml:space="preserve">– dokazilo o statusu zavezanca za izvajanje skrbnega pregleda strank v tretji državi; </w:t>
      </w:r>
    </w:p>
    <w:p w14:paraId="6FBAAD73" w14:textId="77777777" w:rsidR="00304288" w:rsidRDefault="00A464F5">
      <w:pPr>
        <w:spacing w:after="0" w:line="260" w:lineRule="auto"/>
      </w:pPr>
      <w:r>
        <w:tab/>
        <w:t xml:space="preserve">– podatke o funkciji ali poklicu vlagatelja; </w:t>
      </w:r>
    </w:p>
    <w:p w14:paraId="679D143A" w14:textId="77777777" w:rsidR="00304288" w:rsidRDefault="00A464F5">
      <w:pPr>
        <w:spacing w:after="0" w:line="260" w:lineRule="auto"/>
      </w:pPr>
      <w:r>
        <w:tab/>
        <w:t>– dokazilo o potrebi po dostopu do podatkov iz registra za izvajanje skrbnega pregleda strank ali potencialnih strank na podlagi zahtev glede preprečevanja pranja denarja ali financiranja terorizma v tej tretji državi;</w:t>
      </w:r>
    </w:p>
    <w:p w14:paraId="101DF43A" w14:textId="77777777" w:rsidR="00304288" w:rsidRDefault="00A464F5">
      <w:pPr>
        <w:spacing w:after="0" w:line="260" w:lineRule="auto"/>
      </w:pPr>
      <w:r>
        <w:tab/>
        <w:t>– naziv in matično številko poslovnega subjekta, glede katerega želi pridobiti podatke o njegovih dejanskih lastnikih;</w:t>
      </w:r>
    </w:p>
    <w:p w14:paraId="682F11E9" w14:textId="77777777" w:rsidR="00304288" w:rsidRDefault="00A464F5">
      <w:pPr>
        <w:pStyle w:val="tevilnatoka"/>
        <w:spacing w:after="0" w:line="260" w:lineRule="auto"/>
      </w:pPr>
      <w:r>
        <w:tab/>
        <w:t>3. v primeru osebe iz točke c):</w:t>
      </w:r>
    </w:p>
    <w:p w14:paraId="70CF045D" w14:textId="77777777" w:rsidR="00304288" w:rsidRDefault="00A464F5">
      <w:pPr>
        <w:spacing w:after="0" w:line="260" w:lineRule="auto"/>
      </w:pPr>
      <w:r>
        <w:tab/>
        <w:t xml:space="preserve">– naziv vlagatelja, poslovni naslov, nacionalno registracijsko številko ali drugo ustrezno dokazilo o njegovem obstoju, dokazilo o pooblastilu za delovanje v imenu vlagatelja ter podatke iz prve alineje prejšnjega odstavka za fizično osebo, ki vlogo vloži v imenu vlagatelja; </w:t>
      </w:r>
    </w:p>
    <w:p w14:paraId="50E75321" w14:textId="77777777" w:rsidR="00304288" w:rsidRDefault="00A464F5">
      <w:pPr>
        <w:spacing w:after="0" w:line="260" w:lineRule="auto"/>
      </w:pPr>
      <w:r>
        <w:tab/>
        <w:t xml:space="preserve">– podatke o funkciji ali poklicu vlagatelja; </w:t>
      </w:r>
    </w:p>
    <w:p w14:paraId="556CEFD4" w14:textId="77777777" w:rsidR="00304288" w:rsidRDefault="00A464F5">
      <w:pPr>
        <w:spacing w:after="0" w:line="260" w:lineRule="auto"/>
      </w:pPr>
      <w:r>
        <w:tab/>
        <w:t>– dokazilo o potrebi po dostopu do podatkov iz registra za namen opravljanja svojih nalog na področju preprečevanja pranja denarja ali financiranja terorizma;</w:t>
      </w:r>
    </w:p>
    <w:p w14:paraId="4F3985DC" w14:textId="77777777" w:rsidR="00304288" w:rsidRDefault="00A464F5">
      <w:pPr>
        <w:spacing w:after="0" w:line="260" w:lineRule="auto"/>
      </w:pPr>
      <w:r>
        <w:tab/>
        <w:t>– naziv in matično številko poslovnega subjekta, glede katerega želi pridobiti podatke o njegovih dejanskih lastnikih;</w:t>
      </w:r>
    </w:p>
    <w:p w14:paraId="6CD12DB3" w14:textId="77777777" w:rsidR="00304288" w:rsidRDefault="00A464F5">
      <w:pPr>
        <w:spacing w:after="0" w:line="260" w:lineRule="auto"/>
      </w:pPr>
      <w:r>
        <w:lastRenderedPageBreak/>
        <w:tab/>
        <w:t xml:space="preserve">– obdobje, v katerem od upravljavca registra zahteva, da se vzdrži razkritja njegovega dostopa do podatkov dejanskih lastnikov subjekta vpisa v register ter razlog za to omejitev, vključno z navedbo, na kakšen način bi razkritje informacij ogrozilo namen njegovih analiz in preiskav; </w:t>
      </w:r>
    </w:p>
    <w:p w14:paraId="2FD311A2" w14:textId="77777777" w:rsidR="00304288" w:rsidRDefault="00A464F5">
      <w:pPr>
        <w:pStyle w:val="tevilnatoka"/>
        <w:spacing w:after="0" w:line="260" w:lineRule="auto"/>
      </w:pPr>
      <w:r>
        <w:tab/>
        <w:t>4. v primeru osebe iz točke č):</w:t>
      </w:r>
    </w:p>
    <w:p w14:paraId="4F583304" w14:textId="77777777" w:rsidR="00304288" w:rsidRDefault="00A464F5">
      <w:pPr>
        <w:spacing w:after="0" w:line="260" w:lineRule="auto"/>
      </w:pPr>
      <w:r>
        <w:tab/>
        <w:t>– če je vlagatelj fizična oseba, podatke iz prve alineje prejšnjega odstavka;</w:t>
      </w:r>
    </w:p>
    <w:p w14:paraId="05A9FF04" w14:textId="77777777" w:rsidR="00304288" w:rsidRDefault="00A464F5">
      <w:pPr>
        <w:spacing w:after="0" w:line="260" w:lineRule="auto"/>
      </w:pPr>
      <w:r>
        <w:tab/>
        <w:t xml:space="preserve">– če je vlagatelj pravna oseba, vpisana v Poslovni register Slovenije, firmo, poslovni naslov, matično številko, dokazilo o pooblastilu za delovanje v imenu vlagatelja ter podatke iz prve alineje prejšnjega odstavka za fizično osebo, ki vlogo vloži v imenu vlagatelja; </w:t>
      </w:r>
    </w:p>
    <w:p w14:paraId="65A8F8C5" w14:textId="77777777" w:rsidR="00304288" w:rsidRDefault="00A464F5">
      <w:pPr>
        <w:spacing w:after="0" w:line="260" w:lineRule="auto"/>
      </w:pPr>
      <w:r>
        <w:tab/>
        <w:t>– če je vlagatelj poslovni subjekt iz druge države članice ali tretje države, firmo oziroma polno ime, poslovni naslov, EUID ali nacionalno registracijsko številko ali drugo ustrezno dokazilo o njegovem obstoju, dokazilo o pooblastilu za delovanje v imenu vlagatelja ter podatke iz prve alineje prejšnjega odstavka za fizično osebo, ki vlogo vloži v imenu vlagatelja;</w:t>
      </w:r>
    </w:p>
    <w:p w14:paraId="1E5C7FE0" w14:textId="77777777" w:rsidR="00304288" w:rsidRDefault="00A464F5">
      <w:pPr>
        <w:spacing w:after="0" w:line="260" w:lineRule="auto"/>
      </w:pPr>
      <w:r>
        <w:tab/>
        <w:t xml:space="preserve">– podatke o funkciji ali poklicu vlagatelja;  </w:t>
      </w:r>
    </w:p>
    <w:p w14:paraId="5DA273D6" w14:textId="77777777" w:rsidR="00304288" w:rsidRDefault="00A464F5">
      <w:pPr>
        <w:spacing w:after="0" w:line="260" w:lineRule="auto"/>
      </w:pPr>
      <w:r>
        <w:tab/>
        <w:t xml:space="preserve">– dokazilo, iz katerega izhaja pravni interes v zvezi s preprečevanjem pranja denarja, s tem povezanih kaznivih dejanj ali financiranja terorizma in bojem proti njim; </w:t>
      </w:r>
    </w:p>
    <w:p w14:paraId="3C42D32D" w14:textId="77777777" w:rsidR="00304288" w:rsidRDefault="00A464F5">
      <w:pPr>
        <w:spacing w:after="0" w:line="260" w:lineRule="auto"/>
      </w:pPr>
      <w:r>
        <w:tab/>
        <w:t>– opis namena dostopa, iz katerega izhaja pravni interes;</w:t>
      </w:r>
    </w:p>
    <w:p w14:paraId="6AAC378B" w14:textId="77777777" w:rsidR="00304288" w:rsidRDefault="00A464F5">
      <w:pPr>
        <w:spacing w:after="0" w:line="260" w:lineRule="auto"/>
      </w:pPr>
      <w:r>
        <w:tab/>
        <w:t>– naziv in matično številko poslovnega subjekta, glede katerega želi pridobiti podatke o njegovih dejanskih lastnikih.</w:t>
      </w:r>
    </w:p>
    <w:p w14:paraId="6BDBB34C" w14:textId="77777777" w:rsidR="00304288" w:rsidRDefault="00304288">
      <w:pPr>
        <w:spacing w:after="0" w:line="260" w:lineRule="auto"/>
        <w:rPr>
          <w:rFonts w:cs="Arial"/>
        </w:rPr>
      </w:pPr>
    </w:p>
    <w:p w14:paraId="667A68B6" w14:textId="77777777" w:rsidR="00304288" w:rsidRDefault="00A464F5">
      <w:pPr>
        <w:spacing w:after="0" w:line="260" w:lineRule="auto"/>
      </w:pPr>
      <w:r>
        <w:tab/>
        <w:t>(4) Oseba iz sedmega odstavka prejšnjega člena v vlogi navede:</w:t>
      </w:r>
    </w:p>
    <w:p w14:paraId="011002EF" w14:textId="77777777" w:rsidR="00304288" w:rsidRDefault="00A464F5">
      <w:pPr>
        <w:pStyle w:val="tevilnatoka"/>
        <w:spacing w:after="0" w:line="260" w:lineRule="auto"/>
      </w:pPr>
      <w:r>
        <w:tab/>
        <w:t>1. v primeru osebe iz točk a), b), c) in č):</w:t>
      </w:r>
    </w:p>
    <w:p w14:paraId="5E4D451E" w14:textId="77777777" w:rsidR="00304288" w:rsidRDefault="00A464F5">
      <w:pPr>
        <w:spacing w:after="0" w:line="260" w:lineRule="auto"/>
      </w:pPr>
      <w:r>
        <w:tab/>
        <w:t>– če je vlagatelj organ ali pravna oseba javnega prava, vpisana v Poslovni register Slovenije, naziv, poslovni naslov, matično številko, dokazilo o pooblastilu za delovanje v imenu vlagatelja ter podatke iz prve alineje drugega odstavka tega člena za fizično osebo, ki vlogo vloži v imenu vlagatelja;</w:t>
      </w:r>
    </w:p>
    <w:p w14:paraId="556175E0" w14:textId="77777777" w:rsidR="00304288" w:rsidRDefault="00A464F5">
      <w:pPr>
        <w:spacing w:after="0" w:line="260" w:lineRule="auto"/>
      </w:pPr>
      <w:r>
        <w:tab/>
        <w:t xml:space="preserve">– če je vlagatelj organ ali pravna oseba javnega prava iz druge države članice, naziv oziroma polno ime, poslovni naslov, EUID ali nacionalno registracijsko številko ali drugo ustrezno dokazilo o njegovem obstoju, dokazilo o pooblastilu za delovanje v imenu vlagatelja ter podatke iz prve alineje drugega odstavka tega člena za fizično osebo, ki vlogo vloži v imenu vlagatelja;  </w:t>
      </w:r>
    </w:p>
    <w:p w14:paraId="16F3FFD9" w14:textId="77777777" w:rsidR="00304288" w:rsidRDefault="00A464F5">
      <w:pPr>
        <w:spacing w:after="0" w:line="260" w:lineRule="auto"/>
      </w:pPr>
      <w:r>
        <w:tab/>
        <w:t>– podatke o funkciji ali poklicu vlagatelja;</w:t>
      </w:r>
    </w:p>
    <w:p w14:paraId="29AAE9C5" w14:textId="77777777" w:rsidR="00304288" w:rsidRDefault="00A464F5">
      <w:pPr>
        <w:spacing w:after="0" w:line="260" w:lineRule="auto"/>
      </w:pPr>
      <w:r>
        <w:tab/>
        <w:t>– naziv in matično številko poslovnega subjekta, glede katerega želi pridobiti podatke o njegovih dejanskih lastnikih;</w:t>
      </w:r>
    </w:p>
    <w:p w14:paraId="1CD6FE6A" w14:textId="77777777" w:rsidR="00304288" w:rsidRDefault="00A464F5">
      <w:pPr>
        <w:spacing w:after="0" w:line="260" w:lineRule="auto"/>
      </w:pPr>
      <w:r>
        <w:tab/>
        <w:t xml:space="preserve">– namen in pravno podlago za dostop. </w:t>
      </w:r>
    </w:p>
    <w:p w14:paraId="7EEAE5CC" w14:textId="77777777" w:rsidR="00304288" w:rsidRDefault="00A464F5">
      <w:pPr>
        <w:pStyle w:val="tevilnatoka"/>
        <w:spacing w:after="0" w:line="260" w:lineRule="auto"/>
      </w:pPr>
      <w:r>
        <w:tab/>
        <w:t>2. v primeru osebe iz točke d):</w:t>
      </w:r>
    </w:p>
    <w:p w14:paraId="147EB348" w14:textId="77777777" w:rsidR="00304288" w:rsidRDefault="00A464F5">
      <w:pPr>
        <w:spacing w:after="0" w:line="260" w:lineRule="auto"/>
      </w:pPr>
      <w:r>
        <w:tab/>
        <w:t>– če je vlagatelj fizična oseba, podatke iz prve alineje drugega odstavka tega člena;</w:t>
      </w:r>
    </w:p>
    <w:p w14:paraId="5BB0817C" w14:textId="77777777" w:rsidR="00304288" w:rsidRDefault="00A464F5">
      <w:pPr>
        <w:spacing w:after="0" w:line="260" w:lineRule="auto"/>
      </w:pPr>
      <w:r>
        <w:tab/>
        <w:t xml:space="preserve">– če je vlagatelj pravna oseba, vpisana v Poslovni register Slovenije, firmo, poslovni naslov, matično številko, dokazilo o pooblastilu za delovanje v imenu vlagatelja ter podatke iz prve alineje drugega odstavka tega člena za fizično osebo, ki vlogo vloži v imenu vlagatelja; </w:t>
      </w:r>
    </w:p>
    <w:p w14:paraId="1D6451F5" w14:textId="77777777" w:rsidR="00304288" w:rsidRDefault="00A464F5">
      <w:pPr>
        <w:spacing w:after="0" w:line="260" w:lineRule="auto"/>
      </w:pPr>
      <w:r>
        <w:tab/>
        <w:t>– če je vlagatelj poslovni subjekt iz druge države članice, firmo oziroma polno ime, poslovni naslov, EUID ali nacionalno registracijsko številko ali drugo ustrezno dokazilo o njegovem obstoju, dokazilo o pooblastilu za delovanje v imenu vlagatelja ter podatke iz prve alineje drugega odstavka tega člena za fizično osebo, ki vlogo vloži v imenu vlagatelja;</w:t>
      </w:r>
    </w:p>
    <w:p w14:paraId="2CA8EAAA" w14:textId="77777777" w:rsidR="00304288" w:rsidRDefault="00A464F5">
      <w:pPr>
        <w:spacing w:after="0" w:line="260" w:lineRule="auto"/>
      </w:pPr>
      <w:r>
        <w:tab/>
        <w:t xml:space="preserve">– podatke o funkciji ali poklicu vlagatelja; </w:t>
      </w:r>
    </w:p>
    <w:p w14:paraId="673F3A3F" w14:textId="77777777" w:rsidR="00304288" w:rsidRDefault="00A464F5">
      <w:pPr>
        <w:spacing w:after="0" w:line="260" w:lineRule="auto"/>
      </w:pPr>
      <w:r>
        <w:tab/>
        <w:t xml:space="preserve">– dokazilo, da razvija, vzdržuje ali zagotavlja informacijske tehnološke rešitve, storitve ali analitična orodja, namenjena izključno zavezancem ali pristojnim organom, ki izvajajo obveznosti iz tega zakona; </w:t>
      </w:r>
    </w:p>
    <w:p w14:paraId="7FAA6F74" w14:textId="77777777" w:rsidR="00304288" w:rsidRDefault="00A464F5">
      <w:pPr>
        <w:spacing w:after="0" w:line="260" w:lineRule="auto"/>
      </w:pPr>
      <w:r>
        <w:tab/>
        <w:t>– naziv in matično številko poslovnega subjekta, glede katerega želi pridobiti podatke o njegovih dejanskih lastnikih;</w:t>
      </w:r>
    </w:p>
    <w:p w14:paraId="4882BCE9" w14:textId="77777777" w:rsidR="00304288" w:rsidRDefault="00A464F5">
      <w:pPr>
        <w:spacing w:after="0" w:line="260" w:lineRule="auto"/>
      </w:pPr>
      <w:r>
        <w:tab/>
        <w:t>– namen in pravno podlago za dostop.</w:t>
      </w:r>
    </w:p>
    <w:p w14:paraId="5A961594" w14:textId="77777777" w:rsidR="00304288" w:rsidRDefault="00304288">
      <w:pPr>
        <w:spacing w:after="0" w:line="260" w:lineRule="auto"/>
        <w:rPr>
          <w:rFonts w:cs="Arial"/>
        </w:rPr>
      </w:pPr>
    </w:p>
    <w:p w14:paraId="4AC6ADED" w14:textId="77777777" w:rsidR="00304288" w:rsidRDefault="00A464F5">
      <w:pPr>
        <w:spacing w:after="0" w:line="260" w:lineRule="auto"/>
      </w:pPr>
      <w:r>
        <w:tab/>
        <w:t>(5) Kadar je pravni interes osebe za dostop do podatkov iz registra na podlagi ene od kategorij iz petega do sedmega odstavka prejšnjega člena že preveril upravljavec registra druge države članice, se šteje, da je pogoj o obstoju pravnega interesa na podlagi funkcije ali poklica izpolnjen, če vlagatelj predloži potrdilo o izkazanem pravnem interesu, ki ga je izdal upravljavec registra druge države članice.«.</w:t>
      </w:r>
    </w:p>
    <w:p w14:paraId="430B2ACC" w14:textId="77777777" w:rsidR="00304288" w:rsidRDefault="00A464F5">
      <w:pPr>
        <w:pStyle w:val="len"/>
        <w:spacing w:line="260" w:lineRule="auto"/>
      </w:pPr>
      <w:r>
        <w:lastRenderedPageBreak/>
        <w:t>4. člen</w:t>
      </w:r>
    </w:p>
    <w:p w14:paraId="1E75BBD0" w14:textId="77777777" w:rsidR="00304288" w:rsidRDefault="00304288">
      <w:pPr>
        <w:spacing w:after="0" w:line="260" w:lineRule="auto"/>
        <w:rPr>
          <w:rFonts w:cs="Arial"/>
        </w:rPr>
      </w:pPr>
    </w:p>
    <w:p w14:paraId="25B2DD07" w14:textId="77777777" w:rsidR="00304288" w:rsidRDefault="00A464F5">
      <w:pPr>
        <w:spacing w:after="0" w:line="260" w:lineRule="auto"/>
      </w:pPr>
      <w:r>
        <w:tab/>
        <w:t>Za spremenjenim 51.a členom se dodajo novi, 51.b do 51.d člen, ki se glasijo:</w:t>
      </w:r>
    </w:p>
    <w:p w14:paraId="59D60D70" w14:textId="77777777" w:rsidR="00304288" w:rsidRDefault="00304288">
      <w:pPr>
        <w:spacing w:after="0" w:line="260" w:lineRule="auto"/>
        <w:rPr>
          <w:rFonts w:cs="Arial"/>
        </w:rPr>
      </w:pPr>
    </w:p>
    <w:p w14:paraId="03CE6EDD" w14:textId="77777777" w:rsidR="00304288" w:rsidRDefault="00304288">
      <w:pPr>
        <w:spacing w:after="0" w:line="260" w:lineRule="auto"/>
        <w:rPr>
          <w:rFonts w:cs="Arial"/>
        </w:rPr>
      </w:pPr>
    </w:p>
    <w:p w14:paraId="217FBA5A" w14:textId="77777777" w:rsidR="00304288" w:rsidRDefault="00A464F5">
      <w:pPr>
        <w:pStyle w:val="lennaslov"/>
        <w:spacing w:line="260" w:lineRule="auto"/>
      </w:pPr>
      <w:r>
        <w:t xml:space="preserve">»51.b člen </w:t>
      </w:r>
      <w:r>
        <w:br/>
        <w:t xml:space="preserve">(odločanje o vlogi za dostop do podatkov iz registra na podlagi pravnega interesa)  </w:t>
      </w:r>
    </w:p>
    <w:p w14:paraId="3C1CCCA9" w14:textId="77777777" w:rsidR="00304288" w:rsidRDefault="00304288">
      <w:pPr>
        <w:spacing w:after="0" w:line="260" w:lineRule="auto"/>
        <w:rPr>
          <w:rFonts w:cs="Arial"/>
        </w:rPr>
      </w:pPr>
    </w:p>
    <w:p w14:paraId="37E4518D" w14:textId="77777777" w:rsidR="00304288" w:rsidRDefault="00A464F5">
      <w:pPr>
        <w:spacing w:after="0" w:line="260" w:lineRule="auto"/>
      </w:pPr>
      <w:r>
        <w:tab/>
        <w:t>(1) Če upravljavec registra vlogi iz prvega odstavka prejšnjega člena ugodi, izda potrdilo o izkazanem pravnem interesu najpozneje v dvanajstih delovnih dneh od prejema vloge.</w:t>
      </w:r>
    </w:p>
    <w:p w14:paraId="4D19661D" w14:textId="77777777" w:rsidR="00304288" w:rsidRDefault="00304288">
      <w:pPr>
        <w:spacing w:after="0" w:line="260" w:lineRule="auto"/>
        <w:rPr>
          <w:rFonts w:cs="Arial"/>
        </w:rPr>
      </w:pPr>
    </w:p>
    <w:p w14:paraId="626F42D8" w14:textId="77777777" w:rsidR="00304288" w:rsidRDefault="00A464F5">
      <w:pPr>
        <w:spacing w:after="0" w:line="260" w:lineRule="auto"/>
      </w:pPr>
      <w:r>
        <w:tab/>
        <w:t xml:space="preserve">(2) Če je vloga iz prvega odstavka prejšnjega člena nepopolna ali nerazumljiva, upravljavec registra vlagatelja v petih delovnih dneh od prejema vloge pozove k dopolnitvi. Če vlagatelj vloge kljub pozivu za dopolnitev ne dopolni v roku, upravljavec registra vlogo zavrže s sklepom.  </w:t>
      </w:r>
    </w:p>
    <w:p w14:paraId="61645047" w14:textId="77777777" w:rsidR="00304288" w:rsidRDefault="00304288">
      <w:pPr>
        <w:spacing w:after="0" w:line="260" w:lineRule="auto"/>
        <w:rPr>
          <w:rFonts w:cs="Arial"/>
        </w:rPr>
      </w:pPr>
    </w:p>
    <w:p w14:paraId="60689EA4" w14:textId="77777777" w:rsidR="00304288" w:rsidRDefault="00A464F5">
      <w:pPr>
        <w:spacing w:after="0" w:line="260" w:lineRule="auto"/>
      </w:pPr>
      <w:r>
        <w:tab/>
        <w:t>(3) Rok za izdajo potrdila o izkazanem pravnem interesu iz prvega odstavka tega člena se podaljša za sedem delovnih dni, kadar upravljavec registra od vlagatelja zahteva dodatne informacije, in sicer, če:</w:t>
      </w:r>
    </w:p>
    <w:p w14:paraId="289AD42B" w14:textId="77777777" w:rsidR="00304288" w:rsidRDefault="00A464F5">
      <w:pPr>
        <w:pStyle w:val="tevilnatoka"/>
        <w:spacing w:after="0" w:line="260" w:lineRule="auto"/>
      </w:pPr>
      <w:r>
        <w:tab/>
        <w:t xml:space="preserve">1. pravni interes za dostop do podatkov iz registra ni izkazan,  </w:t>
      </w:r>
    </w:p>
    <w:p w14:paraId="56CA4040" w14:textId="77777777" w:rsidR="00304288" w:rsidRDefault="00A464F5">
      <w:pPr>
        <w:pStyle w:val="tevilnatoka"/>
        <w:spacing w:after="0" w:line="260" w:lineRule="auto"/>
      </w:pPr>
      <w:r>
        <w:tab/>
        <w:t>2. ima upravljavec registra utemeljen pomislek, da se podatki iz registra ne bodo uporabili za namene, za katere so bili zahtevani, ali da se bodo uporabili za namene, ki niso povezani s preprečevanjem pranja denarja, s tem povezanih predhodnih kaznivih dejanj ali financiranja terorizma, ali</w:t>
      </w:r>
    </w:p>
    <w:p w14:paraId="280FADCB" w14:textId="77777777" w:rsidR="00304288" w:rsidRDefault="00A464F5">
      <w:pPr>
        <w:pStyle w:val="tevilnatoka"/>
        <w:spacing w:after="0" w:line="260" w:lineRule="auto"/>
      </w:pPr>
      <w:r>
        <w:tab/>
        <w:t xml:space="preserve">3. pravni interes vlagatelja, ki mu ga je priznal upravljavec registra druge države članice, ne vsebuje namena, za katerega se zahtevajo podatki iz registra.  </w:t>
      </w:r>
    </w:p>
    <w:p w14:paraId="7C8B16B7" w14:textId="77777777" w:rsidR="00304288" w:rsidRDefault="00304288">
      <w:pPr>
        <w:spacing w:after="0" w:line="260" w:lineRule="auto"/>
        <w:rPr>
          <w:rFonts w:cs="Arial"/>
        </w:rPr>
      </w:pPr>
    </w:p>
    <w:p w14:paraId="7EF35FBD" w14:textId="77777777" w:rsidR="00304288" w:rsidRDefault="00A464F5">
      <w:pPr>
        <w:spacing w:after="0" w:line="260" w:lineRule="auto"/>
      </w:pPr>
      <w:r>
        <w:tab/>
        <w:t>(4) Upravljavec registra vlagatelju z odločbo zavrne vlogo za dostop do podatkov iz registra:</w:t>
      </w:r>
    </w:p>
    <w:p w14:paraId="59ACE034" w14:textId="77777777" w:rsidR="00304288" w:rsidRDefault="00A464F5">
      <w:pPr>
        <w:pStyle w:val="tevilnatoka"/>
        <w:spacing w:after="0" w:line="260" w:lineRule="auto"/>
      </w:pPr>
      <w:r>
        <w:tab/>
        <w:t>1. v primeru iz prejšnjega odstavka, kadar kljub prejetim  dodatnim informacijam še vedno obstaja razlog iz 1., 2. ali 3. točke prejšnjega odstavka,</w:t>
      </w:r>
    </w:p>
    <w:p w14:paraId="5821FF2F" w14:textId="77777777" w:rsidR="00304288" w:rsidRDefault="00A464F5">
      <w:pPr>
        <w:pStyle w:val="tevilnatoka"/>
        <w:spacing w:after="0" w:line="260" w:lineRule="auto"/>
      </w:pPr>
      <w:r>
        <w:tab/>
        <w:t>2. v primeru izjeme iz 51.č člena tega zakona ali</w:t>
      </w:r>
    </w:p>
    <w:p w14:paraId="2B47952D" w14:textId="77777777" w:rsidR="00304288" w:rsidRDefault="00A464F5">
      <w:pPr>
        <w:pStyle w:val="tevilnatoka"/>
        <w:spacing w:after="0" w:line="260" w:lineRule="auto"/>
      </w:pPr>
      <w:r>
        <w:tab/>
        <w:t>3. če je vlagatelj iz tretje države in odobritev zahteve za dostop do podatkov iz registra ne bi bila v skladu z določbami V. poglavja Splošne uredbe o varstvu osebnih podatkov.</w:t>
      </w:r>
    </w:p>
    <w:p w14:paraId="7432B6C9" w14:textId="77777777" w:rsidR="00304288" w:rsidRDefault="00304288">
      <w:pPr>
        <w:spacing w:after="0" w:line="260" w:lineRule="auto"/>
        <w:rPr>
          <w:rFonts w:cs="Arial"/>
        </w:rPr>
      </w:pPr>
    </w:p>
    <w:p w14:paraId="589B3C3F" w14:textId="77777777" w:rsidR="00304288" w:rsidRDefault="00A464F5">
      <w:pPr>
        <w:spacing w:after="0" w:line="260" w:lineRule="auto"/>
      </w:pPr>
      <w:r>
        <w:tab/>
        <w:t xml:space="preserve">(5) Zoper odločbo iz prejšnjega odstavka pritožba ni dovoljena, dovoljen pa je upravni spor. </w:t>
      </w:r>
    </w:p>
    <w:p w14:paraId="56632735" w14:textId="77777777" w:rsidR="00304288" w:rsidRDefault="00304288">
      <w:pPr>
        <w:spacing w:after="0" w:line="260" w:lineRule="auto"/>
        <w:rPr>
          <w:rFonts w:cs="Arial"/>
        </w:rPr>
      </w:pPr>
    </w:p>
    <w:p w14:paraId="34E412CB" w14:textId="77777777" w:rsidR="00304288" w:rsidRDefault="00A464F5">
      <w:pPr>
        <w:spacing w:after="0" w:line="260" w:lineRule="auto"/>
      </w:pPr>
      <w:r>
        <w:tab/>
        <w:t xml:space="preserve">(6) Ne glede na prvi odstavek tega člena se rok za odločitev podaljša za dvanajst delovnih dni, če število vlog, prejetih v tridesetih dneh pred prejemom posamezne vloge, presega 75 odstotkov števila vlog, prejetih v predhodnem šestdesetdnevnem obdobju. Če je po izteku tako podaljšanega roka navedeni pogoj še vedno izpolnjen, se rok za odločitev podaljša za nadaljnjih dvanajst delovnih dni. O vsakem podaljšanju odločanja o vlogah upravljavec registra obvesti Evropsko komisijo.  </w:t>
      </w:r>
    </w:p>
    <w:p w14:paraId="2CB1B6DC" w14:textId="77777777" w:rsidR="00304288" w:rsidRDefault="00304288">
      <w:pPr>
        <w:spacing w:after="0" w:line="260" w:lineRule="auto"/>
        <w:rPr>
          <w:rFonts w:cs="Arial"/>
        </w:rPr>
      </w:pPr>
    </w:p>
    <w:p w14:paraId="38C0E9D8" w14:textId="77777777" w:rsidR="00304288" w:rsidRDefault="00A464F5">
      <w:pPr>
        <w:spacing w:after="0" w:line="260" w:lineRule="auto"/>
      </w:pPr>
      <w:r>
        <w:tab/>
        <w:t>(7) Kadar upravljavec registra dvomi o obstoju pogojev za izdajo potrdila o izkazanem pravnem interesu, ki ga je izdal upravljavec registra druge države članice, o tem obvesti izdajatelja potrdila. Upravljavec registra v primeru iz prejšnjega stavka pri odločanju o obstoju pravnega interesa upošteva potrditev ali preklic potrdila s strani upravljavca registra druge države članice.</w:t>
      </w:r>
    </w:p>
    <w:p w14:paraId="5BD7C7BA" w14:textId="77777777" w:rsidR="00304288" w:rsidRDefault="00304288">
      <w:pPr>
        <w:spacing w:after="0" w:line="260" w:lineRule="auto"/>
        <w:rPr>
          <w:rFonts w:cs="Arial"/>
        </w:rPr>
      </w:pPr>
    </w:p>
    <w:p w14:paraId="0016169F" w14:textId="77777777" w:rsidR="00304288" w:rsidRDefault="00A464F5">
      <w:pPr>
        <w:spacing w:after="0" w:line="260" w:lineRule="auto"/>
      </w:pPr>
      <w:r>
        <w:tab/>
        <w:t>(8) Potrdilo o izkazanem pravnem interesu vsebuje naslednje podatke:</w:t>
      </w:r>
    </w:p>
    <w:p w14:paraId="6A6E8263" w14:textId="77777777" w:rsidR="00304288" w:rsidRDefault="00A464F5">
      <w:pPr>
        <w:pStyle w:val="tevilnatoka"/>
        <w:spacing w:after="0" w:line="260" w:lineRule="auto"/>
      </w:pPr>
      <w:r>
        <w:tab/>
        <w:t>1. ime države upravljavca registra ter ime in kontaktne podatke upravljavca registra;</w:t>
      </w:r>
    </w:p>
    <w:p w14:paraId="2C8D0BC0" w14:textId="77777777" w:rsidR="00304288" w:rsidRDefault="00A464F5">
      <w:pPr>
        <w:pStyle w:val="tevilnatoka"/>
        <w:spacing w:after="0" w:line="260" w:lineRule="auto"/>
      </w:pPr>
      <w:r>
        <w:tab/>
        <w:t>2. za vlagatelje, ki so fizične osebe, osebno ime, naslov, datum in kraj rojstva;</w:t>
      </w:r>
    </w:p>
    <w:p w14:paraId="3A088890" w14:textId="77777777" w:rsidR="00304288" w:rsidRDefault="00A464F5">
      <w:pPr>
        <w:pStyle w:val="tevilnatoka"/>
        <w:spacing w:after="0" w:line="260" w:lineRule="auto"/>
      </w:pPr>
      <w:r>
        <w:tab/>
        <w:t>3. za vlagatelje, ki so organi ali pravne osebe, polno ime organa ali pravne osebe, poslovni naslov, matično številko, EUID ter druge identifikacijske podatke, navedene v vlogi;</w:t>
      </w:r>
    </w:p>
    <w:p w14:paraId="746BBE8C" w14:textId="77777777" w:rsidR="00304288" w:rsidRDefault="00A464F5">
      <w:pPr>
        <w:pStyle w:val="tevilnatoka"/>
        <w:spacing w:after="0" w:line="260" w:lineRule="auto"/>
      </w:pPr>
      <w:r>
        <w:tab/>
        <w:t>4. kategorijo osebe iz petega do sedmega odstavka 51. člena tega zakona, na podlagi katere je bil izkazan pravni interes;</w:t>
      </w:r>
    </w:p>
    <w:p w14:paraId="6479F093" w14:textId="77777777" w:rsidR="00304288" w:rsidRDefault="00A464F5">
      <w:pPr>
        <w:pStyle w:val="tevilnatoka"/>
        <w:spacing w:after="0" w:line="260" w:lineRule="auto"/>
      </w:pPr>
      <w:r>
        <w:tab/>
        <w:t>5. datum veljavnosti potrdila o izkazanem pravnem interesu;</w:t>
      </w:r>
    </w:p>
    <w:p w14:paraId="350F3103" w14:textId="77777777" w:rsidR="00304288" w:rsidRDefault="00A464F5">
      <w:pPr>
        <w:pStyle w:val="tevilnatoka"/>
        <w:spacing w:after="0" w:line="260" w:lineRule="auto"/>
      </w:pPr>
      <w:r>
        <w:lastRenderedPageBreak/>
        <w:tab/>
        <w:t>6. enolično referenčno številko, povezano s potrdilom o izkazanem pravnem interesu;</w:t>
      </w:r>
    </w:p>
    <w:p w14:paraId="22D8125D" w14:textId="77777777" w:rsidR="00304288" w:rsidRDefault="00A464F5">
      <w:pPr>
        <w:pStyle w:val="tevilnatoka"/>
        <w:spacing w:after="0" w:line="260" w:lineRule="auto"/>
      </w:pPr>
      <w:r>
        <w:tab/>
        <w:t>7. navedbo o skladnosti z zakoni ter predpisi o varstvu osebnih podatkov;</w:t>
      </w:r>
    </w:p>
    <w:p w14:paraId="56453E32" w14:textId="77777777" w:rsidR="00304288" w:rsidRDefault="00A464F5">
      <w:pPr>
        <w:pStyle w:val="tevilnatoka"/>
        <w:spacing w:after="0" w:line="260" w:lineRule="auto"/>
      </w:pPr>
      <w:r>
        <w:tab/>
        <w:t>8. druge podatke, opredeljene v izvedbenem aktu Evropske komisije, ki opredeljuje tehnične zahteve in postopke glede dostopa do podatkov dejanskih lastnikov na podlagi izkazanega pravnega interesa.</w:t>
      </w:r>
    </w:p>
    <w:p w14:paraId="396FD7C9" w14:textId="77777777" w:rsidR="00304288" w:rsidRDefault="00304288">
      <w:pPr>
        <w:spacing w:after="0" w:line="260" w:lineRule="auto"/>
        <w:rPr>
          <w:rFonts w:cs="Arial"/>
        </w:rPr>
      </w:pPr>
    </w:p>
    <w:p w14:paraId="12B608C6" w14:textId="77777777" w:rsidR="00304288" w:rsidRDefault="00A464F5">
      <w:pPr>
        <w:spacing w:after="0" w:line="260" w:lineRule="auto"/>
      </w:pPr>
      <w:r>
        <w:tab/>
        <w:t>(9) Potrdilo o izkazanem pravnem interesu se izda v digitalni, strojno berljivi obliki, razen če vlagatelj zaradi tehničnih ovir ne more uporabljati elektronskih sredstev.</w:t>
      </w:r>
    </w:p>
    <w:p w14:paraId="6C7B43BB" w14:textId="77777777" w:rsidR="00304288" w:rsidRDefault="00304288">
      <w:pPr>
        <w:spacing w:after="0" w:line="260" w:lineRule="auto"/>
        <w:rPr>
          <w:rFonts w:cs="Arial"/>
        </w:rPr>
      </w:pPr>
    </w:p>
    <w:p w14:paraId="4FE258CA" w14:textId="77777777" w:rsidR="00304288" w:rsidRDefault="00A464F5">
      <w:pPr>
        <w:spacing w:after="0" w:line="260" w:lineRule="auto"/>
      </w:pPr>
      <w:r>
        <w:tab/>
        <w:t xml:space="preserve">(10) Upravljavec registra vlagatelju iz petega do sedmega odstavka 51. člena tega zakona omogoči dostop do podatkov iz registra za tri leta od izdaje potrdila o izkazanem pravnem interesu. Vlagatelj lahko v navedenem obdobju večkrat dostopa do podatkov na podlagi izdanega potrdila o izkazanem pravnem interesu brez ponovnega preverjanja izpolnjevanja pogojev za obstoj pravnega interesa. Oseba iz prejšnjega stavka lahko najmanj 15 dni pred iztekom roka iz prvega stavka tega odstavka zaprosi za podaljšanje dostopa, pri čemer mora izkazati nadaljevanje obstoja pravnega interesa, na podlagi katerega ji je bil omogočen dostop. Ne glede na prejšnji stavek se osebam iz točk a), b), c) in č) sedmega odstavka 51. člena tega zakona dostop podaljša za nadaljnja tri leta, razen če nastopijo razlogi iz prvega, drugega ali tretjega odstavka 51.c člena tega zakona.  </w:t>
      </w:r>
    </w:p>
    <w:p w14:paraId="397520F7" w14:textId="77777777" w:rsidR="00304288" w:rsidRDefault="00304288">
      <w:pPr>
        <w:spacing w:after="0" w:line="260" w:lineRule="auto"/>
        <w:rPr>
          <w:rFonts w:cs="Arial"/>
        </w:rPr>
      </w:pPr>
    </w:p>
    <w:p w14:paraId="5D7E6691" w14:textId="77777777" w:rsidR="00304288" w:rsidRDefault="00A464F5">
      <w:pPr>
        <w:spacing w:after="0" w:line="260" w:lineRule="auto"/>
      </w:pPr>
      <w:r>
        <w:tab/>
        <w:t xml:space="preserve">(11) Imetnik potrdila o izkazanem pravnem interesu lahko kadar koli pregleda in preveri njegovo veljavnost na spletni strani upravljavca registra. </w:t>
      </w:r>
    </w:p>
    <w:p w14:paraId="5531A36A" w14:textId="77777777" w:rsidR="00304288" w:rsidRDefault="00304288">
      <w:pPr>
        <w:spacing w:after="0" w:line="260" w:lineRule="auto"/>
        <w:rPr>
          <w:rFonts w:cs="Arial"/>
        </w:rPr>
      </w:pPr>
    </w:p>
    <w:p w14:paraId="6C56F212" w14:textId="77777777" w:rsidR="00304288" w:rsidRDefault="00A464F5">
      <w:pPr>
        <w:spacing w:after="0" w:line="260" w:lineRule="auto"/>
      </w:pPr>
      <w:r>
        <w:tab/>
        <w:t xml:space="preserve">(12) Upravljavec registra o vlogi, ki jo vloži imetnik potrdila o izkazanem pravnem interesu, odloči v sedmih delovnih dneh od prejema vloge.  </w:t>
      </w:r>
    </w:p>
    <w:p w14:paraId="5E919133" w14:textId="77777777" w:rsidR="00304288" w:rsidRDefault="00304288">
      <w:pPr>
        <w:spacing w:after="0" w:line="260" w:lineRule="auto"/>
        <w:rPr>
          <w:rFonts w:cs="Arial"/>
        </w:rPr>
      </w:pPr>
    </w:p>
    <w:p w14:paraId="117C4AB1" w14:textId="77777777" w:rsidR="00304288" w:rsidRDefault="00A464F5">
      <w:pPr>
        <w:spacing w:after="0" w:line="260" w:lineRule="auto"/>
      </w:pPr>
      <w:r>
        <w:tab/>
        <w:t xml:space="preserve">(13) V postopku v zvezi z vlogo za dostop do podatkov iz registra na podlagi pravnega interesa se uporabljajo določbe zakona, ki ureja splošni upravni postopek, kolikor ni s tem zakonom drugače določeno.  </w:t>
      </w:r>
    </w:p>
    <w:p w14:paraId="684A10C3" w14:textId="77777777" w:rsidR="00304288" w:rsidRDefault="00304288">
      <w:pPr>
        <w:spacing w:after="0" w:line="260" w:lineRule="auto"/>
        <w:rPr>
          <w:rFonts w:cs="Arial"/>
        </w:rPr>
      </w:pPr>
    </w:p>
    <w:p w14:paraId="7C71E5F9" w14:textId="77777777" w:rsidR="00304288" w:rsidRDefault="00A464F5">
      <w:pPr>
        <w:spacing w:after="0" w:line="260" w:lineRule="auto"/>
      </w:pPr>
      <w:r>
        <w:tab/>
        <w:t>(14) Upravljavec registra vodi evidenco izdanih potrdil o izkazanem pravnem interesu, ki vsebuje podatke o imetniku, datum izdaje in datum prenehanja potrdila o izkazanem pravnem interesu, pri čemer obdeluje osebne podatke zaradi izvajanja zakonske obveznosti za namen vodenja evidence, zagotavljanja sledljivosti izdanih potrdil, nadzora nad uporabo dostopa do podatkov iz registra ter dokazovanja zakonitosti dostopa. Obdelujejo se identifikacijski podatki imetnika potrdila ter podatki o izdanem potrdilu. Obdelava osebnih podatkov obsega zlasti njihovo zbiranje, evidentiranje, shranjevanje, vpogled, uporabo, posredovanje in izbris ter poteka v okviru postopkov vodenja in vzdrževanja evidence. Podatki o potrdilih o izkazanem pravnem interesu iz te evidence se hranijo pet let od datuma prenehanja potrdila o izkazanem pravnem interesu, po poteku tega roka pa se izbrišejo, razen če zakon določa drugače.</w:t>
      </w:r>
    </w:p>
    <w:p w14:paraId="38907931" w14:textId="77777777" w:rsidR="00304288" w:rsidRDefault="00304288">
      <w:pPr>
        <w:spacing w:after="0" w:line="260" w:lineRule="auto"/>
        <w:rPr>
          <w:rFonts w:cs="Arial"/>
        </w:rPr>
      </w:pPr>
    </w:p>
    <w:p w14:paraId="198630D5" w14:textId="77777777" w:rsidR="00304288" w:rsidRDefault="00A464F5">
      <w:pPr>
        <w:pStyle w:val="lennaslov"/>
        <w:spacing w:line="260" w:lineRule="auto"/>
      </w:pPr>
      <w:r>
        <w:t xml:space="preserve">51.c člen </w:t>
      </w:r>
      <w:r>
        <w:br/>
        <w:t xml:space="preserve">(preklic dostopa do podatkov iz registra)  </w:t>
      </w:r>
    </w:p>
    <w:p w14:paraId="4C0C21A9" w14:textId="77777777" w:rsidR="00304288" w:rsidRDefault="00304288">
      <w:pPr>
        <w:spacing w:after="0" w:line="260" w:lineRule="auto"/>
        <w:rPr>
          <w:rFonts w:cs="Arial"/>
        </w:rPr>
      </w:pPr>
    </w:p>
    <w:p w14:paraId="087438C6" w14:textId="77777777" w:rsidR="00304288" w:rsidRDefault="00A464F5">
      <w:pPr>
        <w:spacing w:after="0" w:line="260" w:lineRule="auto"/>
      </w:pPr>
      <w:r>
        <w:tab/>
        <w:t xml:space="preserve">(1) Če upravljavec registra po odobritvi dostopa ugotovi obstoj katerega od razlogov za zavrnitev dostopa iz četrtega odstavka 51.b člena tega zakona ali ga o preklicu obvesti upravljavec registra druge države članice, že odobreni dostop prekliče z odločbo, zoper katero pritožba ni dovoljena, dovoljen pa je upravni spor. Odločba iz prejšnjega stavka učinkuje z dnem njene vročitve.  </w:t>
      </w:r>
    </w:p>
    <w:p w14:paraId="6DB2B861" w14:textId="77777777" w:rsidR="00304288" w:rsidRDefault="00304288">
      <w:pPr>
        <w:spacing w:after="0" w:line="260" w:lineRule="auto"/>
        <w:rPr>
          <w:rFonts w:cs="Arial"/>
        </w:rPr>
      </w:pPr>
    </w:p>
    <w:p w14:paraId="7C5840C5" w14:textId="77777777" w:rsidR="00304288" w:rsidRDefault="00A464F5">
      <w:pPr>
        <w:spacing w:after="0" w:line="260" w:lineRule="auto"/>
      </w:pPr>
      <w:r>
        <w:tab/>
        <w:t xml:space="preserve">(2) Upravljavec registra vsaj enkrat letno preverja, ali oseba, ki ji je bil dostop odobren na podlagi njene funkcije ali poklica, še vedno opravlja to funkcijo ali poklic, ki je bil podlaga za dostop, vendar ne prej kot dvanajst mesecev po odobritvi dostopa. Ne glede na prejšnji stavek se preverjanje lahko opravi pred potekom tega roka, če obstaja utemeljen sum, da pravni interes za dostop do podatkov iz registra ne obstaja več. Upravljavec registra v primeru neizpolnjevanja pogojev po uradni dolžnosti izda odločbo o preklicu </w:t>
      </w:r>
      <w:r>
        <w:lastRenderedPageBreak/>
        <w:t xml:space="preserve">dostopa do podatkov iz registra, ki učinkuje z dnem njene vročitve in zoper katero pritožba ni dovoljena, dovoljen pa je upravni spor.  </w:t>
      </w:r>
    </w:p>
    <w:p w14:paraId="60B9B62F" w14:textId="77777777" w:rsidR="00304288" w:rsidRDefault="00304288">
      <w:pPr>
        <w:spacing w:after="0" w:line="260" w:lineRule="auto"/>
        <w:rPr>
          <w:rFonts w:cs="Arial"/>
        </w:rPr>
      </w:pPr>
    </w:p>
    <w:p w14:paraId="4F8F0336" w14:textId="77777777" w:rsidR="00304288" w:rsidRDefault="00A464F5">
      <w:pPr>
        <w:spacing w:after="0" w:line="260" w:lineRule="auto"/>
      </w:pPr>
      <w:r>
        <w:tab/>
        <w:t xml:space="preserve">(3) V primeru prenehanja funkcije ali poklica mora imetnik potrdila o izkazanem pravnem interesu nemudoma po spremembi oziroma neizpolnjevanju pogojev za pravni interes to sporočiti upravljavcu registra, ki izda odločbo o preklicu dostopa do podatkov iz registra, ki učinkuje z dnem njene vročitve in zoper katero pritožba ni dovoljena. </w:t>
      </w:r>
    </w:p>
    <w:p w14:paraId="3C7B1C2A" w14:textId="77777777" w:rsidR="00304288" w:rsidRDefault="00304288">
      <w:pPr>
        <w:spacing w:after="0" w:line="260" w:lineRule="auto"/>
        <w:rPr>
          <w:rFonts w:cs="Arial"/>
        </w:rPr>
      </w:pPr>
    </w:p>
    <w:p w14:paraId="59F44029" w14:textId="77777777" w:rsidR="00304288" w:rsidRDefault="00A464F5">
      <w:pPr>
        <w:spacing w:after="0" w:line="260" w:lineRule="auto"/>
      </w:pPr>
      <w:r>
        <w:tab/>
        <w:t xml:space="preserve">(4) V primeru preklica dostopa iz tega člena upravljavec registra z odločbo prekliče potrdilo o izkazanem pravnem interesu. V odločbi iz prejšnjega stavka upravljavec registra navede in pojasni razloge za preklic potrdila ter navede informacije o pravici do pravnega sredstva. Odločba o preklicu dostopa do podatkov iz registra učinkuje z dnem njene vročitve in zoper njo pritožba ni dovoljena, dovoljen pa je upravni spor.    </w:t>
      </w:r>
    </w:p>
    <w:p w14:paraId="0A4E5AFC" w14:textId="77777777" w:rsidR="00304288" w:rsidRDefault="00304288">
      <w:pPr>
        <w:spacing w:after="0" w:line="260" w:lineRule="auto"/>
        <w:rPr>
          <w:rFonts w:cs="Arial"/>
        </w:rPr>
      </w:pPr>
    </w:p>
    <w:p w14:paraId="7B053336" w14:textId="77777777" w:rsidR="00304288" w:rsidRDefault="00A464F5">
      <w:pPr>
        <w:pStyle w:val="lennaslov"/>
        <w:spacing w:line="260" w:lineRule="auto"/>
      </w:pPr>
      <w:r>
        <w:t xml:space="preserve">51.č člen </w:t>
      </w:r>
      <w:r>
        <w:br/>
        <w:t xml:space="preserve">(izjeme pri dostopu do podatkov iz registra)  </w:t>
      </w:r>
    </w:p>
    <w:p w14:paraId="118A8B44" w14:textId="77777777" w:rsidR="00304288" w:rsidRDefault="00304288">
      <w:pPr>
        <w:spacing w:after="0" w:line="260" w:lineRule="auto"/>
        <w:rPr>
          <w:rFonts w:cs="Arial"/>
        </w:rPr>
      </w:pPr>
    </w:p>
    <w:p w14:paraId="0B0D71DE" w14:textId="77777777" w:rsidR="00304288" w:rsidRDefault="00A464F5">
      <w:pPr>
        <w:spacing w:after="0" w:line="260" w:lineRule="auto"/>
      </w:pPr>
      <w:r>
        <w:tab/>
        <w:t xml:space="preserve">(1) Dejanski lastnik ali njegov pooblaščenec lahko vloži zahtevo za izvzetje vseh ali nekaterih svojih podatkov iz dostopa, če obstajajo okoliščine, kot so nesorazmerno tveganje prevare, ugrabitve, izsiljevanja, prisiljevanja, nadlegovanja, nasilja in ustrahovanja, ali če je dejanski lastnik mladoleten oziroma ni poslovno sposoben. Upravljavec registra izjemo iz prejšnjega stavka odobri za vsak posamezni primer posebej na podlagi ocene okoliščin in potrditve obstoja nesorazmernih tveganj. </w:t>
      </w:r>
    </w:p>
    <w:p w14:paraId="1DD6140A" w14:textId="77777777" w:rsidR="00304288" w:rsidRDefault="00304288">
      <w:pPr>
        <w:spacing w:after="0" w:line="260" w:lineRule="auto"/>
        <w:rPr>
          <w:rFonts w:cs="Arial"/>
        </w:rPr>
      </w:pPr>
    </w:p>
    <w:p w14:paraId="38CB7490" w14:textId="77777777" w:rsidR="00304288" w:rsidRDefault="00A464F5">
      <w:pPr>
        <w:spacing w:after="0" w:line="260" w:lineRule="auto"/>
      </w:pPr>
      <w:r>
        <w:tab/>
        <w:t xml:space="preserve">(2) O izjemi iz prejšnjega odstavka upravljavec registra odloči z odločbo v sedmih delovnih dneh od prejema popolne vloge. V odločbi iz prejšnjega stavka upravljavec registra določi tudi časovno omejitev izvzetja iz dostopa. Zoper odločbo pritožba ni dovoljena, dovoljen pa je upravni spor.  </w:t>
      </w:r>
    </w:p>
    <w:p w14:paraId="7043833D" w14:textId="77777777" w:rsidR="00304288" w:rsidRDefault="00304288">
      <w:pPr>
        <w:spacing w:after="0" w:line="260" w:lineRule="auto"/>
        <w:rPr>
          <w:rFonts w:cs="Arial"/>
        </w:rPr>
      </w:pPr>
    </w:p>
    <w:p w14:paraId="690EAD93" w14:textId="77777777" w:rsidR="00304288" w:rsidRDefault="00A464F5">
      <w:pPr>
        <w:spacing w:after="0" w:line="260" w:lineRule="auto"/>
      </w:pPr>
      <w:r>
        <w:tab/>
        <w:t xml:space="preserve">(3) Izvzetje dostopa iz prvega odstavka tega člena se ne uporablja za organe iz prvega in tretjega odstavka 51. člena tega zakona ter zavezance iz drugega odstavka 4. člena tega zakona, kadar opravljajo naloge, povezane z javnimi pooblastili.  </w:t>
      </w:r>
    </w:p>
    <w:p w14:paraId="7325C853" w14:textId="77777777" w:rsidR="00304288" w:rsidRDefault="00304288">
      <w:pPr>
        <w:spacing w:after="0" w:line="260" w:lineRule="auto"/>
        <w:rPr>
          <w:rFonts w:cs="Arial"/>
        </w:rPr>
      </w:pPr>
    </w:p>
    <w:p w14:paraId="0B8315E3" w14:textId="77777777" w:rsidR="00304288" w:rsidRDefault="00A464F5">
      <w:pPr>
        <w:spacing w:after="0" w:line="260" w:lineRule="auto"/>
      </w:pPr>
      <w:r>
        <w:tab/>
        <w:t xml:space="preserve">(4) Upravljavec registra vodi evidenco izjem iz prvega odstavka tega člena, ki vsebuje številko in datum odločbe iz drugega odstavka tega člena ter navedbo razlogov za odobritev izjeme, navedene v tej odločbi, pri čemer se obdelujejo osebni podatki zaradi izvajanja zakonske obveznosti za namen odločanja o izjemah, vodenja evidence izjem, zagotavljanja sledljivosti odločitev ter nadzora nad zakonitostjo odobrenih izjem. Obdelujejo se identifikacijski podatki oseb, na katere se nanašajo odločbe o izjemah, ter podatki o odločbah in razlogih za odobritev izjem. Obdelava osebnih podatkov obsega zlasti njihovo zbiranje, evidentiranje, shranjevanje, vpogled, uporabo, posredovanje in izbris ter poteka v okviru postopkov vodenja in vzdrževanja evidence. Osebni podatki se hranijo pet let od poteka časovne omejitve izvzetja iz dostopa, po poteku tega roka pa se izbrišejo, razen če zakon določa drugače. Statistične podatke o številu izjem in razlogih upravljavec registra enkrat letno objavi na svoji spletni strani.  </w:t>
      </w:r>
    </w:p>
    <w:p w14:paraId="3EEB5126" w14:textId="77777777" w:rsidR="00304288" w:rsidRDefault="00304288">
      <w:pPr>
        <w:spacing w:after="0" w:line="260" w:lineRule="auto"/>
        <w:rPr>
          <w:rFonts w:cs="Arial"/>
        </w:rPr>
      </w:pPr>
    </w:p>
    <w:p w14:paraId="6494F4AC" w14:textId="77777777" w:rsidR="00304288" w:rsidRDefault="00A464F5">
      <w:pPr>
        <w:pStyle w:val="lennaslov"/>
        <w:spacing w:line="260" w:lineRule="auto"/>
      </w:pPr>
      <w:r>
        <w:t xml:space="preserve">51.d člen </w:t>
      </w:r>
      <w:r>
        <w:br/>
        <w:t xml:space="preserve">(vodenje evidence dostopov do podatkov iz registra)  </w:t>
      </w:r>
    </w:p>
    <w:p w14:paraId="417B4A78" w14:textId="77777777" w:rsidR="00304288" w:rsidRDefault="00304288">
      <w:pPr>
        <w:spacing w:after="0" w:line="260" w:lineRule="auto"/>
        <w:rPr>
          <w:rFonts w:cs="Arial"/>
        </w:rPr>
      </w:pPr>
    </w:p>
    <w:p w14:paraId="31E4AB38" w14:textId="77777777" w:rsidR="00304288" w:rsidRDefault="00A464F5">
      <w:pPr>
        <w:spacing w:after="0" w:line="260" w:lineRule="auto"/>
      </w:pPr>
      <w:r>
        <w:tab/>
        <w:t xml:space="preserve">(1) Upravljavec registra vodi evidenco fizičnih in pravnih oseb, ki dostopajo do podatkov o dejanskih lastnikih, ki vsebuje podatke o osebi, ki dostopa do podatkov, datum in kategorijo osebe, na podlagi katere je bil izkazan pravni interes, ter podatek o poslovnem subjektu, na katerega se je dostop nanašal. Osebni podatki se obdelujejo zaradi izvajanja zakonske obveznosti in za namen zagotavljanja sledljivosti in nadzora nad dostopi ter uveljavljanja pravic dejanskih lastnikov, pri čemer se obdelujejo identifikacijski podatki oseb, ki dostopajo, ter podatki o posameznih dostopih. Obdelava obsega zbiranje, evidentiranje, shranjevanje, vpogled, uporabo, posredovanje in izbris. Na zahtevo dejanskega lastnika upravljavec registra dejanskemu </w:t>
      </w:r>
      <w:r>
        <w:lastRenderedPageBreak/>
        <w:t>lastniku razkrije podatke o dostopih v skladu s pravico do dostopa iz točke c) prvega odstavka 15. člena Splošne uredbe o varstvu osebnih podatkov. Podatki iz evidence iz tega odstavka se hranijo pet let od datuma prenehanja veljavnosti potrdila o izkazanem pravnem interesu, po poteku tega roka pa se izbrišejo, razen če zakon določa drugače.</w:t>
      </w:r>
    </w:p>
    <w:p w14:paraId="2C896414" w14:textId="77777777" w:rsidR="00304288" w:rsidRDefault="00304288">
      <w:pPr>
        <w:spacing w:after="0" w:line="260" w:lineRule="auto"/>
        <w:rPr>
          <w:rFonts w:cs="Arial"/>
        </w:rPr>
      </w:pPr>
    </w:p>
    <w:p w14:paraId="2DD119D9" w14:textId="77777777" w:rsidR="00304288" w:rsidRDefault="00A464F5">
      <w:pPr>
        <w:spacing w:after="0" w:line="260" w:lineRule="auto"/>
      </w:pPr>
      <w:r>
        <w:tab/>
        <w:t>(2) Pri razkritju podatkov na podlagi prejšnjega odstavka se ne sme razkriti identitete osebe:</w:t>
      </w:r>
    </w:p>
    <w:p w14:paraId="49D977B8" w14:textId="77777777" w:rsidR="00304288" w:rsidRDefault="00A464F5">
      <w:pPr>
        <w:spacing w:after="0" w:line="260" w:lineRule="auto"/>
      </w:pPr>
      <w:r>
        <w:tab/>
        <w:t>– ki je v imenu organa iz prvega in tretjega odstavka 51. člena tega zakona dostopala do registra, ampak se navede le naziv organa;</w:t>
      </w:r>
    </w:p>
    <w:p w14:paraId="36D2982C" w14:textId="77777777" w:rsidR="00304288" w:rsidRDefault="00A464F5">
      <w:pPr>
        <w:spacing w:after="0" w:line="260" w:lineRule="auto"/>
      </w:pPr>
      <w:r>
        <w:tab/>
        <w:t>– ki je v imenu zavezanca iz drugega odstavka 51. člena tega zakona dostopala do registra, ampak se navede le naziv zavezanca;</w:t>
      </w:r>
    </w:p>
    <w:p w14:paraId="4824B104" w14:textId="77777777" w:rsidR="00304288" w:rsidRDefault="00A464F5">
      <w:pPr>
        <w:spacing w:after="0" w:line="260" w:lineRule="auto"/>
      </w:pPr>
      <w:r>
        <w:tab/>
        <w:t>– iz točk a) in b) petega odstavka 51. člena tega zakona, ampak se navede le njena funkcija ali poklic.</w:t>
      </w:r>
    </w:p>
    <w:p w14:paraId="42A7C8E9" w14:textId="77777777" w:rsidR="00304288" w:rsidRDefault="00304288">
      <w:pPr>
        <w:spacing w:after="0" w:line="260" w:lineRule="auto"/>
        <w:rPr>
          <w:rFonts w:cs="Arial"/>
        </w:rPr>
      </w:pPr>
    </w:p>
    <w:p w14:paraId="39D3600C" w14:textId="77777777" w:rsidR="00304288" w:rsidRDefault="00A464F5">
      <w:pPr>
        <w:spacing w:after="0" w:line="260" w:lineRule="auto"/>
      </w:pPr>
      <w:r>
        <w:tab/>
        <w:t>(3) Upravljavec registra dejanskemu lastniku ne sme razkriti informacij o dostopu, ki so jih opravili organi iz prvega in tretjega odstavka 51. člena tega zakona, in sicer na podlagi zahteve organov:</w:t>
      </w:r>
    </w:p>
    <w:p w14:paraId="7D18782F" w14:textId="77777777" w:rsidR="00304288" w:rsidRDefault="00A464F5">
      <w:pPr>
        <w:spacing w:after="0" w:line="260" w:lineRule="auto"/>
      </w:pPr>
      <w:r>
        <w:tab/>
        <w:t>– v primeru predkazenskega in kazenskega postopka do zavrženja ovadbe ali vložitve zahteve za preiskavo ali obtožnega akta, vendar v nobenem primeru ne več kot osem let od posameznega dostopa;</w:t>
      </w:r>
    </w:p>
    <w:p w14:paraId="2EC79C62" w14:textId="77777777" w:rsidR="00304288" w:rsidRDefault="00A464F5">
      <w:pPr>
        <w:spacing w:after="0" w:line="260" w:lineRule="auto"/>
      </w:pPr>
      <w:r>
        <w:tab/>
        <w:t>– v drugih primerih, če obstajajo očitni in utemeljeni razlogi za domnevo, da bi razkritje takšnih informacij škodovalo učinkovitosti ali zaupnosti postopkov, ki so še v izvajanju ali bodo osnova za nadaljnje postopke, vendar v nobenem primeru ne več kot osem let od posameznega dostopa.</w:t>
      </w:r>
    </w:p>
    <w:p w14:paraId="3AC73870" w14:textId="77777777" w:rsidR="00304288" w:rsidRDefault="00304288">
      <w:pPr>
        <w:spacing w:after="0" w:line="260" w:lineRule="auto"/>
        <w:rPr>
          <w:rFonts w:cs="Arial"/>
        </w:rPr>
      </w:pPr>
    </w:p>
    <w:p w14:paraId="07CCFC8E" w14:textId="77777777" w:rsidR="00304288" w:rsidRDefault="00A464F5">
      <w:pPr>
        <w:spacing w:after="0" w:line="260" w:lineRule="auto"/>
      </w:pPr>
      <w:r>
        <w:tab/>
        <w:t>(4) Upravljavec registra dejanskemu lastniku ne sme razkriti informacij o dostopu, ki so jih opravili sodelujoči organi iz tretjih držav organov iz prve do tretje točke prvega odstavka 51. člena tega zakona, na podlagi zahteve iz prejšnjega odstavka.</w:t>
      </w:r>
    </w:p>
    <w:p w14:paraId="5E017B39" w14:textId="77777777" w:rsidR="00304288" w:rsidRDefault="00304288">
      <w:pPr>
        <w:spacing w:after="0" w:line="260" w:lineRule="auto"/>
        <w:rPr>
          <w:rFonts w:cs="Arial"/>
        </w:rPr>
      </w:pPr>
    </w:p>
    <w:p w14:paraId="79E116EA" w14:textId="77777777" w:rsidR="00304288" w:rsidRDefault="00A464F5">
      <w:pPr>
        <w:spacing w:after="0" w:line="260" w:lineRule="auto"/>
      </w:pPr>
      <w:r>
        <w:tab/>
        <w:t>(5) Organ, ki je dostopal do podatkov v skladu s prvim in tretjim odstavkom 51. člena tega zakona, mora upravljavcu registra v petnajstih dneh od prejema zahteve sporočiti, ali obstajajo zadržki iz tretjega oziroma četrtega odstavka tega člena v zvezi z razkritjem informacij o dostopu. Upravljavec registra je vezan na odločitev organa iz tretjega oziroma četrtega odstavka tega člena o obstoju zadržkov.</w:t>
      </w:r>
    </w:p>
    <w:p w14:paraId="4B390DB6" w14:textId="77777777" w:rsidR="00304288" w:rsidRDefault="00304288">
      <w:pPr>
        <w:spacing w:after="0" w:line="260" w:lineRule="auto"/>
        <w:rPr>
          <w:rFonts w:cs="Arial"/>
        </w:rPr>
      </w:pPr>
    </w:p>
    <w:p w14:paraId="66CFDEF3" w14:textId="77777777" w:rsidR="00304288" w:rsidRDefault="00A464F5">
      <w:pPr>
        <w:spacing w:after="0" w:line="260" w:lineRule="auto"/>
      </w:pPr>
      <w:r>
        <w:tab/>
        <w:t>(6) Upravljavec registra dejanskemu lastniku ne sme razkriti informacij o dostopu, ki so jih opravili organi iz točke c) šestega odstavka 51. člena tega zakona na podlagi zahteve iz 3. točke tretjega odstavka 51.a člena tega zakona, vendar za največ pet let. Upravljavec registra lahko obdobje iz prejšnjega stavka podaljša za največ eno leto na podlagi utemeljene zahteve organa iz točke c) šestega odstavka 51. člena tega zakona.</w:t>
      </w:r>
    </w:p>
    <w:p w14:paraId="4FA8F654" w14:textId="77777777" w:rsidR="00304288" w:rsidRDefault="00304288">
      <w:pPr>
        <w:spacing w:after="0" w:line="260" w:lineRule="auto"/>
        <w:rPr>
          <w:rFonts w:cs="Arial"/>
        </w:rPr>
      </w:pPr>
    </w:p>
    <w:p w14:paraId="1FFEDD7E" w14:textId="77777777" w:rsidR="00304288" w:rsidRDefault="00A464F5">
      <w:pPr>
        <w:spacing w:after="0" w:line="260" w:lineRule="auto"/>
      </w:pPr>
      <w:r>
        <w:tab/>
        <w:t>(7) O zahtevi dejanskega lastnika, podani na podlagi prvega odstavka tega člena, upravljavec registra odloči z odločbo zoper katero ni dovoljena pritožba, dovoljen pa je upravni spor.«.</w:t>
      </w:r>
    </w:p>
    <w:p w14:paraId="0F83F09C" w14:textId="77777777" w:rsidR="00304288" w:rsidRDefault="00A464F5">
      <w:pPr>
        <w:pStyle w:val="len"/>
        <w:spacing w:line="260" w:lineRule="auto"/>
      </w:pPr>
      <w:r>
        <w:t>5. člen</w:t>
      </w:r>
    </w:p>
    <w:p w14:paraId="53B24F3C" w14:textId="77777777" w:rsidR="00304288" w:rsidRDefault="00304288">
      <w:pPr>
        <w:spacing w:after="0" w:line="260" w:lineRule="auto"/>
        <w:rPr>
          <w:rFonts w:cs="Arial"/>
        </w:rPr>
      </w:pPr>
    </w:p>
    <w:p w14:paraId="7A96A455" w14:textId="77777777" w:rsidR="00304288" w:rsidRDefault="00A464F5">
      <w:pPr>
        <w:spacing w:after="0" w:line="260" w:lineRule="auto"/>
      </w:pPr>
      <w:r>
        <w:tab/>
        <w:t>182.a člen se spremeni tako, da se glasi: </w:t>
      </w:r>
    </w:p>
    <w:p w14:paraId="002B5488" w14:textId="77777777" w:rsidR="00304288" w:rsidRDefault="00304288">
      <w:pPr>
        <w:spacing w:after="0" w:line="260" w:lineRule="auto"/>
        <w:rPr>
          <w:rFonts w:cs="Arial"/>
        </w:rPr>
      </w:pPr>
    </w:p>
    <w:p w14:paraId="19569E6E" w14:textId="77777777" w:rsidR="00304288" w:rsidRDefault="00304288">
      <w:pPr>
        <w:spacing w:after="0" w:line="260" w:lineRule="auto"/>
        <w:rPr>
          <w:rFonts w:cs="Arial"/>
        </w:rPr>
      </w:pPr>
    </w:p>
    <w:p w14:paraId="2B089E35" w14:textId="77777777" w:rsidR="00304288" w:rsidRDefault="00A464F5">
      <w:pPr>
        <w:pStyle w:val="lennaslov"/>
        <w:spacing w:line="260" w:lineRule="auto"/>
      </w:pPr>
      <w:r>
        <w:t>»182.a člen</w:t>
      </w:r>
      <w:r>
        <w:br/>
        <w:t>(kršitve fizičnih in pravnih oseb, ki so imetniki potrdila o izkazanem pravnem interesu) </w:t>
      </w:r>
      <w:r>
        <w:br/>
        <w:t> </w:t>
      </w:r>
    </w:p>
    <w:p w14:paraId="04AA1A9A" w14:textId="77777777" w:rsidR="00304288" w:rsidRDefault="00304288">
      <w:pPr>
        <w:spacing w:after="0" w:line="260" w:lineRule="auto"/>
        <w:rPr>
          <w:rFonts w:cs="Arial"/>
        </w:rPr>
      </w:pPr>
    </w:p>
    <w:p w14:paraId="0CCB263E" w14:textId="77777777" w:rsidR="00304288" w:rsidRDefault="00A464F5">
      <w:pPr>
        <w:spacing w:after="0" w:line="260" w:lineRule="auto"/>
      </w:pPr>
      <w:r>
        <w:tab/>
        <w:t xml:space="preserve">(1) Z globo od 3.000 do 30.000 eurov se za prekršek kaznuje pravna oseba, če v primeru prenehanja funkcije ali poklica kot imetnik potrdila o izkazanem pravnem interesu upravljavcu registra </w:t>
      </w:r>
      <w:r>
        <w:lastRenderedPageBreak/>
        <w:t xml:space="preserve">nemudoma ne sporoči spremembe oziroma neizpolnjevanja pogojev za pravni interes (tretji odstavek 51.c člena). </w:t>
      </w:r>
    </w:p>
    <w:p w14:paraId="6886D703" w14:textId="77777777" w:rsidR="00304288" w:rsidRDefault="00304288">
      <w:pPr>
        <w:spacing w:after="0" w:line="260" w:lineRule="auto"/>
        <w:rPr>
          <w:rFonts w:cs="Arial"/>
        </w:rPr>
      </w:pPr>
    </w:p>
    <w:p w14:paraId="17F37AAA" w14:textId="77777777" w:rsidR="00304288" w:rsidRDefault="00A464F5">
      <w:pPr>
        <w:spacing w:after="0" w:line="260" w:lineRule="auto"/>
      </w:pPr>
      <w:r>
        <w:tab/>
        <w:t>(2) Z globo od 1.500 do 15.000 eurov se za prekršek iz prejšnjega odstavka kaznujeta samostojni podjetnik posameznik in posameznik, ki samostojno opravlja dejavnost.</w:t>
      </w:r>
    </w:p>
    <w:p w14:paraId="72B586CC" w14:textId="77777777" w:rsidR="00304288" w:rsidRDefault="00304288">
      <w:pPr>
        <w:spacing w:after="0" w:line="260" w:lineRule="auto"/>
        <w:rPr>
          <w:rFonts w:cs="Arial"/>
        </w:rPr>
      </w:pPr>
    </w:p>
    <w:p w14:paraId="39014568" w14:textId="77777777" w:rsidR="00304288" w:rsidRDefault="00A464F5">
      <w:pPr>
        <w:spacing w:after="0" w:line="260" w:lineRule="auto"/>
      </w:pPr>
      <w:r>
        <w:tab/>
        <w:t>(3) Z globo od 400 do 2.000 eurov se za prekršek iz prvega odstavka tega člena kaznujejo odgovorna oseba pravne osebe, odgovorna oseba samostojnega podjetnika posameznika in odgovorna oseba posameznika, ki samostojno opravlja dejavnost.</w:t>
      </w:r>
    </w:p>
    <w:p w14:paraId="00D08605" w14:textId="77777777" w:rsidR="00304288" w:rsidRDefault="00304288">
      <w:pPr>
        <w:spacing w:after="0" w:line="260" w:lineRule="auto"/>
        <w:rPr>
          <w:rFonts w:cs="Arial"/>
        </w:rPr>
      </w:pPr>
    </w:p>
    <w:p w14:paraId="5AB21C1F" w14:textId="77777777" w:rsidR="00304288" w:rsidRDefault="00A464F5">
      <w:pPr>
        <w:spacing w:after="0" w:line="260" w:lineRule="auto"/>
      </w:pPr>
      <w:r>
        <w:tab/>
        <w:t xml:space="preserve">(4) Z globo od 400 do 2.000 eurov se za prekršek kaznuje posameznik, če v primeru prenehanja funkcije ali poklica kot imetnik potrdila o izkazanem pravnem interesu upravljavcu registra nemudoma ne sporoči spremembe oziroma neizpolnjevanja pogojev za pravni interes (tretji odstavek 51.c člena).«. </w:t>
      </w:r>
    </w:p>
    <w:p w14:paraId="7DEDB4D7" w14:textId="77777777" w:rsidR="00304288" w:rsidRDefault="00A464F5">
      <w:pPr>
        <w:pStyle w:val="Poglavje"/>
        <w:spacing w:line="260" w:lineRule="auto"/>
      </w:pPr>
      <w:r>
        <w:t>PREHODNI IN KONČNA DOLOČBA</w:t>
      </w:r>
    </w:p>
    <w:p w14:paraId="233F90C5" w14:textId="77777777" w:rsidR="00304288" w:rsidRDefault="00A464F5">
      <w:pPr>
        <w:pStyle w:val="len"/>
        <w:spacing w:line="260" w:lineRule="auto"/>
      </w:pPr>
      <w:r>
        <w:t>6. člen</w:t>
      </w:r>
    </w:p>
    <w:p w14:paraId="58A1A85C" w14:textId="1287677F" w:rsidR="00304288" w:rsidRDefault="00A464F5">
      <w:pPr>
        <w:pStyle w:val="lennaslov"/>
        <w:spacing w:line="260" w:lineRule="auto"/>
      </w:pPr>
      <w:r>
        <w:t>(prehodna ureditev roka za odločanja o vlogi)</w:t>
      </w:r>
    </w:p>
    <w:p w14:paraId="4CC4C69C" w14:textId="77777777" w:rsidR="00304288" w:rsidRDefault="00304288">
      <w:pPr>
        <w:spacing w:after="0" w:line="260" w:lineRule="auto"/>
        <w:rPr>
          <w:rFonts w:cs="Arial"/>
        </w:rPr>
      </w:pPr>
    </w:p>
    <w:p w14:paraId="34042BCF" w14:textId="77777777" w:rsidR="00304288" w:rsidRDefault="00A464F5">
      <w:pPr>
        <w:spacing w:after="0" w:line="260" w:lineRule="auto"/>
      </w:pPr>
      <w:r>
        <w:tab/>
        <w:t xml:space="preserve">(1) Prvi odstavek 51.b člena zakona se glede roka za odločanje o vlogi začne uporabljati 10. novembra 2026. </w:t>
      </w:r>
    </w:p>
    <w:p w14:paraId="1F117593" w14:textId="77777777" w:rsidR="00304288" w:rsidRDefault="00304288">
      <w:pPr>
        <w:spacing w:after="0" w:line="260" w:lineRule="auto"/>
        <w:rPr>
          <w:rFonts w:cs="Arial"/>
        </w:rPr>
      </w:pPr>
    </w:p>
    <w:p w14:paraId="7BD845EA" w14:textId="39B91B23" w:rsidR="00304288" w:rsidRDefault="00A464F5">
      <w:pPr>
        <w:spacing w:after="0" w:line="260" w:lineRule="auto"/>
      </w:pPr>
      <w:r>
        <w:tab/>
        <w:t xml:space="preserve">(2) Do začetka uporabe roka za odločanje o vlogi iz 51.b člena zakona se uporablja rok za odločanje o vlogi iz tretjega odstavka 51.a člena Zakona o preprečevanju pranja denarja in financiranja terorizma (Uradni list RS, št. 48/22, </w:t>
      </w:r>
      <w:r w:rsidR="00C23530">
        <w:t>1</w:t>
      </w:r>
      <w:r>
        <w:t>45/22, 17/25 in 56/25).</w:t>
      </w:r>
    </w:p>
    <w:p w14:paraId="32FF2715" w14:textId="77777777" w:rsidR="00304288" w:rsidRDefault="00304288">
      <w:pPr>
        <w:spacing w:after="0" w:line="260" w:lineRule="auto"/>
        <w:rPr>
          <w:rFonts w:cs="Arial"/>
        </w:rPr>
      </w:pPr>
    </w:p>
    <w:p w14:paraId="018B1AE3" w14:textId="77777777" w:rsidR="00304288" w:rsidRDefault="00A464F5">
      <w:pPr>
        <w:spacing w:after="0" w:line="260" w:lineRule="auto"/>
      </w:pPr>
      <w:r>
        <w:tab/>
        <w:t>(3) Ne glede na prvi stavek šestega odstavka 51.b člena zakona se prvih 90 dni od uveljavitve tega zakona šteje, da se rok za odločitev podaljša za 12 delovnih dni, če število vlog, prejetih v sedmih dneh pred prejemom posamezne vloge, presega 75 odstotkov števila vlog, prejetih v predhodnem štirinajstdnevnem obdobju.</w:t>
      </w:r>
    </w:p>
    <w:p w14:paraId="50932A2A" w14:textId="77777777" w:rsidR="00304288" w:rsidRDefault="00A464F5">
      <w:pPr>
        <w:pStyle w:val="len"/>
        <w:spacing w:line="260" w:lineRule="auto"/>
      </w:pPr>
      <w:r>
        <w:t>7. člen</w:t>
      </w:r>
    </w:p>
    <w:p w14:paraId="38C573D6" w14:textId="77777777" w:rsidR="00304288" w:rsidRDefault="00A464F5">
      <w:pPr>
        <w:pStyle w:val="lennaslov"/>
        <w:spacing w:line="260" w:lineRule="auto"/>
      </w:pPr>
      <w:r>
        <w:t>(prehodna ureditev dostopa do podatkov iz registra)</w:t>
      </w:r>
    </w:p>
    <w:p w14:paraId="09F9B13C" w14:textId="77777777" w:rsidR="00304288" w:rsidRDefault="00304288">
      <w:pPr>
        <w:spacing w:after="0" w:line="260" w:lineRule="auto"/>
        <w:rPr>
          <w:rFonts w:cs="Arial"/>
        </w:rPr>
      </w:pPr>
    </w:p>
    <w:p w14:paraId="4B111221" w14:textId="5C71BC35" w:rsidR="00304288" w:rsidRDefault="00A464F5">
      <w:pPr>
        <w:spacing w:after="0" w:line="260" w:lineRule="auto"/>
      </w:pPr>
      <w:r>
        <w:tab/>
        <w:t xml:space="preserve">Osebi, ki ji je upravljavec registra z odločbo odobril pridobitev podatkov o dejanskih lastnikih na podlagi četrtega odstavka 51.a člena Zakona o preprečevanju pranja denarja in financiranja terorizma (Uradni list RS, št. 48/22, </w:t>
      </w:r>
      <w:r w:rsidR="00C23530">
        <w:t>1</w:t>
      </w:r>
      <w:r>
        <w:t>45/22, 17/25 in 56/25), se dostop do podatkov iz registra omogoči še 30 dni od uveljavitve tega zakona.</w:t>
      </w:r>
    </w:p>
    <w:p w14:paraId="68F152D4" w14:textId="77777777" w:rsidR="00304288" w:rsidRDefault="00A464F5">
      <w:pPr>
        <w:pStyle w:val="len"/>
        <w:spacing w:line="260" w:lineRule="auto"/>
      </w:pPr>
      <w:r>
        <w:t>8. člen</w:t>
      </w:r>
    </w:p>
    <w:p w14:paraId="0D037CDD" w14:textId="77777777" w:rsidR="00304288" w:rsidRDefault="00A464F5">
      <w:pPr>
        <w:pStyle w:val="lennaslov"/>
        <w:spacing w:line="260" w:lineRule="auto"/>
      </w:pPr>
      <w:r>
        <w:t>(začetek veljavnosti)</w:t>
      </w:r>
    </w:p>
    <w:p w14:paraId="59D9E8B3" w14:textId="77777777" w:rsidR="00304288" w:rsidRDefault="00304288">
      <w:pPr>
        <w:spacing w:after="0" w:line="260" w:lineRule="auto"/>
        <w:rPr>
          <w:rFonts w:cs="Arial"/>
        </w:rPr>
      </w:pPr>
    </w:p>
    <w:p w14:paraId="17C100A2" w14:textId="77777777" w:rsidR="00304288" w:rsidRDefault="00A464F5">
      <w:pPr>
        <w:spacing w:after="0" w:line="260" w:lineRule="auto"/>
      </w:pPr>
      <w:r>
        <w:tab/>
        <w:t>Ta zakon začne veljati petnajsti dan po objavi v Uradnem listu Republike Slovenije.</w:t>
      </w:r>
    </w:p>
    <w:p w14:paraId="62420604" w14:textId="77777777" w:rsidR="00304288" w:rsidRDefault="00A464F5">
      <w:r>
        <w:br w:type="page"/>
      </w:r>
    </w:p>
    <w:p w14:paraId="19EDA604" w14:textId="77777777" w:rsidR="00304288" w:rsidRDefault="00A464F5">
      <w:pPr>
        <w:pStyle w:val="Odebeljeno"/>
        <w:spacing w:line="260" w:lineRule="auto"/>
      </w:pPr>
      <w:r>
        <w:lastRenderedPageBreak/>
        <w:t>III.</w:t>
      </w:r>
      <w:r>
        <w:tab/>
        <w:t>OBRAZLOŽITEV</w:t>
      </w:r>
    </w:p>
    <w:p w14:paraId="4D06A3C5" w14:textId="77777777" w:rsidR="00304288" w:rsidRDefault="00304288">
      <w:pPr>
        <w:spacing w:after="0" w:line="260" w:lineRule="auto"/>
        <w:rPr>
          <w:rFonts w:cs="Arial"/>
        </w:rPr>
      </w:pPr>
    </w:p>
    <w:p w14:paraId="12C59EE0" w14:textId="77777777" w:rsidR="00304288" w:rsidRDefault="00A464F5">
      <w:pPr>
        <w:pStyle w:val="Odebeljeno"/>
        <w:spacing w:line="260" w:lineRule="auto"/>
      </w:pPr>
      <w:r>
        <w:t>K 1. členu:</w:t>
      </w:r>
    </w:p>
    <w:p w14:paraId="426CB6D7" w14:textId="77777777" w:rsidR="00304288" w:rsidRDefault="00A464F5">
      <w:pPr>
        <w:spacing w:after="0" w:line="240" w:lineRule="auto"/>
      </w:pPr>
      <w:r>
        <w:t>S tem členom se v dosedanjem sedmem odstavku 1. člena Zakon o preprečevanju pranja denarja in financiranja terorizma (Uradni list RS, št. 48/22, 145/22, 17/25 in 56/25; v nadaljnjem besedilu: ZPPDFT-2) posodablja navedba zadnje spremembe predpisa Evropske unije.</w:t>
      </w:r>
    </w:p>
    <w:p w14:paraId="5FAF2A2C" w14:textId="77777777" w:rsidR="00304288" w:rsidRDefault="00304288">
      <w:pPr>
        <w:spacing w:after="0" w:line="260" w:lineRule="auto"/>
        <w:rPr>
          <w:rFonts w:cs="Arial"/>
        </w:rPr>
      </w:pPr>
    </w:p>
    <w:p w14:paraId="5DF1D28B" w14:textId="77777777" w:rsidR="00304288" w:rsidRDefault="00A464F5">
      <w:pPr>
        <w:pStyle w:val="Odebeljeno"/>
        <w:spacing w:line="260" w:lineRule="auto"/>
      </w:pPr>
      <w:r>
        <w:t>K 2. členu:</w:t>
      </w:r>
    </w:p>
    <w:p w14:paraId="2127024E" w14:textId="77777777" w:rsidR="00304288" w:rsidRDefault="00A464F5">
      <w:pPr>
        <w:spacing w:after="0" w:line="240" w:lineRule="auto"/>
      </w:pPr>
      <w:r>
        <w:t>S tem členom se v celoti spremeni dosedanji 51. člen ZPPDFT-2, ki ureja dostop do podatkov iz registra dejanskih lastnikov (v nadaljnjem besedilu: register). Razlog za prenovo je uskladitev z aktualnimi evropskimi zahtevami, zlasti z Direktivo (EU) št.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št. 2024/1640 z dne 19. 6. 2024; v nadaljnjem besedilu: Direktiva 2024/1640/EU), ter z odločitvijo Sodišča Evropske unije v zadevah C‑37/20 in C‑601/20, ki je zahtevala omejitev splošnega javnega dostopa do teh podatkov.</w:t>
      </w:r>
    </w:p>
    <w:p w14:paraId="70901BB6" w14:textId="77777777" w:rsidR="00304288" w:rsidRDefault="00A464F5">
      <w:pPr>
        <w:spacing w:after="0" w:line="240" w:lineRule="auto"/>
      </w:pPr>
      <w:r>
        <w:t xml:space="preserve"> </w:t>
      </w:r>
    </w:p>
    <w:p w14:paraId="638409DB" w14:textId="77777777" w:rsidR="00304288" w:rsidRDefault="00A464F5">
      <w:pPr>
        <w:spacing w:after="0" w:line="240" w:lineRule="auto"/>
      </w:pPr>
      <w:r>
        <w:t>V prvem odstavku so tako določeni organi, ki morajo zaradi izvajanja svojih zakonskih nalog imeti takojšen, nefiltriran, neposreden in brezplačen dostop do podatkov v registru. Poleg Urada Republike Slovenije za preprečevanje pranja denarja so to državni organi odkrivanja in pregona, sodišča, nadzorni organi, pristojni za področje preprečevanja pranja denarja in financiranja terorizma, davčni organi, organi, pristojni za izvajanje omejevalnih ukrepov ter preiskovalna komisija Državnega zbora Republike Slovenije. Z zakonom je določena tudi možnost iskanja v registru, in sicer po kombinaciji identifikacijskih podatkov, kar omogoča večjo natančnost in učinkovitost pri uporabi registra (tj. z uporabo kombinacije osebnega imena in davčne številke, osebnega imena in datuma rojstva ali kombinacije osebnega imena in naslova stalnega prebivališča, vpisanega v register). Dostop do podatkov iz registra za zgoraj navedene organe temelji na njihovih z zakonom določenih pristojnostih in nalogah, kot izhajajo iz področnih predpisov, ki urejajo njihovo delovanje. Pravna upravičenost za dostop do podatkov se zato ne presoja z vidika pravnega interesa, temveč se izkazuje z obstojem ustrezne zakonske podlage, z jasno opredeljenim namenom obdelave podatkov ter navedbo konkretnega postopka ali zadeve, za katere se podatki obdelujejo. Takšna ureditev je v skladu z načelom namenske obdelave osebnih podatkov iz drugega odstavka 38. člena Ustave Republike Slovenije (Uradni list RS, št. 33/91-I, 42/97 – UZS68, 66/00 – UZ80, 24/03 – UZ3a, 47, 68, 69/04 – UZ14, 69/04 – UZ43, 69/04 – UZ50, 68/06 – UZ121,140,143, 47/13 – UZ148, 47/13 – UZ90,97,99, 75/16 – UZ70a, 92/21 – UZ62a in 98/25 – UZ74a; v nadaljnjem besedilu: Ustava Republike Slovenije) ter točke (b) prvega odstavka 5. člena Uredbe (EU) 2016/679 Evropskega parlamenta in Sveta z dne 27. aprila 2016 o varstvu posameznikov pri obdelavi osebnih podatkov in o prostem pretoku takih podatkov ter o razveljavitvi Direktive 95/46/ES (Splošna uredba o varstvu podatkov) (UL L št. 119 z dne 4. 5. 2016, str. 1), zadnjič popravljene s Popravkom (UL L št. 127 z dne 23. 5. 2018, str. 2), hkrati pa zagotavlja tudi spoštovanje načela zakonitosti delovanja organov iz drugega odstavka 120. člena Ustave Republike Slovenije. Nadzor nad zakonitostjo dostopov in posredovanj osebnih podatkov je dodatno zagotovljen z mehanizmi notranje in zunanje sledljivosti v skladu z 22. členom in šestim odstavkom 41. člena Zakona o varstvu osebnih podatkov (Uradni list RS, št. 163/22, 40/25 – ZInfV-1 in 10/26 – ZP-1L).</w:t>
      </w:r>
    </w:p>
    <w:p w14:paraId="5B7AF065" w14:textId="77777777" w:rsidR="00304288" w:rsidRDefault="00A464F5">
      <w:pPr>
        <w:spacing w:after="0" w:line="240" w:lineRule="auto"/>
      </w:pPr>
      <w:r>
        <w:t xml:space="preserve"> </w:t>
      </w:r>
    </w:p>
    <w:p w14:paraId="16654ABB" w14:textId="77777777" w:rsidR="00304288" w:rsidRDefault="00A464F5">
      <w:pPr>
        <w:spacing w:after="0" w:line="240" w:lineRule="auto"/>
      </w:pPr>
      <w:r>
        <w:t>Drugi odstavek določa, da imajo zavezanci iz 4. člena zakona in zavezanci iz drugih držav članic, ki izvajajo ukrepe skrbnega pregleda strank, dostop do podatkov iz registra za namen preverjanja lastniških struktur in izpolnjevanja zakonskih obveznosti. Hkrati določa, da se iskanje podatkov lahko opravi z uporabo kombinacij osebnih podatkov (tj. z uporabo kombinacije osebnega imena in davčne številke, osebnega imena in datuma rojstva ali kombinacije osebnega imena in naslova stalnega prebivališča, vpisanega v register), s čimer se zagotavljata natančnejša identifikacija oseb in učinkovitejše izvajanje skrbnega pregleda.</w:t>
      </w:r>
    </w:p>
    <w:p w14:paraId="46F09AF6" w14:textId="77777777" w:rsidR="00304288" w:rsidRDefault="00A464F5">
      <w:pPr>
        <w:spacing w:after="0" w:line="240" w:lineRule="auto"/>
      </w:pPr>
      <w:r>
        <w:t xml:space="preserve"> </w:t>
      </w:r>
    </w:p>
    <w:p w14:paraId="17759D98" w14:textId="77777777" w:rsidR="00304288" w:rsidRDefault="00A464F5">
      <w:pPr>
        <w:spacing w:after="0" w:line="240" w:lineRule="auto"/>
      </w:pPr>
      <w:r>
        <w:t xml:space="preserve">Tretji odstavek širi takojšni, nefiltrirani, neposredni in brezplačni dostop do podatkov iz registra tudi na organe držav članic, ki po naravi in pristojnosti ustrezajo organom iz prve do šeste točke prvega odstavka spremenjenega 51. člena zakona, ter na evropske institucije in organe, in sicer na: Evropski organ za preprečevanje pranja denarja in financiranja terorizma – AMLA (ang. </w:t>
      </w:r>
      <w:proofErr w:type="spellStart"/>
      <w:r>
        <w:t>Authority</w:t>
      </w:r>
      <w:proofErr w:type="spellEnd"/>
      <w:r>
        <w:t xml:space="preserve"> </w:t>
      </w:r>
      <w:proofErr w:type="spellStart"/>
      <w:r>
        <w:t>for</w:t>
      </w:r>
      <w:proofErr w:type="spellEnd"/>
      <w:r>
        <w:t xml:space="preserve"> </w:t>
      </w:r>
      <w:proofErr w:type="spellStart"/>
      <w:r>
        <w:t>Anti</w:t>
      </w:r>
      <w:proofErr w:type="spellEnd"/>
      <w:r>
        <w:t xml:space="preserve">-Money </w:t>
      </w:r>
      <w:proofErr w:type="spellStart"/>
      <w:r>
        <w:t>Launderin</w:t>
      </w:r>
      <w:proofErr w:type="spellEnd"/>
      <w:r>
        <w:t xml:space="preserve"> g </w:t>
      </w:r>
      <w:proofErr w:type="spellStart"/>
      <w:r>
        <w:t>and</w:t>
      </w:r>
      <w:proofErr w:type="spellEnd"/>
      <w:r>
        <w:t xml:space="preserve"> </w:t>
      </w:r>
      <w:proofErr w:type="spellStart"/>
      <w:r>
        <w:t>Countering</w:t>
      </w:r>
      <w:proofErr w:type="spellEnd"/>
      <w:r>
        <w:t xml:space="preserve"> </w:t>
      </w:r>
      <w:proofErr w:type="spellStart"/>
      <w:r>
        <w:t>the</w:t>
      </w:r>
      <w:proofErr w:type="spellEnd"/>
      <w:r>
        <w:t xml:space="preserve"> </w:t>
      </w:r>
      <w:proofErr w:type="spellStart"/>
      <w:r>
        <w:t>Financing</w:t>
      </w:r>
      <w:proofErr w:type="spellEnd"/>
      <w:r>
        <w:t xml:space="preserve"> of Terrorism), Evropsko javno tožilstvo – EPPO (ang. </w:t>
      </w:r>
      <w:proofErr w:type="spellStart"/>
      <w:r>
        <w:t>European</w:t>
      </w:r>
      <w:proofErr w:type="spellEnd"/>
      <w:r>
        <w:t xml:space="preserve"> </w:t>
      </w:r>
      <w:proofErr w:type="spellStart"/>
      <w:r>
        <w:t>Public</w:t>
      </w:r>
      <w:proofErr w:type="spellEnd"/>
      <w:r>
        <w:t xml:space="preserve"> </w:t>
      </w:r>
      <w:proofErr w:type="spellStart"/>
      <w:r>
        <w:lastRenderedPageBreak/>
        <w:t>Prosecutor’s</w:t>
      </w:r>
      <w:proofErr w:type="spellEnd"/>
      <w:r>
        <w:t xml:space="preserve"> Office), Evropski urad za boj proti goljufijam – OLAF (ang. </w:t>
      </w:r>
      <w:proofErr w:type="spellStart"/>
      <w:r>
        <w:t>European</w:t>
      </w:r>
      <w:proofErr w:type="spellEnd"/>
      <w:r>
        <w:t xml:space="preserve"> </w:t>
      </w:r>
      <w:proofErr w:type="spellStart"/>
      <w:r>
        <w:t>Anti‑Fraud</w:t>
      </w:r>
      <w:proofErr w:type="spellEnd"/>
      <w:r>
        <w:t xml:space="preserve"> Office), Agencijo Evropske unije za sodelovanje na področju preprečevanja, odkrivanja in preiskovanja kaznivih dejanj – Europol (ang. </w:t>
      </w:r>
      <w:proofErr w:type="spellStart"/>
      <w:r>
        <w:t>European</w:t>
      </w:r>
      <w:proofErr w:type="spellEnd"/>
      <w:r>
        <w:t xml:space="preserve"> Union </w:t>
      </w:r>
      <w:proofErr w:type="spellStart"/>
      <w:r>
        <w:t>Agency</w:t>
      </w:r>
      <w:proofErr w:type="spellEnd"/>
      <w:r>
        <w:t xml:space="preserve"> </w:t>
      </w:r>
      <w:proofErr w:type="spellStart"/>
      <w:r>
        <w:t>for</w:t>
      </w:r>
      <w:proofErr w:type="spellEnd"/>
      <w:r>
        <w:t xml:space="preserve"> </w:t>
      </w:r>
      <w:proofErr w:type="spellStart"/>
      <w:r>
        <w:t>Law</w:t>
      </w:r>
      <w:proofErr w:type="spellEnd"/>
      <w:r>
        <w:t xml:space="preserve"> </w:t>
      </w:r>
      <w:proofErr w:type="spellStart"/>
      <w:r>
        <w:t>Enforcement</w:t>
      </w:r>
      <w:proofErr w:type="spellEnd"/>
      <w:r>
        <w:t xml:space="preserve"> </w:t>
      </w:r>
      <w:proofErr w:type="spellStart"/>
      <w:r>
        <w:t>Cooperation</w:t>
      </w:r>
      <w:proofErr w:type="spellEnd"/>
      <w:r>
        <w:t xml:space="preserve">) ter Agencijo Evropske unije za pravosodno sodelovanje v kazenskih zadevah – Eurojust (ang. </w:t>
      </w:r>
      <w:proofErr w:type="spellStart"/>
      <w:r>
        <w:t>European</w:t>
      </w:r>
      <w:proofErr w:type="spellEnd"/>
      <w:r>
        <w:t xml:space="preserve"> Union </w:t>
      </w:r>
      <w:proofErr w:type="spellStart"/>
      <w:r>
        <w:t>Agency</w:t>
      </w:r>
      <w:proofErr w:type="spellEnd"/>
      <w:r>
        <w:t xml:space="preserve"> </w:t>
      </w:r>
      <w:proofErr w:type="spellStart"/>
      <w:r>
        <w:t>for</w:t>
      </w:r>
      <w:proofErr w:type="spellEnd"/>
      <w:r>
        <w:t xml:space="preserve"> </w:t>
      </w:r>
      <w:proofErr w:type="spellStart"/>
      <w:r>
        <w:t>Criminal</w:t>
      </w:r>
      <w:proofErr w:type="spellEnd"/>
      <w:r>
        <w:t xml:space="preserve"> Justice </w:t>
      </w:r>
      <w:proofErr w:type="spellStart"/>
      <w:r>
        <w:t>Cooperation</w:t>
      </w:r>
      <w:proofErr w:type="spellEnd"/>
      <w:r>
        <w:t>). Deseti odstavek določa, da se bo v skladu z novim evropskim zakonodajnim okvirom tem osebam dostop do podatkov iz registra omogočil s povezovanjem registra prek evropske platforme, kot to določa 49. člen ZPPDFT-2, kar omogoča čezmejno izmenjavo podatkov in enoten dostop na ravni EU. Če takšen dostop zaradi tehničnih razlogov ne bo mogoč, se bo zagotovila alternativna pot, to je neposredni dostop do podatkov iz registra pri upravljavcu registra, pri čemer veljajo enaki pogoji kot sicer (iz prvega ali drugega odstavka tega člena). Namen določbe je zagotoviti neprekinjen in zanesljiv dostop do podatkov, tudi v primeru tehničnih omejitev.</w:t>
      </w:r>
    </w:p>
    <w:p w14:paraId="162B9BF9" w14:textId="77777777" w:rsidR="00304288" w:rsidRDefault="00A464F5">
      <w:pPr>
        <w:spacing w:after="0" w:line="240" w:lineRule="auto"/>
      </w:pPr>
      <w:r>
        <w:t xml:space="preserve"> </w:t>
      </w:r>
    </w:p>
    <w:p w14:paraId="220B6B70" w14:textId="77777777" w:rsidR="00304288" w:rsidRDefault="00A464F5">
      <w:pPr>
        <w:spacing w:after="0" w:line="240" w:lineRule="auto"/>
      </w:pPr>
      <w:r>
        <w:t>Četrti odstavek določa, da imajo dostop do podatkov iz registra tudi fizične ali pravne osebe, ki izkažejo pravni interes v zvezi s preprečevanjem pranja denarja, financiranja terorizma in povezanimi predhodnimi kaznivimi dejanji. Pri tem je obseg podatkov, ki jih lahko te osebe pridobijo, omejen in prilagojen zahtevam varstva osebnih podatkov. Konkretno to pomeni, da je dostop do podatkov iz registra omejen na osebno ime, mesec in leto rojstva, državo stalnega in začasnega prebivališča, državljanstvo oziroma državljanstva, pri dejanskem lastniku gospodarskega subjekta na višino njegovega lastniškega deleža in obliko nadzora, pri dejanskem lastniku subjektov iz 43. in 44. člena ZPPDFT-2 pa na obliko njegovega nadzora. Drugače povedano, zadnja alineja tega odstavka se nanaša na subjekte iz 43. in 44. člena ZPPDFT‑2, kamor lahko spadajo tuji skladi, tuje ustanove in podobne pravne ureditve tujega prava, med njimi tudi izrecni skladi, ki so podrobneje opredeljeni v Uredbi (EU) 2024/1624 Evropskega parlamenta in Sveta z dne 31. maja 2024 o preprečevanju uporabe finančnega sistema za pranje denarja ali financiranje terorizma (UL L št. 2024/1624 z dne 19. 6. 2024). Ker izrecni sklad nima lastniških deležev, pri njem ni mogoče določiti dejanskega lastnika na podlagi lastništva, kot to velja za pravne osebe. Zato zakon v teh primerih omogoča dostop izključno do podatka o obliki nadzora dejanskega lastnika. To pomeni podatek o tem ali je oseba ustanovitelj, skrbnik, upravičenec ali druga oseba, ki ima dejanski vpliv na upravljanje ali razpolaganje s premoženjem sklada.</w:t>
      </w:r>
    </w:p>
    <w:p w14:paraId="2B256235" w14:textId="77777777" w:rsidR="00304288" w:rsidRDefault="00A464F5">
      <w:pPr>
        <w:spacing w:after="0" w:line="240" w:lineRule="auto"/>
      </w:pPr>
      <w:r>
        <w:t xml:space="preserve"> </w:t>
      </w:r>
    </w:p>
    <w:p w14:paraId="54355FC6" w14:textId="77777777" w:rsidR="00304288" w:rsidRDefault="00A464F5">
      <w:pPr>
        <w:spacing w:after="0" w:line="240" w:lineRule="auto"/>
      </w:pPr>
      <w:r>
        <w:t>Peti odstavek določa nabor kategorij oseb, za katere se šteje, da imajo pravni interes na podlagi funkcije ali poklica. Med te kategorije spadajo fizične ali pravne osebe, ki delujejo za namene novinarstva, poročanja ali drugih oblik medijskega izražanja v zvezi s preprečevanjem pranja denarja, s tem povezanih kaznivih dejanj ali financiranja terorizma ter bojem proti njim, ter organizacije civilne družbe, vključno z nevladnimi organizacijami, kot jih opredeljuje zakon, ki ureja nevladne organizacije, in akademski krogi, ki se sistematično ukvarjajo s preprečevanjem pranja denarja, s tem povezanih predhodnih kaznivih dejanj ali financiranja terorizma ali bojem proti njim. Med slednje spadajo zlasti nevladne organizacije, inštituti, raziskovalne organizacije in univerzitetni raziskovalci, ki preučujejo področje gospodarske kriminalitete, financiranja terorizma ali sistemskih tveganj, povezanih s finančnimi tokovi.</w:t>
      </w:r>
    </w:p>
    <w:p w14:paraId="1EA80493" w14:textId="77777777" w:rsidR="00304288" w:rsidRDefault="00A464F5">
      <w:pPr>
        <w:spacing w:after="0" w:line="240" w:lineRule="auto"/>
      </w:pPr>
      <w:r>
        <w:t xml:space="preserve"> </w:t>
      </w:r>
    </w:p>
    <w:p w14:paraId="2EC4467B" w14:textId="77777777" w:rsidR="00304288" w:rsidRDefault="00A464F5">
      <w:pPr>
        <w:spacing w:after="0" w:line="240" w:lineRule="auto"/>
      </w:pPr>
      <w:r>
        <w:t>Šesti odstavek določa kategorije oseb, ki lahko dostopajo do podatkov iz registra v omejenem obsegu, če za posamezni poslovni subjekt izkažejo pravni interes. Gre za subjekte, pri katerih obstaja neposredna povezava med njihovimi dejavnostmi in potrebo po preverjanju tveganj pranja denarja ali financiranja terorizma. Mednje spadajo fizične ali pravne osebe,  za katero je verjetno, da bodo sklenile poslovno razmerje s poslovnim subjektom in potrebujejo podatke za oceno tveganj, poslovni subjekti iz tretjih držav, ki izvajajo ukrepe preprečevanja pranja denarja ali financiranja terorizma in izkažejo potrebo po podatkih za skrbni pregled strank, ter pristojni organi tretjih držav, ki potrebo utemeljijo v okviru svojih zakonskih nalog. Poleg tega lahko dostop izjemoma pridobijo tudi druge osebe, če v vsakem posameznem primeru izkažejo pravni interes, neposredno povezan s preprečevanjem pranja denarja, s tem povezanih kaznivih dejanj ali financiranjem terorizma. Skupno vsem kategorijam je, da je njihov dostop omejen, vezan na konkreten primer in dopusten le v obsegu, ki je nujen za preprečevanje zlorab finančnega sistema.</w:t>
      </w:r>
    </w:p>
    <w:p w14:paraId="3AD0B6AC" w14:textId="77777777" w:rsidR="00304288" w:rsidRDefault="00A464F5">
      <w:pPr>
        <w:spacing w:after="0" w:line="240" w:lineRule="auto"/>
      </w:pPr>
      <w:r>
        <w:t xml:space="preserve"> </w:t>
      </w:r>
    </w:p>
    <w:p w14:paraId="73FCC417" w14:textId="77777777" w:rsidR="00304288" w:rsidRDefault="00A464F5">
      <w:pPr>
        <w:spacing w:after="0" w:line="240" w:lineRule="auto"/>
      </w:pPr>
      <w:r>
        <w:t xml:space="preserve">V sedmem odstavku so določene kategorije oseb, ki lahko dostopajo do podatkov iz registra, vendar le v primerih, ko izkažejo namen pridobitve podatkov in ustrezno pravno podlago za tak dostop. Gre za organe in druge subjekte, katerih naloge neposredno zahtevajo vpogled v podatke o dejanskem lastništvu, da bi lahko učinkovito izvajali zakonsko določene pristojnosti, povezane z gospodarskim nadzorom, upravljanjem javnih sredstev ali podporo zavezancem in pristojnim organom. Prva kategorija zajema registrske organe </w:t>
      </w:r>
      <w:r>
        <w:lastRenderedPageBreak/>
        <w:t>ter sorodne organe držav članic, ki so pristojni za vpis pravnih subjektov v register in nadzor nad zakonitostjo statusnih preoblikovanj gospodarskih družb. Za zakonito, pravilno in pregledno vodenje teh postopkov je zanesljiva identifikacija dejanskih lastnikov ključnega pomena. V drugi kategoriji so javni organi, pristojni za izvajanje mehanizmov kohezijske politike, regionalnega razvoja ter programov v skladu z Uredbo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spremenjeno z Delegirano uredbo Komisije (EU) 2025/2190 z dne 22. septembra 2025 o spremembi Priloge I k Uredbi (EU) 2021/1060 Evropskega parlamenta in Sveta glede nomenklature za razsežnosti in kode za vrste ukrepov za ESRR, ESS%%PLUS%%, Kohezijski sklad in SPP (UL L št. 2025/2190 z dne 24. 10. 2025), ki morajo pri upravljanju evropskih sredstev preverjati upravičence in obvladovati tveganja zlorab. V tretji kategoriji so organi, pristojni za izvajanje mehanizma za okrevanje in odpornost, ki prav tako potrebujejo vpogled v lastniške strukture zaradi nadzora nad upravičenci in porabo sredstev. Četrta kategorija zajema javne organe ali pravne osebe javnega prava, ki izvajajo ali sodelujejo v postopkih javnega naročanja, pri čemer je dostop do podatkov utemeljen s potrebo po preverjanju ponudnikov in izvajalcev, zlasti z vidika preprečevanja navzkrižja interesov, prikritega lastništva ali povezav z nezakonitimi dejavnostmi. Peta kategorija pa vključuje fizične ali pravne osebe, ki razvijajo, vzdržujejo ali zagotavljajo informacijske tehnološke ali analitične rešitve, namenjene izključno podpori zavezancem ali pristojnim organom pri izvajanju obveznosti po ZPPDFT-2. Njihov dostop je strogo omejen na obseg, ki je nujen za izvajanje teh podpornih funkcij. Skupna značilnost vseh navedenih kategorij je, da je dostop do podatkov namenski, pravno utemeljen in omejen na posamezni primer, pri čemer mora biti pridobitev podatkov nujna za izvajanje njihovih zakonskih nalog ali podpornih dejavnosti ter usmerjena v preprečevanje zlorab finančnega sistema.</w:t>
      </w:r>
    </w:p>
    <w:p w14:paraId="42FB9DDE" w14:textId="77777777" w:rsidR="00304288" w:rsidRDefault="00A464F5">
      <w:pPr>
        <w:spacing w:after="0" w:line="240" w:lineRule="auto"/>
      </w:pPr>
      <w:r>
        <w:t xml:space="preserve"> </w:t>
      </w:r>
    </w:p>
    <w:p w14:paraId="49E41CB3" w14:textId="77777777" w:rsidR="00304288" w:rsidRDefault="00A464F5">
      <w:pPr>
        <w:spacing w:after="0" w:line="240" w:lineRule="auto"/>
      </w:pPr>
      <w:r>
        <w:t>Osmi odstavek določa, da imajo določene kategorije oseb (to so fizične ali pravne osebe, ki delujejo na področju medijev, organizacije civilne družbe in akademski krogi ter pristojni organ tretje države, ki izvaja naloge s področja preprečevanja pranja denarja ali financiranja terorizma) dostop tudi do preteklih podatkov o dejanskih lastnikih poslovnih subjektov. To vključuje podatke o subjektih, ki so v zadnjih petih letih prenehali obstajati ali so bili likvidirani, ter dodatne informacije o opisih nadzorne ali lastniške strukture. Namen te ureditve je omogočiti poglobljeno razumevanje lastniških razmerij in morebitnih tveganj v preteklosti, kar je ključno za novinarske, raziskovalne ali nadzorstvene dejavnosti ter za organe tretjih držav, ki izvajajo naloge preprečevanja pranja denarja ali financiranja terorizma.</w:t>
      </w:r>
    </w:p>
    <w:p w14:paraId="4F2DCAB4" w14:textId="77777777" w:rsidR="00304288" w:rsidRDefault="00A464F5">
      <w:pPr>
        <w:spacing w:after="0" w:line="240" w:lineRule="auto"/>
      </w:pPr>
      <w:r>
        <w:t xml:space="preserve"> </w:t>
      </w:r>
    </w:p>
    <w:p w14:paraId="2AC646C4" w14:textId="77777777" w:rsidR="00304288" w:rsidRDefault="00A464F5">
      <w:pPr>
        <w:spacing w:after="0" w:line="240" w:lineRule="auto"/>
      </w:pPr>
      <w:r>
        <w:t>Deveti odstavek ureja način dostopa do podatkov in določa, da mora biti omogočen elektronski dostop z uporabo elektronske identifikacije najmanj srednje ravni zanesljivosti, kar zagotavlja ustrezno stopnjo varnosti in sledljivosti. Hkrati pa mora upravljavec registra omogočiti tudi dostop do podatkov iz registra v pisni obliki, kadar upravičene osebe elektronskih sredstev ne morejo uporabljati ali kadar za svoje postopke potrebujejo uradni pisni izpis. Takšna ureditev zagotavlja tehnološko nevtralen, dostopen in praktičen način dostopa do podatkov. Prav tako ta določba daje upravljavcu registra pooblastilo, da od vlagatelja ali njegovega pooblaščenca zahteva izkazovanje identitete, kadar je to potrebno za preveritev upravičenosti do dostopa. Namen te določbe je preprečiti neupravičen dostop do podatkov, zagotoviti pravilno identifikacijo oseb, ki uveljavljajo pravice do vpogleda, ter okrepiti varnost in zanesljivost sistema. Gre za varovalni mehanizem, ki omogoča upravljavcu registra, da v primeru dvoma ali tveganja preveri istovetnost vlagatelja in s tem zaščiti občutljive podatke pred zlorabami.</w:t>
      </w:r>
    </w:p>
    <w:p w14:paraId="13958BD9" w14:textId="77777777" w:rsidR="00304288" w:rsidRDefault="00A464F5">
      <w:pPr>
        <w:spacing w:after="0" w:line="240" w:lineRule="auto"/>
      </w:pPr>
      <w:r>
        <w:t xml:space="preserve"> </w:t>
      </w:r>
    </w:p>
    <w:p w14:paraId="6B22B19C" w14:textId="77777777" w:rsidR="00304288" w:rsidRDefault="00A464F5">
      <w:pPr>
        <w:spacing w:after="0" w:line="240" w:lineRule="auto"/>
      </w:pPr>
      <w:r>
        <w:t>Deseti odstavek določa, da imajo upravičene osebe iz drugih držav članic EU dostop do slovenskega registra prek evropske platforme, ki povezuje registre držav članic. Ta platforma omogoča enoten in usklajen čezmejni dostop do podatkov iz registra v EU. Če dostop prek platforme izjemoma ni mogoč, lahko te osebe podatke pridobijo neposredno pri upravljavcu registra pod enakimi pogoji kot slovenski uporabniki. S tem se zagotavlja, da čezmejni nadzor nad preprečevanjem pranja denarja in financiranja terorizma nemoteno deluje tudi ob tehničnih ali pravnih omejitvah evropskega sistema. Ureditev tako preprečuje vrzeli v dostopu in krepi usklajeno delovanje mehanizmov preglednosti na ravni EU.</w:t>
      </w:r>
    </w:p>
    <w:p w14:paraId="2D04AD34" w14:textId="77777777" w:rsidR="00304288" w:rsidRDefault="00A464F5">
      <w:pPr>
        <w:spacing w:after="0" w:line="240" w:lineRule="auto"/>
      </w:pPr>
      <w:r>
        <w:t xml:space="preserve"> </w:t>
      </w:r>
    </w:p>
    <w:p w14:paraId="27755D5D" w14:textId="77777777" w:rsidR="00304288" w:rsidRDefault="00A464F5">
      <w:pPr>
        <w:spacing w:after="0" w:line="240" w:lineRule="auto"/>
      </w:pPr>
      <w:r>
        <w:t xml:space="preserve">Enajsti odstavek določa, da ima poslovni subjekt pravico dostopati do podatkov o svojih dejanskih lastnikih, vpisanih v register. To pomeni, da lahko poslovni subjekt sam preveri, katere fizične osebe so v času </w:t>
      </w:r>
      <w:r>
        <w:lastRenderedPageBreak/>
        <w:t>preverbe evidentirane kot njegovi končni lastniki ali osebe, ki ga nadzorujejo. Dostop do teh podatkov ni omogočen komur koli znotraj poslovnega subjekta, temveč izključno zakonitemu zastopniku ali osebi, ki jo poslovni subjekt posebej pooblasti. Takšna oseba mora ob vpogledu izkazati svojo osebno identiteto, pooblaščena oseba pa tudi veljavno pooblastilo, iz katerega izhaja, da lahko v imenu poslovnega subjekta dostopa do registra. Ta ureditev je logična in nujna, saj poslovni subjekt odgovarja za pravilnost podatkov, ki jih vpisuje v register, kar potrjuje tudi splošna razlaga delovanja registra.</w:t>
      </w:r>
    </w:p>
    <w:p w14:paraId="5C8B7879" w14:textId="77777777" w:rsidR="00304288" w:rsidRDefault="00A464F5">
      <w:pPr>
        <w:spacing w:after="0" w:line="240" w:lineRule="auto"/>
      </w:pPr>
      <w:r>
        <w:t xml:space="preserve"> </w:t>
      </w:r>
    </w:p>
    <w:p w14:paraId="6D99A2EE" w14:textId="77777777" w:rsidR="00304288" w:rsidRDefault="00A464F5">
      <w:pPr>
        <w:spacing w:after="0" w:line="240" w:lineRule="auto"/>
      </w:pPr>
      <w:r>
        <w:t>Dvanajsti odstavek določa, da upravljavec registra lahko določenim uporabnikom, ki so upravičeni do dostopa do podatkov iz registra, zaračuna stroške za ta dostop. Sem spadajo zavezanci iz 4. člena ZPPDFT‑2, zavezanci države članice, ki izvaja ukrepe skrbnega pregleda strank, in osebe iz petega do sedmega odstavka spremenjenega 51. člena ZPPDFT-2, ki podatke iz registra potrebujejo zato, da preverijo morebitna tveganja v zvezi s pranjem denarja, povezanimi kaznivimi dejanji ali financiranjem terorizma. Višina teh stroškov ni poljubna, temveč mora biti določena v tarifi, ki jo pripravi upravljavec registra, potrdi pa minister za finance. Znesek sme zajemati samo stroške, potrebne za nemoteno in kakovostno delovanje registra, ter ne sme biti tako visok, da bi omejeval zakonit dostop upravičenih uporabnikov.</w:t>
      </w:r>
    </w:p>
    <w:p w14:paraId="3A0C70A8" w14:textId="77777777" w:rsidR="00304288" w:rsidRDefault="00304288">
      <w:pPr>
        <w:spacing w:after="0" w:line="260" w:lineRule="auto"/>
        <w:rPr>
          <w:rFonts w:cs="Arial"/>
        </w:rPr>
      </w:pPr>
    </w:p>
    <w:p w14:paraId="0A4AC1F7" w14:textId="77777777" w:rsidR="00304288" w:rsidRDefault="00A464F5">
      <w:pPr>
        <w:pStyle w:val="Odebeljeno"/>
        <w:spacing w:line="260" w:lineRule="auto"/>
      </w:pPr>
      <w:r>
        <w:t>K 3. členu:</w:t>
      </w:r>
    </w:p>
    <w:p w14:paraId="70FFC78A" w14:textId="77777777" w:rsidR="00304288" w:rsidRDefault="00A464F5">
      <w:pPr>
        <w:spacing w:after="0" w:line="240" w:lineRule="auto"/>
      </w:pPr>
      <w:r>
        <w:t>S tem členom se spreminja dosedanji 51.a člen ZPPDFT-2, ki opredeljuje vlogo za dostop do podatkov iz registra na podlagi pravnega interesa. Spremenjeni 51.a člen ZPPDFT-2 podrobno ureja vsebino vloge, s katero posamezne kategorije vlagateljev iz petega do sedmega odstavka spremenjenega 51. člena ZPPDFT-2 uveljavljajo pravni interes za dostop do podatkov iz registra. Ker ti vlagatelji nimajo splošnega dostopa do registra, je treba natančno določiti, katera dokazila in podatke morajo predložiti, da upravljavec registra lahko preveri obstoj njihovega pravnega interesa in upravičenost do vpogleda. Spremenjeni člen tako taksativno ureja obvezne podatke in dokazila za posamezne kategorije vlagateljev.</w:t>
      </w:r>
    </w:p>
    <w:p w14:paraId="1F96FCC9" w14:textId="77777777" w:rsidR="00304288" w:rsidRDefault="00A464F5">
      <w:pPr>
        <w:spacing w:after="0" w:line="240" w:lineRule="auto"/>
      </w:pPr>
      <w:r>
        <w:t xml:space="preserve"> </w:t>
      </w:r>
    </w:p>
    <w:p w14:paraId="7E6C6409" w14:textId="77777777" w:rsidR="00304288" w:rsidRDefault="00A464F5">
      <w:pPr>
        <w:spacing w:after="0" w:line="240" w:lineRule="auto"/>
      </w:pPr>
      <w:r>
        <w:t>Namen takšne ureditve je zagotoviti, da je dostop do občutljivih podatkov o dejanskih lastnikih omogočen le tistim subjektom, ki ga potrebujejo zaradi nalog ali obveznosti na področju preprečevanja pranja denarja in financiranja terorizma.</w:t>
      </w:r>
    </w:p>
    <w:p w14:paraId="1F46B63E" w14:textId="77777777" w:rsidR="00304288" w:rsidRDefault="00A464F5">
      <w:pPr>
        <w:spacing w:after="0" w:line="240" w:lineRule="auto"/>
      </w:pPr>
      <w:r>
        <w:t xml:space="preserve"> </w:t>
      </w:r>
    </w:p>
    <w:p w14:paraId="76CA1D7F" w14:textId="77777777" w:rsidR="00304288" w:rsidRDefault="00A464F5">
      <w:pPr>
        <w:spacing w:after="0" w:line="240" w:lineRule="auto"/>
      </w:pPr>
      <w:r>
        <w:t>V petem odstavku je posebej urejena tudi možnost, da vlagatelj izkaže pravni interes na podlagi potrdila upravljavca registra druge države članice. Če je bil pravni interes že preverjen v drugi državi članici, se šteje, da je ta pogoj v Republiki Sloveniji izpolnjen, če vlagatelj predloži takšno potrdilo. S tem se zagotavlja skladnost s pravom Evropske unije ter omogoča poenostavljen čezmejni dostop za upravičene vlagatelje.</w:t>
      </w:r>
    </w:p>
    <w:p w14:paraId="42DA7B16" w14:textId="77777777" w:rsidR="00304288" w:rsidRDefault="00A464F5">
      <w:pPr>
        <w:spacing w:after="0" w:line="240" w:lineRule="auto"/>
      </w:pPr>
      <w:r>
        <w:t xml:space="preserve"> </w:t>
      </w:r>
    </w:p>
    <w:p w14:paraId="52B0CED6" w14:textId="77777777" w:rsidR="00304288" w:rsidRDefault="00A464F5">
      <w:pPr>
        <w:spacing w:after="0" w:line="240" w:lineRule="auto"/>
      </w:pPr>
      <w:r>
        <w:t>Člen tako vzpostavlja jasen, pregleden in preverljiv postopek, ki upravljavcu registra omogoča zanesljivo presojo o obstoju pravnega interesa, hkrati pa varuje podatke o dejanskih lastnikih pred neupravičenimi vpogledi.</w:t>
      </w:r>
    </w:p>
    <w:p w14:paraId="63FBCB65" w14:textId="77777777" w:rsidR="00304288" w:rsidRDefault="00304288">
      <w:pPr>
        <w:spacing w:after="0" w:line="260" w:lineRule="auto"/>
        <w:rPr>
          <w:rFonts w:cs="Arial"/>
        </w:rPr>
      </w:pPr>
    </w:p>
    <w:p w14:paraId="4DB6D1DC" w14:textId="77777777" w:rsidR="00304288" w:rsidRDefault="00A464F5">
      <w:pPr>
        <w:pStyle w:val="Odebeljeno"/>
        <w:spacing w:line="260" w:lineRule="auto"/>
      </w:pPr>
      <w:r>
        <w:t>K 4. členu:</w:t>
      </w:r>
    </w:p>
    <w:p w14:paraId="799DBB89" w14:textId="77777777" w:rsidR="00304288" w:rsidRDefault="00A464F5">
      <w:pPr>
        <w:spacing w:after="0" w:line="240" w:lineRule="auto"/>
      </w:pPr>
      <w:r>
        <w:t>S tem členom se veljavni ureditvi dodajo novi členi, 51.b, 51.c, 51.č in 51.d, ki opredeljujejo odločanje o vlogi za dostop do podatkov iz registra na podlagi pravnega interesa, preklic dostopa do podatkov iz registra, izjeme pri dostopu do podatkov iz registra ter vodenje evidenc dostopov do podatkov iz registra.</w:t>
      </w:r>
    </w:p>
    <w:p w14:paraId="33307613" w14:textId="77777777" w:rsidR="00304288" w:rsidRDefault="00A464F5">
      <w:pPr>
        <w:spacing w:after="0" w:line="240" w:lineRule="auto"/>
      </w:pPr>
      <w:r>
        <w:t xml:space="preserve"> </w:t>
      </w:r>
    </w:p>
    <w:p w14:paraId="652E81C1" w14:textId="77777777" w:rsidR="00304288" w:rsidRDefault="00A464F5">
      <w:pPr>
        <w:spacing w:after="0" w:line="240" w:lineRule="auto"/>
      </w:pPr>
      <w:r>
        <w:t>Nov, 51.b člen ZPPDFT‑2 podrobno ureja postopek odločanja o vlogi za dostop do podatkov iz registra, kadar vlagatelj uveljavlja pravni interes. Določa roke za odločanje, postopkovna ravnanja upravljavca registra, pogoje za izdajo ali zavrnitev dostopa, vsebino in obliko potrdila o izkazanem pravnem interesu ter pravila glede njegove veljavnosti, uporabe in nadzora, vključno s sodelovanjem z upravljavci registrov drugih držav članic.</w:t>
      </w:r>
    </w:p>
    <w:p w14:paraId="4434B48F" w14:textId="77777777" w:rsidR="00304288" w:rsidRDefault="00A464F5">
      <w:pPr>
        <w:spacing w:after="0" w:line="240" w:lineRule="auto"/>
      </w:pPr>
      <w:r>
        <w:t xml:space="preserve"> </w:t>
      </w:r>
    </w:p>
    <w:p w14:paraId="34FFBDEC" w14:textId="77777777" w:rsidR="00304288" w:rsidRDefault="00A464F5">
      <w:pPr>
        <w:spacing w:after="0" w:line="240" w:lineRule="auto"/>
      </w:pPr>
      <w:r>
        <w:t>Upravljavec registra o popolni vlogi odloči najpozneje v dvanajstih delovnih dneh od njenega prejema. Če vlogi ugodi, v navedenem roku izda potrdilo o izkazanem pravnem interesu.</w:t>
      </w:r>
    </w:p>
    <w:p w14:paraId="5225D6C2" w14:textId="77777777" w:rsidR="00304288" w:rsidRDefault="00A464F5">
      <w:pPr>
        <w:spacing w:after="0" w:line="240" w:lineRule="auto"/>
      </w:pPr>
      <w:r>
        <w:t xml:space="preserve"> </w:t>
      </w:r>
    </w:p>
    <w:p w14:paraId="10ACAA05" w14:textId="77777777" w:rsidR="00304288" w:rsidRDefault="00A464F5">
      <w:pPr>
        <w:spacing w:after="0" w:line="240" w:lineRule="auto"/>
      </w:pPr>
      <w:r>
        <w:t>Kadar je vloga nepopolna ali nerazumljiva, mora vlagatelja v petih delovnih dneh pozvati k dopolnitvi, in če vlagatelj vloge kljub pozivu ne dopolni pravočasno, se ta zavrže s sklepom.</w:t>
      </w:r>
    </w:p>
    <w:p w14:paraId="4B03379D" w14:textId="77777777" w:rsidR="00304288" w:rsidRDefault="00A464F5">
      <w:pPr>
        <w:spacing w:after="0" w:line="240" w:lineRule="auto"/>
      </w:pPr>
      <w:r>
        <w:t xml:space="preserve"> </w:t>
      </w:r>
    </w:p>
    <w:p w14:paraId="55796BE8" w14:textId="77777777" w:rsidR="00304288" w:rsidRDefault="00A464F5">
      <w:pPr>
        <w:spacing w:after="0" w:line="240" w:lineRule="auto"/>
      </w:pPr>
      <w:r>
        <w:lastRenderedPageBreak/>
        <w:t>Kadar upravljavec registra od vlagatelja zahteva dodatne informacije, in sicer, ker pravni interes ni dovolj izkazan, ker obstajajo pomisleki glede namena uporabe podatkov ali ker pravni interes, priznan v drugi državi članici, ne vsebuje namena, za katerega se zahtevajo podatki iz registra, se rok za odločitev podaljša za sedem delovnih dni.</w:t>
      </w:r>
    </w:p>
    <w:p w14:paraId="2E2D965F" w14:textId="77777777" w:rsidR="00304288" w:rsidRDefault="00A464F5">
      <w:pPr>
        <w:spacing w:after="0" w:line="240" w:lineRule="auto"/>
      </w:pPr>
      <w:r>
        <w:t xml:space="preserve"> </w:t>
      </w:r>
    </w:p>
    <w:p w14:paraId="25EE945A" w14:textId="77777777" w:rsidR="00304288" w:rsidRDefault="00A464F5">
      <w:pPr>
        <w:spacing w:after="0" w:line="240" w:lineRule="auto"/>
      </w:pPr>
      <w:r>
        <w:t>Člen jasno določa tudi razloge za zavrnitev vloge za dostop do podatkov iz registra z odločbo, in sicer kadar vlagatelj kljub dodatnim pojasnilom ne izkaže pravnega interesa, kadar so podane zakonske izjeme za omejitev dostopa ali kadar bi bil dostop vlagatelja iz tretje države v nasprotju s pravili varstva osebnih podatkov, zlasti določbami o prenosih osebnih podatkov v tretje države. Zoper odločbo ni dovoljena pritožba, je pa zagotovljeno sodno varstvo v upravnem sporu.</w:t>
      </w:r>
    </w:p>
    <w:p w14:paraId="4CBE125E" w14:textId="77777777" w:rsidR="00304288" w:rsidRDefault="00A464F5">
      <w:pPr>
        <w:spacing w:after="0" w:line="240" w:lineRule="auto"/>
      </w:pPr>
      <w:r>
        <w:t xml:space="preserve"> </w:t>
      </w:r>
    </w:p>
    <w:p w14:paraId="32D3798A" w14:textId="77777777" w:rsidR="00304288" w:rsidRDefault="00A464F5">
      <w:pPr>
        <w:spacing w:after="0" w:line="240" w:lineRule="auto"/>
      </w:pPr>
      <w:r>
        <w:t xml:space="preserve">Prav tako se v tem členu določa izjema od splošnega roka za odločitev, kot je določen v prvem odstavku novega člena. Podaljšanje roka za dvanajst delovnih dni je predvideno v primeru povečanega pripada vlog. Kot merilo za ugotavljanje povečanega števila vlog je določeno, da število vlog, prejetih v tridesetih dneh pred prejemom posamezne vloge, presega 75 odstotkov števila vlog, prejetih v predhodnem šestdesetdnevnem obdobju. Ker 75 odstotkov vlog, prejetih v šestdesetdnevnem obdobju, pomeni 150 odstotkov povprečnega tridesetdnevnega pripada vlog v tem obdobju, predlagana ureditev v praksi pomeni, da se rok podaljša, kadar je v zadnjih tridesetih dneh prejetih več kot 50 odstotkov več vlog, kot je povprečni tridesetdnevni </w:t>
      </w:r>
      <w:proofErr w:type="spellStart"/>
      <w:r>
        <w:t>pripad</w:t>
      </w:r>
      <w:proofErr w:type="spellEnd"/>
      <w:r>
        <w:t xml:space="preserve"> vlog v predhodnem šestdesetdnevnem obdobju. Namen te določbe je zagotoviti realno izvedljivost odločanja v obdobjih povečanega obsega dela, ki lahko objektivno vpliva na pravočasno obravnavo zadev. Določba uvaja merljiv, jasno opredeljen in vnaprej določen kriterij, s čimer se zagotavljata pravna predvidljivost in enotna uporaba pravila v praksi. Z določitvijo objektivnega merila za podaljšanje roka se preprečuje arbitrarno odločanje o podaljševanju rokov, hkrati pa se upravljavcu registra omogoča prilagoditev delovnih procesov v izjemnih okoliščinah povečanega pripada zadev. Ker se lahko povečani </w:t>
      </w:r>
      <w:proofErr w:type="spellStart"/>
      <w:r>
        <w:t>pripad</w:t>
      </w:r>
      <w:proofErr w:type="spellEnd"/>
      <w:r>
        <w:t xml:space="preserve"> vlog nadaljuje tudi po izteku prvega podaljšanega roka, člen določa tudi možnost nadaljnjega podaljšanja roka za dodatnih dvanajst delovnih dni, če je ob izteku že podaljšanega roka navedeni pogoj še vedno izpolnjen. Tako se zagotavlja, da je odločanje tudi v daljših obdobjih nadpovprečnega pripada vlog izvedljivo in kakovostno, pri čemer je možnost nadaljnjega podaljšanja še vedno vezana na izpolnjevanje vnaprej določenega in preverljivega merila. Upravljavec registra mora o vsakem podaljšanju odločanja o vlogah obvestiti Evropsko komisijo.</w:t>
      </w:r>
    </w:p>
    <w:p w14:paraId="75EA715B" w14:textId="77777777" w:rsidR="00304288" w:rsidRDefault="00A464F5">
      <w:pPr>
        <w:spacing w:after="0" w:line="240" w:lineRule="auto"/>
      </w:pPr>
      <w:r>
        <w:t xml:space="preserve"> </w:t>
      </w:r>
    </w:p>
    <w:p w14:paraId="3E0BA22D" w14:textId="77777777" w:rsidR="00304288" w:rsidRDefault="00A464F5">
      <w:pPr>
        <w:spacing w:after="0" w:line="240" w:lineRule="auto"/>
      </w:pPr>
      <w:r>
        <w:t>S tem členom je posebej urejeno tudi čezmejno priznavanje pravnega interesa. Če vlagatelj predloži potrdilo, ki ga je izdal organ druge države članice, in upravljavec registra dvomi o izpolnjevanju pogojev, mora o tem obvestiti izdajatelja ter pri svoji odločitvi upoštevati njegovo potrditev ali preklic. S tem se zagotavlja enotna in usklajena uporaba pravil na ravni EU.</w:t>
      </w:r>
    </w:p>
    <w:p w14:paraId="5F596466" w14:textId="77777777" w:rsidR="00304288" w:rsidRDefault="00A464F5">
      <w:pPr>
        <w:spacing w:after="0" w:line="240" w:lineRule="auto"/>
      </w:pPr>
      <w:r>
        <w:t xml:space="preserve"> </w:t>
      </w:r>
    </w:p>
    <w:p w14:paraId="036D84E9" w14:textId="77777777" w:rsidR="00304288" w:rsidRDefault="00A464F5">
      <w:pPr>
        <w:spacing w:after="0" w:line="240" w:lineRule="auto"/>
      </w:pPr>
      <w:r>
        <w:t>Člen podrobno določa tudi obvezne sestavine potrdila o izkazanem pravnem interesu, ki vključujejo identifikacijske podatke vlagatelja, navedbo pravne podlage, časovno veljavnost potrdila, enolično referenčno številko ter navedbo skladnosti z zakonodajo o varstvu osebnih podatkov, pa tudi druge podatke, določene z izvedbenimi akti Evropske komisije. Potrdilo o izkazanem pravnem interesu se praviloma izda v digitalni, strojno berljivi obliki.</w:t>
      </w:r>
    </w:p>
    <w:p w14:paraId="1B9088AF" w14:textId="77777777" w:rsidR="00304288" w:rsidRDefault="00A464F5">
      <w:pPr>
        <w:spacing w:after="0" w:line="240" w:lineRule="auto"/>
      </w:pPr>
      <w:r>
        <w:t xml:space="preserve"> </w:t>
      </w:r>
    </w:p>
    <w:p w14:paraId="12D8513B" w14:textId="77777777" w:rsidR="00304288" w:rsidRDefault="00A464F5">
      <w:pPr>
        <w:spacing w:after="0" w:line="240" w:lineRule="auto"/>
      </w:pPr>
      <w:r>
        <w:t>Na podlagi izdanega potrdila o izkazanem pravnem interesu se vlagatelju omogoči dostop do podatkov iz registra za obdobje treh let, v katerem lahko do podatkov dostopa večkrat brez ponovnega preverjanja obstoja pravnega interesa. Pred iztekom veljavnosti lahko vlagatelj zaprosi za podaljšanje, pri čemer mora izkazati nadaljnji obstoj pravnega interesa, medtem ko se določenim kategorijam subjektov iz spremenjenega sedmega odstavka 51. člena ZPPDFT-2 dostop praviloma avtomatično podaljša, razen v primeru nastanka razlogov za omejitev dostopa.</w:t>
      </w:r>
    </w:p>
    <w:p w14:paraId="0FB10BFE" w14:textId="77777777" w:rsidR="00304288" w:rsidRDefault="00A464F5">
      <w:pPr>
        <w:spacing w:after="0" w:line="240" w:lineRule="auto"/>
      </w:pPr>
      <w:r>
        <w:t xml:space="preserve"> </w:t>
      </w:r>
    </w:p>
    <w:p w14:paraId="1625D4A9" w14:textId="77777777" w:rsidR="00304288" w:rsidRDefault="00A464F5">
      <w:pPr>
        <w:spacing w:after="0" w:line="240" w:lineRule="auto"/>
      </w:pPr>
      <w:r>
        <w:t>Imetnikom potrdil o izkazanem pravnem interesu je omogočeno, da kadar koli preverijo veljavnost potrdila na spletni strani upravljavca registra.</w:t>
      </w:r>
    </w:p>
    <w:p w14:paraId="445C1283" w14:textId="77777777" w:rsidR="00304288" w:rsidRDefault="00A464F5">
      <w:pPr>
        <w:spacing w:after="0" w:line="240" w:lineRule="auto"/>
      </w:pPr>
      <w:r>
        <w:t xml:space="preserve"> </w:t>
      </w:r>
    </w:p>
    <w:p w14:paraId="1B3F117F" w14:textId="77777777" w:rsidR="00304288" w:rsidRDefault="00A464F5">
      <w:pPr>
        <w:spacing w:after="0" w:line="240" w:lineRule="auto"/>
      </w:pPr>
      <w:r>
        <w:t>Za vlagatelje, ki že razpolagajo s potrdilom o izkazanem pravnem interesu, je določen krajši rok odločanja o novih vlogah, in sicer sedem delovnih dni.</w:t>
      </w:r>
    </w:p>
    <w:p w14:paraId="5D8EE9CF" w14:textId="77777777" w:rsidR="00304288" w:rsidRDefault="00A464F5">
      <w:pPr>
        <w:spacing w:after="0" w:line="240" w:lineRule="auto"/>
      </w:pPr>
      <w:r>
        <w:t xml:space="preserve"> </w:t>
      </w:r>
    </w:p>
    <w:p w14:paraId="4EAC9EA3" w14:textId="77777777" w:rsidR="00304288" w:rsidRDefault="00A464F5">
      <w:pPr>
        <w:spacing w:after="0" w:line="240" w:lineRule="auto"/>
      </w:pPr>
      <w:r>
        <w:lastRenderedPageBreak/>
        <w:t>Upravljavec registra vodi tudi evidenco izdanih potrdil, ki zagotavlja sledljivost in pravno varnost, pri čemer se podatki hranijo pet let po prenehanju veljavnosti potrdila, po poteku tega roka pa se izbrišejo, razen če ni drugače določeno.</w:t>
      </w:r>
    </w:p>
    <w:p w14:paraId="4F4EB765" w14:textId="77777777" w:rsidR="00304288" w:rsidRDefault="00A464F5">
      <w:pPr>
        <w:spacing w:after="0" w:line="240" w:lineRule="auto"/>
      </w:pPr>
      <w:r>
        <w:t xml:space="preserve"> </w:t>
      </w:r>
    </w:p>
    <w:p w14:paraId="19DE71EA" w14:textId="77777777" w:rsidR="00304288" w:rsidRDefault="00A464F5">
      <w:pPr>
        <w:spacing w:after="0" w:line="240" w:lineRule="auto"/>
      </w:pPr>
      <w:r>
        <w:t>Za vsa procesna vprašanja, ki niso posebej urejena s tem členom, se uporabljajo določbe zakona, ki ureja splošni upravni postopek. Celotna ureditev tako zagotavlja pregleden, učinkovit in pravno varen sistem odločanja o dostopu do podatkov iz registra ob hkratnem zagotavljanju visoke ravni varstva osebnih podatkov in preprečevanja zlorab.</w:t>
      </w:r>
    </w:p>
    <w:p w14:paraId="05C4D7C8" w14:textId="77777777" w:rsidR="00304288" w:rsidRDefault="00A464F5">
      <w:pPr>
        <w:spacing w:after="0" w:line="240" w:lineRule="auto"/>
      </w:pPr>
      <w:r>
        <w:t xml:space="preserve"> </w:t>
      </w:r>
    </w:p>
    <w:p w14:paraId="6B96C8DA" w14:textId="77777777" w:rsidR="00304288" w:rsidRDefault="00A464F5">
      <w:pPr>
        <w:spacing w:after="0" w:line="240" w:lineRule="auto"/>
      </w:pPr>
      <w:r>
        <w:t>V zadnjem odstavku tega člena je opredeljeno, da upravljavec registra vodi evidenco izdanih potrdil o izkazanem pravnem interesu. Ta evidenca vsebuje podatke o imetniku potrdila ter datum njegove izdaje in datum prenehanja veljavnosti. Upravljavec registra tako osebne podatke obdeluje na podlagi zakonske obveznosti, in sicer z namenom vodenja evidence, zagotavljanja sledljivosti izdanih potrdil, nadzora nad uporabo dostopa do podatkov iz registra ter dokazovanja zakonitosti tega dostopa. Pri tem se obdelujejo identifikacijski podatki imetnika potrdila ter podatki o samem potrdilu. Obdelava osebnih podatkov zajema zlasti njihovo zbiranje, evidentiranje, shranjevanje, vpogled, uporabo, posredovanje in izbris. Vse navedene dejavnosti se izvajajo v okviru postopkov vodenja in vzdrževanja evidence. Podatki o potrdilih o izkazanem pravnem interesu se hranijo pet let od datuma prenehanja veljavnosti potrdila. Po poteku tega obdobja se podatki izbrišejo, razen če drug zakon določa drugače.</w:t>
      </w:r>
    </w:p>
    <w:p w14:paraId="12A4520D" w14:textId="77777777" w:rsidR="00304288" w:rsidRDefault="00A464F5">
      <w:pPr>
        <w:spacing w:after="0" w:line="240" w:lineRule="auto"/>
      </w:pPr>
      <w:r>
        <w:t xml:space="preserve"> </w:t>
      </w:r>
    </w:p>
    <w:p w14:paraId="44EC8421" w14:textId="77777777" w:rsidR="00304288" w:rsidRDefault="00A464F5">
      <w:pPr>
        <w:spacing w:after="0" w:line="240" w:lineRule="auto"/>
      </w:pPr>
      <w:r>
        <w:t>Nov, 51.c člen ZPPDFT‑2 ureja postopek in razloge za preklic že odobrenega dostopa do podatkov iz registra ter s tem zagotavlja, da je dostop ves čas vezan na izpolnjevanje zakonskih pogojev. Namen določbe je preprečiti nadaljnjo uporabo podatkov v primerih, ko pogoji za dostop niso več izpolnjeni ali kadar obstajajo tveganja zlorabe. Upravljavec registra prekliče že odobreni dostop, če po njegovi odobritvi ugotovi obstoj katerega od razlogov za zavrnitev iz četrtega odstavka novega 51.b člena ali če ga o preklicu obvesti upravljavec registra druge države članice. Preklic se izvede z odločbo, ki učinkuje z dnem vročitve, pritožba zoper njo ni dovoljena, zagotovljeno pa je sodno varstvo v upravnem sporu.</w:t>
      </w:r>
    </w:p>
    <w:p w14:paraId="4095C3CC" w14:textId="77777777" w:rsidR="00304288" w:rsidRDefault="00A464F5">
      <w:pPr>
        <w:spacing w:after="0" w:line="240" w:lineRule="auto"/>
      </w:pPr>
      <w:r>
        <w:t xml:space="preserve"> </w:t>
      </w:r>
    </w:p>
    <w:p w14:paraId="4C8552D5" w14:textId="77777777" w:rsidR="00304288" w:rsidRDefault="00A464F5">
      <w:pPr>
        <w:spacing w:after="0" w:line="240" w:lineRule="auto"/>
      </w:pPr>
      <w:r>
        <w:t>Za osebe, ki jim je bil dostop odobren na podlagi funkcije ali poklica, člen določa obveznost rednega nadzora nad izpolnjevanjem pogojev. Upravljavec registra najmanj enkrat letno preveri, ali takšna oseba še vedno opravlja funkcijo ali poklic, ki je bil podlaga za dostop, pri čemer se prvo preverjanje opravi po preteku dvanajstih mesecev od odobritve dostopa. Izjemoma se preverjanje lahko opravi tudi prej, če obstaja utemeljen sum, da pravni interes ne obstaja več. Če se ugotovi, da pogoji niso več izpolnjeni, upravljavec registra po uradni dolžnosti izda odločbo o preklicu dostopa.</w:t>
      </w:r>
    </w:p>
    <w:p w14:paraId="31C79A89" w14:textId="77777777" w:rsidR="00304288" w:rsidRDefault="00A464F5">
      <w:pPr>
        <w:spacing w:after="0" w:line="240" w:lineRule="auto"/>
      </w:pPr>
      <w:r>
        <w:t xml:space="preserve"> </w:t>
      </w:r>
    </w:p>
    <w:p w14:paraId="5180357D" w14:textId="77777777" w:rsidR="00304288" w:rsidRDefault="00A464F5">
      <w:pPr>
        <w:spacing w:after="0" w:line="240" w:lineRule="auto"/>
      </w:pPr>
      <w:r>
        <w:t>Člen hkrati določa dolžnost imetnika potrdila o izkazanem pravnem interesu, da upravljavca registra nemudoma obvesti o prenehanju funkcije, poklica ali drugih okoliščinah, ki vplivajo na obstoj pravnega interesa. Na tej podlagi upravljavec registra izda odločbo o preklicu dostopa, ki prav tako učinkuje z dnem vročitve.</w:t>
      </w:r>
    </w:p>
    <w:p w14:paraId="3E90CD55" w14:textId="77777777" w:rsidR="00304288" w:rsidRDefault="00A464F5">
      <w:pPr>
        <w:spacing w:after="0" w:line="240" w:lineRule="auto"/>
      </w:pPr>
      <w:r>
        <w:t xml:space="preserve"> </w:t>
      </w:r>
    </w:p>
    <w:p w14:paraId="54221650" w14:textId="77777777" w:rsidR="00304288" w:rsidRDefault="00A464F5">
      <w:pPr>
        <w:spacing w:after="0" w:line="240" w:lineRule="auto"/>
      </w:pPr>
      <w:r>
        <w:t>V vseh primerih preklica dostopa upravljavec registra z odločbo hkrati prekliče tudi potrdilo o izkazanem pravnem interesu. Odločba vsebuje razloge za preklic ter pouk o pravnem sredstvu. Tudi v teh primerih pritožba ni dovoljena, mogoč pa je upravni spor. Določba tako vzpostavlja jasen mehanizem za naknadni nadzor nad upravičenostjo dostopa, zagotavlja ažurnost podatkov o upravičenih uporabnikih ter prispeva k varstvu občutljivih podatkov in preprečevanju njihove zlorabe.</w:t>
      </w:r>
    </w:p>
    <w:p w14:paraId="3ABECC23" w14:textId="77777777" w:rsidR="00304288" w:rsidRDefault="00A464F5">
      <w:pPr>
        <w:spacing w:after="0" w:line="240" w:lineRule="auto"/>
      </w:pPr>
      <w:r>
        <w:t xml:space="preserve"> </w:t>
      </w:r>
    </w:p>
    <w:p w14:paraId="44AA22B9" w14:textId="77777777" w:rsidR="00304288" w:rsidRDefault="00A464F5">
      <w:pPr>
        <w:spacing w:after="0" w:line="240" w:lineRule="auto"/>
      </w:pPr>
      <w:r>
        <w:t xml:space="preserve">Nov, 51.č člen ZPPDFT-2 ureja izjeme pri dostopu do podatkov iz registra, katerih namen je zagotoviti zaščito posameznikov v posebej občutljivih oziroma tveganih okoliščinah. Določba omogoča, da se dostop do podatkov v posameznih primerih omeji, kadar bi njihovo razkritje lahko povzročilo nesorazmeren poseg v zasebnost ali ogrozilo osebno varnost dejanskega lastnika, zlasti v primerih tveganja prevare, ugrabitve, izsiljevanja, prisiljevanja, nadlegovanja, nasilja ali ustrahovanja. Posebno varstvo je zagotovljeno tudi mladoletnim in poslovno nesposobnim osebam. O izvzetju odloča upravljavec registra v vsakem posameznem primeru posebej na podlagi skrbne presoje okoliščin in obstoja nesorazmernega tveganja. Postopek odločanja je časovno omejen, saj mora upravljavec registra o popolni vlogi odločiti v sedmih delovnih dneh ter v odločbi določiti tudi obdobje, za katero se dostop omeji. Zoper odločbo pritožba ni dovoljena, je pa zagotovljeno sodno varstvo v upravnem sporu. Člen hkrati določa pomembno omejitev </w:t>
      </w:r>
      <w:r>
        <w:lastRenderedPageBreak/>
        <w:t>učinkov izjeme, in sicer, da se ta ne uporablja za organe iz prvega in tretjega odstavka spremenjenega 51. člena ZPPDFT-2 ter za zavezance iz drugega odstavka 4. člena ZPPDFT-2, kadar ti izvajajo naloge na podlagi javnih pooblastil. S tem se zagotavlja, da omejitve dostopa ne posegajo v učinkovitost izvajanja nalog preprečevanja pranja denarja in financiranja terorizma ter v delovanje nadzornih in drugih pristojnih organov.</w:t>
      </w:r>
    </w:p>
    <w:p w14:paraId="4E02DC09" w14:textId="77777777" w:rsidR="00304288" w:rsidRDefault="00A464F5">
      <w:pPr>
        <w:spacing w:after="0" w:line="240" w:lineRule="auto"/>
      </w:pPr>
      <w:r>
        <w:t xml:space="preserve"> </w:t>
      </w:r>
    </w:p>
    <w:p w14:paraId="5EC03463" w14:textId="77777777" w:rsidR="00304288" w:rsidRDefault="00A464F5">
      <w:pPr>
        <w:spacing w:after="0" w:line="240" w:lineRule="auto"/>
      </w:pPr>
      <w:r>
        <w:t>Upravljavec registra vodi tudi posebno evidenco izjem, ki so bile odobrene po tem členu. V tej evidenci se vodijo ključni podatki o posamezni izjemi, in sicer številka in datum odločbe, s katero je bila izjema odobrena, ter razlogi za odobritev te izjeme, kot so navedeni v odločbi. Osebni podatki se obdelujejo zato, ker to zahteva zakon, predvsem za namen odločanja o izjemah, vodenja evidence izjem, zagotavljanja sledljivosti sprejetih odločitev ter nadzora nad tem, ali so bile izjeme odobrene zakonito. To pomeni, da mora upravljavec registra omogočiti pregled, kdo je dobil izjemo, kdaj in zakaj. Pri tem se obdelujejo identifikacijski podatki oseb, na katere se nanašajo odločbe o izjemah, ter podatki o samih odločbah in razlogih za odobritev izjem. Obdelava vključuje različna dejanja, kot so zbiranje podatkov, njihovo evidentiranje v evidenco, shranjevanje, vpogled, uporaba, morebitno posredovanje ter končni izbris. Osebni podatki se hranijo pet let od poteka časovne omejitve izvzetja iz dostopa, po poteku tega roka pa se izbrišejo, razen če zakon določa drugače. S tem se zagotavlja, da se podatki ne hranijo dlje, kot je potrebno. Ne glede na to pa upravljavec registra enkrat letno na svoji spletni strani objavi statistične podatke o izjemah, na primer koliko izjem je bilo odobrenih in iz katerih razlogov. Ti podatki so objavljeni v takšni obliki, da iz njih ni mogoče prepoznati posameznikov.</w:t>
      </w:r>
    </w:p>
    <w:p w14:paraId="0EA6A21E" w14:textId="77777777" w:rsidR="00304288" w:rsidRDefault="00A464F5">
      <w:pPr>
        <w:spacing w:after="0" w:line="240" w:lineRule="auto"/>
      </w:pPr>
      <w:r>
        <w:t xml:space="preserve"> </w:t>
      </w:r>
    </w:p>
    <w:p w14:paraId="29A61ECF" w14:textId="77777777" w:rsidR="00304288" w:rsidRDefault="00A464F5">
      <w:pPr>
        <w:spacing w:after="0" w:line="240" w:lineRule="auto"/>
      </w:pPr>
      <w:r>
        <w:t>Nov, 51.d člen določa, da mora upravljavec registra voditi evidenco fizičnih in pravnih oseb, ki dostopajo do podatkov o dejanskih lastnikih, z namenom zagotavljanja sledljivosti dostopov, preprečevanja morebitnih zlorab ter izpolnjevanja zahtev glede preglednosti, kakor jih določajo pravila preprečevanja pranja denarja in financiranja terorizma. V evidenco se vpisujejo samo tisti podatki, ki so nujni in sorazmerni za dosego navedenega namena. Upravljavec registra tako vodi evidenco vseh oseb, ki dostopajo do podatkov o dejanskih lastnikih, pri čemer beleži, kdo je dostopal, kdaj, na kakšni podlagi (kategoriji pravnega interesa) in na kateri poslovni subjekt se je dostop nanašal. Podatki se obdelujejo zaradi zakonske obveznosti, predvsem za zagotavljanje sledljivosti in nadzora nad dostopi ter za omogočanje, da dejanski lastniki lahko preverijo, kdo je dostopal do njihovih podatkov.</w:t>
      </w:r>
    </w:p>
    <w:p w14:paraId="64F8B0BB" w14:textId="77777777" w:rsidR="00304288" w:rsidRDefault="00A464F5">
      <w:pPr>
        <w:spacing w:after="0" w:line="240" w:lineRule="auto"/>
      </w:pPr>
      <w:r>
        <w:t xml:space="preserve"> </w:t>
      </w:r>
    </w:p>
    <w:p w14:paraId="33A0E55A" w14:textId="77777777" w:rsidR="00304288" w:rsidRDefault="00A464F5">
      <w:pPr>
        <w:spacing w:after="0" w:line="240" w:lineRule="auto"/>
      </w:pPr>
      <w:r>
        <w:t>Dejanski lastnik ima pravico, da na svojo zahtevo izve, kdo je dostopal do njegovih podatkov, vendar z določenimi omejitvami. Pri predložitvi teh informacij zakon jasno določa razlike za osebe, ki nastopajo v lastnem imenu, ter za osebe, ki do podatkov dostopajo v okviru opravljanja nalog za pravno osebo ali organ. Tako upravljavec registra ne sme razkriti identitete oseb, ki so dostopale do registra v imenu organa ali zavezanca iz prvega do tretjega odstavka novega 51. člena ZPPDFT-2. Takšen pristop je v skladu z načelom varstva osebnih podatkov, saj zaposleni v nadzornih organih in drugih institucijah do podatkov dostopajo v imenu in za račun delodajalca, ne pa v lastnem interesu. Razkritje njihove identitete bi pomenilo poseg v njihovo pravico do varstva osebnih podatkov, ki za dosego namena evidence ni nujen. Namen evidence torej ni identifikacija posameznih zaposlenih, temveč zagotovitev preglednosti institucionalnih dostopov in nadzora nad uporabo podatkov o dejanskih lastnikih. S tem se zagotavlja ustrezno ravnotežje med cilji zakona in varstvom osebnih podatkov v skladu z ustavnimi in evropskimi standardi. Prav tako upravljavec registra ne sme razkriti identitete oseb, ki do podatkov dostopajo zaradi posebej določenih funkcij ali poklicev, zato se v takih primerih navede le opis njihove funkcije, ne navedejo pa se osebni podatki.</w:t>
      </w:r>
    </w:p>
    <w:p w14:paraId="3E8B8B5B" w14:textId="77777777" w:rsidR="00304288" w:rsidRDefault="00A464F5">
      <w:pPr>
        <w:spacing w:after="0" w:line="240" w:lineRule="auto"/>
      </w:pPr>
      <w:r>
        <w:t xml:space="preserve"> </w:t>
      </w:r>
    </w:p>
    <w:p w14:paraId="0A6DFDD9" w14:textId="77777777" w:rsidR="00304288" w:rsidRDefault="00A464F5">
      <w:pPr>
        <w:spacing w:after="0" w:line="240" w:lineRule="auto"/>
      </w:pPr>
      <w:r>
        <w:t>Obstajajo tudi večje omejitve glede razkritja podatkov o dostopih, kadar gre za dostop državnih organov, ki podatke uporabljajo v predkazenskih, kazenskih ali drugih postopkih. Takih informacij upravljavec registra dejanskemu lastniku ne sme podati, če bi razkritje škodovalo učinkovitosti ali zaupnosti postopka. Ta omejitev velja največ osem let od posameznega dostopa. Podobno velja tudi za dostop organov iz tretjih držav, kadar ti sodelujejo na podlagi mednarodnih postopkov.</w:t>
      </w:r>
    </w:p>
    <w:p w14:paraId="38B034DD" w14:textId="77777777" w:rsidR="00304288" w:rsidRDefault="00A464F5">
      <w:pPr>
        <w:spacing w:after="0" w:line="240" w:lineRule="auto"/>
      </w:pPr>
      <w:r>
        <w:t xml:space="preserve"> </w:t>
      </w:r>
    </w:p>
    <w:p w14:paraId="5AE8E39E" w14:textId="77777777" w:rsidR="00304288" w:rsidRDefault="00A464F5">
      <w:pPr>
        <w:spacing w:after="0" w:line="240" w:lineRule="auto"/>
      </w:pPr>
      <w:r>
        <w:t xml:space="preserve">Organ, ki je v skladu s prvim in tretjim odstavkom spremenjenega 51. člena ZPPDFT-2 dostopal do podatkov, mora v petnajstih dneh po prejemu zahteve od upravljavca registra sporočiti, ali obstajajo razlogi za </w:t>
      </w:r>
      <w:proofErr w:type="spellStart"/>
      <w:r>
        <w:t>nerazkritje</w:t>
      </w:r>
      <w:proofErr w:type="spellEnd"/>
      <w:r>
        <w:t xml:space="preserve"> teh podatkov. Dodatno zakon določa, da za nekatere varnostne ali nadzorne organe velja </w:t>
      </w:r>
      <w:r>
        <w:lastRenderedPageBreak/>
        <w:t>posebna omejitev, na primer: podatki o njihovih dostopih se ne smejo razkriti največ pet let, to obdobje pa se lahko iz utemeljenih razlogov podaljša še za eno leto.</w:t>
      </w:r>
    </w:p>
    <w:p w14:paraId="3370FC5E" w14:textId="77777777" w:rsidR="00304288" w:rsidRDefault="00304288">
      <w:pPr>
        <w:spacing w:after="0" w:line="260" w:lineRule="auto"/>
        <w:rPr>
          <w:rFonts w:cs="Arial"/>
        </w:rPr>
      </w:pPr>
    </w:p>
    <w:p w14:paraId="108E5F12" w14:textId="77777777" w:rsidR="00304288" w:rsidRDefault="00A464F5">
      <w:pPr>
        <w:pStyle w:val="Odebeljeno"/>
        <w:spacing w:line="260" w:lineRule="auto"/>
      </w:pPr>
      <w:r>
        <w:t>K 5. členu:</w:t>
      </w:r>
    </w:p>
    <w:p w14:paraId="40E1DC81" w14:textId="77777777" w:rsidR="00304288" w:rsidRDefault="00A464F5">
      <w:pPr>
        <w:spacing w:after="0" w:line="240" w:lineRule="auto"/>
      </w:pPr>
      <w:r>
        <w:t>S tem členom se spreminja dosedanji 182.a člen ZPPDFT-2, in sicer ureja prekrške za fizične in pravne osebe, ki imajo dostop do podatkov iz registra na podlagi izkazanega pravnega interesa. S prekrškovno sankcijo se kaznuje neizpolnitev obveznosti iz tretjega odstavka 51.c člena ZPPDFT-2, da imetnik potrdila upravljavcu registra nemudoma sporoči prenehanje funkcije ali poklica oziroma druge okoliščine, zaradi katerih pravni interes ne obstaja več. Določene so globe za pravne osebe, fizične osebe ter odgovorne osebe, s čimer se zagotavlja učinkovito izvajanje ureditve dostopa in preprečuje neupravičena uporaba podatkov iz registra. Predpisano sankcijo bo izvajal upravljavec registra.</w:t>
      </w:r>
    </w:p>
    <w:p w14:paraId="33D505B9" w14:textId="77777777" w:rsidR="00304288" w:rsidRDefault="00304288">
      <w:pPr>
        <w:spacing w:after="0" w:line="260" w:lineRule="auto"/>
        <w:rPr>
          <w:rFonts w:cs="Arial"/>
        </w:rPr>
      </w:pPr>
    </w:p>
    <w:p w14:paraId="0E496147" w14:textId="77777777" w:rsidR="00304288" w:rsidRDefault="00A464F5">
      <w:pPr>
        <w:pStyle w:val="Odebeljeno"/>
        <w:spacing w:line="260" w:lineRule="auto"/>
      </w:pPr>
      <w:r>
        <w:t>K 6. členu:</w:t>
      </w:r>
    </w:p>
    <w:p w14:paraId="302596D1" w14:textId="77777777" w:rsidR="00304288" w:rsidRDefault="00A464F5">
      <w:pPr>
        <w:spacing w:after="0" w:line="240" w:lineRule="auto"/>
      </w:pPr>
      <w:r>
        <w:t>Ta člen ureja prehodno obdobje glede začetka uporabe roka za odločanje o vlogi za dostop do podatkov iz registra. V prvem odstavku določa, da se nov rok za odločanje iz novega prvega odstavka 51.b člena ZPPDFT-2 začne uporabljati 10. novembra 2026, kar pomeni, da se do tega datuma nova časovna ureditev še ne uporablja. Drugi odstavek vzpostavlja prehodno ureditev, po kateri se do začetka uporabe novega roka uporablja obstoječi rok za odločanje iz tretjega odstavka 51.a člena veljavnega zakona. S tem se zagotavlja kontinuiteta pravne ureditve in nemoteno odločanje o vlogah v prehodnem obdobju. Namen določbe je omogočiti ustrezno prilagoditev sistema in postopkov upravljavca registra na novo ureditev rokov, hkrati pa zagotoviti pravno varnost vlagateljev, saj so roki za odločanje jasno določeni tudi v času do začetka uporabe novih pravil.</w:t>
      </w:r>
    </w:p>
    <w:p w14:paraId="2D17A858" w14:textId="77777777" w:rsidR="00304288" w:rsidRDefault="00A464F5">
      <w:pPr>
        <w:spacing w:after="0" w:line="240" w:lineRule="auto"/>
      </w:pPr>
      <w:r>
        <w:t xml:space="preserve"> </w:t>
      </w:r>
    </w:p>
    <w:p w14:paraId="7FA1F854" w14:textId="77777777" w:rsidR="00304288" w:rsidRDefault="00A464F5">
      <w:pPr>
        <w:spacing w:after="0" w:line="240" w:lineRule="auto"/>
      </w:pPr>
      <w:r>
        <w:t xml:space="preserve">Ta člen ureja tudi prehodno obdobje za prvih devetdeset dni po uveljavitvi zakona, v katerem se za ugotavljanje povečanega pripada vlog uporablja drugačno merilo od tistega, ki ga določa prvi stavek šestega odstavka novega 51.b člena ZPPDFT-2. V navedenem obdobju se šteje, da se rok za odločitev podaljša za dvanajst delovnih dni, če število vlog, prejetih v sedmih dneh pred prejemom posamezne vloge, presega 75 odstotkov števila vlog, prejetih v predhodnem štirinajstdnevnem obdobju. Krajši referenčni obdobji sta določeni zaradi pričakovanega izrazitega povečanja števila vlog neposredno po uveljavitvi zakona, ko podatki o </w:t>
      </w:r>
      <w:proofErr w:type="spellStart"/>
      <w:r>
        <w:t>pripadu</w:t>
      </w:r>
      <w:proofErr w:type="spellEnd"/>
      <w:r>
        <w:t xml:space="preserve"> vlog v daljšem preteklem obdobju še ne omogočajo ustrezne uporabe splošnega merila iz šestega odstavka novega 51.b člena ZPPDFT-2. Prehodna ureditev zato omogoča hitrejše zaznavanje povečanega pripada vlog in pravočasno prilagoditev odločanja dejanskim obremenitvam v začetnem obdobju izvajanja zakona. Tudi v tem primeru je uporabljeno enako razmerje med primerjalnima obdobjema kot pri splošnem pravilu. Ker 75 odstotkov vlog, prejetih v štirinajstdnevnem obdobju, pomeni 150 odstotkov povprečnega sedemdnevnega pripada vlog v tem obdobju, se rok podaljša, ko je v zadnjih sedmih dneh prejetih več kot 50 odstotkov več vlog, kot je povprečni sedemdnevni </w:t>
      </w:r>
      <w:proofErr w:type="spellStart"/>
      <w:r>
        <w:t>pripad</w:t>
      </w:r>
      <w:proofErr w:type="spellEnd"/>
      <w:r>
        <w:t xml:space="preserve"> vlog v predhodnem štirinajstdnevnem obdobju. S tem se ohranja vsebinsko enak prag za ugotavljanje povečanega pripada vlog, spreminja pa se le dolžina referenčnih obdobij. Namen prehodne ureditve je zagotoviti učinkovito in predvidljivo obravnavo vlog v začetnem obdobju izvajanja zakona, ko so nihanja v številu prejetih vlog lahko izrazitejša kot v ustaljenem režimu poslovanja. Določba tako omogoča pravočasno odzivanje na povečane obremenitve, hkrati pa ohranja objektiven, merljiv in vnaprej določen kriterij za podaljšanje roka za odločitev.</w:t>
      </w:r>
    </w:p>
    <w:p w14:paraId="03C0AFD9" w14:textId="77777777" w:rsidR="00304288" w:rsidRDefault="00304288">
      <w:pPr>
        <w:spacing w:after="0" w:line="260" w:lineRule="auto"/>
        <w:rPr>
          <w:rFonts w:cs="Arial"/>
        </w:rPr>
      </w:pPr>
    </w:p>
    <w:p w14:paraId="1226B8BB" w14:textId="77777777" w:rsidR="00304288" w:rsidRDefault="00A464F5">
      <w:pPr>
        <w:pStyle w:val="Odebeljeno"/>
        <w:spacing w:line="260" w:lineRule="auto"/>
      </w:pPr>
      <w:r>
        <w:t>K 7. členu:</w:t>
      </w:r>
    </w:p>
    <w:p w14:paraId="72898771" w14:textId="77777777" w:rsidR="00304288" w:rsidRDefault="00A464F5">
      <w:pPr>
        <w:spacing w:after="0" w:line="240" w:lineRule="auto"/>
      </w:pPr>
      <w:r>
        <w:t>Ta člen ureja prehodno obdobje za osebe, ki jim je upravljavec registra odobril pridobitev podatkov o dejanskih lastnikih na podlagi dosedanje ureditve iz četrtega odstavka 51.a člena veljavnega zakona. Določa, da lahko te osebe po uveljavitvi novega zakona dostop do podatkov iz registra ohranijo še 30 dni. Namen te prehodne ureditve je zagotoviti neprekinjenost dostopa in omogočiti imetnikom že izdanih odločb, da se pravočasno prilagodijo novi ureditvi ter po potrebi vložijo novo vlogo v skladu z novimi pravili. Hkrati se s tem preprečuje nenadna prekinitev dostopa, ki bi lahko otežila izvajanje njihovih nalog. Po izteku tridesetdnevnega obdobja se dostop omogoča le še pod pogoji, določenimi z novim zakonom, kar pomeni, da morajo vlagatelji izpolnjevati nove zahteve in pridobiti potrdilo o izkazanem pravnem interesu v skladu z novo ureditvijo.</w:t>
      </w:r>
    </w:p>
    <w:p w14:paraId="211DEC05" w14:textId="77777777" w:rsidR="00304288" w:rsidRDefault="00304288">
      <w:pPr>
        <w:spacing w:after="0" w:line="260" w:lineRule="auto"/>
        <w:rPr>
          <w:rFonts w:cs="Arial"/>
        </w:rPr>
      </w:pPr>
    </w:p>
    <w:p w14:paraId="13F439EF" w14:textId="77777777" w:rsidR="00304288" w:rsidRDefault="00A464F5">
      <w:pPr>
        <w:pStyle w:val="Odebeljeno"/>
        <w:spacing w:line="260" w:lineRule="auto"/>
      </w:pPr>
      <w:r>
        <w:t>K 8. členu:</w:t>
      </w:r>
    </w:p>
    <w:p w14:paraId="1B5F4F8E" w14:textId="77777777" w:rsidR="00304288" w:rsidRDefault="00A464F5">
      <w:pPr>
        <w:spacing w:after="0" w:line="240" w:lineRule="auto"/>
      </w:pPr>
      <w:r>
        <w:lastRenderedPageBreak/>
        <w:t>S predlagano uveljavitveno določbo se določa, da zakon začne veljati petnajsti dan po objavi v Uradnem listu Republike Slovenije.</w:t>
      </w:r>
    </w:p>
    <w:p w14:paraId="327BCA3C" w14:textId="77777777" w:rsidR="00304288" w:rsidRDefault="00304288">
      <w:pPr>
        <w:spacing w:after="0" w:line="260" w:lineRule="auto"/>
        <w:rPr>
          <w:rFonts w:cs="Arial"/>
        </w:rPr>
      </w:pPr>
    </w:p>
    <w:p w14:paraId="520A3CDB" w14:textId="77777777" w:rsidR="00304288" w:rsidRDefault="00A464F5">
      <w:r>
        <w:br w:type="page"/>
      </w:r>
    </w:p>
    <w:p w14:paraId="6DCD8E53" w14:textId="77777777" w:rsidR="00304288" w:rsidRDefault="00A464F5">
      <w:pPr>
        <w:pStyle w:val="Odebeljeno"/>
        <w:spacing w:line="260" w:lineRule="auto"/>
      </w:pPr>
      <w:r>
        <w:lastRenderedPageBreak/>
        <w:t>IV.</w:t>
      </w:r>
      <w:r>
        <w:tab/>
        <w:t>BESEDILO ČLENOV, KI SE SPREMINJAJO</w:t>
      </w:r>
    </w:p>
    <w:p w14:paraId="01D9EE28" w14:textId="77777777" w:rsidR="00304288" w:rsidRDefault="00304288">
      <w:pPr>
        <w:spacing w:after="0" w:line="260" w:lineRule="auto"/>
        <w:rPr>
          <w:rFonts w:cs="Arial"/>
        </w:rPr>
      </w:pPr>
    </w:p>
    <w:p w14:paraId="20922C81" w14:textId="77777777" w:rsidR="00304288" w:rsidRDefault="00A464F5">
      <w:pPr>
        <w:pStyle w:val="Odebeljeno"/>
        <w:spacing w:line="260" w:lineRule="auto"/>
      </w:pPr>
      <w:r>
        <w:t>Zakon o preprečevanju pranja denarja in financiranja terorizma</w:t>
      </w:r>
    </w:p>
    <w:p w14:paraId="22C21EA5" w14:textId="77777777" w:rsidR="00304288" w:rsidRDefault="00A464F5">
      <w:pPr>
        <w:spacing w:after="0" w:line="260" w:lineRule="auto"/>
      </w:pPr>
      <w:r>
        <w:t>(Uradni list RS, št. 48/22, 145/22, 17/25 in 56/25)</w:t>
      </w:r>
    </w:p>
    <w:p w14:paraId="5EF15CF9" w14:textId="77777777" w:rsidR="001F4349" w:rsidRDefault="001F4349">
      <w:pPr>
        <w:spacing w:after="0" w:line="260" w:lineRule="auto"/>
      </w:pPr>
    </w:p>
    <w:p w14:paraId="3C37402D" w14:textId="77777777" w:rsidR="001F4349" w:rsidRPr="00003970" w:rsidRDefault="001F4349" w:rsidP="001F4349">
      <w:pPr>
        <w:spacing w:after="0" w:line="240" w:lineRule="auto"/>
        <w:jc w:val="center"/>
        <w:rPr>
          <w:rFonts w:eastAsia="Times New Roman" w:cs="Arial"/>
          <w:b/>
          <w:bCs/>
          <w:color w:val="212529"/>
          <w:lang w:eastAsia="sl-SI"/>
        </w:rPr>
      </w:pPr>
      <w:r w:rsidRPr="00003970">
        <w:rPr>
          <w:rFonts w:eastAsia="Times New Roman" w:cs="Arial"/>
          <w:b/>
          <w:bCs/>
          <w:color w:val="212529"/>
          <w:lang w:eastAsia="sl-SI"/>
        </w:rPr>
        <w:t>1. člen</w:t>
      </w:r>
    </w:p>
    <w:p w14:paraId="2EA5DDBC" w14:textId="77777777" w:rsidR="001F4349" w:rsidRDefault="001F4349" w:rsidP="001F4349">
      <w:pPr>
        <w:spacing w:after="0" w:line="240" w:lineRule="auto"/>
        <w:jc w:val="center"/>
        <w:rPr>
          <w:rFonts w:eastAsia="Times New Roman" w:cs="Arial"/>
          <w:b/>
          <w:bCs/>
          <w:color w:val="212529"/>
          <w:lang w:eastAsia="sl-SI"/>
        </w:rPr>
      </w:pPr>
      <w:r w:rsidRPr="00003970">
        <w:rPr>
          <w:rFonts w:eastAsia="Times New Roman" w:cs="Arial"/>
          <w:b/>
          <w:bCs/>
          <w:color w:val="212529"/>
          <w:lang w:eastAsia="sl-SI"/>
        </w:rPr>
        <w:t>(vsebina zakona, prenos direktiv in izvajanje uredbe Evropske unije)</w:t>
      </w:r>
    </w:p>
    <w:p w14:paraId="50AF9F9F" w14:textId="77777777" w:rsidR="001F4349" w:rsidRPr="00003970" w:rsidRDefault="001F4349" w:rsidP="001F4349">
      <w:pPr>
        <w:spacing w:after="0" w:line="240" w:lineRule="auto"/>
        <w:jc w:val="center"/>
        <w:rPr>
          <w:rFonts w:eastAsia="Times New Roman" w:cs="Arial"/>
          <w:b/>
          <w:bCs/>
          <w:color w:val="212529"/>
          <w:lang w:eastAsia="sl-SI"/>
        </w:rPr>
      </w:pPr>
    </w:p>
    <w:p w14:paraId="2C38318A"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(1) Ta zakon določa ukrepe, pristojne organe in postopke za odkrivanje in preprečevanje pranja denarja in financiranja terorizma ter ureja inšpekcijski nadzor nad izvajanjem njegovih določb.</w:t>
      </w:r>
    </w:p>
    <w:p w14:paraId="02D15679"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(2) S tem zakonom se v pravni red Republike Slovenije prenaša </w:t>
      </w:r>
      <w:hyperlink r:id="rId6" w:tgtFrame="_blank" w:tooltip="to EUR-Lex" w:history="1">
        <w:r w:rsidRPr="00003970">
          <w:rPr>
            <w:rFonts w:eastAsia="Times New Roman" w:cs="Arial"/>
            <w:color w:val="3E7C94"/>
            <w:u w:val="single"/>
            <w:lang w:eastAsia="sl-SI"/>
          </w:rPr>
          <w:t>Direktiva (EU) št. 2015/849</w:t>
        </w:r>
      </w:hyperlink>
      <w:r w:rsidRPr="00003970">
        <w:rPr>
          <w:rFonts w:eastAsia="Times New Roman" w:cs="Arial"/>
          <w:color w:val="212529"/>
          <w:lang w:eastAsia="sl-SI"/>
        </w:rPr>
        <w:t> Evropskega parlamenta in Sveta z dne 20. maja 2015 o preprečevanju uporabe finančnega sistema za pranje denarja ali financiranje terorizma, spremembi </w:t>
      </w:r>
      <w:hyperlink r:id="rId7" w:tgtFrame="_blank" w:tooltip="to EUR-Lex" w:history="1">
        <w:r w:rsidRPr="00003970">
          <w:rPr>
            <w:rFonts w:eastAsia="Times New Roman" w:cs="Arial"/>
            <w:color w:val="3E7C94"/>
            <w:u w:val="single"/>
            <w:lang w:eastAsia="sl-SI"/>
          </w:rPr>
          <w:t>Uredbe (EU) št. 648/2012</w:t>
        </w:r>
      </w:hyperlink>
      <w:r w:rsidRPr="00003970">
        <w:rPr>
          <w:rFonts w:eastAsia="Times New Roman" w:cs="Arial"/>
          <w:color w:val="212529"/>
          <w:lang w:eastAsia="sl-SI"/>
        </w:rPr>
        <w:t> Evropskega parlamenta in Sveta ter razveljavitvi </w:t>
      </w:r>
      <w:hyperlink r:id="rId8" w:tgtFrame="_blank" w:tooltip="to EUR-Lex" w:history="1">
        <w:r w:rsidRPr="00003970">
          <w:rPr>
            <w:rFonts w:eastAsia="Times New Roman" w:cs="Arial"/>
            <w:color w:val="3E7C94"/>
            <w:u w:val="single"/>
            <w:lang w:eastAsia="sl-SI"/>
          </w:rPr>
          <w:t>Direktive 2005/60/ES</w:t>
        </w:r>
      </w:hyperlink>
      <w:r w:rsidRPr="00003970">
        <w:rPr>
          <w:rFonts w:eastAsia="Times New Roman" w:cs="Arial"/>
          <w:color w:val="212529"/>
          <w:lang w:eastAsia="sl-SI"/>
        </w:rPr>
        <w:t> Evropskega parlamenta in Sveta in </w:t>
      </w:r>
      <w:hyperlink r:id="rId9" w:tgtFrame="_blank" w:tooltip="to EUR-Lex" w:history="1">
        <w:r w:rsidRPr="00003970">
          <w:rPr>
            <w:rFonts w:eastAsia="Times New Roman" w:cs="Arial"/>
            <w:color w:val="3E7C94"/>
            <w:u w:val="single"/>
            <w:lang w:eastAsia="sl-SI"/>
          </w:rPr>
          <w:t>Direktive Komisije 2006/70/ES</w:t>
        </w:r>
      </w:hyperlink>
      <w:r w:rsidRPr="00003970">
        <w:rPr>
          <w:rFonts w:eastAsia="Times New Roman" w:cs="Arial"/>
          <w:color w:val="212529"/>
          <w:lang w:eastAsia="sl-SI"/>
        </w:rPr>
        <w:t> (UL L št. 141 z dne 5. 6. 2015, str. 73), zadnjič spremenjena z </w:t>
      </w:r>
      <w:hyperlink r:id="rId10" w:tgtFrame="_blank" w:tooltip="to EUR-Lex" w:history="1">
        <w:r w:rsidRPr="00003970">
          <w:rPr>
            <w:rFonts w:eastAsia="Times New Roman" w:cs="Arial"/>
            <w:color w:val="3E7C94"/>
            <w:u w:val="single"/>
            <w:lang w:eastAsia="sl-SI"/>
          </w:rPr>
          <w:t>Direktivo (EU) 2024/1640</w:t>
        </w:r>
      </w:hyperlink>
      <w:r w:rsidRPr="00003970">
        <w:rPr>
          <w:rFonts w:eastAsia="Times New Roman" w:cs="Arial"/>
          <w:color w:val="212529"/>
          <w:lang w:eastAsia="sl-SI"/>
        </w:rPr>
        <w:t> Evropskega parlamenta in Sveta z dne 31. maja 2024 o mehanizmih, ki jih morajo vzpostaviti države članice za preprečevanje uporabe finančnega sistema za pranje denarja ali financiranje terorizma, spremembi </w:t>
      </w:r>
      <w:hyperlink r:id="rId11" w:tgtFrame="_blank" w:tooltip="to EUR-Lex" w:history="1">
        <w:r w:rsidRPr="00003970">
          <w:rPr>
            <w:rFonts w:eastAsia="Times New Roman" w:cs="Arial"/>
            <w:color w:val="3E7C94"/>
            <w:u w:val="single"/>
            <w:lang w:eastAsia="sl-SI"/>
          </w:rPr>
          <w:t>Direktive (EU) 2019/1937</w:t>
        </w:r>
      </w:hyperlink>
      <w:r w:rsidRPr="00003970">
        <w:rPr>
          <w:rFonts w:eastAsia="Times New Roman" w:cs="Arial"/>
          <w:color w:val="212529"/>
          <w:lang w:eastAsia="sl-SI"/>
        </w:rPr>
        <w:t> ter spremembi in razveljavitvi </w:t>
      </w:r>
      <w:hyperlink r:id="rId12" w:tgtFrame="_blank" w:tooltip="to EUR-Lex" w:history="1">
        <w:r w:rsidRPr="00003970">
          <w:rPr>
            <w:rFonts w:eastAsia="Times New Roman" w:cs="Arial"/>
            <w:color w:val="3E7C94"/>
            <w:u w:val="single"/>
            <w:lang w:eastAsia="sl-SI"/>
          </w:rPr>
          <w:t>Direktive (EU) 2015/849</w:t>
        </w:r>
      </w:hyperlink>
      <w:r w:rsidRPr="00003970">
        <w:rPr>
          <w:rFonts w:eastAsia="Times New Roman" w:cs="Arial"/>
          <w:color w:val="212529"/>
          <w:lang w:eastAsia="sl-SI"/>
        </w:rPr>
        <w:t> (UL L št. 2024/1640 z dne 19. 6. 2024); (v nadaljnjem besedilu: </w:t>
      </w:r>
      <w:hyperlink r:id="rId13" w:tgtFrame="_blank" w:tooltip="to EUR-Lex" w:history="1">
        <w:r w:rsidRPr="00003970">
          <w:rPr>
            <w:rFonts w:eastAsia="Times New Roman" w:cs="Arial"/>
            <w:color w:val="3E7C94"/>
            <w:u w:val="single"/>
            <w:lang w:eastAsia="sl-SI"/>
          </w:rPr>
          <w:t>Direktiva 2015/849/EU</w:t>
        </w:r>
      </w:hyperlink>
      <w:r w:rsidRPr="00003970">
        <w:rPr>
          <w:rFonts w:eastAsia="Times New Roman" w:cs="Arial"/>
          <w:color w:val="212529"/>
          <w:lang w:eastAsia="sl-SI"/>
        </w:rPr>
        <w:t>).</w:t>
      </w:r>
    </w:p>
    <w:p w14:paraId="33EF238B"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(3) S tem zakonom se v pravni red Republike Slovenije delno prenaša </w:t>
      </w:r>
      <w:hyperlink r:id="rId14" w:tgtFrame="_blank" w:tooltip="to EUR-Lex" w:history="1">
        <w:r w:rsidRPr="00003970">
          <w:rPr>
            <w:rFonts w:eastAsia="Times New Roman" w:cs="Arial"/>
            <w:color w:val="3E7C94"/>
            <w:u w:val="single"/>
            <w:lang w:eastAsia="sl-SI"/>
          </w:rPr>
          <w:t>Direktiva (EU) 2019/1153</w:t>
        </w:r>
      </w:hyperlink>
      <w:r w:rsidRPr="00003970">
        <w:rPr>
          <w:rFonts w:eastAsia="Times New Roman" w:cs="Arial"/>
          <w:color w:val="212529"/>
          <w:lang w:eastAsia="sl-SI"/>
        </w:rPr>
        <w:t> Evropskega parlamenta in Sveta z dne 20. junija 2019 o določitvi pravil za lažjo uporabo finančnih in drugih informacij za namene preprečevanja, odkrivanja, preiskovanja ali pregona nekaterih kaznivih dejanj ter o razveljavitvi </w:t>
      </w:r>
      <w:hyperlink r:id="rId15" w:tgtFrame="_blank" w:tooltip="to EUR-Lex" w:history="1">
        <w:r w:rsidRPr="00003970">
          <w:rPr>
            <w:rFonts w:eastAsia="Times New Roman" w:cs="Arial"/>
            <w:color w:val="3E7C94"/>
            <w:u w:val="single"/>
            <w:lang w:eastAsia="sl-SI"/>
          </w:rPr>
          <w:t>Sklepa Sveta 2000/642/PNZ</w:t>
        </w:r>
      </w:hyperlink>
      <w:r w:rsidRPr="00003970">
        <w:rPr>
          <w:rFonts w:eastAsia="Times New Roman" w:cs="Arial"/>
          <w:color w:val="212529"/>
          <w:lang w:eastAsia="sl-SI"/>
        </w:rPr>
        <w:t> (UL L št. 186 z dne 11. 7. 2019, str. 122; v nadaljnjem besedilu: </w:t>
      </w:r>
      <w:hyperlink r:id="rId16" w:tgtFrame="_blank" w:tooltip="to EUR-Lex" w:history="1">
        <w:r w:rsidRPr="00003970">
          <w:rPr>
            <w:rFonts w:eastAsia="Times New Roman" w:cs="Arial"/>
            <w:color w:val="3E7C94"/>
            <w:u w:val="single"/>
            <w:lang w:eastAsia="sl-SI"/>
          </w:rPr>
          <w:t>Direktiva 2019/1153/EU</w:t>
        </w:r>
      </w:hyperlink>
      <w:r w:rsidRPr="00003970">
        <w:rPr>
          <w:rFonts w:eastAsia="Times New Roman" w:cs="Arial"/>
          <w:color w:val="212529"/>
          <w:lang w:eastAsia="sl-SI"/>
        </w:rPr>
        <w:t>) glede izmenjave finančnih analiz in finančnih informacij med pristojnimi organi iz drugega odstavka 3. člena </w:t>
      </w:r>
      <w:hyperlink r:id="rId17" w:tgtFrame="_blank" w:tooltip="to EUR-Lex" w:history="1">
        <w:r w:rsidRPr="00003970">
          <w:rPr>
            <w:rFonts w:eastAsia="Times New Roman" w:cs="Arial"/>
            <w:color w:val="3E7C94"/>
            <w:u w:val="single"/>
            <w:lang w:eastAsia="sl-SI"/>
          </w:rPr>
          <w:t>Direktive 2019/1153/EU</w:t>
        </w:r>
      </w:hyperlink>
      <w:r w:rsidRPr="00003970">
        <w:rPr>
          <w:rFonts w:eastAsia="Times New Roman" w:cs="Arial"/>
          <w:color w:val="212529"/>
          <w:lang w:eastAsia="sl-SI"/>
        </w:rPr>
        <w:t>, finančnimi obveščevalnimi enotami drugih držav članic, Europolom in uradom.</w:t>
      </w:r>
    </w:p>
    <w:p w14:paraId="78335F31"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(4) S tem zakonom se ureja izvajanje </w:t>
      </w:r>
      <w:hyperlink r:id="rId18" w:tgtFrame="_blank" w:tooltip="to EUR-Lex" w:history="1">
        <w:r w:rsidRPr="00003970">
          <w:rPr>
            <w:rFonts w:eastAsia="Times New Roman" w:cs="Arial"/>
            <w:color w:val="3E7C94"/>
            <w:u w:val="single"/>
            <w:lang w:eastAsia="sl-SI"/>
          </w:rPr>
          <w:t>Uredbe (EU) 2018/1672</w:t>
        </w:r>
      </w:hyperlink>
      <w:r w:rsidRPr="00003970">
        <w:rPr>
          <w:rFonts w:eastAsia="Times New Roman" w:cs="Arial"/>
          <w:color w:val="212529"/>
          <w:lang w:eastAsia="sl-SI"/>
        </w:rPr>
        <w:t> Evropskega parlamenta in Sveta z dne 23. oktobra 2018 o kontroli gotovine, ki se vnaša v Unijo ali iznaša iz nje, in razveljavitvi </w:t>
      </w:r>
      <w:hyperlink r:id="rId19" w:tgtFrame="_blank" w:tooltip="to EUR-Lex" w:history="1">
        <w:r w:rsidRPr="00003970">
          <w:rPr>
            <w:rFonts w:eastAsia="Times New Roman" w:cs="Arial"/>
            <w:color w:val="3E7C94"/>
            <w:u w:val="single"/>
            <w:lang w:eastAsia="sl-SI"/>
          </w:rPr>
          <w:t>Uredbe (ES) št. 1889/2005</w:t>
        </w:r>
      </w:hyperlink>
      <w:r w:rsidRPr="00003970">
        <w:rPr>
          <w:rFonts w:eastAsia="Times New Roman" w:cs="Arial"/>
          <w:color w:val="212529"/>
          <w:lang w:eastAsia="sl-SI"/>
        </w:rPr>
        <w:t> (UL L št. 284 z dne 12. 11. 2018, str. 6; v nadaljnjem besedilu: </w:t>
      </w:r>
      <w:hyperlink r:id="rId20" w:tgtFrame="_blank" w:tooltip="to EUR-Lex" w:history="1">
        <w:r w:rsidRPr="00003970">
          <w:rPr>
            <w:rFonts w:eastAsia="Times New Roman" w:cs="Arial"/>
            <w:color w:val="3E7C94"/>
            <w:u w:val="single"/>
            <w:lang w:eastAsia="sl-SI"/>
          </w:rPr>
          <w:t>Uredba 2018/1672/EU</w:t>
        </w:r>
      </w:hyperlink>
      <w:r w:rsidRPr="00003970">
        <w:rPr>
          <w:rFonts w:eastAsia="Times New Roman" w:cs="Arial"/>
          <w:color w:val="212529"/>
          <w:lang w:eastAsia="sl-SI"/>
        </w:rPr>
        <w:t>), ter določa obveznost prijave čezmejnih prenosov gotovine med Republiko Slovenijo in drugimi državami članicami Unije, ukrepe pristojnega organa ter sankcije v primeru kršitev.</w:t>
      </w:r>
    </w:p>
    <w:p w14:paraId="65D7C785"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(5) S tem zakonom se v pravnem redu Republike Slovenije delno ureja izvajanje </w:t>
      </w:r>
      <w:hyperlink r:id="rId21" w:tgtFrame="_blank" w:tooltip="to EUR-Lex" w:history="1">
        <w:r w:rsidRPr="00003970">
          <w:rPr>
            <w:rFonts w:eastAsia="Times New Roman" w:cs="Arial"/>
            <w:color w:val="3E7C94"/>
            <w:u w:val="single"/>
            <w:lang w:eastAsia="sl-SI"/>
          </w:rPr>
          <w:t>Uredbe (EU, Euratom) št. 883/2013</w:t>
        </w:r>
      </w:hyperlink>
      <w:r w:rsidRPr="00003970">
        <w:rPr>
          <w:rFonts w:eastAsia="Times New Roman" w:cs="Arial"/>
          <w:color w:val="212529"/>
          <w:lang w:eastAsia="sl-SI"/>
        </w:rPr>
        <w:t> Evropskega parlamenta in Sveta z dne 11. septembra 2013 o preiskavah, ki jih izvaja Evropski urad za boj proti goljufijam (OLAF), ter razveljavitvi </w:t>
      </w:r>
      <w:hyperlink r:id="rId22" w:tgtFrame="_blank" w:tooltip="to EUR-Lex" w:history="1">
        <w:r w:rsidRPr="00003970">
          <w:rPr>
            <w:rFonts w:eastAsia="Times New Roman" w:cs="Arial"/>
            <w:color w:val="3E7C94"/>
            <w:u w:val="single"/>
            <w:lang w:eastAsia="sl-SI"/>
          </w:rPr>
          <w:t>Uredbe (ES) št. 1073/1999</w:t>
        </w:r>
      </w:hyperlink>
      <w:r w:rsidRPr="00003970">
        <w:rPr>
          <w:rFonts w:eastAsia="Times New Roman" w:cs="Arial"/>
          <w:color w:val="212529"/>
          <w:lang w:eastAsia="sl-SI"/>
        </w:rPr>
        <w:t> Evropskega parlamenta in Sveta in </w:t>
      </w:r>
      <w:hyperlink r:id="rId23" w:tgtFrame="_blank" w:tooltip="to EUR-Lex" w:history="1">
        <w:r w:rsidRPr="00003970">
          <w:rPr>
            <w:rFonts w:eastAsia="Times New Roman" w:cs="Arial"/>
            <w:color w:val="3E7C94"/>
            <w:u w:val="single"/>
            <w:lang w:eastAsia="sl-SI"/>
          </w:rPr>
          <w:t>Uredbe Sveta (Euratom) št. 1074/1999</w:t>
        </w:r>
      </w:hyperlink>
      <w:r w:rsidRPr="00003970">
        <w:rPr>
          <w:rFonts w:eastAsia="Times New Roman" w:cs="Arial"/>
          <w:color w:val="212529"/>
          <w:lang w:eastAsia="sl-SI"/>
        </w:rPr>
        <w:t> (UL L št. 248 z dne 18. 9. 2013, str. 1), zadnjič spremenjene z </w:t>
      </w:r>
      <w:hyperlink r:id="rId24" w:tgtFrame="_blank" w:tooltip="to EUR-Lex" w:history="1">
        <w:r w:rsidRPr="00003970">
          <w:rPr>
            <w:rFonts w:eastAsia="Times New Roman" w:cs="Arial"/>
            <w:color w:val="3E7C94"/>
            <w:u w:val="single"/>
            <w:lang w:eastAsia="sl-SI"/>
          </w:rPr>
          <w:t>Uredbo (EU, Euratom) 2020/2223</w:t>
        </w:r>
      </w:hyperlink>
      <w:r w:rsidRPr="00003970">
        <w:rPr>
          <w:rFonts w:eastAsia="Times New Roman" w:cs="Arial"/>
          <w:color w:val="212529"/>
          <w:lang w:eastAsia="sl-SI"/>
        </w:rPr>
        <w:t> Evropskega parlamenta in Sveta z dne 23. decembra 2020 o spremembi </w:t>
      </w:r>
      <w:hyperlink r:id="rId25" w:tgtFrame="_blank" w:tooltip="to EUR-Lex" w:history="1">
        <w:r w:rsidRPr="00003970">
          <w:rPr>
            <w:rFonts w:eastAsia="Times New Roman" w:cs="Arial"/>
            <w:color w:val="3E7C94"/>
            <w:u w:val="single"/>
            <w:lang w:eastAsia="sl-SI"/>
          </w:rPr>
          <w:t>Uredbe (EU, Euratom) št. 883/2013</w:t>
        </w:r>
      </w:hyperlink>
      <w:r w:rsidRPr="00003970">
        <w:rPr>
          <w:rFonts w:eastAsia="Times New Roman" w:cs="Arial"/>
          <w:color w:val="212529"/>
          <w:lang w:eastAsia="sl-SI"/>
        </w:rPr>
        <w:t> glede sodelovanja z Evropskim javnim tožilstvom in učinkovitosti preiskav Evropskega urada za boj proti goljufijam (UL L št. 437 z dne 28. 12. 2020, str. 49), (v nadaljnjem besedilu: </w:t>
      </w:r>
      <w:hyperlink r:id="rId26" w:tgtFrame="_blank" w:tooltip="to EUR-Lex" w:history="1">
        <w:r w:rsidRPr="00003970">
          <w:rPr>
            <w:rFonts w:eastAsia="Times New Roman" w:cs="Arial"/>
            <w:color w:val="3E7C94"/>
            <w:u w:val="single"/>
            <w:lang w:eastAsia="sl-SI"/>
          </w:rPr>
          <w:t>Uredba 883/2013/EU</w:t>
        </w:r>
      </w:hyperlink>
      <w:r w:rsidRPr="00003970">
        <w:rPr>
          <w:rFonts w:eastAsia="Times New Roman" w:cs="Arial"/>
          <w:color w:val="212529"/>
          <w:lang w:eastAsia="sl-SI"/>
        </w:rPr>
        <w:t>).</w:t>
      </w:r>
    </w:p>
    <w:p w14:paraId="220E28BD"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(6) S tem zakonom se v pravnem redu Republike Slovenije delno ureja izvajanje </w:t>
      </w:r>
      <w:hyperlink r:id="rId27" w:tgtFrame="_blank" w:tooltip="to EUR-Lex" w:history="1">
        <w:r w:rsidRPr="00003970">
          <w:rPr>
            <w:rFonts w:eastAsia="Times New Roman" w:cs="Arial"/>
            <w:color w:val="3E7C94"/>
            <w:u w:val="single"/>
            <w:lang w:eastAsia="sl-SI"/>
          </w:rPr>
          <w:t>Uredbe (EU) 2021/241</w:t>
        </w:r>
      </w:hyperlink>
      <w:r w:rsidRPr="00003970">
        <w:rPr>
          <w:rFonts w:eastAsia="Times New Roman" w:cs="Arial"/>
          <w:color w:val="212529"/>
          <w:lang w:eastAsia="sl-SI"/>
        </w:rPr>
        <w:t> Evropskega parlamenta in Sveta z dne 12. februarja 2021 o vzpostavitvi Mehanizma za okrevanje in odpornost (UL L št. 57 z dne 18. 2. 2021, str. 17), zadnjič spremenjene z </w:t>
      </w:r>
      <w:hyperlink r:id="rId28" w:tgtFrame="_blank" w:tooltip="to EUR-Lex" w:history="1">
        <w:r w:rsidRPr="00003970">
          <w:rPr>
            <w:rFonts w:eastAsia="Times New Roman" w:cs="Arial"/>
            <w:color w:val="3E7C94"/>
            <w:u w:val="single"/>
            <w:lang w:eastAsia="sl-SI"/>
          </w:rPr>
          <w:t>Uredbo (EU) 2024/795</w:t>
        </w:r>
      </w:hyperlink>
      <w:r w:rsidRPr="00003970">
        <w:rPr>
          <w:rFonts w:eastAsia="Times New Roman" w:cs="Arial"/>
          <w:color w:val="212529"/>
          <w:lang w:eastAsia="sl-SI"/>
        </w:rPr>
        <w:t> Evropskega parlamenta in Sveta z dne 29. februarja 2024 o vzpostavitvi platforme za strateške tehnologije za Evropo (platforma STEP) in spremembi </w:t>
      </w:r>
      <w:hyperlink r:id="rId29" w:tgtFrame="_blank" w:tooltip="to EUR-Lex" w:history="1">
        <w:r w:rsidRPr="00003970">
          <w:rPr>
            <w:rFonts w:eastAsia="Times New Roman" w:cs="Arial"/>
            <w:color w:val="3E7C94"/>
            <w:u w:val="single"/>
            <w:lang w:eastAsia="sl-SI"/>
          </w:rPr>
          <w:t>Direktive 2003/87/ES</w:t>
        </w:r>
      </w:hyperlink>
      <w:r w:rsidRPr="00003970">
        <w:rPr>
          <w:rFonts w:eastAsia="Times New Roman" w:cs="Arial"/>
          <w:color w:val="212529"/>
          <w:lang w:eastAsia="sl-SI"/>
        </w:rPr>
        <w:t> ter </w:t>
      </w:r>
      <w:hyperlink r:id="rId30" w:tgtFrame="_blank" w:tooltip="to EUR-Lex" w:history="1">
        <w:r w:rsidRPr="00003970">
          <w:rPr>
            <w:rFonts w:eastAsia="Times New Roman" w:cs="Arial"/>
            <w:color w:val="3E7C94"/>
            <w:u w:val="single"/>
            <w:lang w:eastAsia="sl-SI"/>
          </w:rPr>
          <w:t>uredb (EU) 2021/1058</w:t>
        </w:r>
      </w:hyperlink>
      <w:r w:rsidRPr="00003970">
        <w:rPr>
          <w:rFonts w:eastAsia="Times New Roman" w:cs="Arial"/>
          <w:color w:val="212529"/>
          <w:lang w:eastAsia="sl-SI"/>
        </w:rPr>
        <w:t>, </w:t>
      </w:r>
      <w:hyperlink r:id="rId31" w:tgtFrame="_blank" w:tooltip="to EUR-Lex" w:history="1">
        <w:r w:rsidRPr="00003970">
          <w:rPr>
            <w:rFonts w:eastAsia="Times New Roman" w:cs="Arial"/>
            <w:color w:val="3E7C94"/>
            <w:u w:val="single"/>
            <w:lang w:eastAsia="sl-SI"/>
          </w:rPr>
          <w:t>(EU) 2021/1056</w:t>
        </w:r>
      </w:hyperlink>
      <w:r w:rsidRPr="00003970">
        <w:rPr>
          <w:rFonts w:eastAsia="Times New Roman" w:cs="Arial"/>
          <w:color w:val="212529"/>
          <w:lang w:eastAsia="sl-SI"/>
        </w:rPr>
        <w:t>, </w:t>
      </w:r>
      <w:hyperlink r:id="rId32" w:tgtFrame="_blank" w:tooltip="to EUR-Lex" w:history="1">
        <w:r w:rsidRPr="00003970">
          <w:rPr>
            <w:rFonts w:eastAsia="Times New Roman" w:cs="Arial"/>
            <w:color w:val="3E7C94"/>
            <w:u w:val="single"/>
            <w:lang w:eastAsia="sl-SI"/>
          </w:rPr>
          <w:t>(EU) 2021/1057</w:t>
        </w:r>
      </w:hyperlink>
      <w:r w:rsidRPr="00003970">
        <w:rPr>
          <w:rFonts w:eastAsia="Times New Roman" w:cs="Arial"/>
          <w:color w:val="212529"/>
          <w:lang w:eastAsia="sl-SI"/>
        </w:rPr>
        <w:t>, </w:t>
      </w:r>
      <w:hyperlink r:id="rId33" w:tgtFrame="_blank" w:tooltip="to EUR-Lex" w:history="1">
        <w:r w:rsidRPr="00003970">
          <w:rPr>
            <w:rFonts w:eastAsia="Times New Roman" w:cs="Arial"/>
            <w:color w:val="3E7C94"/>
            <w:u w:val="single"/>
            <w:lang w:eastAsia="sl-SI"/>
          </w:rPr>
          <w:t>(EU) št. 1303/2013</w:t>
        </w:r>
      </w:hyperlink>
      <w:r w:rsidRPr="00003970">
        <w:rPr>
          <w:rFonts w:eastAsia="Times New Roman" w:cs="Arial"/>
          <w:color w:val="212529"/>
          <w:lang w:eastAsia="sl-SI"/>
        </w:rPr>
        <w:t>, </w:t>
      </w:r>
      <w:hyperlink r:id="rId34" w:tgtFrame="_blank" w:tooltip="to EUR-Lex" w:history="1">
        <w:r w:rsidRPr="00003970">
          <w:rPr>
            <w:rFonts w:eastAsia="Times New Roman" w:cs="Arial"/>
            <w:color w:val="3E7C94"/>
            <w:u w:val="single"/>
            <w:lang w:eastAsia="sl-SI"/>
          </w:rPr>
          <w:t>(EU) št. 223/2014</w:t>
        </w:r>
      </w:hyperlink>
      <w:r w:rsidRPr="00003970">
        <w:rPr>
          <w:rFonts w:eastAsia="Times New Roman" w:cs="Arial"/>
          <w:color w:val="212529"/>
          <w:lang w:eastAsia="sl-SI"/>
        </w:rPr>
        <w:t>, </w:t>
      </w:r>
      <w:hyperlink r:id="rId35" w:tgtFrame="_blank" w:tooltip="to EUR-Lex" w:history="1">
        <w:r w:rsidRPr="00003970">
          <w:rPr>
            <w:rFonts w:eastAsia="Times New Roman" w:cs="Arial"/>
            <w:color w:val="3E7C94"/>
            <w:u w:val="single"/>
            <w:lang w:eastAsia="sl-SI"/>
          </w:rPr>
          <w:t>(EU) 2021/1060</w:t>
        </w:r>
      </w:hyperlink>
      <w:r w:rsidRPr="00003970">
        <w:rPr>
          <w:rFonts w:eastAsia="Times New Roman" w:cs="Arial"/>
          <w:color w:val="212529"/>
          <w:lang w:eastAsia="sl-SI"/>
        </w:rPr>
        <w:t>, </w:t>
      </w:r>
      <w:hyperlink r:id="rId36" w:tgtFrame="_blank" w:tooltip="to EUR-Lex" w:history="1">
        <w:r w:rsidRPr="00003970">
          <w:rPr>
            <w:rFonts w:eastAsia="Times New Roman" w:cs="Arial"/>
            <w:color w:val="3E7C94"/>
            <w:u w:val="single"/>
            <w:lang w:eastAsia="sl-SI"/>
          </w:rPr>
          <w:t>(EU) 2021/523</w:t>
        </w:r>
      </w:hyperlink>
      <w:r w:rsidRPr="00003970">
        <w:rPr>
          <w:rFonts w:eastAsia="Times New Roman" w:cs="Arial"/>
          <w:color w:val="212529"/>
          <w:lang w:eastAsia="sl-SI"/>
        </w:rPr>
        <w:t>, </w:t>
      </w:r>
      <w:hyperlink r:id="rId37" w:tgtFrame="_blank" w:tooltip="to EUR-Lex" w:history="1">
        <w:r w:rsidRPr="00003970">
          <w:rPr>
            <w:rFonts w:eastAsia="Times New Roman" w:cs="Arial"/>
            <w:color w:val="3E7C94"/>
            <w:u w:val="single"/>
            <w:lang w:eastAsia="sl-SI"/>
          </w:rPr>
          <w:t>(EU) 2021/695</w:t>
        </w:r>
      </w:hyperlink>
      <w:r w:rsidRPr="00003970">
        <w:rPr>
          <w:rFonts w:eastAsia="Times New Roman" w:cs="Arial"/>
          <w:color w:val="212529"/>
          <w:lang w:eastAsia="sl-SI"/>
        </w:rPr>
        <w:t>, </w:t>
      </w:r>
      <w:hyperlink r:id="rId38" w:tgtFrame="_blank" w:tooltip="to EUR-Lex" w:history="1">
        <w:r w:rsidRPr="00003970">
          <w:rPr>
            <w:rFonts w:eastAsia="Times New Roman" w:cs="Arial"/>
            <w:color w:val="3E7C94"/>
            <w:u w:val="single"/>
            <w:lang w:eastAsia="sl-SI"/>
          </w:rPr>
          <w:t>(EU) 2021/697</w:t>
        </w:r>
      </w:hyperlink>
      <w:r w:rsidRPr="00003970">
        <w:rPr>
          <w:rFonts w:eastAsia="Times New Roman" w:cs="Arial"/>
          <w:color w:val="212529"/>
          <w:lang w:eastAsia="sl-SI"/>
        </w:rPr>
        <w:t> in </w:t>
      </w:r>
      <w:hyperlink r:id="rId39" w:tgtFrame="_blank" w:tooltip="to EUR-Lex" w:history="1">
        <w:r w:rsidRPr="00003970">
          <w:rPr>
            <w:rFonts w:eastAsia="Times New Roman" w:cs="Arial"/>
            <w:color w:val="3E7C94"/>
            <w:u w:val="single"/>
            <w:lang w:eastAsia="sl-SI"/>
          </w:rPr>
          <w:t>(EU) 2021/241</w:t>
        </w:r>
      </w:hyperlink>
      <w:r w:rsidRPr="00003970">
        <w:rPr>
          <w:rFonts w:eastAsia="Times New Roman" w:cs="Arial"/>
          <w:color w:val="212529"/>
          <w:lang w:eastAsia="sl-SI"/>
        </w:rPr>
        <w:t> (UL L št. 795 z dne 29. 2. 2024, str. 1), (v nadaljnjem besedilu: </w:t>
      </w:r>
      <w:hyperlink r:id="rId40" w:tgtFrame="_blank" w:tooltip="to EUR-Lex" w:history="1">
        <w:r w:rsidRPr="00003970">
          <w:rPr>
            <w:rFonts w:eastAsia="Times New Roman" w:cs="Arial"/>
            <w:color w:val="3E7C94"/>
            <w:u w:val="single"/>
            <w:lang w:eastAsia="sl-SI"/>
          </w:rPr>
          <w:t>Uredba (EU) 2021/241</w:t>
        </w:r>
      </w:hyperlink>
      <w:r w:rsidRPr="00003970">
        <w:rPr>
          <w:rFonts w:eastAsia="Times New Roman" w:cs="Arial"/>
          <w:color w:val="212529"/>
          <w:lang w:eastAsia="sl-SI"/>
        </w:rPr>
        <w:t>).</w:t>
      </w:r>
    </w:p>
    <w:p w14:paraId="143D91F6"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(7) S tem zakonom se v pravnem redu Republike Slovenije delno ureja izvajanje </w:t>
      </w:r>
      <w:hyperlink r:id="rId41" w:tgtFrame="_blank" w:tooltip="to EUR-Lex" w:history="1">
        <w:r w:rsidRPr="00003970">
          <w:rPr>
            <w:rFonts w:eastAsia="Times New Roman" w:cs="Arial"/>
            <w:color w:val="3E7C94"/>
            <w:u w:val="single"/>
            <w:lang w:eastAsia="sl-SI"/>
          </w:rPr>
          <w:t>Uredbe (EU) 2021/1060</w:t>
        </w:r>
      </w:hyperlink>
      <w:r w:rsidRPr="00003970">
        <w:rPr>
          <w:rFonts w:eastAsia="Times New Roman" w:cs="Arial"/>
          <w:color w:val="212529"/>
          <w:lang w:eastAsia="sl-SI"/>
        </w:rPr>
        <w:t>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w:t>
      </w:r>
      <w:hyperlink r:id="rId42" w:tgtFrame="_blank" w:tooltip="to EUR-Lex" w:history="1">
        <w:r w:rsidRPr="00003970">
          <w:rPr>
            <w:rFonts w:eastAsia="Times New Roman" w:cs="Arial"/>
            <w:color w:val="3E7C94"/>
            <w:u w:val="single"/>
            <w:lang w:eastAsia="sl-SI"/>
          </w:rPr>
          <w:t>Uredbo (EU) 2024/795</w:t>
        </w:r>
      </w:hyperlink>
      <w:r w:rsidRPr="00003970">
        <w:rPr>
          <w:rFonts w:eastAsia="Times New Roman" w:cs="Arial"/>
          <w:color w:val="212529"/>
          <w:lang w:eastAsia="sl-SI"/>
        </w:rPr>
        <w:t> Evropskega parlamenta in Sveta z dne 29. februarja 2024 o vzpostavitvi platforme za strateške tehnologije za Evropo (platforma STEP) in spremembi </w:t>
      </w:r>
      <w:hyperlink r:id="rId43" w:tgtFrame="_blank" w:tooltip="to EUR-Lex" w:history="1">
        <w:r w:rsidRPr="00003970">
          <w:rPr>
            <w:rFonts w:eastAsia="Times New Roman" w:cs="Arial"/>
            <w:color w:val="3E7C94"/>
            <w:u w:val="single"/>
            <w:lang w:eastAsia="sl-SI"/>
          </w:rPr>
          <w:t>Direktive 2003/87/ES</w:t>
        </w:r>
      </w:hyperlink>
      <w:r w:rsidRPr="00003970">
        <w:rPr>
          <w:rFonts w:eastAsia="Times New Roman" w:cs="Arial"/>
          <w:color w:val="212529"/>
          <w:lang w:eastAsia="sl-SI"/>
        </w:rPr>
        <w:t> ter </w:t>
      </w:r>
      <w:hyperlink r:id="rId44" w:tgtFrame="_blank" w:tooltip="to EUR-Lex" w:history="1">
        <w:r w:rsidRPr="00003970">
          <w:rPr>
            <w:rFonts w:eastAsia="Times New Roman" w:cs="Arial"/>
            <w:color w:val="3E7C94"/>
            <w:u w:val="single"/>
            <w:lang w:eastAsia="sl-SI"/>
          </w:rPr>
          <w:t>uredb (EU) 2021/1058</w:t>
        </w:r>
      </w:hyperlink>
      <w:r w:rsidRPr="00003970">
        <w:rPr>
          <w:rFonts w:eastAsia="Times New Roman" w:cs="Arial"/>
          <w:color w:val="212529"/>
          <w:lang w:eastAsia="sl-SI"/>
        </w:rPr>
        <w:t>, </w:t>
      </w:r>
      <w:hyperlink r:id="rId45" w:tgtFrame="_blank" w:tooltip="to EUR-Lex" w:history="1">
        <w:r w:rsidRPr="00003970">
          <w:rPr>
            <w:rFonts w:eastAsia="Times New Roman" w:cs="Arial"/>
            <w:color w:val="3E7C94"/>
            <w:u w:val="single"/>
            <w:lang w:eastAsia="sl-SI"/>
          </w:rPr>
          <w:t>(EU) 2021/1056</w:t>
        </w:r>
      </w:hyperlink>
      <w:r w:rsidRPr="00003970">
        <w:rPr>
          <w:rFonts w:eastAsia="Times New Roman" w:cs="Arial"/>
          <w:color w:val="212529"/>
          <w:lang w:eastAsia="sl-SI"/>
        </w:rPr>
        <w:t>, </w:t>
      </w:r>
      <w:hyperlink r:id="rId46" w:tgtFrame="_blank" w:tooltip="to EUR-Lex" w:history="1">
        <w:r w:rsidRPr="00003970">
          <w:rPr>
            <w:rFonts w:eastAsia="Times New Roman" w:cs="Arial"/>
            <w:color w:val="3E7C94"/>
            <w:u w:val="single"/>
            <w:lang w:eastAsia="sl-SI"/>
          </w:rPr>
          <w:t>(EU) 2021/1057</w:t>
        </w:r>
      </w:hyperlink>
      <w:r w:rsidRPr="00003970">
        <w:rPr>
          <w:rFonts w:eastAsia="Times New Roman" w:cs="Arial"/>
          <w:color w:val="212529"/>
          <w:lang w:eastAsia="sl-SI"/>
        </w:rPr>
        <w:t>, </w:t>
      </w:r>
      <w:hyperlink r:id="rId47" w:tgtFrame="_blank" w:tooltip="to EUR-Lex" w:history="1">
        <w:r w:rsidRPr="00003970">
          <w:rPr>
            <w:rFonts w:eastAsia="Times New Roman" w:cs="Arial"/>
            <w:color w:val="3E7C94"/>
            <w:u w:val="single"/>
            <w:lang w:eastAsia="sl-SI"/>
          </w:rPr>
          <w:t>(EU) št. 1303/2013</w:t>
        </w:r>
      </w:hyperlink>
      <w:r w:rsidRPr="00003970">
        <w:rPr>
          <w:rFonts w:eastAsia="Times New Roman" w:cs="Arial"/>
          <w:color w:val="212529"/>
          <w:lang w:eastAsia="sl-SI"/>
        </w:rPr>
        <w:t>, </w:t>
      </w:r>
      <w:hyperlink r:id="rId48" w:tgtFrame="_blank" w:tooltip="to EUR-Lex" w:history="1">
        <w:r w:rsidRPr="00003970">
          <w:rPr>
            <w:rFonts w:eastAsia="Times New Roman" w:cs="Arial"/>
            <w:color w:val="3E7C94"/>
            <w:u w:val="single"/>
            <w:lang w:eastAsia="sl-SI"/>
          </w:rPr>
          <w:t>(EU) št. 223/2014</w:t>
        </w:r>
      </w:hyperlink>
      <w:r w:rsidRPr="00003970">
        <w:rPr>
          <w:rFonts w:eastAsia="Times New Roman" w:cs="Arial"/>
          <w:color w:val="212529"/>
          <w:lang w:eastAsia="sl-SI"/>
        </w:rPr>
        <w:t>, </w:t>
      </w:r>
      <w:hyperlink r:id="rId49" w:tgtFrame="_blank" w:tooltip="to EUR-Lex" w:history="1">
        <w:r w:rsidRPr="00003970">
          <w:rPr>
            <w:rFonts w:eastAsia="Times New Roman" w:cs="Arial"/>
            <w:color w:val="3E7C94"/>
            <w:u w:val="single"/>
            <w:lang w:eastAsia="sl-SI"/>
          </w:rPr>
          <w:t xml:space="preserve">(EU) </w:t>
        </w:r>
        <w:r w:rsidRPr="00003970">
          <w:rPr>
            <w:rFonts w:eastAsia="Times New Roman" w:cs="Arial"/>
            <w:color w:val="3E7C94"/>
            <w:u w:val="single"/>
            <w:lang w:eastAsia="sl-SI"/>
          </w:rPr>
          <w:lastRenderedPageBreak/>
          <w:t>2021/1060</w:t>
        </w:r>
      </w:hyperlink>
      <w:r w:rsidRPr="00003970">
        <w:rPr>
          <w:rFonts w:eastAsia="Times New Roman" w:cs="Arial"/>
          <w:color w:val="212529"/>
          <w:lang w:eastAsia="sl-SI"/>
        </w:rPr>
        <w:t>, </w:t>
      </w:r>
      <w:hyperlink r:id="rId50" w:tgtFrame="_blank" w:tooltip="to EUR-Lex" w:history="1">
        <w:r w:rsidRPr="00003970">
          <w:rPr>
            <w:rFonts w:eastAsia="Times New Roman" w:cs="Arial"/>
            <w:color w:val="3E7C94"/>
            <w:u w:val="single"/>
            <w:lang w:eastAsia="sl-SI"/>
          </w:rPr>
          <w:t>(EU) 2021/523</w:t>
        </w:r>
      </w:hyperlink>
      <w:r w:rsidRPr="00003970">
        <w:rPr>
          <w:rFonts w:eastAsia="Times New Roman" w:cs="Arial"/>
          <w:color w:val="212529"/>
          <w:lang w:eastAsia="sl-SI"/>
        </w:rPr>
        <w:t>, </w:t>
      </w:r>
      <w:hyperlink r:id="rId51" w:tgtFrame="_blank" w:tooltip="to EUR-Lex" w:history="1">
        <w:r w:rsidRPr="00003970">
          <w:rPr>
            <w:rFonts w:eastAsia="Times New Roman" w:cs="Arial"/>
            <w:color w:val="3E7C94"/>
            <w:u w:val="single"/>
            <w:lang w:eastAsia="sl-SI"/>
          </w:rPr>
          <w:t>(EU) 2021/695</w:t>
        </w:r>
      </w:hyperlink>
      <w:r w:rsidRPr="00003970">
        <w:rPr>
          <w:rFonts w:eastAsia="Times New Roman" w:cs="Arial"/>
          <w:color w:val="212529"/>
          <w:lang w:eastAsia="sl-SI"/>
        </w:rPr>
        <w:t>, </w:t>
      </w:r>
      <w:hyperlink r:id="rId52" w:tgtFrame="_blank" w:tooltip="to EUR-Lex" w:history="1">
        <w:r w:rsidRPr="00003970">
          <w:rPr>
            <w:rFonts w:eastAsia="Times New Roman" w:cs="Arial"/>
            <w:color w:val="3E7C94"/>
            <w:u w:val="single"/>
            <w:lang w:eastAsia="sl-SI"/>
          </w:rPr>
          <w:t>(EU) 2021/697</w:t>
        </w:r>
      </w:hyperlink>
      <w:r w:rsidRPr="00003970">
        <w:rPr>
          <w:rFonts w:eastAsia="Times New Roman" w:cs="Arial"/>
          <w:color w:val="212529"/>
          <w:lang w:eastAsia="sl-SI"/>
        </w:rPr>
        <w:t> in </w:t>
      </w:r>
      <w:hyperlink r:id="rId53" w:tgtFrame="_blank" w:tooltip="to EUR-Lex" w:history="1">
        <w:r w:rsidRPr="00003970">
          <w:rPr>
            <w:rFonts w:eastAsia="Times New Roman" w:cs="Arial"/>
            <w:color w:val="3E7C94"/>
            <w:u w:val="single"/>
            <w:lang w:eastAsia="sl-SI"/>
          </w:rPr>
          <w:t>(EU) 2021/241</w:t>
        </w:r>
      </w:hyperlink>
      <w:r w:rsidRPr="00003970">
        <w:rPr>
          <w:rFonts w:eastAsia="Times New Roman" w:cs="Arial"/>
          <w:color w:val="212529"/>
          <w:lang w:eastAsia="sl-SI"/>
        </w:rPr>
        <w:t> (UL L št. 795 z dne 29. 2. 2024, str. 1), (v nadaljnjem besedilu: </w:t>
      </w:r>
      <w:hyperlink r:id="rId54" w:tgtFrame="_blank" w:tooltip="to EUR-Lex" w:history="1">
        <w:r w:rsidRPr="00003970">
          <w:rPr>
            <w:rFonts w:eastAsia="Times New Roman" w:cs="Arial"/>
            <w:color w:val="3E7C94"/>
            <w:u w:val="single"/>
            <w:lang w:eastAsia="sl-SI"/>
          </w:rPr>
          <w:t>Uredba (EU) 2021/1060</w:t>
        </w:r>
      </w:hyperlink>
      <w:r w:rsidRPr="00003970">
        <w:rPr>
          <w:rFonts w:eastAsia="Times New Roman" w:cs="Arial"/>
          <w:color w:val="212529"/>
          <w:lang w:eastAsia="sl-SI"/>
        </w:rPr>
        <w:t>).</w:t>
      </w:r>
    </w:p>
    <w:p w14:paraId="19153FCB" w14:textId="77777777" w:rsidR="001F4349" w:rsidRPr="00003970" w:rsidRDefault="001F4349" w:rsidP="001F4349">
      <w:pPr>
        <w:spacing w:after="0" w:line="240" w:lineRule="auto"/>
        <w:ind w:firstLine="1021"/>
        <w:rPr>
          <w:rFonts w:eastAsia="Times New Roman" w:cs="Arial"/>
          <w:color w:val="212529"/>
          <w:lang w:eastAsia="sl-SI"/>
        </w:rPr>
      </w:pPr>
    </w:p>
    <w:p w14:paraId="5F3D15C7" w14:textId="77777777" w:rsidR="001F4349" w:rsidRPr="00003970" w:rsidRDefault="001F4349" w:rsidP="001F4349">
      <w:pPr>
        <w:spacing w:after="0" w:line="240" w:lineRule="auto"/>
        <w:jc w:val="center"/>
        <w:rPr>
          <w:rFonts w:eastAsia="Times New Roman" w:cs="Arial"/>
          <w:b/>
          <w:bCs/>
          <w:color w:val="212529"/>
          <w:lang w:eastAsia="sl-SI"/>
        </w:rPr>
      </w:pPr>
      <w:r w:rsidRPr="00003970">
        <w:rPr>
          <w:rFonts w:eastAsia="Times New Roman" w:cs="Arial"/>
          <w:b/>
          <w:bCs/>
          <w:color w:val="212529"/>
          <w:lang w:eastAsia="sl-SI"/>
        </w:rPr>
        <w:t>51. člen</w:t>
      </w:r>
    </w:p>
    <w:p w14:paraId="457954A0" w14:textId="77777777" w:rsidR="001F4349" w:rsidRDefault="001F4349" w:rsidP="001F4349">
      <w:pPr>
        <w:spacing w:after="0" w:line="240" w:lineRule="auto"/>
        <w:jc w:val="center"/>
        <w:rPr>
          <w:rFonts w:eastAsia="Times New Roman" w:cs="Arial"/>
          <w:b/>
          <w:bCs/>
          <w:color w:val="212529"/>
          <w:lang w:eastAsia="sl-SI"/>
        </w:rPr>
      </w:pPr>
      <w:r w:rsidRPr="00003970">
        <w:rPr>
          <w:rFonts w:eastAsia="Times New Roman" w:cs="Arial"/>
          <w:b/>
          <w:bCs/>
          <w:color w:val="212529"/>
          <w:lang w:eastAsia="sl-SI"/>
        </w:rPr>
        <w:t>(dostop do podatkov o dejanskih lastnikih)</w:t>
      </w:r>
    </w:p>
    <w:p w14:paraId="103CE9A6" w14:textId="77777777" w:rsidR="001F4349" w:rsidRPr="00003970" w:rsidRDefault="001F4349" w:rsidP="001F4349">
      <w:pPr>
        <w:spacing w:after="0" w:line="240" w:lineRule="auto"/>
        <w:jc w:val="center"/>
        <w:rPr>
          <w:rFonts w:eastAsia="Times New Roman" w:cs="Arial"/>
          <w:b/>
          <w:bCs/>
          <w:color w:val="212529"/>
          <w:lang w:eastAsia="sl-SI"/>
        </w:rPr>
      </w:pPr>
    </w:p>
    <w:p w14:paraId="5AB05617"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(1) Dostop do podatkov iz registra imajo zavezanci iz 4. člena tega zakona, organi odkrivanja in pregona, sodišča, preiskovalne komisije Državnega zbora Republike Slovenije ter nadzorni organi iz prvega odstavka 152. člena tega zakona.</w:t>
      </w:r>
    </w:p>
    <w:p w14:paraId="39E393A3"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(2) Brezplačno lahko pridobi podatke o osebnem imenu, mesecu in letu rojstva, državi stalnega in začasnega prebivališča, državljanstvu, višini lastniškega deleža in obliki nadzora dejanskih lastnikov iz registra tudi fizična ali pravna oseba, ki izkaže upravičen interes.</w:t>
      </w:r>
    </w:p>
    <w:p w14:paraId="6AA3A18A"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(3) Upravičen interes iz prejšnjega odstavka je podan, če je izpolnjen kateri od naslednjih pogojev:</w:t>
      </w:r>
    </w:p>
    <w:p w14:paraId="2279165B"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        namen dostopa je povezan z odkrivanjem in preprečevanjem pranja denarja ter financiranja terorizma in povezanimi predhodnimi kaznivimi dejanji, ali</w:t>
      </w:r>
    </w:p>
    <w:p w14:paraId="1A5B7821"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        pravna oseba želi pridobiti podatke o svojih dejanskih lastnikih,</w:t>
      </w:r>
    </w:p>
    <w:p w14:paraId="421C4003"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        fizična ali pravna oseba želi skleniti poslovno razmerje s pravno osebo iz druge alineje prvega odstavka 51.a člena tega zakona, kar je mogoče utemeljeno sklepati iz priložene dokumentacije k vlogi.</w:t>
      </w:r>
    </w:p>
    <w:p w14:paraId="50D08B81"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(4) Šteje se, da ima pravna ali fizična oseba iz drugega odstavka tega člena upravičen interes iz tega člena:</w:t>
      </w:r>
    </w:p>
    <w:p w14:paraId="6B84BA96"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        fizična ali pravna oseba, ki za namene novinarstva, poročanja ali drugih oblik medijskega izražanja v zvezi s preprečevanjem pranja denarja, s tem povezanih kaznivih dejanj ali financiranja terorizma in bojem proti njim, potrebuje podatke o dejanskih lastnikih pravne osebe,</w:t>
      </w:r>
    </w:p>
    <w:p w14:paraId="5DF70DD1"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        fizična ali pravna oseba, ki opravlja znanstveno-raziskovalno ali izobraževalno dejavnost ali dejavnost knjižne produkcije, ali nevladna organizacija kot jo določa zakon, ki ureja nevladne organizacije, ki v povezavi s svojo dejavnostjo za svoje delovanje, povezano s preprečevanjem pranja denarja, s tem povezanih kaznivih dejanj ali financiranja terorizma ali bojem proti njim, potrebuje podatke o dejanskih lastnikih pravne osebe.</w:t>
      </w:r>
    </w:p>
    <w:p w14:paraId="69D9F88B"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(5) Zavezanci iz 4. člena tega zakona imajo neposreden elektronski dostop do vseh podatkov o dejanskih lastnikih, vpisanih v register, ko izvajajo pregled stranke po določbah tega zakona. Iskanje podatkov o dejanskih lastnikih se zavezancem iz 4. člena tega zakona omogoči tudi z uporabo kombinacije osebnega imena in davčne številke, osebnega imena ter datuma rojstva ali kombinacije osebnega imena in naslova stalnega prebivališča, vpisanega v register.</w:t>
      </w:r>
    </w:p>
    <w:p w14:paraId="6A20E2BB"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(6) Organi odkrivanja in pregona kaznivih dejanj, sodišča in nadzorni organi iz prvega odstavka 152. člena tega zakona imajo brezplačen neposreden elektronski dostop do vseh podatkov o dejanskih lastnikih, vpisanih v register, ko izvajajo pooblastila in naloge v zvezi s preprečevanjem in odkrivanjem pranja denarja in financiranja terorizma ter odkrivanjem drugih kaznivih dejanj. Iskanje podatkov o dejanskih lastnikih se navedenim subjektom iz tega odstavka omogoči tudi z uporabo kombinacije osebnega imena in davčne številke, osebnega imena in datuma rojstva ali kombinacije osebnega imena ter naslova stalnega prebivališča, vpisanega v register.</w:t>
      </w:r>
    </w:p>
    <w:p w14:paraId="0AA711E7"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(7) Upravljavec registra dejanskemu lastniku in poslovnemu subjektu ne sme razkriti informacij o dostopu do podatkov v skladu s prejšnjim odstavkom. Teh informacij upravljavec registra v primeru predkazenskega in kazenskega postopka ne sme razkriti do zavrženja ovadbe ali vložitve zahteve za preiskavo ali obtožnega akta, v drugih primerih pa, če obstajajo očitni in utemeljeni razlogi za domnevo, da bi zagotovitev takšnih informacij škodovala učinkovitosti ali zaupnosti postopkov, ki so še v izvajanju ali bodo osnova za nadaljnje postopke, vendar v nobenem primeru ne več kot 8 let od posameznega dostopa.</w:t>
      </w:r>
    </w:p>
    <w:p w14:paraId="466688F5"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(8) Organ, ki je dostopal do podatkov v skladu s četrtim odstavkom tega člena, mora upravljavcu registra v roku petnajstih dni od prejema zahteve upravljavca registra sporočiti, ali obstajajo zadržki iz prejšnjega odstavka v zvezi z razkritjem informacij o dostopu. Upravljavec registra je vezan na odločitev organa iz četrtega odstavka tega člena o obstoju zadržkov.</w:t>
      </w:r>
    </w:p>
    <w:p w14:paraId="66A10820"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(9) Zavezancu iz 4. člena tega zakona za dostop do podatkov iz registra upravljavec registra lahko zaračuna stroške v skladu s tarifo. Tarifo določi upravljavec registra v soglasju z ministrom, pristojnim za finance.</w:t>
      </w:r>
    </w:p>
    <w:p w14:paraId="4AC1ADC2" w14:textId="77777777" w:rsidR="001F4349"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lastRenderedPageBreak/>
        <w:t>(10) Ne glede na določbe tega člena imajo državni organi neposreden brezplačen elektronski dostop do vseh podatkov o dejanskih lastnikih, ki so vpisani v register, kadar odločajo o pravicah subjektov, ki imajo finančne posledice za državni proračun. Iskanje podatkov o dejanskih lastnikih se državnim organom omogoči tudi z uporabo kombinacije osebnega imena in davčne številke, osebnega imena ter datuma rojstva ali kombinacije osebnega imena in naslova stalnega prebivališča, vpisanega v register.</w:t>
      </w:r>
    </w:p>
    <w:p w14:paraId="0333C82B" w14:textId="77777777" w:rsidR="001F4349" w:rsidRPr="00003970" w:rsidRDefault="001F4349" w:rsidP="001F4349">
      <w:pPr>
        <w:spacing w:after="0" w:line="240" w:lineRule="auto"/>
        <w:ind w:firstLine="1021"/>
        <w:rPr>
          <w:rFonts w:eastAsia="Times New Roman" w:cs="Arial"/>
          <w:color w:val="212529"/>
          <w:lang w:eastAsia="sl-SI"/>
        </w:rPr>
      </w:pPr>
    </w:p>
    <w:p w14:paraId="7492C12E" w14:textId="77777777" w:rsidR="001F4349" w:rsidRPr="00003970" w:rsidRDefault="001F4349" w:rsidP="001F4349">
      <w:pPr>
        <w:spacing w:after="0" w:line="240" w:lineRule="auto"/>
        <w:jc w:val="center"/>
        <w:rPr>
          <w:rFonts w:eastAsia="Times New Roman" w:cs="Arial"/>
          <w:b/>
          <w:bCs/>
          <w:color w:val="212529"/>
          <w:lang w:eastAsia="sl-SI"/>
        </w:rPr>
      </w:pPr>
      <w:r w:rsidRPr="00003970">
        <w:rPr>
          <w:rFonts w:eastAsia="Times New Roman" w:cs="Arial"/>
          <w:b/>
          <w:bCs/>
          <w:color w:val="212529"/>
          <w:lang w:eastAsia="sl-SI"/>
        </w:rPr>
        <w:t>51.a člen</w:t>
      </w:r>
    </w:p>
    <w:p w14:paraId="3D09FE52" w14:textId="77777777" w:rsidR="001F4349" w:rsidRDefault="001F4349" w:rsidP="001F4349">
      <w:pPr>
        <w:spacing w:after="0" w:line="240" w:lineRule="auto"/>
        <w:ind w:firstLine="1021"/>
        <w:jc w:val="center"/>
        <w:rPr>
          <w:rFonts w:eastAsia="Times New Roman" w:cs="Arial"/>
          <w:b/>
          <w:bCs/>
          <w:color w:val="212529"/>
          <w:lang w:eastAsia="sl-SI"/>
        </w:rPr>
      </w:pPr>
      <w:r w:rsidRPr="00003970">
        <w:rPr>
          <w:rFonts w:eastAsia="Times New Roman" w:cs="Arial"/>
          <w:b/>
          <w:bCs/>
          <w:color w:val="212529"/>
          <w:lang w:eastAsia="sl-SI"/>
        </w:rPr>
        <w:t>(vloga za pridobitev podatkov o dejanskih lastnikih)</w:t>
      </w:r>
    </w:p>
    <w:p w14:paraId="1D2D034B" w14:textId="77777777" w:rsidR="001F4349" w:rsidRPr="00003970" w:rsidRDefault="001F4349" w:rsidP="001F4349">
      <w:pPr>
        <w:spacing w:after="0" w:line="240" w:lineRule="auto"/>
        <w:ind w:firstLine="1021"/>
        <w:jc w:val="center"/>
        <w:rPr>
          <w:rFonts w:eastAsia="Times New Roman" w:cs="Arial"/>
          <w:b/>
          <w:bCs/>
          <w:color w:val="212529"/>
          <w:lang w:eastAsia="sl-SI"/>
        </w:rPr>
      </w:pPr>
    </w:p>
    <w:p w14:paraId="436E5CE4"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(1) Oseba, ki izkazuje upravičen interes iz prve, druge ali tretje alineje tretjega odstavka prejšnjega člena, vlogo za pridobitev podatkov o dejanskih lastnikih vloži pri upravljavcu registra v pisni obliki. V vlogi se navede:</w:t>
      </w:r>
    </w:p>
    <w:p w14:paraId="7BEE6D24"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        firma oziroma osebno ime, matična ali davčna številka vlagatelja, stalno in začasno prebivališče oziroma sedež vlagatelja oziroma njegovega zastopnika ali pooblaščenca,</w:t>
      </w:r>
    </w:p>
    <w:p w14:paraId="04DE07E0"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        naziv pravne osebe in matična ali davčna številka, v zvezi s katero želi pridobiti podatke o njenih dejanskih lastnikih, ter</w:t>
      </w:r>
    </w:p>
    <w:p w14:paraId="54E0D159"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        opis namena dostopa, iz katerega izhaja upravičenost interesa.</w:t>
      </w:r>
    </w:p>
    <w:p w14:paraId="4FCC2D48"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(2) Osebi, ki izpolnjuje pogoje iz četrtega odstavka prejšnjega člena, upravljavec registra omogoči dostop do podatkov iz registra dejanskih lastnikov, in sicer do podatkov o osebnem imenu, mesecu in letu rojstva, državi stalnega in začasnega prebivališča, državljanstvu, višini lastniškega deleža ali obliki nadzora dejanskih lastnikov, datumu vpisa in izbrisa dejanskega lastnika iz registra ter o oznaki o samodejnem vpisu dejanskega lastnika in ugotovljeni neskladnosti podatkov o dejanskem lastniku. Oseba iz prejšnjega stavka v vlogi, ki jo vloži pri upravljavcu registra v pisni obliki, navede firmo oziroma osebno ime ter matično ali davčno številko vlagatelja, stalno in začasno prebivališče oziroma sedež vlagatelja oziroma njegovega zastopnika ali pooblaščenca ter razlog dostopa, iz katerega izhaja upravičenost za pridobitev podatkov o dejanskih lastnikih.</w:t>
      </w:r>
    </w:p>
    <w:p w14:paraId="66F1F6D9"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(3) Upravljavec registra o vlogi iz prvega odstavka tega člena odloči z odločbo najkasneje v 15 delovnih dneh od prejema popolne vloge, o vlogi iz prejšnjega odstavka pa najkasneje v petih delovnih dnevih od prejema popolne vloge. Če je vloga nepopolna, upravljavec registra vlagatelja pozove k dopolnitvi v petih delovnih dneh od prejema vloge.</w:t>
      </w:r>
    </w:p>
    <w:p w14:paraId="6B97DEE9"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(4) Upravljavec registra odobri pridobitev podatkov o dejanskih lastnikih osebi iz prvega odstavka tega člena, če vlagatelj izkaže upravičen interes iz tretjega odstavka prejšnjega člena. V odločbi iz prejšnjega odstavka upravljavec registra navede podatke o dejanskih lastnikih pravne osebe, do katerih je vlagatelj upravičen, in namen uporabe teh podatkov.</w:t>
      </w:r>
    </w:p>
    <w:p w14:paraId="3C4F890E"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(5) Upravljavec registra odobri pridobitev podatkov o dejanskih lastnikih osebi iz drugega odstavka tega člena, če vlagatelj izkaže izpolnjevanje pogojev iz četrtega odstavka prejšnjega člena. V odločbi upravljavec registra tudi opozori osebo, da mora nemudoma po spremembi oziroma neizpolnjevanju pogojev iz četrtega odstavka prejšnjega člena, ugotovljenih v odločbi, to sporočiti upravljavcu registra. Upravljavec registra najkasneje v petih delovnih dneh od prejema sporočila iz prejšnjega stavka izda odločbo, s katero ugotovi, da se osebi dostop do registra dejanskih lastnikov onemogoči.</w:t>
      </w:r>
    </w:p>
    <w:p w14:paraId="5249B407"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(6) Vlagatelj sme podatke uporabiti izključno za namen, naveden v odločbi iz tretjega ali četrtega odstavka tega člena.</w:t>
      </w:r>
    </w:p>
    <w:p w14:paraId="708C577E"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(7) Upravljavec registra vodi evidenco vlog za osebe iz tretjega odstavka prejšnjega člena, ki vsebuje podatke o vlagatelju, datum prejema vloge in datum izdaje odločbe. Podatki o posameznih vlogah iz evidence vlog se hranijo pet let od datuma izdaje odločbe.</w:t>
      </w:r>
    </w:p>
    <w:p w14:paraId="53056CA4"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(8) Upravljavec registra vodi evidenco vlog oseb iz četrtega odstavka prejšnjega člena, ki vsebuje podatke o vlagatelju, datum prejema vloge, datum izdaje odločbe in datum izdaje odločbe o prenehanju izpolnjevanja pogojev iz četrtega odstavka prejšnjega člena, pri čemer velja, da ti podatki niso informacije javnega značaja. Podatki o posameznih vlogah iz evidence vlog se hranijo pet let od datuma izdaje odločbe.</w:t>
      </w:r>
    </w:p>
    <w:p w14:paraId="1225B0C3"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(9) Če upravičen interes ni izkazan, upravljavec registra vlogo zavrne z odločbo, zoper katero pritožba ni dovoljena, dovoljen pa je upravni spor.</w:t>
      </w:r>
    </w:p>
    <w:p w14:paraId="4AFAF2DE"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(10) Za vprašanja postopka na podlagi vloge za dostop do podatkov o dejanskih lastnikih, ki temeljijo na izkazanem upravičenem interesu in niso posebej urejena s tem zakonom, se uporabljajo določbe zakona, ki ureja splošni upravni postopek.</w:t>
      </w:r>
    </w:p>
    <w:p w14:paraId="18441A2C" w14:textId="77777777" w:rsidR="001F4349" w:rsidRPr="00003970" w:rsidRDefault="001F4349" w:rsidP="001F4349">
      <w:pPr>
        <w:spacing w:after="0" w:line="240" w:lineRule="auto"/>
        <w:ind w:firstLine="1021"/>
        <w:rPr>
          <w:rFonts w:eastAsia="Times New Roman" w:cs="Arial"/>
          <w:color w:val="212529"/>
          <w:lang w:eastAsia="sl-SI"/>
        </w:rPr>
      </w:pPr>
    </w:p>
    <w:p w14:paraId="07ACD691" w14:textId="77777777" w:rsidR="001F4349" w:rsidRPr="00003970" w:rsidRDefault="001F4349" w:rsidP="001F4349">
      <w:pPr>
        <w:spacing w:after="0" w:line="240" w:lineRule="auto"/>
        <w:jc w:val="center"/>
        <w:rPr>
          <w:rFonts w:eastAsia="Times New Roman" w:cs="Arial"/>
          <w:b/>
          <w:bCs/>
          <w:color w:val="212529"/>
          <w:lang w:eastAsia="sl-SI"/>
        </w:rPr>
      </w:pPr>
      <w:r w:rsidRPr="00003970">
        <w:rPr>
          <w:rFonts w:eastAsia="Times New Roman" w:cs="Arial"/>
          <w:b/>
          <w:bCs/>
          <w:color w:val="212529"/>
          <w:lang w:eastAsia="sl-SI"/>
        </w:rPr>
        <w:lastRenderedPageBreak/>
        <w:t>182.a člen</w:t>
      </w:r>
    </w:p>
    <w:p w14:paraId="0CB01E38" w14:textId="77777777" w:rsidR="001F4349" w:rsidRDefault="001F4349" w:rsidP="001F4349">
      <w:pPr>
        <w:spacing w:after="0" w:line="240" w:lineRule="auto"/>
        <w:jc w:val="center"/>
        <w:rPr>
          <w:rFonts w:eastAsia="Times New Roman" w:cs="Arial"/>
          <w:b/>
          <w:bCs/>
          <w:color w:val="212529"/>
          <w:lang w:eastAsia="sl-SI"/>
        </w:rPr>
      </w:pPr>
      <w:r w:rsidRPr="00003970">
        <w:rPr>
          <w:rFonts w:eastAsia="Times New Roman" w:cs="Arial"/>
          <w:b/>
          <w:bCs/>
          <w:color w:val="212529"/>
          <w:lang w:eastAsia="sl-SI"/>
        </w:rPr>
        <w:t>(kršitve fizičnih in pravnih oseb, ki izkažejo upravičen interes za pridobitev podatkov o dejanskih lastnikih)</w:t>
      </w:r>
    </w:p>
    <w:p w14:paraId="6239C82B" w14:textId="77777777" w:rsidR="001F4349" w:rsidRPr="00003970" w:rsidRDefault="001F4349" w:rsidP="001F4349">
      <w:pPr>
        <w:spacing w:after="0" w:line="240" w:lineRule="auto"/>
        <w:jc w:val="center"/>
        <w:rPr>
          <w:rFonts w:eastAsia="Times New Roman" w:cs="Arial"/>
          <w:b/>
          <w:bCs/>
          <w:color w:val="212529"/>
          <w:lang w:eastAsia="sl-SI"/>
        </w:rPr>
      </w:pPr>
    </w:p>
    <w:p w14:paraId="5B83FDE5"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(1) Z globo od 3.000 do 30.000 eurov se za prekršek kaznuje pravna oseba, ki podatke uporabi v nasprotju z namenom, navedenim v odločbi (šesti odstavek 51.a člena).</w:t>
      </w:r>
    </w:p>
    <w:p w14:paraId="71B012D4"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(2) Z globo od 1.500 do 15.000 eurov se za prekršek iz prejšnjega odstavka kaznujeta samostojni podjetnik posameznik in posameznik, ki samostojno opravlja dejavnost, ali fizična oseba.</w:t>
      </w:r>
    </w:p>
    <w:p w14:paraId="0ACF4AA7" w14:textId="77777777" w:rsidR="001F4349" w:rsidRPr="00003970" w:rsidRDefault="001F4349" w:rsidP="001F4349">
      <w:pPr>
        <w:spacing w:after="0" w:line="240" w:lineRule="auto"/>
        <w:ind w:firstLine="1021"/>
        <w:rPr>
          <w:rFonts w:eastAsia="Times New Roman" w:cs="Arial"/>
          <w:color w:val="212529"/>
          <w:lang w:eastAsia="sl-SI"/>
        </w:rPr>
      </w:pPr>
      <w:r w:rsidRPr="00003970">
        <w:rPr>
          <w:rFonts w:eastAsia="Times New Roman" w:cs="Arial"/>
          <w:color w:val="212529"/>
          <w:lang w:eastAsia="sl-SI"/>
        </w:rPr>
        <w:t>(3) Z globo od 400 do 2.000 eurov se za prekršek iz prvega odstavka tega člena kaznujejo odgovorna oseba pravne osebe, odgovorna oseba samostojnega podjetnika posameznika in odgovorna oseba posameznika, ki samostojno opravlja dejavnost.</w:t>
      </w:r>
    </w:p>
    <w:p w14:paraId="7D04B26A" w14:textId="77777777" w:rsidR="00304288" w:rsidRDefault="00304288"/>
    <w:p w14:paraId="383D9A6C" w14:textId="77777777" w:rsidR="00304288" w:rsidRDefault="00A464F5">
      <w:r>
        <w:br w:type="page"/>
      </w:r>
    </w:p>
    <w:p w14:paraId="2E59FC46" w14:textId="77777777" w:rsidR="00304288" w:rsidRDefault="00A464F5">
      <w:pPr>
        <w:pStyle w:val="Odebeljeno"/>
        <w:spacing w:line="260" w:lineRule="auto"/>
      </w:pPr>
      <w:r>
        <w:lastRenderedPageBreak/>
        <w:t>V.</w:t>
      </w:r>
      <w:r>
        <w:tab/>
        <w:t>PREDLOG ZA OBRAVNAVO PREDLOGA ZAKONA PO NUJNEM ALI SKRAJŠANEM POSTOPKU</w:t>
      </w:r>
    </w:p>
    <w:p w14:paraId="4D2FD781" w14:textId="77777777" w:rsidR="00304288" w:rsidRDefault="00304288">
      <w:pPr>
        <w:spacing w:after="0" w:line="260" w:lineRule="auto"/>
        <w:rPr>
          <w:rFonts w:cs="Arial"/>
        </w:rPr>
      </w:pPr>
    </w:p>
    <w:p w14:paraId="3F6B540B" w14:textId="77777777" w:rsidR="00304288" w:rsidRDefault="00A464F5">
      <w:pPr>
        <w:spacing w:after="0" w:line="240" w:lineRule="auto"/>
      </w:pPr>
      <w:r>
        <w:t xml:space="preserve">V skladu s prvim odstavkom 142. člena Poslovnika državnega zbora (Uradni list RS, št. 92/07 – uradno prečiščeno besedilo, 105/10, 80/13, 38/17, 46/20, 105/21 – odl. US, 111/21, 58/23 in 35/24) lahko predlagatelj zakona predlaga, da Državni zbor obravnava predlog zakona po skrajšanem postopku, med drugim v primeru, če gre za manj zahtevne spremembe in dopolnitve oziroma za manj zahtevne uskladitve zakona s pravom Evropske unije. Ker se predlagani Zakon o spremembah in dopolnitvah Zakona o preprečevanju pranja denarja in financiranja terorizma (v nadaljnjem besedilu: predlog zakona) nanaša na uskladitev s pravom Evropske unije (tj. delni prenos EU direktive), se predlaga, da Državni zbor Republike Slovenije obravnava predlog zakona po skrajšanem zakonodajnem postopku. </w:t>
      </w:r>
    </w:p>
    <w:p w14:paraId="1383FE38" w14:textId="77777777" w:rsidR="00304288" w:rsidRDefault="00A464F5">
      <w:r>
        <w:br w:type="page"/>
      </w:r>
    </w:p>
    <w:p w14:paraId="49BC641D" w14:textId="77777777" w:rsidR="00304288" w:rsidRDefault="00A464F5">
      <w:pPr>
        <w:pStyle w:val="Odebeljeno"/>
        <w:spacing w:line="260" w:lineRule="auto"/>
      </w:pPr>
      <w:r>
        <w:lastRenderedPageBreak/>
        <w:t>VI.</w:t>
      </w:r>
      <w:r>
        <w:tab/>
        <w:t>PRILOGE</w:t>
      </w:r>
    </w:p>
    <w:p w14:paraId="5B598819" w14:textId="77777777" w:rsidR="00304288" w:rsidRDefault="00304288">
      <w:pPr>
        <w:spacing w:after="0" w:line="260" w:lineRule="auto"/>
        <w:rPr>
          <w:rFonts w:cs="Arial"/>
        </w:rPr>
      </w:pPr>
    </w:p>
    <w:p w14:paraId="14C6FF93" w14:textId="77777777" w:rsidR="00304288" w:rsidRDefault="00A464F5">
      <w:pPr>
        <w:spacing w:after="0" w:line="260" w:lineRule="auto"/>
      </w:pPr>
      <w:r>
        <w:t>Priloge niso priložene.</w:t>
      </w:r>
    </w:p>
    <w:sectPr w:rsidR="00304288">
      <w:footerReference w:type="default" r:id="rId55"/>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57FC73" w14:textId="77777777" w:rsidR="0055000E" w:rsidRDefault="0055000E">
      <w:pPr>
        <w:spacing w:after="0" w:line="240" w:lineRule="auto"/>
      </w:pPr>
      <w:r>
        <w:separator/>
      </w:r>
    </w:p>
  </w:endnote>
  <w:endnote w:type="continuationSeparator" w:id="0">
    <w:p w14:paraId="6A8DB05F" w14:textId="77777777" w:rsidR="0055000E" w:rsidRDefault="00550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A94D65" w14:textId="77777777" w:rsidR="00304288" w:rsidRDefault="00A464F5">
    <w:r>
      <w:rPr>
        <w:i/>
        <w:sz w:val="16"/>
      </w:rPr>
      <w:t>Ustvarjeno v MOPED-DOCS, 30. 06. 2026 12:22:22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2AE64A" w14:textId="77777777" w:rsidR="0055000E" w:rsidRDefault="0055000E">
      <w:pPr>
        <w:spacing w:after="0" w:line="240" w:lineRule="auto"/>
      </w:pPr>
      <w:r>
        <w:separator/>
      </w:r>
    </w:p>
  </w:footnote>
  <w:footnote w:type="continuationSeparator" w:id="0">
    <w:p w14:paraId="4E22258E" w14:textId="77777777" w:rsidR="0055000E" w:rsidRDefault="005500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288"/>
    <w:rsid w:val="00023178"/>
    <w:rsid w:val="001F4349"/>
    <w:rsid w:val="00276403"/>
    <w:rsid w:val="00304288"/>
    <w:rsid w:val="00481107"/>
    <w:rsid w:val="0054165B"/>
    <w:rsid w:val="0055000E"/>
    <w:rsid w:val="005C30A0"/>
    <w:rsid w:val="00615E7B"/>
    <w:rsid w:val="006B4805"/>
    <w:rsid w:val="00797C02"/>
    <w:rsid w:val="00A464F5"/>
    <w:rsid w:val="00A70B4E"/>
    <w:rsid w:val="00AA20A2"/>
    <w:rsid w:val="00C0389C"/>
    <w:rsid w:val="00C23530"/>
    <w:rsid w:val="00C5444E"/>
    <w:rsid w:val="00C636F2"/>
    <w:rsid w:val="00C97F83"/>
    <w:rsid w:val="00CA3551"/>
    <w:rsid w:val="00CC03A8"/>
    <w:rsid w:val="00E041C0"/>
    <w:rsid w:val="00F24BD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4EC7D"/>
  <w15:docId w15:val="{843E1720-F47D-4201-8AF6-EC1B7772F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zija">
    <w:name w:val="Revision"/>
    <w:hidden/>
    <w:uiPriority w:val="99"/>
    <w:semiHidden/>
    <w:rsid w:val="00023178"/>
    <w:pPr>
      <w:spacing w:after="0" w:line="240" w:lineRule="auto"/>
    </w:pPr>
  </w:style>
  <w:style w:type="character" w:styleId="Pripombasklic">
    <w:name w:val="annotation reference"/>
    <w:basedOn w:val="Privzetapisavaodstavka"/>
    <w:uiPriority w:val="99"/>
    <w:semiHidden/>
    <w:unhideWhenUsed/>
    <w:rsid w:val="00C23530"/>
    <w:rPr>
      <w:sz w:val="16"/>
      <w:szCs w:val="16"/>
    </w:rPr>
  </w:style>
  <w:style w:type="paragraph" w:styleId="Pripombabesedilo">
    <w:name w:val="annotation text"/>
    <w:basedOn w:val="Navaden"/>
    <w:link w:val="PripombabesediloZnak"/>
    <w:uiPriority w:val="99"/>
    <w:unhideWhenUsed/>
    <w:rsid w:val="00C23530"/>
    <w:pPr>
      <w:spacing w:line="240" w:lineRule="auto"/>
    </w:pPr>
  </w:style>
  <w:style w:type="character" w:customStyle="1" w:styleId="PripombabesediloZnak">
    <w:name w:val="Pripomba – besedilo Znak"/>
    <w:basedOn w:val="Privzetapisavaodstavka"/>
    <w:link w:val="Pripombabesedilo"/>
    <w:uiPriority w:val="99"/>
    <w:rsid w:val="00C23530"/>
  </w:style>
  <w:style w:type="paragraph" w:styleId="Zadevapripombe">
    <w:name w:val="annotation subject"/>
    <w:basedOn w:val="Pripombabesedilo"/>
    <w:next w:val="Pripombabesedilo"/>
    <w:link w:val="ZadevapripombeZnak"/>
    <w:uiPriority w:val="99"/>
    <w:semiHidden/>
    <w:unhideWhenUsed/>
    <w:rsid w:val="00C23530"/>
    <w:rPr>
      <w:b/>
      <w:bCs/>
    </w:rPr>
  </w:style>
  <w:style w:type="character" w:customStyle="1" w:styleId="ZadevapripombeZnak">
    <w:name w:val="Zadeva pripombe Znak"/>
    <w:basedOn w:val="PripombabesediloZnak"/>
    <w:link w:val="Zadevapripombe"/>
    <w:uiPriority w:val="99"/>
    <w:semiHidden/>
    <w:rsid w:val="00C235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data.europa.eu/eli/dir/2015/849/oj" TargetMode="External"/><Relationship Id="rId18" Type="http://schemas.openxmlformats.org/officeDocument/2006/relationships/hyperlink" Target="http://data.europa.eu/eli/reg/2018/1672/oj" TargetMode="External"/><Relationship Id="rId26" Type="http://schemas.openxmlformats.org/officeDocument/2006/relationships/hyperlink" Target="http://data.europa.eu/eli/reg/2013/883/oj" TargetMode="External"/><Relationship Id="rId39" Type="http://schemas.openxmlformats.org/officeDocument/2006/relationships/hyperlink" Target="http://data.europa.eu/eli/reg/2021/241/oj" TargetMode="External"/><Relationship Id="rId21" Type="http://schemas.openxmlformats.org/officeDocument/2006/relationships/hyperlink" Target="http://data.europa.eu/eli/reg/2013/883/oj" TargetMode="External"/><Relationship Id="rId34" Type="http://schemas.openxmlformats.org/officeDocument/2006/relationships/hyperlink" Target="http://data.europa.eu/eli/reg/2014/223/oj" TargetMode="External"/><Relationship Id="rId42" Type="http://schemas.openxmlformats.org/officeDocument/2006/relationships/hyperlink" Target="http://data.europa.eu/eli/reg/2024/795/oj" TargetMode="External"/><Relationship Id="rId47" Type="http://schemas.openxmlformats.org/officeDocument/2006/relationships/hyperlink" Target="http://data.europa.eu/eli/reg/2013/1303/oj" TargetMode="External"/><Relationship Id="rId50" Type="http://schemas.openxmlformats.org/officeDocument/2006/relationships/hyperlink" Target="http://data.europa.eu/eli/reg/2021/523/oj" TargetMode="External"/><Relationship Id="rId55" Type="http://schemas.openxmlformats.org/officeDocument/2006/relationships/footer" Target="footer1.xml"/><Relationship Id="rId7" Type="http://schemas.openxmlformats.org/officeDocument/2006/relationships/hyperlink" Target="http://data.europa.eu/eli/reg/2012/648/oj" TargetMode="External"/><Relationship Id="rId12" Type="http://schemas.openxmlformats.org/officeDocument/2006/relationships/hyperlink" Target="http://data.europa.eu/eli/dir/2015/849/oj" TargetMode="External"/><Relationship Id="rId17" Type="http://schemas.openxmlformats.org/officeDocument/2006/relationships/hyperlink" Target="http://data.europa.eu/eli/dir/2019/1153/oj" TargetMode="External"/><Relationship Id="rId25" Type="http://schemas.openxmlformats.org/officeDocument/2006/relationships/hyperlink" Target="http://data.europa.eu/eli/reg/2013/883/oj" TargetMode="External"/><Relationship Id="rId33" Type="http://schemas.openxmlformats.org/officeDocument/2006/relationships/hyperlink" Target="http://data.europa.eu/eli/reg/2013/1303/oj" TargetMode="External"/><Relationship Id="rId38" Type="http://schemas.openxmlformats.org/officeDocument/2006/relationships/hyperlink" Target="http://data.europa.eu/eli/reg/2021/697/oj" TargetMode="External"/><Relationship Id="rId46" Type="http://schemas.openxmlformats.org/officeDocument/2006/relationships/hyperlink" Target="http://data.europa.eu/eli/reg/2021/1057/oj" TargetMode="External"/><Relationship Id="rId2" Type="http://schemas.openxmlformats.org/officeDocument/2006/relationships/settings" Target="settings.xml"/><Relationship Id="rId16" Type="http://schemas.openxmlformats.org/officeDocument/2006/relationships/hyperlink" Target="http://data.europa.eu/eli/dir/2019/1153/oj" TargetMode="External"/><Relationship Id="rId20" Type="http://schemas.openxmlformats.org/officeDocument/2006/relationships/hyperlink" Target="http://data.europa.eu/eli/reg/2018/1672/oj" TargetMode="External"/><Relationship Id="rId29" Type="http://schemas.openxmlformats.org/officeDocument/2006/relationships/hyperlink" Target="http://data.europa.eu/eli/dir/2003/87/oj" TargetMode="External"/><Relationship Id="rId41" Type="http://schemas.openxmlformats.org/officeDocument/2006/relationships/hyperlink" Target="http://data.europa.eu/eli/reg/2021/1060/oj" TargetMode="External"/><Relationship Id="rId54" Type="http://schemas.openxmlformats.org/officeDocument/2006/relationships/hyperlink" Target="http://data.europa.eu/eli/reg/2021/1060/oj" TargetMode="External"/><Relationship Id="rId1" Type="http://schemas.openxmlformats.org/officeDocument/2006/relationships/styles" Target="styles.xml"/><Relationship Id="rId6" Type="http://schemas.openxmlformats.org/officeDocument/2006/relationships/hyperlink" Target="http://data.europa.eu/eli/dir/2015/849/oj" TargetMode="External"/><Relationship Id="rId11" Type="http://schemas.openxmlformats.org/officeDocument/2006/relationships/hyperlink" Target="http://data.europa.eu/eli/dir/2019/1937/oj" TargetMode="External"/><Relationship Id="rId24" Type="http://schemas.openxmlformats.org/officeDocument/2006/relationships/hyperlink" Target="http://data.europa.eu/eli/reg/2020/2223/oj" TargetMode="External"/><Relationship Id="rId32" Type="http://schemas.openxmlformats.org/officeDocument/2006/relationships/hyperlink" Target="http://data.europa.eu/eli/reg/2021/1057/oj" TargetMode="External"/><Relationship Id="rId37" Type="http://schemas.openxmlformats.org/officeDocument/2006/relationships/hyperlink" Target="http://data.europa.eu/eli/reg/2021/695/oj" TargetMode="External"/><Relationship Id="rId40" Type="http://schemas.openxmlformats.org/officeDocument/2006/relationships/hyperlink" Target="http://data.europa.eu/eli/reg/2021/241/oj" TargetMode="External"/><Relationship Id="rId45" Type="http://schemas.openxmlformats.org/officeDocument/2006/relationships/hyperlink" Target="http://data.europa.eu/eli/reg/2021/1056/oj" TargetMode="External"/><Relationship Id="rId53" Type="http://schemas.openxmlformats.org/officeDocument/2006/relationships/hyperlink" Target="http://data.europa.eu/eli/reg/2021/241/oj" TargetMode="External"/><Relationship Id="rId5" Type="http://schemas.openxmlformats.org/officeDocument/2006/relationships/endnotes" Target="endnotes.xml"/><Relationship Id="rId15" Type="http://schemas.openxmlformats.org/officeDocument/2006/relationships/hyperlink" Target="http://data.europa.eu/eli/dec/2000/642/oj" TargetMode="External"/><Relationship Id="rId23" Type="http://schemas.openxmlformats.org/officeDocument/2006/relationships/hyperlink" Target="http://data.europa.eu/eli/reg/1999/1074/oj" TargetMode="External"/><Relationship Id="rId28" Type="http://schemas.openxmlformats.org/officeDocument/2006/relationships/hyperlink" Target="http://data.europa.eu/eli/reg/2024/795/oj" TargetMode="External"/><Relationship Id="rId36" Type="http://schemas.openxmlformats.org/officeDocument/2006/relationships/hyperlink" Target="http://data.europa.eu/eli/reg/2021/523/oj" TargetMode="External"/><Relationship Id="rId49" Type="http://schemas.openxmlformats.org/officeDocument/2006/relationships/hyperlink" Target="http://data.europa.eu/eli/reg/2021/1060/oj" TargetMode="External"/><Relationship Id="rId57" Type="http://schemas.openxmlformats.org/officeDocument/2006/relationships/theme" Target="theme/theme1.xml"/><Relationship Id="rId10" Type="http://schemas.openxmlformats.org/officeDocument/2006/relationships/hyperlink" Target="http://data.europa.eu/eli/dir/2024/1640/oj" TargetMode="External"/><Relationship Id="rId19" Type="http://schemas.openxmlformats.org/officeDocument/2006/relationships/hyperlink" Target="http://data.europa.eu/eli/reg/2005/1889/oj" TargetMode="External"/><Relationship Id="rId31" Type="http://schemas.openxmlformats.org/officeDocument/2006/relationships/hyperlink" Target="http://data.europa.eu/eli/reg/2021/1056/oj" TargetMode="External"/><Relationship Id="rId44" Type="http://schemas.openxmlformats.org/officeDocument/2006/relationships/hyperlink" Target="http://data.europa.eu/eli/reg/2021/1058/oj" TargetMode="External"/><Relationship Id="rId52" Type="http://schemas.openxmlformats.org/officeDocument/2006/relationships/hyperlink" Target="http://data.europa.eu/eli/reg/2021/697/oj" TargetMode="External"/><Relationship Id="rId4" Type="http://schemas.openxmlformats.org/officeDocument/2006/relationships/footnotes" Target="footnotes.xml"/><Relationship Id="rId9" Type="http://schemas.openxmlformats.org/officeDocument/2006/relationships/hyperlink" Target="http://data.europa.eu/eli/dir/2006/70/oj" TargetMode="External"/><Relationship Id="rId14" Type="http://schemas.openxmlformats.org/officeDocument/2006/relationships/hyperlink" Target="http://data.europa.eu/eli/dir/2019/1153/oj" TargetMode="External"/><Relationship Id="rId22" Type="http://schemas.openxmlformats.org/officeDocument/2006/relationships/hyperlink" Target="http://data.europa.eu/eli/reg/1999/1073/oj" TargetMode="External"/><Relationship Id="rId27" Type="http://schemas.openxmlformats.org/officeDocument/2006/relationships/hyperlink" Target="http://data.europa.eu/eli/reg/2021/241/oj" TargetMode="External"/><Relationship Id="rId30" Type="http://schemas.openxmlformats.org/officeDocument/2006/relationships/hyperlink" Target="http://data.europa.eu/eli/reg/2021/1058/oj" TargetMode="External"/><Relationship Id="rId35" Type="http://schemas.openxmlformats.org/officeDocument/2006/relationships/hyperlink" Target="http://data.europa.eu/eli/reg/2021/1060/oj" TargetMode="External"/><Relationship Id="rId43" Type="http://schemas.openxmlformats.org/officeDocument/2006/relationships/hyperlink" Target="http://data.europa.eu/eli/dir/2003/87/oj" TargetMode="External"/><Relationship Id="rId48" Type="http://schemas.openxmlformats.org/officeDocument/2006/relationships/hyperlink" Target="http://data.europa.eu/eli/reg/2014/223/oj" TargetMode="External"/><Relationship Id="rId56" Type="http://schemas.openxmlformats.org/officeDocument/2006/relationships/fontTable" Target="fontTable.xml"/><Relationship Id="rId8" Type="http://schemas.openxmlformats.org/officeDocument/2006/relationships/hyperlink" Target="http://data.europa.eu/eli/dir/2005/60/oj" TargetMode="External"/><Relationship Id="rId51" Type="http://schemas.openxmlformats.org/officeDocument/2006/relationships/hyperlink" Target="http://data.europa.eu/eli/reg/2021/695/oj"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22596</Words>
  <Characters>128798</Characters>
  <Application>Microsoft Office Word</Application>
  <DocSecurity>0</DocSecurity>
  <Lines>1073</Lines>
  <Paragraphs>302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Meško Kuralt</dc:creator>
  <cp:lastModifiedBy>Lidija Vidergar</cp:lastModifiedBy>
  <cp:revision>6</cp:revision>
  <dcterms:created xsi:type="dcterms:W3CDTF">2026-07-06T19:49:00Z</dcterms:created>
  <dcterms:modified xsi:type="dcterms:W3CDTF">2026-07-06T19:50:00Z</dcterms:modified>
</cp:coreProperties>
</file>