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A6502"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r w:rsidRPr="00CF2530">
        <w:rPr>
          <w:rFonts w:ascii="Arial" w:eastAsia="Times New Roman" w:hAnsi="Arial" w:cs="Arial"/>
          <w:b/>
          <w:bCs/>
          <w:color w:val="000000" w:themeColor="text1"/>
          <w:sz w:val="20"/>
          <w:szCs w:val="20"/>
          <w:lang w:eastAsia="sl-SI"/>
        </w:rPr>
        <w:t>OBRAZLOŽITEV</w:t>
      </w:r>
    </w:p>
    <w:p w14:paraId="66A1C38F" w14:textId="77777777" w:rsidR="00CD0C3B" w:rsidRPr="00CF2530" w:rsidRDefault="00CD0C3B" w:rsidP="00CD0C3B">
      <w:pPr>
        <w:spacing w:after="0" w:line="276" w:lineRule="auto"/>
        <w:jc w:val="both"/>
        <w:rPr>
          <w:rFonts w:ascii="Arial" w:eastAsia="Times New Roman" w:hAnsi="Arial" w:cs="Arial"/>
          <w:b/>
          <w:bCs/>
          <w:color w:val="000000" w:themeColor="text1"/>
          <w:sz w:val="20"/>
          <w:szCs w:val="20"/>
          <w:lang w:eastAsia="sl-SI"/>
        </w:rPr>
      </w:pPr>
    </w:p>
    <w:p w14:paraId="66D829E0" w14:textId="77777777" w:rsidR="00CD0C3B" w:rsidRPr="00CF2530" w:rsidRDefault="00CD0C3B" w:rsidP="00CD0C3B">
      <w:pPr>
        <w:spacing w:after="0" w:line="276" w:lineRule="auto"/>
        <w:jc w:val="both"/>
        <w:rPr>
          <w:rFonts w:ascii="Arial" w:eastAsia="Times New Roman" w:hAnsi="Arial" w:cs="Arial"/>
          <w:b/>
          <w:bCs/>
          <w:color w:val="000000" w:themeColor="text1"/>
          <w:sz w:val="20"/>
          <w:szCs w:val="20"/>
          <w:lang w:eastAsia="sl-SI"/>
        </w:rPr>
      </w:pPr>
      <w:r>
        <w:rPr>
          <w:rFonts w:ascii="Arial" w:eastAsia="Times New Roman" w:hAnsi="Arial" w:cs="Arial"/>
          <w:b/>
          <w:bCs/>
          <w:color w:val="000000" w:themeColor="text1"/>
          <w:sz w:val="20"/>
          <w:szCs w:val="20"/>
          <w:lang w:eastAsia="sl-SI"/>
        </w:rPr>
        <w:t>I. SPLOŠNO</w:t>
      </w:r>
    </w:p>
    <w:p w14:paraId="0DCB69EB" w14:textId="77777777" w:rsidR="00CD0C3B" w:rsidRPr="00A7328D" w:rsidRDefault="00CD0C3B" w:rsidP="00CD0C3B">
      <w:pPr>
        <w:spacing w:after="0" w:line="276" w:lineRule="auto"/>
        <w:jc w:val="both"/>
        <w:rPr>
          <w:rFonts w:ascii="Arial" w:eastAsia="Times New Roman" w:hAnsi="Arial" w:cs="Arial"/>
          <w:color w:val="000000" w:themeColor="text1"/>
          <w:sz w:val="20"/>
          <w:szCs w:val="20"/>
          <w:lang w:eastAsia="sl-SI"/>
        </w:rPr>
      </w:pPr>
      <w:r w:rsidRPr="00A7328D">
        <w:rPr>
          <w:rFonts w:ascii="Arial" w:eastAsia="Times New Roman" w:hAnsi="Arial" w:cs="Arial"/>
          <w:color w:val="000000" w:themeColor="text1"/>
          <w:sz w:val="20"/>
          <w:szCs w:val="20"/>
          <w:lang w:eastAsia="sl-SI"/>
        </w:rPr>
        <w:t>Pravilnik se izdaja na podlagi enajstega odstavka 34. člena in petega odstavka 35. člena Zakona o zagotavljanju kakovosti v zdravstvu (Uradni list RS, št. 102/24</w:t>
      </w:r>
      <w:r>
        <w:rPr>
          <w:rFonts w:ascii="Arial" w:eastAsia="Times New Roman" w:hAnsi="Arial" w:cs="Arial"/>
          <w:color w:val="000000" w:themeColor="text1"/>
          <w:sz w:val="20"/>
          <w:szCs w:val="20"/>
          <w:lang w:eastAsia="sl-SI"/>
        </w:rPr>
        <w:t xml:space="preserve"> </w:t>
      </w:r>
      <w:r w:rsidRPr="000B0187">
        <w:rPr>
          <w:rFonts w:ascii="Arial" w:eastAsia="Times New Roman" w:hAnsi="Arial" w:cs="Arial"/>
          <w:color w:val="000000" w:themeColor="text1"/>
          <w:sz w:val="20"/>
          <w:szCs w:val="20"/>
          <w:lang w:eastAsia="sl-SI"/>
        </w:rPr>
        <w:t>in </w:t>
      </w:r>
      <w:hyperlink r:id="rId5" w:tgtFrame="_blank" w:tooltip="Zakon o dodatnih interventnih ukrepih na področju zdravstva (ZDIUPZ)" w:history="1">
        <w:r w:rsidRPr="000B0187">
          <w:rPr>
            <w:rStyle w:val="Hiperpovezava"/>
            <w:rFonts w:ascii="Arial" w:eastAsia="Times New Roman" w:hAnsi="Arial" w:cs="Arial"/>
            <w:sz w:val="20"/>
            <w:szCs w:val="20"/>
            <w:lang w:eastAsia="sl-SI"/>
          </w:rPr>
          <w:t>111/25</w:t>
        </w:r>
      </w:hyperlink>
      <w:r w:rsidRPr="000B0187">
        <w:rPr>
          <w:rFonts w:ascii="Arial" w:eastAsia="Times New Roman" w:hAnsi="Arial" w:cs="Arial"/>
          <w:color w:val="000000" w:themeColor="text1"/>
          <w:sz w:val="20"/>
          <w:szCs w:val="20"/>
          <w:lang w:eastAsia="sl-SI"/>
        </w:rPr>
        <w:t> – ZDIUPZ</w:t>
      </w:r>
      <w:r>
        <w:rPr>
          <w:rFonts w:ascii="Arial" w:eastAsia="Times New Roman" w:hAnsi="Arial" w:cs="Arial"/>
          <w:color w:val="000000" w:themeColor="text1"/>
          <w:sz w:val="20"/>
          <w:szCs w:val="20"/>
          <w:lang w:eastAsia="sl-SI"/>
        </w:rPr>
        <w:t>)</w:t>
      </w:r>
      <w:r w:rsidRPr="00A7328D">
        <w:rPr>
          <w:rFonts w:ascii="Arial" w:eastAsia="Times New Roman" w:hAnsi="Arial" w:cs="Arial"/>
          <w:color w:val="000000" w:themeColor="text1"/>
          <w:sz w:val="20"/>
          <w:szCs w:val="20"/>
          <w:lang w:eastAsia="sl-SI"/>
        </w:rPr>
        <w:t>; v nadaljnjem besedilu: ZZKZ).</w:t>
      </w:r>
    </w:p>
    <w:p w14:paraId="4FAB134B" w14:textId="77777777" w:rsidR="00CD0C3B" w:rsidRPr="00A7328D" w:rsidRDefault="00CD0C3B" w:rsidP="00CD0C3B">
      <w:pPr>
        <w:spacing w:after="0" w:line="276" w:lineRule="auto"/>
        <w:jc w:val="both"/>
        <w:rPr>
          <w:rFonts w:ascii="Arial" w:eastAsia="Times New Roman" w:hAnsi="Arial" w:cs="Arial"/>
          <w:color w:val="000000" w:themeColor="text1"/>
          <w:sz w:val="20"/>
          <w:szCs w:val="20"/>
          <w:lang w:eastAsia="sl-SI"/>
        </w:rPr>
      </w:pPr>
    </w:p>
    <w:p w14:paraId="7110038D" w14:textId="77777777" w:rsidR="00CD0C3B" w:rsidRPr="00A7328D" w:rsidRDefault="00CD0C3B" w:rsidP="00CD0C3B">
      <w:pPr>
        <w:spacing w:after="0" w:line="276" w:lineRule="auto"/>
        <w:jc w:val="both"/>
        <w:rPr>
          <w:rFonts w:ascii="Arial" w:eastAsia="Times New Roman" w:hAnsi="Arial" w:cs="Arial"/>
          <w:color w:val="000000" w:themeColor="text1"/>
          <w:sz w:val="20"/>
          <w:szCs w:val="20"/>
          <w:lang w:eastAsia="sl-SI"/>
        </w:rPr>
      </w:pPr>
      <w:r w:rsidRPr="00A7328D">
        <w:rPr>
          <w:rFonts w:ascii="Arial" w:eastAsia="Times New Roman" w:hAnsi="Arial" w:cs="Arial"/>
          <w:color w:val="000000" w:themeColor="text1"/>
          <w:sz w:val="20"/>
          <w:szCs w:val="20"/>
          <w:lang w:eastAsia="sl-SI"/>
        </w:rPr>
        <w:t>Namen pravilnika je podrobneje urediti sestavine vloge za vrednotenje zdravstvenih tehnologij, merila, način in postopek vrednotenja ter obliko in vsebino poročila o vrednotenju, ob upoštevanju evropskih metodoloških standardov in zagotavljanju transparentnega, strokovnega in primerljivega vrednotenja.</w:t>
      </w:r>
    </w:p>
    <w:p w14:paraId="0E653A3A" w14:textId="77777777" w:rsidR="00CD0C3B" w:rsidRPr="00A7328D" w:rsidRDefault="00CD0C3B" w:rsidP="00CD0C3B">
      <w:pPr>
        <w:spacing w:after="0" w:line="276" w:lineRule="auto"/>
        <w:jc w:val="both"/>
        <w:rPr>
          <w:rFonts w:ascii="Arial" w:eastAsia="Times New Roman" w:hAnsi="Arial" w:cs="Arial"/>
          <w:color w:val="000000" w:themeColor="text1"/>
          <w:sz w:val="20"/>
          <w:szCs w:val="20"/>
          <w:lang w:eastAsia="sl-SI"/>
        </w:rPr>
      </w:pPr>
    </w:p>
    <w:p w14:paraId="5C777C3D" w14:textId="77777777" w:rsidR="00CD0C3B" w:rsidRPr="00CF2530" w:rsidRDefault="00CD0C3B" w:rsidP="00CD0C3B">
      <w:pPr>
        <w:spacing w:after="0" w:line="276" w:lineRule="auto"/>
        <w:jc w:val="both"/>
        <w:rPr>
          <w:rFonts w:ascii="Arial" w:eastAsia="Times New Roman" w:hAnsi="Arial" w:cs="Arial"/>
          <w:color w:val="000000" w:themeColor="text1"/>
          <w:sz w:val="20"/>
          <w:szCs w:val="20"/>
          <w:lang w:eastAsia="sl-SI"/>
        </w:rPr>
      </w:pPr>
      <w:r w:rsidRPr="00A7328D">
        <w:rPr>
          <w:rFonts w:ascii="Arial" w:eastAsia="Times New Roman" w:hAnsi="Arial" w:cs="Arial"/>
          <w:color w:val="000000" w:themeColor="text1"/>
          <w:sz w:val="20"/>
          <w:szCs w:val="20"/>
          <w:lang w:eastAsia="sl-SI"/>
        </w:rPr>
        <w:t>Pravilnik ne ureja vprašanj, ki so že urejena z ZZKZ, temveč jih operacionalizira na izvedbeni ravni.</w:t>
      </w:r>
    </w:p>
    <w:p w14:paraId="6EE620B3" w14:textId="77777777" w:rsidR="00CD0C3B" w:rsidRPr="00CF2530" w:rsidRDefault="00CD0C3B" w:rsidP="00CD0C3B">
      <w:pPr>
        <w:spacing w:after="0" w:line="276" w:lineRule="auto"/>
        <w:jc w:val="both"/>
        <w:rPr>
          <w:rFonts w:ascii="Arial" w:eastAsia="Times New Roman" w:hAnsi="Arial" w:cs="Arial"/>
          <w:color w:val="000000" w:themeColor="text1"/>
          <w:sz w:val="20"/>
          <w:szCs w:val="20"/>
          <w:lang w:eastAsia="sl-SI"/>
        </w:rPr>
      </w:pPr>
    </w:p>
    <w:p w14:paraId="0D816C7D"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r w:rsidRPr="00CF2530">
        <w:rPr>
          <w:rFonts w:ascii="Arial" w:eastAsia="Times New Roman" w:hAnsi="Arial" w:cs="Arial"/>
          <w:b/>
          <w:bCs/>
          <w:color w:val="000000" w:themeColor="text1"/>
          <w:sz w:val="20"/>
          <w:szCs w:val="20"/>
          <w:lang w:eastAsia="sl-SI"/>
        </w:rPr>
        <w:t xml:space="preserve">II. </w:t>
      </w:r>
      <w:r>
        <w:rPr>
          <w:rFonts w:ascii="Arial" w:eastAsia="Times New Roman" w:hAnsi="Arial" w:cs="Arial"/>
          <w:b/>
          <w:bCs/>
          <w:color w:val="000000" w:themeColor="text1"/>
          <w:sz w:val="20"/>
          <w:szCs w:val="20"/>
          <w:lang w:eastAsia="sl-SI"/>
        </w:rPr>
        <w:t>K POSAMEZNIM ČLENOM</w:t>
      </w:r>
    </w:p>
    <w:p w14:paraId="392BBBD2"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5DD13AE8" w14:textId="77777777" w:rsidR="00CD0C3B" w:rsidRPr="002F6312" w:rsidRDefault="00CD0C3B" w:rsidP="00CD0C3B">
      <w:pPr>
        <w:spacing w:after="0" w:line="276" w:lineRule="auto"/>
        <w:jc w:val="both"/>
        <w:rPr>
          <w:rFonts w:ascii="Arial" w:eastAsia="Times New Roman" w:hAnsi="Arial" w:cs="Arial"/>
          <w:b/>
          <w:bCs/>
          <w:color w:val="000000" w:themeColor="text1"/>
          <w:sz w:val="20"/>
          <w:szCs w:val="20"/>
          <w:lang w:eastAsia="sl-SI"/>
        </w:rPr>
      </w:pPr>
      <w:r w:rsidRPr="002F6312">
        <w:rPr>
          <w:rFonts w:ascii="Arial" w:eastAsia="Times New Roman" w:hAnsi="Arial" w:cs="Arial"/>
          <w:b/>
          <w:bCs/>
          <w:color w:val="000000" w:themeColor="text1"/>
          <w:sz w:val="20"/>
          <w:szCs w:val="20"/>
          <w:lang w:eastAsia="sl-SI"/>
        </w:rPr>
        <w:t>K 1. členu</w:t>
      </w:r>
    </w:p>
    <w:p w14:paraId="3ECDCB65"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določa predmet urejanja pravilnika. Opredeljena so področja, ki jih pravilnik ureja, in sicer sestavine in način priprave vloge za vrednotenje zdravstvenih tehnologij, merila, način in postopek vrednotenja</w:t>
      </w:r>
      <w:r>
        <w:rPr>
          <w:rFonts w:ascii="Arial" w:eastAsia="Times New Roman" w:hAnsi="Arial" w:cs="Arial"/>
          <w:color w:val="000000" w:themeColor="text1"/>
          <w:sz w:val="20"/>
          <w:szCs w:val="20"/>
          <w:lang w:eastAsia="sl-SI"/>
        </w:rPr>
        <w:t xml:space="preserve"> ter</w:t>
      </w:r>
      <w:r w:rsidRPr="00162E0B">
        <w:rPr>
          <w:rFonts w:ascii="Arial" w:eastAsia="Times New Roman" w:hAnsi="Arial" w:cs="Arial"/>
          <w:color w:val="000000" w:themeColor="text1"/>
          <w:sz w:val="20"/>
          <w:szCs w:val="20"/>
          <w:lang w:eastAsia="sl-SI"/>
        </w:rPr>
        <w:t xml:space="preserve"> obliko in vsebino poročila o vrednotenju</w:t>
      </w:r>
      <w:r>
        <w:rPr>
          <w:rFonts w:ascii="Arial" w:eastAsia="Times New Roman" w:hAnsi="Arial" w:cs="Arial"/>
          <w:color w:val="000000" w:themeColor="text1"/>
          <w:sz w:val="20"/>
          <w:szCs w:val="20"/>
          <w:lang w:eastAsia="sl-SI"/>
        </w:rPr>
        <w:t>.</w:t>
      </w:r>
    </w:p>
    <w:p w14:paraId="7800B7DB"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4E9A486A"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Namen pravilnika je zagotoviti enoten, pregleden in strokovno utemeljen okvir za izvajanje vrednotenja zdravstvenih tehnologij, ki omogoča primerljivost med posameznimi postopki ter podpira informirano odločanje o njihovi uporabi v zdravstvenem sistemu.</w:t>
      </w:r>
    </w:p>
    <w:p w14:paraId="0FD8EE17"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1032AB32" w14:textId="77777777" w:rsidR="00CD0C3B" w:rsidRPr="006F7645" w:rsidRDefault="00CD0C3B" w:rsidP="00CD0C3B">
      <w:pPr>
        <w:spacing w:after="0" w:line="276" w:lineRule="auto"/>
        <w:jc w:val="both"/>
        <w:rPr>
          <w:rFonts w:ascii="Arial" w:eastAsia="Times New Roman" w:hAnsi="Arial" w:cs="Arial"/>
          <w:b/>
          <w:bCs/>
          <w:color w:val="000000" w:themeColor="text1"/>
          <w:sz w:val="20"/>
          <w:szCs w:val="20"/>
          <w:lang w:eastAsia="sl-SI"/>
        </w:rPr>
      </w:pPr>
      <w:r w:rsidRPr="006F7645">
        <w:rPr>
          <w:rFonts w:ascii="Arial" w:eastAsia="Times New Roman" w:hAnsi="Arial" w:cs="Arial"/>
          <w:b/>
          <w:bCs/>
          <w:color w:val="000000" w:themeColor="text1"/>
          <w:sz w:val="20"/>
          <w:szCs w:val="20"/>
          <w:lang w:eastAsia="sl-SI"/>
        </w:rPr>
        <w:t>K 2. členu</w:t>
      </w:r>
    </w:p>
    <w:p w14:paraId="02DE518B"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določa pomen izrazov in kratic, ki se uporabljajo v pravilniku. Opredeljeni so ključni metodološki pojmi, ki se uporabljajo pri vrednotenju zdravstvenih tehnologij, zlasti na področju kliničnega in ekonomskega vrednotenja.</w:t>
      </w:r>
    </w:p>
    <w:p w14:paraId="25EAF3B3"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4193E854"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Z določitvijo pojmov se zagotavlja enotno razumevanje terminologije ter dosledna in primerljiva uporaba pravilnika v praksi, zlasti pri pripravi vlog, izvedbi analiz in pripravi poročil o vrednotenju.</w:t>
      </w:r>
    </w:p>
    <w:p w14:paraId="6244C83D"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03C2B151" w14:textId="77777777" w:rsidR="00CD0C3B" w:rsidRPr="00EB53DE" w:rsidRDefault="00CD0C3B" w:rsidP="00CD0C3B">
      <w:pPr>
        <w:spacing w:after="0" w:line="276" w:lineRule="auto"/>
        <w:jc w:val="both"/>
        <w:rPr>
          <w:rFonts w:ascii="Arial" w:eastAsia="Times New Roman" w:hAnsi="Arial" w:cs="Arial"/>
          <w:b/>
          <w:bCs/>
          <w:color w:val="000000" w:themeColor="text1"/>
          <w:sz w:val="20"/>
          <w:szCs w:val="20"/>
          <w:lang w:eastAsia="sl-SI"/>
        </w:rPr>
      </w:pPr>
      <w:r w:rsidRPr="00EB53DE">
        <w:rPr>
          <w:rFonts w:ascii="Arial" w:eastAsia="Times New Roman" w:hAnsi="Arial" w:cs="Arial"/>
          <w:b/>
          <w:bCs/>
          <w:color w:val="000000" w:themeColor="text1"/>
          <w:sz w:val="20"/>
          <w:szCs w:val="20"/>
          <w:lang w:eastAsia="sl-SI"/>
        </w:rPr>
        <w:t>K 3. členu</w:t>
      </w:r>
    </w:p>
    <w:p w14:paraId="5F192C24"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 xml:space="preserve">Člen določa osnovno strukturo vloge za vrednotenje, ki vključuje klinični in </w:t>
      </w:r>
      <w:proofErr w:type="spellStart"/>
      <w:r w:rsidRPr="00162E0B">
        <w:rPr>
          <w:rFonts w:ascii="Arial" w:eastAsia="Times New Roman" w:hAnsi="Arial" w:cs="Arial"/>
          <w:color w:val="000000" w:themeColor="text1"/>
          <w:sz w:val="20"/>
          <w:szCs w:val="20"/>
          <w:lang w:eastAsia="sl-SI"/>
        </w:rPr>
        <w:t>neklinični</w:t>
      </w:r>
      <w:proofErr w:type="spellEnd"/>
      <w:r w:rsidRPr="00162E0B">
        <w:rPr>
          <w:rFonts w:ascii="Arial" w:eastAsia="Times New Roman" w:hAnsi="Arial" w:cs="Arial"/>
          <w:color w:val="000000" w:themeColor="text1"/>
          <w:sz w:val="20"/>
          <w:szCs w:val="20"/>
          <w:lang w:eastAsia="sl-SI"/>
        </w:rPr>
        <w:t xml:space="preserve"> del, v skladu z zakonom, ki ureja zagotavljanje kakovosti v zdravstvu. S tem se zagotavlja celovita obravnava zdravstvene tehnologije z vidika njene klinične učinkovitosti, varnosti ter ekonomskih, organizacijskih in družbenih vplivov.</w:t>
      </w:r>
    </w:p>
    <w:p w14:paraId="63BF585D"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3EADC838"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Določitev enotne strukture vloge omogoča primerljivost med posameznimi postopki vrednotenja ter prispeva k preglednosti in učinkovitosti postopka.</w:t>
      </w:r>
    </w:p>
    <w:p w14:paraId="2BE6DD6B"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52C919E0" w14:textId="77777777" w:rsidR="00CD0C3B" w:rsidRPr="00437D36" w:rsidRDefault="00CD0C3B" w:rsidP="00CD0C3B">
      <w:pPr>
        <w:spacing w:after="0" w:line="276" w:lineRule="auto"/>
        <w:jc w:val="both"/>
        <w:rPr>
          <w:rFonts w:ascii="Arial" w:eastAsia="Times New Roman" w:hAnsi="Arial" w:cs="Arial"/>
          <w:b/>
          <w:bCs/>
          <w:color w:val="000000" w:themeColor="text1"/>
          <w:sz w:val="20"/>
          <w:szCs w:val="20"/>
          <w:lang w:eastAsia="sl-SI"/>
        </w:rPr>
      </w:pPr>
      <w:r w:rsidRPr="00437D36">
        <w:rPr>
          <w:rFonts w:ascii="Arial" w:eastAsia="Times New Roman" w:hAnsi="Arial" w:cs="Arial"/>
          <w:b/>
          <w:bCs/>
          <w:color w:val="000000" w:themeColor="text1"/>
          <w:sz w:val="20"/>
          <w:szCs w:val="20"/>
          <w:lang w:eastAsia="sl-SI"/>
        </w:rPr>
        <w:t>K 4. členu</w:t>
      </w:r>
    </w:p>
    <w:p w14:paraId="07F29593"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 xml:space="preserve">Člen ureja pripravo kliničnega dela vloge. Če je za zdravstveno tehnologijo že opravljeno skupno klinično vrednotenje na ravni Evropske unije, se to poročilo uporabi kot klinični del vloge, s čimer se preprečuje podvajanje </w:t>
      </w:r>
      <w:r>
        <w:rPr>
          <w:rFonts w:ascii="Arial" w:eastAsia="Times New Roman" w:hAnsi="Arial" w:cs="Arial"/>
          <w:color w:val="000000" w:themeColor="text1"/>
          <w:sz w:val="20"/>
          <w:szCs w:val="20"/>
          <w:lang w:eastAsia="sl-SI"/>
        </w:rPr>
        <w:t>postopkov</w:t>
      </w:r>
      <w:r w:rsidRPr="00162E0B">
        <w:rPr>
          <w:rFonts w:ascii="Arial" w:eastAsia="Times New Roman" w:hAnsi="Arial" w:cs="Arial"/>
          <w:color w:val="000000" w:themeColor="text1"/>
          <w:sz w:val="20"/>
          <w:szCs w:val="20"/>
          <w:lang w:eastAsia="sl-SI"/>
        </w:rPr>
        <w:t xml:space="preserve"> in zagotavlja učinkovita raba virov.</w:t>
      </w:r>
    </w:p>
    <w:p w14:paraId="0060CACC"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1C50B5E6"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Če takšno poročilo ni na voljo, klinični del vloge pripravi predlagatelj v skladu z evropskimi metodološkimi smernicami. Pri tem se uporabi metodološki okvir PICO, ki omogoča strukturirano opredelitev ciljne populacije, intervencije, primerjalnih tehnologij ter relevantnih zdravstvenih izidov.</w:t>
      </w:r>
    </w:p>
    <w:p w14:paraId="5F5EFE76"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5A54EF26"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hkrati omogoča prilagoditev uporabljenega okvira klinični praksi v Republiki Sloveniji ter uporabo mednarodnih podatkov, kadar nacionalni podatki niso na voljo, ob ustrezni utemeljitvi. S tem se zagotavlja strokovno utemeljena in za nacionalni zdravstveni sistem relevantna klinična presoja.</w:t>
      </w:r>
    </w:p>
    <w:p w14:paraId="07676F6E"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262A94A5" w14:textId="77777777" w:rsidR="00CD0C3B" w:rsidRPr="00B545DC" w:rsidRDefault="00CD0C3B" w:rsidP="00CD0C3B">
      <w:pPr>
        <w:spacing w:after="0" w:line="276" w:lineRule="auto"/>
        <w:jc w:val="both"/>
        <w:rPr>
          <w:rFonts w:ascii="Arial" w:eastAsia="Times New Roman" w:hAnsi="Arial" w:cs="Arial"/>
          <w:b/>
          <w:bCs/>
          <w:color w:val="000000" w:themeColor="text1"/>
          <w:sz w:val="20"/>
          <w:szCs w:val="20"/>
          <w:lang w:eastAsia="sl-SI"/>
        </w:rPr>
      </w:pPr>
      <w:r w:rsidRPr="00B545DC">
        <w:rPr>
          <w:rFonts w:ascii="Arial" w:eastAsia="Times New Roman" w:hAnsi="Arial" w:cs="Arial"/>
          <w:b/>
          <w:bCs/>
          <w:color w:val="000000" w:themeColor="text1"/>
          <w:sz w:val="20"/>
          <w:szCs w:val="20"/>
          <w:lang w:eastAsia="sl-SI"/>
        </w:rPr>
        <w:t>K 5. členu</w:t>
      </w:r>
    </w:p>
    <w:p w14:paraId="4A9554EF"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 xml:space="preserve">Člen določa vsebino </w:t>
      </w:r>
      <w:proofErr w:type="spellStart"/>
      <w:r w:rsidRPr="00162E0B">
        <w:rPr>
          <w:rFonts w:ascii="Arial" w:eastAsia="Times New Roman" w:hAnsi="Arial" w:cs="Arial"/>
          <w:color w:val="000000" w:themeColor="text1"/>
          <w:sz w:val="20"/>
          <w:szCs w:val="20"/>
          <w:lang w:eastAsia="sl-SI"/>
        </w:rPr>
        <w:t>nekliničnega</w:t>
      </w:r>
      <w:proofErr w:type="spellEnd"/>
      <w:r w:rsidRPr="00162E0B">
        <w:rPr>
          <w:rFonts w:ascii="Arial" w:eastAsia="Times New Roman" w:hAnsi="Arial" w:cs="Arial"/>
          <w:color w:val="000000" w:themeColor="text1"/>
          <w:sz w:val="20"/>
          <w:szCs w:val="20"/>
          <w:lang w:eastAsia="sl-SI"/>
        </w:rPr>
        <w:t xml:space="preserve"> dela vloge za zdravila, ki obsega predvsem ekonomsko vrednotenje ter presojo širših vplivov uporabe zdravstvene tehnologije. Posebej ureja ekonomski vidik vrednotenja, pri katerem se uporablja </w:t>
      </w:r>
      <w:proofErr w:type="spellStart"/>
      <w:r w:rsidRPr="00162E0B">
        <w:rPr>
          <w:rFonts w:ascii="Arial" w:eastAsia="Times New Roman" w:hAnsi="Arial" w:cs="Arial"/>
          <w:color w:val="000000" w:themeColor="text1"/>
          <w:sz w:val="20"/>
          <w:szCs w:val="20"/>
          <w:lang w:eastAsia="sl-SI"/>
        </w:rPr>
        <w:t>inkrementalno</w:t>
      </w:r>
      <w:proofErr w:type="spellEnd"/>
      <w:r w:rsidRPr="00162E0B">
        <w:rPr>
          <w:rFonts w:ascii="Arial" w:eastAsia="Times New Roman" w:hAnsi="Arial" w:cs="Arial"/>
          <w:color w:val="000000" w:themeColor="text1"/>
          <w:sz w:val="20"/>
          <w:szCs w:val="20"/>
          <w:lang w:eastAsia="sl-SI"/>
        </w:rPr>
        <w:t xml:space="preserve"> razmerje stroškovne učinkovitosti (ICER), izraženo v pridobljenih letih zdravstveno kakovostnega življenja (QALY), ter določa pragove stroškovne učinkovitosti, vezane na bruto domači proizvod na prebivalca.</w:t>
      </w:r>
    </w:p>
    <w:p w14:paraId="5DE82A3E"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2EA96910"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Določene so zahteve glede priprave ekonomskih analiz, vključno z izbiro ustrezne metode, analizo stroškov in učinkovitosti ter analizo finančnih vplivov na javna sredstva. Člen določa tudi obveznost izvedbe analiz</w:t>
      </w:r>
      <w:r>
        <w:rPr>
          <w:rFonts w:ascii="Arial" w:eastAsia="Times New Roman" w:hAnsi="Arial" w:cs="Arial"/>
          <w:color w:val="000000" w:themeColor="text1"/>
          <w:sz w:val="20"/>
          <w:szCs w:val="20"/>
          <w:lang w:eastAsia="sl-SI"/>
        </w:rPr>
        <w:t xml:space="preserve"> občutljivosti</w:t>
      </w:r>
      <w:r w:rsidRPr="00162E0B">
        <w:rPr>
          <w:rFonts w:ascii="Arial" w:eastAsia="Times New Roman" w:hAnsi="Arial" w:cs="Arial"/>
          <w:color w:val="000000" w:themeColor="text1"/>
          <w:sz w:val="20"/>
          <w:szCs w:val="20"/>
          <w:lang w:eastAsia="sl-SI"/>
        </w:rPr>
        <w:t xml:space="preserve"> ter obravnave negotovosti rezultatov, kar prispeva k večji robustnosti in zanesljivosti ekonomskih ocen. Predpisana je tudi predložitev ekonomskih modelov ter transparentnost uporabljenih podatkov in predpostavk.</w:t>
      </w:r>
    </w:p>
    <w:p w14:paraId="34304ACD"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3BB278F5"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dodatno ureja posebnosti vrednotenja za določene skupine zdravil, zlasti za zdravila za redke bolezni, onkološka zdravila in napredne terapije, pri katerih so določeni prilagojeni pragovi stroškovne učinkovitosti.</w:t>
      </w:r>
    </w:p>
    <w:p w14:paraId="48D72AB7"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018E94E9"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Poleg ekonomskega vidika člen ureja tudi etične, pravne, organizacijske in družbene vidike vrednotenja, vključno z vprašanji dostopnosti, pravičnosti, vpliva na zdravstveni sistem ter širšimi družbenimi učinki uporabe zdravila. S tem se zagotavlja celovita presoja zdravstvene tehnologije, ki presega zgolj klinične in ekonomske učinke.</w:t>
      </w:r>
    </w:p>
    <w:p w14:paraId="55F36DBC"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76C59CE3"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V nadaljevanju bolj podrobno utemeljujemo odločitev za različne pragove glede na prirastek učinkovitosti novega zdravila glede na primerjalno zdravilo.</w:t>
      </w:r>
    </w:p>
    <w:p w14:paraId="1620A2BC"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7D0FB9EB" w14:textId="77777777" w:rsidR="00CD0C3B" w:rsidRPr="00EC5273" w:rsidRDefault="00CD0C3B" w:rsidP="00CD0C3B">
      <w:pPr>
        <w:spacing w:after="0" w:line="276" w:lineRule="auto"/>
        <w:jc w:val="both"/>
        <w:rPr>
          <w:rFonts w:ascii="Arial" w:eastAsia="Times New Roman" w:hAnsi="Arial" w:cs="Arial"/>
          <w:color w:val="000000" w:themeColor="text1"/>
          <w:sz w:val="20"/>
          <w:szCs w:val="20"/>
          <w:lang w:eastAsia="sl-SI"/>
        </w:rPr>
      </w:pPr>
      <w:r w:rsidRPr="00EC5273">
        <w:rPr>
          <w:rFonts w:ascii="Arial" w:eastAsia="Times New Roman" w:hAnsi="Arial" w:cs="Arial"/>
          <w:color w:val="000000" w:themeColor="text1"/>
          <w:sz w:val="20"/>
          <w:szCs w:val="20"/>
          <w:lang w:eastAsia="sl-SI"/>
        </w:rPr>
        <w:t>Pri vrednotenju zdravil za redke bolezni, onkoloških zdravil ter zdravil za napredno zdravljenje (ATMP) se v mednarodni HTA praksi uveljavlja pristop prilagajanja mejne vrednosti stroškovne učinkovitosti (ICER) glede na kontekst bolezni in terapevtsko področje. Čeprav ICER ostaja osnovno merilo stroškov na dodatno pridobljeno kakovostno prilagojeno leto življenja (QALY), se njegova interpretacija ne izvaja izolirano, temveč v povezavi s pragom pripravljenosti plačila (WTP) in dodatnimi vrednostnimi merili.</w:t>
      </w:r>
    </w:p>
    <w:p w14:paraId="5F5C7257" w14:textId="77777777" w:rsidR="00CD0C3B" w:rsidRPr="00EC5273" w:rsidRDefault="00CD0C3B" w:rsidP="00CD0C3B">
      <w:pPr>
        <w:spacing w:after="0" w:line="276" w:lineRule="auto"/>
        <w:jc w:val="both"/>
        <w:rPr>
          <w:rFonts w:ascii="Arial" w:eastAsia="Times New Roman" w:hAnsi="Arial" w:cs="Arial"/>
          <w:color w:val="000000" w:themeColor="text1"/>
          <w:sz w:val="20"/>
          <w:szCs w:val="20"/>
          <w:lang w:eastAsia="sl-SI"/>
        </w:rPr>
      </w:pPr>
    </w:p>
    <w:p w14:paraId="789B6B1D" w14:textId="77777777" w:rsidR="00CD0C3B" w:rsidRPr="00EC5273" w:rsidRDefault="00CD0C3B" w:rsidP="00CD0C3B">
      <w:pPr>
        <w:spacing w:after="0" w:line="276" w:lineRule="auto"/>
        <w:jc w:val="both"/>
        <w:rPr>
          <w:rFonts w:ascii="Arial" w:eastAsia="Times New Roman" w:hAnsi="Arial" w:cs="Arial"/>
          <w:color w:val="000000" w:themeColor="text1"/>
          <w:sz w:val="20"/>
          <w:szCs w:val="20"/>
          <w:lang w:eastAsia="sl-SI"/>
        </w:rPr>
      </w:pPr>
      <w:r w:rsidRPr="00EC5273">
        <w:rPr>
          <w:rFonts w:ascii="Arial" w:eastAsia="Times New Roman" w:hAnsi="Arial" w:cs="Arial"/>
          <w:color w:val="000000" w:themeColor="text1"/>
          <w:sz w:val="20"/>
          <w:szCs w:val="20"/>
          <w:lang w:eastAsia="sl-SI"/>
        </w:rPr>
        <w:t>Leta življenja, prilagojena kakovosti (QALY) so zbirni kazalnik zdravstvenih izidov za ekonomske ocene, ki upošteva vpliv tako na preživetje kot na kakovost življenja. Ker so QALY splošni kazalnik zdravstvenih izidov, omogočajo primerjave med različnimi bolezenskimi področji in populacijami.</w:t>
      </w:r>
    </w:p>
    <w:p w14:paraId="7D692CDF"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EC5273">
        <w:rPr>
          <w:rFonts w:ascii="Arial" w:eastAsia="Times New Roman" w:hAnsi="Arial" w:cs="Arial"/>
          <w:color w:val="000000" w:themeColor="text1"/>
          <w:sz w:val="20"/>
          <w:szCs w:val="20"/>
          <w:lang w:eastAsia="sl-SI"/>
        </w:rPr>
        <w:t xml:space="preserve">QALY se izračunajo tako, da se čas, preživet v določenem zdravstvenem stanju, pomnoži s težo (koristnostjo) kakovosti življenja, povezano s tem zdravstvenim stanjem. Na primer, če je posameznik 5 let v zdravstvenem stanju, ki ima povezano koristnost 0,5, bi to ustvarilo 2,5 </w:t>
      </w:r>
      <w:proofErr w:type="spellStart"/>
      <w:r w:rsidRPr="00EC5273">
        <w:rPr>
          <w:rFonts w:ascii="Arial" w:eastAsia="Times New Roman" w:hAnsi="Arial" w:cs="Arial"/>
          <w:color w:val="000000" w:themeColor="text1"/>
          <w:sz w:val="20"/>
          <w:szCs w:val="20"/>
          <w:lang w:eastAsia="sl-SI"/>
        </w:rPr>
        <w:t>nediskontiranih</w:t>
      </w:r>
      <w:proofErr w:type="spellEnd"/>
      <w:r w:rsidRPr="00EC5273">
        <w:rPr>
          <w:rFonts w:ascii="Arial" w:eastAsia="Times New Roman" w:hAnsi="Arial" w:cs="Arial"/>
          <w:color w:val="000000" w:themeColor="text1"/>
          <w:sz w:val="20"/>
          <w:szCs w:val="20"/>
          <w:lang w:eastAsia="sl-SI"/>
        </w:rPr>
        <w:t xml:space="preserve"> QALY (tj. 0,5 QALY pomnoženo s 5 leti).</w:t>
      </w:r>
    </w:p>
    <w:p w14:paraId="46EB523C" w14:textId="77777777" w:rsidR="00CD0C3B" w:rsidRPr="00EC5273" w:rsidRDefault="00CD0C3B" w:rsidP="00CD0C3B">
      <w:pPr>
        <w:spacing w:after="0" w:line="276" w:lineRule="auto"/>
        <w:jc w:val="both"/>
        <w:rPr>
          <w:rFonts w:ascii="Arial" w:eastAsia="Times New Roman" w:hAnsi="Arial" w:cs="Arial"/>
          <w:color w:val="000000" w:themeColor="text1"/>
          <w:sz w:val="20"/>
          <w:szCs w:val="20"/>
          <w:lang w:eastAsia="sl-SI"/>
        </w:rPr>
      </w:pPr>
    </w:p>
    <w:p w14:paraId="4CBE9EF0" w14:textId="77777777" w:rsidR="00CD0C3B" w:rsidRPr="00EC5273" w:rsidRDefault="00CD0C3B" w:rsidP="00CD0C3B">
      <w:pPr>
        <w:spacing w:after="0" w:line="276" w:lineRule="auto"/>
        <w:jc w:val="both"/>
        <w:rPr>
          <w:rFonts w:ascii="Arial" w:eastAsia="Times New Roman" w:hAnsi="Arial" w:cs="Arial"/>
          <w:color w:val="000000" w:themeColor="text1"/>
          <w:sz w:val="20"/>
          <w:szCs w:val="20"/>
          <w:lang w:eastAsia="sl-SI"/>
        </w:rPr>
      </w:pPr>
      <w:r w:rsidRPr="00EC5273">
        <w:rPr>
          <w:rFonts w:ascii="Arial" w:eastAsia="Times New Roman" w:hAnsi="Arial" w:cs="Arial"/>
          <w:color w:val="000000" w:themeColor="text1"/>
          <w:sz w:val="20"/>
          <w:szCs w:val="20"/>
          <w:lang w:eastAsia="sl-SI"/>
        </w:rPr>
        <w:t>V številnih evropskih HTA sistemih, kot so Združeno kraljestvo (NICE), Švedska (TLV) in Norveška (NOMA), se za stanja z visoko resnostjo bolezni, neizpolnjenimi terapevtskimi potrebami, redkostjo bolezni ali visoko stopnjo inovativnosti uporablja prilagodljiv pristop k vrednotenju, ki lahko vključuje višje sprejemljive vrednosti ICER ali implicitne vrednostne “premije” za določene skupine zdravil.</w:t>
      </w:r>
    </w:p>
    <w:p w14:paraId="47E4408B"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EC5273">
        <w:rPr>
          <w:rFonts w:ascii="Arial" w:eastAsia="Times New Roman" w:hAnsi="Arial" w:cs="Arial"/>
          <w:color w:val="000000" w:themeColor="text1"/>
          <w:sz w:val="20"/>
          <w:szCs w:val="20"/>
          <w:lang w:eastAsia="sl-SI"/>
        </w:rPr>
        <w:t>Skladno s tem se tudi v okviru tega predloga predvideva možnost prilagoditve mejne vrednosti ICER za zdravila za redke bolezni, onkološka zdravila in ATMP, pri čemer se višina sprejemljivega praga določa glede na učinkovitost zdravstvene tehnologije izražene skozi velikost QALY prirastka proti primerjalniku, in s čimer želimo nakazati v vrednotenju na breme bolezni oziroma resnost bolezenskega stanja</w:t>
      </w:r>
      <w:r>
        <w:rPr>
          <w:rFonts w:ascii="Arial" w:eastAsia="Times New Roman" w:hAnsi="Arial" w:cs="Arial"/>
          <w:color w:val="000000" w:themeColor="text1"/>
          <w:sz w:val="20"/>
          <w:szCs w:val="20"/>
          <w:lang w:eastAsia="sl-SI"/>
        </w:rPr>
        <w:t xml:space="preserve"> in neizpolnjene zdravstvene potrebe</w:t>
      </w:r>
      <w:r w:rsidRPr="00EC5273">
        <w:rPr>
          <w:rFonts w:ascii="Arial" w:eastAsia="Times New Roman" w:hAnsi="Arial" w:cs="Arial"/>
          <w:color w:val="000000" w:themeColor="text1"/>
          <w:sz w:val="20"/>
          <w:szCs w:val="20"/>
          <w:lang w:eastAsia="sl-SI"/>
        </w:rPr>
        <w:t xml:space="preserve">. Da bi vpeljali metodološko bolj </w:t>
      </w:r>
      <w:r>
        <w:rPr>
          <w:rFonts w:ascii="Arial" w:eastAsia="Times New Roman" w:hAnsi="Arial" w:cs="Arial"/>
          <w:color w:val="000000" w:themeColor="text1"/>
          <w:sz w:val="20"/>
          <w:szCs w:val="20"/>
          <w:lang w:eastAsia="sl-SI"/>
        </w:rPr>
        <w:t>natančen pristop</w:t>
      </w:r>
      <w:r w:rsidRPr="00EC5273">
        <w:rPr>
          <w:rFonts w:ascii="Arial" w:eastAsia="Times New Roman" w:hAnsi="Arial" w:cs="Arial"/>
          <w:color w:val="000000" w:themeColor="text1"/>
          <w:sz w:val="20"/>
          <w:szCs w:val="20"/>
          <w:lang w:eastAsia="sl-SI"/>
        </w:rPr>
        <w:t xml:space="preserve"> za </w:t>
      </w:r>
      <w:r>
        <w:rPr>
          <w:rFonts w:ascii="Arial" w:eastAsia="Times New Roman" w:hAnsi="Arial" w:cs="Arial"/>
          <w:color w:val="000000" w:themeColor="text1"/>
          <w:sz w:val="20"/>
          <w:szCs w:val="20"/>
          <w:lang w:eastAsia="sl-SI"/>
        </w:rPr>
        <w:t xml:space="preserve">ocenitev </w:t>
      </w:r>
      <w:r w:rsidRPr="00EC5273">
        <w:rPr>
          <w:rFonts w:ascii="Arial" w:eastAsia="Times New Roman" w:hAnsi="Arial" w:cs="Arial"/>
          <w:color w:val="000000" w:themeColor="text1"/>
          <w:sz w:val="20"/>
          <w:szCs w:val="20"/>
          <w:lang w:eastAsia="sl-SI"/>
        </w:rPr>
        <w:t>breme</w:t>
      </w:r>
      <w:r>
        <w:rPr>
          <w:rFonts w:ascii="Arial" w:eastAsia="Times New Roman" w:hAnsi="Arial" w:cs="Arial"/>
          <w:color w:val="000000" w:themeColor="text1"/>
          <w:sz w:val="20"/>
          <w:szCs w:val="20"/>
          <w:lang w:eastAsia="sl-SI"/>
        </w:rPr>
        <w:t>na</w:t>
      </w:r>
      <w:r w:rsidRPr="00EC5273">
        <w:rPr>
          <w:rFonts w:ascii="Arial" w:eastAsia="Times New Roman" w:hAnsi="Arial" w:cs="Arial"/>
          <w:color w:val="000000" w:themeColor="text1"/>
          <w:sz w:val="20"/>
          <w:szCs w:val="20"/>
          <w:lang w:eastAsia="sl-SI"/>
        </w:rPr>
        <w:t xml:space="preserve"> bolezni, kot </w:t>
      </w:r>
      <w:r>
        <w:rPr>
          <w:rFonts w:ascii="Arial" w:eastAsia="Times New Roman" w:hAnsi="Arial" w:cs="Arial"/>
          <w:color w:val="000000" w:themeColor="text1"/>
          <w:sz w:val="20"/>
          <w:szCs w:val="20"/>
          <w:lang w:eastAsia="sl-SI"/>
        </w:rPr>
        <w:t>ga uporablja npr. n</w:t>
      </w:r>
      <w:r w:rsidRPr="00EC5273">
        <w:rPr>
          <w:rFonts w:ascii="Arial" w:eastAsia="Times New Roman" w:hAnsi="Arial" w:cs="Arial"/>
          <w:color w:val="000000" w:themeColor="text1"/>
          <w:sz w:val="20"/>
          <w:szCs w:val="20"/>
          <w:lang w:eastAsia="sl-SI"/>
        </w:rPr>
        <w:t>izozemski ZIN,</w:t>
      </w:r>
      <w:r>
        <w:rPr>
          <w:rFonts w:ascii="Arial" w:eastAsia="Times New Roman" w:hAnsi="Arial" w:cs="Arial"/>
          <w:color w:val="000000" w:themeColor="text1"/>
          <w:sz w:val="20"/>
          <w:szCs w:val="20"/>
          <w:lang w:eastAsia="sl-SI"/>
        </w:rPr>
        <w:t xml:space="preserve"> zahteva razvoj dodatnih analitičnih orodij in zbirk podatkov, ki jih še nimamo. Skozi ta </w:t>
      </w:r>
      <w:r w:rsidRPr="00EC5273">
        <w:rPr>
          <w:rFonts w:ascii="Arial" w:eastAsia="Times New Roman" w:hAnsi="Arial" w:cs="Arial"/>
          <w:color w:val="000000" w:themeColor="text1"/>
          <w:sz w:val="20"/>
          <w:szCs w:val="20"/>
          <w:lang w:eastAsia="sl-SI"/>
        </w:rPr>
        <w:t xml:space="preserve">predlog </w:t>
      </w:r>
      <w:r>
        <w:rPr>
          <w:rFonts w:ascii="Arial" w:eastAsia="Times New Roman" w:hAnsi="Arial" w:cs="Arial"/>
          <w:color w:val="000000" w:themeColor="text1"/>
          <w:sz w:val="20"/>
          <w:szCs w:val="20"/>
          <w:lang w:eastAsia="sl-SI"/>
        </w:rPr>
        <w:t xml:space="preserve">pa želimo </w:t>
      </w:r>
      <w:r w:rsidRPr="00EC5273">
        <w:rPr>
          <w:rFonts w:ascii="Arial" w:eastAsia="Times New Roman" w:hAnsi="Arial" w:cs="Arial"/>
          <w:color w:val="000000" w:themeColor="text1"/>
          <w:sz w:val="20"/>
          <w:szCs w:val="20"/>
          <w:lang w:eastAsia="sl-SI"/>
        </w:rPr>
        <w:t>nakazati, da bi se slovenski sitem razvil v to smer.</w:t>
      </w:r>
    </w:p>
    <w:p w14:paraId="1A8CE8CB"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2ACB747C" w14:textId="77777777" w:rsidR="00CD0C3B"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p>
    <w:p w14:paraId="5A40907D" w14:textId="77777777" w:rsidR="00CD0C3B" w:rsidRPr="00D05433"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r w:rsidRPr="00D05433">
        <w:rPr>
          <w:rFonts w:ascii="Arial" w:eastAsia="Times New Roman" w:hAnsi="Arial" w:cs="Arial"/>
          <w:b/>
          <w:bCs/>
          <w:color w:val="000000" w:themeColor="text1"/>
          <w:sz w:val="20"/>
          <w:szCs w:val="20"/>
          <w:lang w:eastAsia="sl-SI"/>
        </w:rPr>
        <w:t>Združeno kraljestvo (NICE)</w:t>
      </w:r>
    </w:p>
    <w:p w14:paraId="79F3E446" w14:textId="77777777" w:rsidR="00CD0C3B" w:rsidRPr="006A3BC4" w:rsidRDefault="00CD0C3B" w:rsidP="00CD0C3B">
      <w:pPr>
        <w:numPr>
          <w:ilvl w:val="0"/>
          <w:numId w:val="1"/>
        </w:numPr>
        <w:shd w:val="clear" w:color="auto" w:fill="FFFFFF"/>
        <w:spacing w:after="100" w:afterAutospacing="1" w:line="240" w:lineRule="auto"/>
        <w:textAlignment w:val="baseline"/>
        <w:rPr>
          <w:rFonts w:ascii="Arial" w:eastAsia="Times New Roman" w:hAnsi="Arial" w:cs="Arial"/>
          <w:color w:val="000000" w:themeColor="text1"/>
          <w:sz w:val="20"/>
          <w:szCs w:val="20"/>
          <w:lang w:eastAsia="sl-SI"/>
        </w:rPr>
      </w:pPr>
      <w:r w:rsidRPr="006A3BC4">
        <w:rPr>
          <w:rFonts w:ascii="Arial" w:eastAsia="Times New Roman" w:hAnsi="Arial" w:cs="Arial"/>
          <w:color w:val="000000" w:themeColor="text1"/>
          <w:sz w:val="20"/>
          <w:szCs w:val="20"/>
          <w:lang w:eastAsia="sl-SI"/>
        </w:rPr>
        <w:t>uporablja standardni ICER prag (20–30.000 GBP/QALY)</w:t>
      </w:r>
    </w:p>
    <w:p w14:paraId="1C893B9B" w14:textId="77777777" w:rsidR="00CD0C3B" w:rsidRPr="006A3BC4" w:rsidRDefault="00CD0C3B" w:rsidP="00CD0C3B">
      <w:pPr>
        <w:numPr>
          <w:ilvl w:val="0"/>
          <w:numId w:val="1"/>
        </w:numPr>
        <w:shd w:val="clear" w:color="auto" w:fill="FFFFFF"/>
        <w:spacing w:before="100" w:beforeAutospacing="1" w:after="100" w:afterAutospacing="1" w:line="240" w:lineRule="auto"/>
        <w:textAlignment w:val="baseline"/>
        <w:rPr>
          <w:rFonts w:ascii="Arial" w:eastAsia="Times New Roman" w:hAnsi="Arial" w:cs="Arial"/>
          <w:color w:val="000000" w:themeColor="text1"/>
          <w:sz w:val="20"/>
          <w:szCs w:val="20"/>
          <w:lang w:eastAsia="sl-SI"/>
        </w:rPr>
      </w:pPr>
      <w:proofErr w:type="spellStart"/>
      <w:r w:rsidRPr="006A3BC4">
        <w:rPr>
          <w:rFonts w:ascii="Arial" w:eastAsia="Times New Roman" w:hAnsi="Arial" w:cs="Arial"/>
          <w:color w:val="000000" w:themeColor="text1"/>
          <w:sz w:val="20"/>
          <w:szCs w:val="20"/>
          <w:lang w:eastAsia="sl-SI"/>
        </w:rPr>
        <w:t>end-of-life</w:t>
      </w:r>
      <w:proofErr w:type="spellEnd"/>
      <w:r w:rsidRPr="006A3BC4">
        <w:rPr>
          <w:rFonts w:ascii="Arial" w:eastAsia="Times New Roman" w:hAnsi="Arial" w:cs="Arial"/>
          <w:color w:val="000000" w:themeColor="text1"/>
          <w:sz w:val="20"/>
          <w:szCs w:val="20"/>
          <w:lang w:eastAsia="sl-SI"/>
        </w:rPr>
        <w:t xml:space="preserve"> </w:t>
      </w:r>
      <w:proofErr w:type="spellStart"/>
      <w:r w:rsidRPr="006A3BC4">
        <w:rPr>
          <w:rFonts w:ascii="Arial" w:eastAsia="Times New Roman" w:hAnsi="Arial" w:cs="Arial"/>
          <w:color w:val="000000" w:themeColor="text1"/>
          <w:sz w:val="20"/>
          <w:szCs w:val="20"/>
          <w:lang w:eastAsia="sl-SI"/>
        </w:rPr>
        <w:t>premium</w:t>
      </w:r>
      <w:proofErr w:type="spellEnd"/>
      <w:r w:rsidRPr="006A3BC4">
        <w:rPr>
          <w:rFonts w:ascii="Arial" w:eastAsia="Times New Roman" w:hAnsi="Arial" w:cs="Arial"/>
          <w:color w:val="000000" w:themeColor="text1"/>
          <w:sz w:val="20"/>
          <w:szCs w:val="20"/>
          <w:lang w:eastAsia="sl-SI"/>
        </w:rPr>
        <w:t> (višji sprejemljiv ICER za terminalne bolezni vse do 50.000 GBP/QALY.</w:t>
      </w:r>
    </w:p>
    <w:p w14:paraId="57C06B9E" w14:textId="77777777" w:rsidR="00CD0C3B" w:rsidRPr="006A3BC4" w:rsidRDefault="00CD0C3B" w:rsidP="00CD0C3B">
      <w:pPr>
        <w:numPr>
          <w:ilvl w:val="0"/>
          <w:numId w:val="1"/>
        </w:numPr>
        <w:shd w:val="clear" w:color="auto" w:fill="FFFFFF"/>
        <w:spacing w:before="100" w:beforeAutospacing="1" w:after="100" w:afterAutospacing="1" w:line="240" w:lineRule="auto"/>
        <w:textAlignment w:val="baseline"/>
        <w:rPr>
          <w:rFonts w:ascii="Arial" w:eastAsia="Times New Roman" w:hAnsi="Arial" w:cs="Arial"/>
          <w:color w:val="000000" w:themeColor="text1"/>
          <w:sz w:val="20"/>
          <w:szCs w:val="20"/>
          <w:lang w:eastAsia="sl-SI"/>
        </w:rPr>
      </w:pPr>
      <w:r w:rsidRPr="006A3BC4">
        <w:rPr>
          <w:rFonts w:ascii="Arial" w:eastAsia="Times New Roman" w:hAnsi="Arial" w:cs="Arial"/>
          <w:color w:val="000000" w:themeColor="text1"/>
          <w:sz w:val="20"/>
          <w:szCs w:val="20"/>
          <w:lang w:eastAsia="sl-SI"/>
        </w:rPr>
        <w:t>dodatna fleksibilnost za onkologijo in težk</w:t>
      </w:r>
      <w:r>
        <w:rPr>
          <w:rFonts w:ascii="Arial" w:eastAsia="Times New Roman" w:hAnsi="Arial" w:cs="Arial"/>
          <w:color w:val="000000" w:themeColor="text1"/>
          <w:sz w:val="20"/>
          <w:szCs w:val="20"/>
          <w:lang w:eastAsia="sl-SI"/>
        </w:rPr>
        <w:t>e bolezni</w:t>
      </w:r>
    </w:p>
    <w:p w14:paraId="0BED8317" w14:textId="77777777" w:rsidR="00CD0C3B" w:rsidRDefault="00CD0C3B" w:rsidP="00CD0C3B">
      <w:pPr>
        <w:numPr>
          <w:ilvl w:val="0"/>
          <w:numId w:val="1"/>
        </w:numPr>
        <w:shd w:val="clear" w:color="auto" w:fill="FFFFFF"/>
        <w:spacing w:beforeAutospacing="1" w:after="0" w:afterAutospacing="1" w:line="240" w:lineRule="auto"/>
        <w:textAlignment w:val="baseline"/>
        <w:rPr>
          <w:rFonts w:ascii="Arial" w:eastAsia="Times New Roman" w:hAnsi="Arial" w:cs="Arial"/>
          <w:color w:val="000000" w:themeColor="text1"/>
          <w:sz w:val="20"/>
          <w:szCs w:val="20"/>
          <w:lang w:eastAsia="sl-SI"/>
        </w:rPr>
      </w:pPr>
      <w:r w:rsidRPr="006A3BC4">
        <w:rPr>
          <w:rFonts w:ascii="Arial" w:eastAsia="Times New Roman" w:hAnsi="Arial" w:cs="Arial"/>
          <w:color w:val="000000" w:themeColor="text1"/>
          <w:sz w:val="20"/>
          <w:szCs w:val="20"/>
          <w:lang w:eastAsia="sl-SI"/>
        </w:rPr>
        <w:t>ultra redke bolezni (</w:t>
      </w:r>
      <w:proofErr w:type="spellStart"/>
      <w:r w:rsidRPr="006A3BC4">
        <w:rPr>
          <w:rFonts w:ascii="Arial" w:eastAsia="Times New Roman" w:hAnsi="Arial" w:cs="Arial"/>
          <w:color w:val="000000" w:themeColor="text1"/>
          <w:sz w:val="20"/>
          <w:szCs w:val="20"/>
          <w:lang w:eastAsia="sl-SI"/>
        </w:rPr>
        <w:t>Highly</w:t>
      </w:r>
      <w:proofErr w:type="spellEnd"/>
      <w:r w:rsidRPr="006A3BC4">
        <w:rPr>
          <w:rFonts w:ascii="Arial" w:eastAsia="Times New Roman" w:hAnsi="Arial" w:cs="Arial"/>
          <w:color w:val="000000" w:themeColor="text1"/>
          <w:sz w:val="20"/>
          <w:szCs w:val="20"/>
          <w:lang w:eastAsia="sl-SI"/>
        </w:rPr>
        <w:t xml:space="preserve"> </w:t>
      </w:r>
      <w:proofErr w:type="spellStart"/>
      <w:r w:rsidRPr="006A3BC4">
        <w:rPr>
          <w:rFonts w:ascii="Arial" w:eastAsia="Times New Roman" w:hAnsi="Arial" w:cs="Arial"/>
          <w:color w:val="000000" w:themeColor="text1"/>
          <w:sz w:val="20"/>
          <w:szCs w:val="20"/>
          <w:lang w:eastAsia="sl-SI"/>
        </w:rPr>
        <w:t>Specialised</w:t>
      </w:r>
      <w:proofErr w:type="spellEnd"/>
      <w:r w:rsidRPr="006A3BC4">
        <w:rPr>
          <w:rFonts w:ascii="Arial" w:eastAsia="Times New Roman" w:hAnsi="Arial" w:cs="Arial"/>
          <w:color w:val="000000" w:themeColor="text1"/>
          <w:sz w:val="20"/>
          <w:szCs w:val="20"/>
          <w:lang w:eastAsia="sl-SI"/>
        </w:rPr>
        <w:t xml:space="preserve"> Technologies) prag vse do 100.000 GBP/QALY in v izjemnih primerih celo do 300.000 GBP/QALY</w:t>
      </w:r>
    </w:p>
    <w:p w14:paraId="31CAB20B" w14:textId="77777777" w:rsidR="00CD0C3B" w:rsidRPr="006A3BC4" w:rsidRDefault="00CD0C3B" w:rsidP="00CD0C3B">
      <w:pPr>
        <w:shd w:val="clear" w:color="auto" w:fill="FFFFFF"/>
        <w:spacing w:beforeAutospacing="1" w:after="0" w:afterAutospacing="1" w:line="240" w:lineRule="auto"/>
        <w:textAlignment w:val="baseline"/>
        <w:rPr>
          <w:rFonts w:ascii="Arial" w:eastAsia="Times New Roman" w:hAnsi="Arial" w:cs="Arial"/>
          <w:color w:val="000000" w:themeColor="text1"/>
          <w:sz w:val="20"/>
          <w:szCs w:val="20"/>
          <w:lang w:eastAsia="sl-SI"/>
        </w:rPr>
      </w:pPr>
      <w:r w:rsidRPr="006A3BC4">
        <w:rPr>
          <w:rFonts w:ascii="Arial" w:eastAsia="Times New Roman" w:hAnsi="Arial" w:cs="Arial"/>
          <w:color w:val="000000" w:themeColor="text1"/>
          <w:sz w:val="20"/>
          <w:szCs w:val="20"/>
          <w:lang w:eastAsia="sl-SI"/>
        </w:rPr>
        <w:t xml:space="preserve"> vir: NICE </w:t>
      </w:r>
      <w:proofErr w:type="spellStart"/>
      <w:r w:rsidRPr="00F31F00">
        <w:rPr>
          <w:rFonts w:ascii="Arial" w:eastAsia="Times New Roman" w:hAnsi="Arial" w:cs="Arial"/>
          <w:color w:val="000000" w:themeColor="text1"/>
          <w:sz w:val="20"/>
          <w:szCs w:val="20"/>
          <w:lang w:eastAsia="sl-SI"/>
        </w:rPr>
        <w:t>Health</w:t>
      </w:r>
      <w:proofErr w:type="spellEnd"/>
      <w:r w:rsidRPr="00F31F00">
        <w:rPr>
          <w:rFonts w:ascii="Arial" w:eastAsia="Times New Roman" w:hAnsi="Arial" w:cs="Arial"/>
          <w:color w:val="000000" w:themeColor="text1"/>
          <w:sz w:val="20"/>
          <w:szCs w:val="20"/>
          <w:lang w:eastAsia="sl-SI"/>
        </w:rPr>
        <w:t xml:space="preserve"> </w:t>
      </w:r>
      <w:proofErr w:type="spellStart"/>
      <w:r w:rsidRPr="00F31F00">
        <w:rPr>
          <w:rFonts w:ascii="Arial" w:eastAsia="Times New Roman" w:hAnsi="Arial" w:cs="Arial"/>
          <w:color w:val="000000" w:themeColor="text1"/>
          <w:sz w:val="20"/>
          <w:szCs w:val="20"/>
          <w:lang w:eastAsia="sl-SI"/>
        </w:rPr>
        <w:t>Technology</w:t>
      </w:r>
      <w:proofErr w:type="spellEnd"/>
      <w:r w:rsidRPr="00F31F00">
        <w:rPr>
          <w:rFonts w:ascii="Arial" w:eastAsia="Times New Roman" w:hAnsi="Arial" w:cs="Arial"/>
          <w:color w:val="000000" w:themeColor="text1"/>
          <w:sz w:val="20"/>
          <w:szCs w:val="20"/>
          <w:lang w:eastAsia="sl-SI"/>
        </w:rPr>
        <w:t xml:space="preserve"> </w:t>
      </w:r>
      <w:proofErr w:type="spellStart"/>
      <w:r w:rsidRPr="00F31F00">
        <w:rPr>
          <w:rFonts w:ascii="Arial" w:eastAsia="Times New Roman" w:hAnsi="Arial" w:cs="Arial"/>
          <w:color w:val="000000" w:themeColor="text1"/>
          <w:sz w:val="20"/>
          <w:szCs w:val="20"/>
          <w:lang w:eastAsia="sl-SI"/>
        </w:rPr>
        <w:t>Evaluation</w:t>
      </w:r>
      <w:proofErr w:type="spellEnd"/>
      <w:r w:rsidRPr="00F31F00">
        <w:rPr>
          <w:rFonts w:ascii="Arial" w:eastAsia="Times New Roman" w:hAnsi="Arial" w:cs="Arial"/>
          <w:color w:val="000000" w:themeColor="text1"/>
          <w:sz w:val="20"/>
          <w:szCs w:val="20"/>
          <w:lang w:eastAsia="sl-SI"/>
        </w:rPr>
        <w:t xml:space="preserve">: </w:t>
      </w:r>
      <w:proofErr w:type="spellStart"/>
      <w:r w:rsidRPr="00F31F00">
        <w:rPr>
          <w:rFonts w:ascii="Arial" w:eastAsia="Times New Roman" w:hAnsi="Arial" w:cs="Arial"/>
          <w:color w:val="000000" w:themeColor="text1"/>
          <w:sz w:val="20"/>
          <w:szCs w:val="20"/>
          <w:lang w:eastAsia="sl-SI"/>
        </w:rPr>
        <w:t>Methods</w:t>
      </w:r>
      <w:proofErr w:type="spellEnd"/>
      <w:r w:rsidRPr="00F31F00">
        <w:rPr>
          <w:rFonts w:ascii="Arial" w:eastAsia="Times New Roman" w:hAnsi="Arial" w:cs="Arial"/>
          <w:color w:val="000000" w:themeColor="text1"/>
          <w:sz w:val="20"/>
          <w:szCs w:val="20"/>
          <w:lang w:eastAsia="sl-SI"/>
        </w:rPr>
        <w:t xml:space="preserve"> </w:t>
      </w:r>
      <w:proofErr w:type="spellStart"/>
      <w:r w:rsidRPr="00F31F00">
        <w:rPr>
          <w:rFonts w:ascii="Arial" w:eastAsia="Times New Roman" w:hAnsi="Arial" w:cs="Arial"/>
          <w:color w:val="000000" w:themeColor="text1"/>
          <w:sz w:val="20"/>
          <w:szCs w:val="20"/>
          <w:lang w:eastAsia="sl-SI"/>
        </w:rPr>
        <w:t>Guide</w:t>
      </w:r>
      <w:proofErr w:type="spellEnd"/>
      <w:r w:rsidRPr="00F31F00">
        <w:rPr>
          <w:rFonts w:ascii="Arial" w:eastAsia="Times New Roman" w:hAnsi="Arial" w:cs="Arial"/>
          <w:color w:val="000000" w:themeColor="text1"/>
          <w:sz w:val="20"/>
          <w:szCs w:val="20"/>
          <w:lang w:eastAsia="sl-SI"/>
        </w:rPr>
        <w:t>, 2022. Dostopno na: www.nice.org.uk</w:t>
      </w:r>
    </w:p>
    <w:p w14:paraId="481D1BAC" w14:textId="77777777" w:rsidR="00CD0C3B" w:rsidRPr="00D05433"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r w:rsidRPr="000D109F">
        <w:rPr>
          <w:rFonts w:ascii="Segoe UI" w:eastAsia="Times New Roman" w:hAnsi="Segoe UI" w:cs="Segoe UI"/>
          <w:b/>
          <w:bCs/>
          <w:color w:val="242424"/>
          <w:sz w:val="23"/>
          <w:szCs w:val="23"/>
          <w:lang w:eastAsia="sl-SI"/>
        </w:rPr>
        <w:t> </w:t>
      </w:r>
      <w:r w:rsidRPr="00D05433">
        <w:rPr>
          <w:rFonts w:ascii="Arial" w:eastAsia="Times New Roman" w:hAnsi="Arial" w:cs="Arial"/>
          <w:b/>
          <w:bCs/>
          <w:color w:val="000000" w:themeColor="text1"/>
          <w:sz w:val="20"/>
          <w:szCs w:val="20"/>
          <w:lang w:eastAsia="sl-SI"/>
        </w:rPr>
        <w:t xml:space="preserve">Švedska (TLV – Dental </w:t>
      </w:r>
      <w:proofErr w:type="spellStart"/>
      <w:r w:rsidRPr="00D05433">
        <w:rPr>
          <w:rFonts w:ascii="Arial" w:eastAsia="Times New Roman" w:hAnsi="Arial" w:cs="Arial"/>
          <w:b/>
          <w:bCs/>
          <w:color w:val="000000" w:themeColor="text1"/>
          <w:sz w:val="20"/>
          <w:szCs w:val="20"/>
          <w:lang w:eastAsia="sl-SI"/>
        </w:rPr>
        <w:t>and</w:t>
      </w:r>
      <w:proofErr w:type="spellEnd"/>
      <w:r w:rsidRPr="00D05433">
        <w:rPr>
          <w:rFonts w:ascii="Arial" w:eastAsia="Times New Roman" w:hAnsi="Arial" w:cs="Arial"/>
          <w:b/>
          <w:bCs/>
          <w:color w:val="000000" w:themeColor="text1"/>
          <w:sz w:val="20"/>
          <w:szCs w:val="20"/>
          <w:lang w:eastAsia="sl-SI"/>
        </w:rPr>
        <w:t xml:space="preserve"> </w:t>
      </w:r>
      <w:proofErr w:type="spellStart"/>
      <w:r w:rsidRPr="00D05433">
        <w:rPr>
          <w:rFonts w:ascii="Arial" w:eastAsia="Times New Roman" w:hAnsi="Arial" w:cs="Arial"/>
          <w:b/>
          <w:bCs/>
          <w:color w:val="000000" w:themeColor="text1"/>
          <w:sz w:val="20"/>
          <w:szCs w:val="20"/>
          <w:lang w:eastAsia="sl-SI"/>
        </w:rPr>
        <w:t>Pharmaceutical</w:t>
      </w:r>
      <w:proofErr w:type="spellEnd"/>
      <w:r w:rsidRPr="00D05433">
        <w:rPr>
          <w:rFonts w:ascii="Arial" w:eastAsia="Times New Roman" w:hAnsi="Arial" w:cs="Arial"/>
          <w:b/>
          <w:bCs/>
          <w:color w:val="000000" w:themeColor="text1"/>
          <w:sz w:val="20"/>
          <w:szCs w:val="20"/>
          <w:lang w:eastAsia="sl-SI"/>
        </w:rPr>
        <w:t xml:space="preserve"> </w:t>
      </w:r>
      <w:proofErr w:type="spellStart"/>
      <w:r w:rsidRPr="00D05433">
        <w:rPr>
          <w:rFonts w:ascii="Arial" w:eastAsia="Times New Roman" w:hAnsi="Arial" w:cs="Arial"/>
          <w:b/>
          <w:bCs/>
          <w:color w:val="000000" w:themeColor="text1"/>
          <w:sz w:val="20"/>
          <w:szCs w:val="20"/>
          <w:lang w:eastAsia="sl-SI"/>
        </w:rPr>
        <w:t>Benefits</w:t>
      </w:r>
      <w:proofErr w:type="spellEnd"/>
      <w:r w:rsidRPr="00D05433">
        <w:rPr>
          <w:rFonts w:ascii="Arial" w:eastAsia="Times New Roman" w:hAnsi="Arial" w:cs="Arial"/>
          <w:b/>
          <w:bCs/>
          <w:color w:val="000000" w:themeColor="text1"/>
          <w:sz w:val="20"/>
          <w:szCs w:val="20"/>
          <w:lang w:eastAsia="sl-SI"/>
        </w:rPr>
        <w:t xml:space="preserve"> </w:t>
      </w:r>
      <w:proofErr w:type="spellStart"/>
      <w:r w:rsidRPr="00D05433">
        <w:rPr>
          <w:rFonts w:ascii="Arial" w:eastAsia="Times New Roman" w:hAnsi="Arial" w:cs="Arial"/>
          <w:b/>
          <w:bCs/>
          <w:color w:val="000000" w:themeColor="text1"/>
          <w:sz w:val="20"/>
          <w:szCs w:val="20"/>
          <w:lang w:eastAsia="sl-SI"/>
        </w:rPr>
        <w:t>Agency</w:t>
      </w:r>
      <w:proofErr w:type="spellEnd"/>
      <w:r w:rsidRPr="00D05433">
        <w:rPr>
          <w:rFonts w:ascii="Arial" w:eastAsia="Times New Roman" w:hAnsi="Arial" w:cs="Arial"/>
          <w:b/>
          <w:bCs/>
          <w:color w:val="000000" w:themeColor="text1"/>
          <w:sz w:val="20"/>
          <w:szCs w:val="20"/>
          <w:lang w:eastAsia="sl-SI"/>
        </w:rPr>
        <w:t>)</w:t>
      </w:r>
    </w:p>
    <w:p w14:paraId="1FBB80DC" w14:textId="77777777" w:rsidR="00CD0C3B" w:rsidRPr="00D05433" w:rsidRDefault="00CD0C3B" w:rsidP="00CD0C3B">
      <w:pPr>
        <w:numPr>
          <w:ilvl w:val="0"/>
          <w:numId w:val="2"/>
        </w:numPr>
        <w:shd w:val="clear" w:color="auto" w:fill="FFFFFF"/>
        <w:spacing w:after="100" w:afterAutospacing="1" w:line="240" w:lineRule="auto"/>
        <w:textAlignment w:val="baseline"/>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eksplicitno priznava </w:t>
      </w:r>
      <w:proofErr w:type="spellStart"/>
      <w:r w:rsidRPr="00D05433">
        <w:rPr>
          <w:rFonts w:ascii="Arial" w:eastAsia="Times New Roman" w:hAnsi="Arial" w:cs="Arial"/>
          <w:color w:val="000000" w:themeColor="text1"/>
          <w:sz w:val="20"/>
          <w:szCs w:val="20"/>
          <w:lang w:eastAsia="sl-SI"/>
        </w:rPr>
        <w:t>solidarity</w:t>
      </w:r>
      <w:proofErr w:type="spellEnd"/>
      <w:r w:rsidRPr="00D05433">
        <w:rPr>
          <w:rFonts w:ascii="Arial" w:eastAsia="Times New Roman" w:hAnsi="Arial" w:cs="Arial"/>
          <w:color w:val="000000" w:themeColor="text1"/>
          <w:sz w:val="20"/>
          <w:szCs w:val="20"/>
          <w:lang w:eastAsia="sl-SI"/>
        </w:rPr>
        <w:t xml:space="preserve"> </w:t>
      </w:r>
      <w:proofErr w:type="spellStart"/>
      <w:r w:rsidRPr="00D05433">
        <w:rPr>
          <w:rFonts w:ascii="Arial" w:eastAsia="Times New Roman" w:hAnsi="Arial" w:cs="Arial"/>
          <w:color w:val="000000" w:themeColor="text1"/>
          <w:sz w:val="20"/>
          <w:szCs w:val="20"/>
          <w:lang w:eastAsia="sl-SI"/>
        </w:rPr>
        <w:t>principle</w:t>
      </w:r>
      <w:proofErr w:type="spellEnd"/>
      <w:r w:rsidRPr="00D05433">
        <w:rPr>
          <w:rFonts w:ascii="Arial" w:eastAsia="Times New Roman" w:hAnsi="Arial" w:cs="Arial"/>
          <w:color w:val="000000" w:themeColor="text1"/>
          <w:sz w:val="20"/>
          <w:szCs w:val="20"/>
          <w:lang w:eastAsia="sl-SI"/>
        </w:rPr>
        <w:t>, neizpolnjene potrebe in človekovo dostojanstvo</w:t>
      </w:r>
    </w:p>
    <w:p w14:paraId="774B368F" w14:textId="77777777" w:rsidR="00CD0C3B" w:rsidRDefault="00CD0C3B" w:rsidP="00CD0C3B">
      <w:pPr>
        <w:numPr>
          <w:ilvl w:val="0"/>
          <w:numId w:val="2"/>
        </w:numPr>
        <w:shd w:val="clear" w:color="auto" w:fill="FFFFFF"/>
        <w:spacing w:beforeAutospacing="1" w:after="0" w:afterAutospacing="1" w:line="240" w:lineRule="auto"/>
        <w:textAlignment w:val="baseline"/>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ICER prag ni fiksen, ampak skladen z etičnimi načeli in dosega za hude bolezni med 85.000 in 170.000 EUR/QALY</w:t>
      </w:r>
    </w:p>
    <w:p w14:paraId="1B790676" w14:textId="77777777" w:rsidR="00CD0C3B" w:rsidRPr="00D05433" w:rsidRDefault="00CD0C3B" w:rsidP="00CD0C3B">
      <w:pPr>
        <w:shd w:val="clear" w:color="auto" w:fill="FFFFFF"/>
        <w:spacing w:beforeAutospacing="1" w:after="0" w:afterAutospacing="1" w:line="240" w:lineRule="auto"/>
        <w:textAlignment w:val="baseline"/>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 xml:space="preserve">vir: TLV “Human </w:t>
      </w:r>
      <w:proofErr w:type="spellStart"/>
      <w:r w:rsidRPr="00D05433">
        <w:rPr>
          <w:rFonts w:ascii="Arial" w:eastAsia="Times New Roman" w:hAnsi="Arial" w:cs="Arial"/>
          <w:color w:val="000000" w:themeColor="text1"/>
          <w:sz w:val="20"/>
          <w:szCs w:val="20"/>
          <w:lang w:eastAsia="sl-SI"/>
        </w:rPr>
        <w:t>dignity</w:t>
      </w:r>
      <w:proofErr w:type="spellEnd"/>
      <w:r w:rsidRPr="00D05433">
        <w:rPr>
          <w:rFonts w:ascii="Arial" w:eastAsia="Times New Roman" w:hAnsi="Arial" w:cs="Arial"/>
          <w:color w:val="000000" w:themeColor="text1"/>
          <w:sz w:val="20"/>
          <w:szCs w:val="20"/>
          <w:lang w:eastAsia="sl-SI"/>
        </w:rPr>
        <w:t xml:space="preserve"> </w:t>
      </w:r>
      <w:proofErr w:type="spellStart"/>
      <w:r w:rsidRPr="00D05433">
        <w:rPr>
          <w:rFonts w:ascii="Arial" w:eastAsia="Times New Roman" w:hAnsi="Arial" w:cs="Arial"/>
          <w:color w:val="000000" w:themeColor="text1"/>
          <w:sz w:val="20"/>
          <w:szCs w:val="20"/>
          <w:lang w:eastAsia="sl-SI"/>
        </w:rPr>
        <w:t>principle</w:t>
      </w:r>
      <w:proofErr w:type="spellEnd"/>
      <w:r w:rsidRPr="00D05433">
        <w:rPr>
          <w:rFonts w:ascii="Arial" w:eastAsia="Times New Roman" w:hAnsi="Arial" w:cs="Arial"/>
          <w:color w:val="000000" w:themeColor="text1"/>
          <w:sz w:val="20"/>
          <w:szCs w:val="20"/>
          <w:lang w:eastAsia="sl-SI"/>
        </w:rPr>
        <w:t xml:space="preserve"> + </w:t>
      </w:r>
      <w:proofErr w:type="spellStart"/>
      <w:r w:rsidRPr="00D05433">
        <w:rPr>
          <w:rFonts w:ascii="Arial" w:eastAsia="Times New Roman" w:hAnsi="Arial" w:cs="Arial"/>
          <w:color w:val="000000" w:themeColor="text1"/>
          <w:sz w:val="20"/>
          <w:szCs w:val="20"/>
          <w:lang w:eastAsia="sl-SI"/>
        </w:rPr>
        <w:t>need</w:t>
      </w:r>
      <w:proofErr w:type="spellEnd"/>
      <w:r w:rsidRPr="00D05433">
        <w:rPr>
          <w:rFonts w:ascii="Arial" w:eastAsia="Times New Roman" w:hAnsi="Arial" w:cs="Arial"/>
          <w:color w:val="000000" w:themeColor="text1"/>
          <w:sz w:val="20"/>
          <w:szCs w:val="20"/>
          <w:lang w:eastAsia="sl-SI"/>
        </w:rPr>
        <w:t xml:space="preserve"> </w:t>
      </w:r>
      <w:proofErr w:type="spellStart"/>
      <w:r w:rsidRPr="00D05433">
        <w:rPr>
          <w:rFonts w:ascii="Arial" w:eastAsia="Times New Roman" w:hAnsi="Arial" w:cs="Arial"/>
          <w:color w:val="000000" w:themeColor="text1"/>
          <w:sz w:val="20"/>
          <w:szCs w:val="20"/>
          <w:lang w:eastAsia="sl-SI"/>
        </w:rPr>
        <w:t>and</w:t>
      </w:r>
      <w:proofErr w:type="spellEnd"/>
      <w:r w:rsidRPr="00D05433">
        <w:rPr>
          <w:rFonts w:ascii="Arial" w:eastAsia="Times New Roman" w:hAnsi="Arial" w:cs="Arial"/>
          <w:color w:val="000000" w:themeColor="text1"/>
          <w:sz w:val="20"/>
          <w:szCs w:val="20"/>
          <w:lang w:eastAsia="sl-SI"/>
        </w:rPr>
        <w:t xml:space="preserve"> </w:t>
      </w:r>
      <w:proofErr w:type="spellStart"/>
      <w:r w:rsidRPr="00D05433">
        <w:rPr>
          <w:rFonts w:ascii="Arial" w:eastAsia="Times New Roman" w:hAnsi="Arial" w:cs="Arial"/>
          <w:color w:val="000000" w:themeColor="text1"/>
          <w:sz w:val="20"/>
          <w:szCs w:val="20"/>
          <w:lang w:eastAsia="sl-SI"/>
        </w:rPr>
        <w:t>solidarity</w:t>
      </w:r>
      <w:proofErr w:type="spellEnd"/>
      <w:r w:rsidRPr="00D05433">
        <w:rPr>
          <w:rFonts w:ascii="Arial" w:eastAsia="Times New Roman" w:hAnsi="Arial" w:cs="Arial"/>
          <w:color w:val="000000" w:themeColor="text1"/>
          <w:sz w:val="20"/>
          <w:szCs w:val="20"/>
          <w:lang w:eastAsia="sl-SI"/>
        </w:rPr>
        <w:t xml:space="preserve"> </w:t>
      </w:r>
      <w:proofErr w:type="spellStart"/>
      <w:r w:rsidRPr="00D05433">
        <w:rPr>
          <w:rFonts w:ascii="Arial" w:eastAsia="Times New Roman" w:hAnsi="Arial" w:cs="Arial"/>
          <w:color w:val="000000" w:themeColor="text1"/>
          <w:sz w:val="20"/>
          <w:szCs w:val="20"/>
          <w:lang w:eastAsia="sl-SI"/>
        </w:rPr>
        <w:t>principle</w:t>
      </w:r>
      <w:proofErr w:type="spellEnd"/>
      <w:r w:rsidRPr="00D05433">
        <w:rPr>
          <w:rFonts w:ascii="Arial" w:eastAsia="Times New Roman" w:hAnsi="Arial" w:cs="Arial"/>
          <w:color w:val="000000" w:themeColor="text1"/>
          <w:sz w:val="20"/>
          <w:szCs w:val="20"/>
          <w:lang w:eastAsia="sl-SI"/>
        </w:rPr>
        <w:t>”</w:t>
      </w:r>
      <w:r>
        <w:rPr>
          <w:rFonts w:ascii="Arial" w:eastAsia="Times New Roman" w:hAnsi="Arial" w:cs="Arial"/>
          <w:color w:val="000000" w:themeColor="text1"/>
          <w:sz w:val="20"/>
          <w:szCs w:val="20"/>
          <w:lang w:eastAsia="sl-SI"/>
        </w:rPr>
        <w:t xml:space="preserve">. Dostopno na: </w:t>
      </w:r>
      <w:r w:rsidRPr="00A064BD">
        <w:rPr>
          <w:rFonts w:ascii="Arial" w:eastAsia="Times New Roman" w:hAnsi="Arial" w:cs="Arial"/>
          <w:color w:val="000000" w:themeColor="text1"/>
          <w:sz w:val="20"/>
          <w:szCs w:val="20"/>
          <w:lang w:eastAsia="sl-SI"/>
        </w:rPr>
        <w:t>tlv.se/in-</w:t>
      </w:r>
      <w:proofErr w:type="spellStart"/>
      <w:r w:rsidRPr="00A064BD">
        <w:rPr>
          <w:rFonts w:ascii="Arial" w:eastAsia="Times New Roman" w:hAnsi="Arial" w:cs="Arial"/>
          <w:color w:val="000000" w:themeColor="text1"/>
          <w:sz w:val="20"/>
          <w:szCs w:val="20"/>
          <w:lang w:eastAsia="sl-SI"/>
        </w:rPr>
        <w:t>english</w:t>
      </w:r>
      <w:proofErr w:type="spellEnd"/>
      <w:r w:rsidRPr="00A064BD">
        <w:rPr>
          <w:rFonts w:ascii="Arial" w:eastAsia="Times New Roman" w:hAnsi="Arial" w:cs="Arial"/>
          <w:color w:val="000000" w:themeColor="text1"/>
          <w:sz w:val="20"/>
          <w:szCs w:val="20"/>
          <w:lang w:eastAsia="sl-SI"/>
        </w:rPr>
        <w:t>/</w:t>
      </w:r>
      <w:proofErr w:type="spellStart"/>
      <w:r w:rsidRPr="00A064BD">
        <w:rPr>
          <w:rFonts w:ascii="Arial" w:eastAsia="Times New Roman" w:hAnsi="Arial" w:cs="Arial"/>
          <w:color w:val="000000" w:themeColor="text1"/>
          <w:sz w:val="20"/>
          <w:szCs w:val="20"/>
          <w:lang w:eastAsia="sl-SI"/>
        </w:rPr>
        <w:t>medicines</w:t>
      </w:r>
      <w:proofErr w:type="spellEnd"/>
      <w:r w:rsidRPr="00A064BD">
        <w:rPr>
          <w:rFonts w:ascii="Arial" w:eastAsia="Times New Roman" w:hAnsi="Arial" w:cs="Arial"/>
          <w:color w:val="000000" w:themeColor="text1"/>
          <w:sz w:val="20"/>
          <w:szCs w:val="20"/>
          <w:lang w:eastAsia="sl-SI"/>
        </w:rPr>
        <w:t>/health-economics.html</w:t>
      </w:r>
    </w:p>
    <w:p w14:paraId="0CF98FBF" w14:textId="77777777" w:rsidR="00CD0C3B" w:rsidRPr="00D05433"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r w:rsidRPr="00D05433">
        <w:rPr>
          <w:rFonts w:ascii="Arial" w:eastAsia="Times New Roman" w:hAnsi="Arial" w:cs="Arial"/>
          <w:b/>
          <w:bCs/>
          <w:color w:val="000000" w:themeColor="text1"/>
          <w:sz w:val="20"/>
          <w:szCs w:val="20"/>
          <w:lang w:eastAsia="sl-SI"/>
        </w:rPr>
        <w:t>Norveška (NOMA)</w:t>
      </w:r>
    </w:p>
    <w:p w14:paraId="5D0C52AC" w14:textId="77777777" w:rsidR="00CD0C3B" w:rsidRDefault="00CD0C3B" w:rsidP="00CD0C3B">
      <w:pPr>
        <w:numPr>
          <w:ilvl w:val="0"/>
          <w:numId w:val="3"/>
        </w:numPr>
        <w:shd w:val="clear" w:color="auto" w:fill="FFFFFF"/>
        <w:spacing w:after="100" w:afterAutospacing="1"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Pri določitvi praga za plačilo </w:t>
      </w:r>
      <w:r w:rsidRPr="00D05433">
        <w:rPr>
          <w:rFonts w:ascii="Arial" w:eastAsia="Times New Roman" w:hAnsi="Arial" w:cs="Arial"/>
          <w:color w:val="000000" w:themeColor="text1"/>
          <w:sz w:val="20"/>
          <w:szCs w:val="20"/>
          <w:lang w:eastAsia="sl-SI"/>
        </w:rPr>
        <w:t>uporablja </w:t>
      </w:r>
      <w:r>
        <w:rPr>
          <w:rFonts w:ascii="Arial" w:eastAsia="Times New Roman" w:hAnsi="Arial" w:cs="Arial"/>
          <w:color w:val="000000" w:themeColor="text1"/>
          <w:sz w:val="20"/>
          <w:szCs w:val="20"/>
          <w:lang w:eastAsia="sl-SI"/>
        </w:rPr>
        <w:t>breme bolezni</w:t>
      </w:r>
    </w:p>
    <w:p w14:paraId="3CCC8AD8" w14:textId="77777777" w:rsidR="00CD0C3B" w:rsidRPr="007F4DE1" w:rsidRDefault="00CD0C3B" w:rsidP="00CD0C3B">
      <w:pPr>
        <w:numPr>
          <w:ilvl w:val="0"/>
          <w:numId w:val="3"/>
        </w:num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sidRPr="007F4DE1">
        <w:rPr>
          <w:rFonts w:ascii="Arial" w:eastAsia="Times New Roman" w:hAnsi="Arial" w:cs="Arial"/>
          <w:color w:val="000000" w:themeColor="text1"/>
          <w:sz w:val="20"/>
          <w:szCs w:val="20"/>
          <w:lang w:eastAsia="sl-SI"/>
        </w:rPr>
        <w:t>višji prag za hujše bolezni (vse do 185.000 EUR/QALY)</w:t>
      </w:r>
    </w:p>
    <w:p w14:paraId="0DF74BB3" w14:textId="77777777" w:rsidR="00CD0C3B" w:rsidRPr="00D05433" w:rsidRDefault="00CD0C3B" w:rsidP="00CD0C3B">
      <w:p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 xml:space="preserve">vir: </w:t>
      </w:r>
      <w:proofErr w:type="spellStart"/>
      <w:r w:rsidRPr="00071E1C">
        <w:rPr>
          <w:rFonts w:ascii="Arial" w:eastAsia="Times New Roman" w:hAnsi="Arial" w:cs="Arial"/>
          <w:color w:val="000000" w:themeColor="text1"/>
          <w:sz w:val="20"/>
          <w:szCs w:val="20"/>
          <w:lang w:eastAsia="sl-SI"/>
        </w:rPr>
        <w:t>Magnussen</w:t>
      </w:r>
      <w:proofErr w:type="spellEnd"/>
      <w:r w:rsidRPr="00071E1C">
        <w:rPr>
          <w:rFonts w:ascii="Arial" w:eastAsia="Times New Roman" w:hAnsi="Arial" w:cs="Arial"/>
          <w:color w:val="000000" w:themeColor="text1"/>
          <w:sz w:val="20"/>
          <w:szCs w:val="20"/>
          <w:lang w:eastAsia="sl-SI"/>
        </w:rPr>
        <w:t xml:space="preserve"> </w:t>
      </w:r>
      <w:proofErr w:type="spellStart"/>
      <w:r w:rsidRPr="00071E1C">
        <w:rPr>
          <w:rFonts w:ascii="Arial" w:eastAsia="Times New Roman" w:hAnsi="Arial" w:cs="Arial"/>
          <w:color w:val="000000" w:themeColor="text1"/>
          <w:sz w:val="20"/>
          <w:szCs w:val="20"/>
          <w:lang w:eastAsia="sl-SI"/>
        </w:rPr>
        <w:t>Report</w:t>
      </w:r>
      <w:proofErr w:type="spellEnd"/>
      <w:r w:rsidRPr="00071E1C">
        <w:rPr>
          <w:rFonts w:ascii="Arial" w:eastAsia="Times New Roman" w:hAnsi="Arial" w:cs="Arial"/>
          <w:color w:val="000000" w:themeColor="text1"/>
          <w:sz w:val="20"/>
          <w:szCs w:val="20"/>
          <w:lang w:eastAsia="sl-SI"/>
        </w:rPr>
        <w:t xml:space="preserve"> 2016, </w:t>
      </w:r>
      <w:proofErr w:type="spellStart"/>
      <w:r w:rsidRPr="00071E1C">
        <w:rPr>
          <w:rFonts w:ascii="Arial" w:eastAsia="Times New Roman" w:hAnsi="Arial" w:cs="Arial"/>
          <w:color w:val="000000" w:themeColor="text1"/>
          <w:sz w:val="20"/>
          <w:szCs w:val="20"/>
          <w:lang w:eastAsia="sl-SI"/>
        </w:rPr>
        <w:t>Norwegian</w:t>
      </w:r>
      <w:proofErr w:type="spellEnd"/>
      <w:r w:rsidRPr="00071E1C">
        <w:rPr>
          <w:rFonts w:ascii="Arial" w:eastAsia="Times New Roman" w:hAnsi="Arial" w:cs="Arial"/>
          <w:color w:val="000000" w:themeColor="text1"/>
          <w:sz w:val="20"/>
          <w:szCs w:val="20"/>
          <w:lang w:eastAsia="sl-SI"/>
        </w:rPr>
        <w:t xml:space="preserve"> </w:t>
      </w:r>
      <w:proofErr w:type="spellStart"/>
      <w:r w:rsidRPr="00071E1C">
        <w:rPr>
          <w:rFonts w:ascii="Arial" w:eastAsia="Times New Roman" w:hAnsi="Arial" w:cs="Arial"/>
          <w:color w:val="000000" w:themeColor="text1"/>
          <w:sz w:val="20"/>
          <w:szCs w:val="20"/>
          <w:lang w:eastAsia="sl-SI"/>
        </w:rPr>
        <w:t>Ministry</w:t>
      </w:r>
      <w:proofErr w:type="spellEnd"/>
      <w:r w:rsidRPr="00071E1C">
        <w:rPr>
          <w:rFonts w:ascii="Arial" w:eastAsia="Times New Roman" w:hAnsi="Arial" w:cs="Arial"/>
          <w:color w:val="000000" w:themeColor="text1"/>
          <w:sz w:val="20"/>
          <w:szCs w:val="20"/>
          <w:lang w:eastAsia="sl-SI"/>
        </w:rPr>
        <w:t xml:space="preserve"> </w:t>
      </w:r>
      <w:proofErr w:type="spellStart"/>
      <w:r w:rsidRPr="00071E1C">
        <w:rPr>
          <w:rFonts w:ascii="Arial" w:eastAsia="Times New Roman" w:hAnsi="Arial" w:cs="Arial"/>
          <w:color w:val="000000" w:themeColor="text1"/>
          <w:sz w:val="20"/>
          <w:szCs w:val="20"/>
          <w:lang w:eastAsia="sl-SI"/>
        </w:rPr>
        <w:t>of</w:t>
      </w:r>
      <w:proofErr w:type="spellEnd"/>
      <w:r w:rsidRPr="00071E1C">
        <w:rPr>
          <w:rFonts w:ascii="Arial" w:eastAsia="Times New Roman" w:hAnsi="Arial" w:cs="Arial"/>
          <w:color w:val="000000" w:themeColor="text1"/>
          <w:sz w:val="20"/>
          <w:szCs w:val="20"/>
          <w:lang w:eastAsia="sl-SI"/>
        </w:rPr>
        <w:t xml:space="preserve"> </w:t>
      </w:r>
      <w:proofErr w:type="spellStart"/>
      <w:r w:rsidRPr="00071E1C">
        <w:rPr>
          <w:rFonts w:ascii="Arial" w:eastAsia="Times New Roman" w:hAnsi="Arial" w:cs="Arial"/>
          <w:color w:val="000000" w:themeColor="text1"/>
          <w:sz w:val="20"/>
          <w:szCs w:val="20"/>
          <w:lang w:eastAsia="sl-SI"/>
        </w:rPr>
        <w:t>Health</w:t>
      </w:r>
      <w:proofErr w:type="spellEnd"/>
      <w:r>
        <w:rPr>
          <w:rFonts w:ascii="Arial" w:eastAsia="Times New Roman" w:hAnsi="Arial" w:cs="Arial"/>
          <w:color w:val="000000" w:themeColor="text1"/>
          <w:sz w:val="20"/>
          <w:szCs w:val="20"/>
          <w:lang w:eastAsia="sl-SI"/>
        </w:rPr>
        <w:t xml:space="preserve">. Dostopno na: </w:t>
      </w:r>
      <w:r w:rsidRPr="0022052E">
        <w:rPr>
          <w:rFonts w:ascii="Arial" w:eastAsia="Times New Roman" w:hAnsi="Arial" w:cs="Arial"/>
          <w:color w:val="000000" w:themeColor="text1"/>
          <w:sz w:val="20"/>
          <w:szCs w:val="20"/>
          <w:lang w:eastAsia="sl-SI"/>
        </w:rPr>
        <w:t>tidsskriftet.no/en/2026/02/perspectives/opportunity-costs-and-cost-effectiveness-thresholds</w:t>
      </w:r>
    </w:p>
    <w:p w14:paraId="631FD396" w14:textId="77777777" w:rsidR="00CD0C3B" w:rsidRPr="00D05433"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r w:rsidRPr="00D05433">
        <w:rPr>
          <w:rFonts w:ascii="Arial" w:eastAsia="Times New Roman" w:hAnsi="Arial" w:cs="Arial"/>
          <w:b/>
          <w:bCs/>
          <w:color w:val="000000" w:themeColor="text1"/>
          <w:sz w:val="20"/>
          <w:szCs w:val="20"/>
          <w:lang w:eastAsia="sl-SI"/>
        </w:rPr>
        <w:t xml:space="preserve">Kanada (CADTH / </w:t>
      </w:r>
      <w:proofErr w:type="spellStart"/>
      <w:r w:rsidRPr="00D05433">
        <w:rPr>
          <w:rFonts w:ascii="Arial" w:eastAsia="Times New Roman" w:hAnsi="Arial" w:cs="Arial"/>
          <w:b/>
          <w:bCs/>
          <w:color w:val="000000" w:themeColor="text1"/>
          <w:sz w:val="20"/>
          <w:szCs w:val="20"/>
          <w:lang w:eastAsia="sl-SI"/>
        </w:rPr>
        <w:t>pCODR</w:t>
      </w:r>
      <w:proofErr w:type="spellEnd"/>
      <w:r w:rsidRPr="00D05433">
        <w:rPr>
          <w:rFonts w:ascii="Arial" w:eastAsia="Times New Roman" w:hAnsi="Arial" w:cs="Arial"/>
          <w:b/>
          <w:bCs/>
          <w:color w:val="000000" w:themeColor="text1"/>
          <w:sz w:val="20"/>
          <w:szCs w:val="20"/>
          <w:lang w:eastAsia="sl-SI"/>
        </w:rPr>
        <w:t>)</w:t>
      </w:r>
    </w:p>
    <w:p w14:paraId="57051F39" w14:textId="77777777" w:rsidR="00CD0C3B" w:rsidRPr="00D05433" w:rsidRDefault="00CD0C3B" w:rsidP="00CD0C3B">
      <w:pPr>
        <w:numPr>
          <w:ilvl w:val="0"/>
          <w:numId w:val="4"/>
        </w:numPr>
        <w:shd w:val="clear" w:color="auto" w:fill="FFFFFF"/>
        <w:spacing w:after="100" w:afterAutospacing="1" w:line="240" w:lineRule="auto"/>
        <w:textAlignment w:val="baseline"/>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 xml:space="preserve">nima formalnega </w:t>
      </w:r>
      <w:r>
        <w:rPr>
          <w:rFonts w:ascii="Arial" w:eastAsia="Times New Roman" w:hAnsi="Arial" w:cs="Arial"/>
          <w:color w:val="000000" w:themeColor="text1"/>
          <w:sz w:val="20"/>
          <w:szCs w:val="20"/>
          <w:lang w:eastAsia="sl-SI"/>
        </w:rPr>
        <w:t>praga za plačilo</w:t>
      </w:r>
      <w:r w:rsidRPr="00D05433">
        <w:rPr>
          <w:rFonts w:ascii="Arial" w:eastAsia="Times New Roman" w:hAnsi="Arial" w:cs="Arial"/>
          <w:color w:val="000000" w:themeColor="text1"/>
          <w:sz w:val="20"/>
          <w:szCs w:val="20"/>
          <w:lang w:eastAsia="sl-SI"/>
        </w:rPr>
        <w:t xml:space="preserve"> (neformalni postavljen na 31.000 EUR/QALY)</w:t>
      </w:r>
    </w:p>
    <w:p w14:paraId="7A8B9F9A" w14:textId="77777777" w:rsidR="00CD0C3B" w:rsidRPr="00D05433" w:rsidRDefault="00CD0C3B" w:rsidP="00CD0C3B">
      <w:pPr>
        <w:numPr>
          <w:ilvl w:val="0"/>
          <w:numId w:val="4"/>
        </w:num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poleg kriterija ICER </w:t>
      </w:r>
      <w:r w:rsidRPr="00D05433">
        <w:rPr>
          <w:rFonts w:ascii="Arial" w:eastAsia="Times New Roman" w:hAnsi="Arial" w:cs="Arial"/>
          <w:color w:val="000000" w:themeColor="text1"/>
          <w:sz w:val="20"/>
          <w:szCs w:val="20"/>
          <w:lang w:eastAsia="sl-SI"/>
        </w:rPr>
        <w:t>uporablja</w:t>
      </w:r>
      <w:r>
        <w:rPr>
          <w:rFonts w:ascii="Arial" w:eastAsia="Times New Roman" w:hAnsi="Arial" w:cs="Arial"/>
          <w:color w:val="000000" w:themeColor="text1"/>
          <w:sz w:val="20"/>
          <w:szCs w:val="20"/>
          <w:lang w:eastAsia="sl-SI"/>
        </w:rPr>
        <w:t xml:space="preserve"> še dodano </w:t>
      </w:r>
      <w:r w:rsidRPr="00D05433">
        <w:rPr>
          <w:rFonts w:ascii="Arial" w:eastAsia="Times New Roman" w:hAnsi="Arial" w:cs="Arial"/>
          <w:color w:val="000000" w:themeColor="text1"/>
          <w:sz w:val="20"/>
          <w:szCs w:val="20"/>
          <w:lang w:eastAsia="sl-SI"/>
        </w:rPr>
        <w:t>kliničn</w:t>
      </w:r>
      <w:r>
        <w:rPr>
          <w:rFonts w:ascii="Arial" w:eastAsia="Times New Roman" w:hAnsi="Arial" w:cs="Arial"/>
          <w:color w:val="000000" w:themeColor="text1"/>
          <w:sz w:val="20"/>
          <w:szCs w:val="20"/>
          <w:lang w:eastAsia="sl-SI"/>
        </w:rPr>
        <w:t>o</w:t>
      </w:r>
      <w:r w:rsidRPr="00D05433">
        <w:rPr>
          <w:rFonts w:ascii="Arial" w:eastAsia="Times New Roman" w:hAnsi="Arial" w:cs="Arial"/>
          <w:color w:val="000000" w:themeColor="text1"/>
          <w:sz w:val="20"/>
          <w:szCs w:val="20"/>
          <w:lang w:eastAsia="sl-SI"/>
        </w:rPr>
        <w:t xml:space="preserve"> vrednost </w:t>
      </w:r>
      <w:r>
        <w:rPr>
          <w:rFonts w:ascii="Arial" w:eastAsia="Times New Roman" w:hAnsi="Arial" w:cs="Arial"/>
          <w:color w:val="000000" w:themeColor="text1"/>
          <w:sz w:val="20"/>
          <w:szCs w:val="20"/>
          <w:lang w:eastAsia="sl-SI"/>
        </w:rPr>
        <w:t>in</w:t>
      </w:r>
      <w:r w:rsidRPr="00D05433">
        <w:rPr>
          <w:rFonts w:ascii="Arial" w:eastAsia="Times New Roman" w:hAnsi="Arial" w:cs="Arial"/>
          <w:color w:val="000000" w:themeColor="text1"/>
          <w:sz w:val="20"/>
          <w:szCs w:val="20"/>
          <w:lang w:eastAsia="sl-SI"/>
        </w:rPr>
        <w:t xml:space="preserve"> resnost bolezni</w:t>
      </w:r>
    </w:p>
    <w:p w14:paraId="5976C53D" w14:textId="77777777" w:rsidR="00CD0C3B" w:rsidRDefault="00CD0C3B" w:rsidP="00CD0C3B">
      <w:pPr>
        <w:numPr>
          <w:ilvl w:val="0"/>
          <w:numId w:val="4"/>
        </w:num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sidRPr="00D05433">
        <w:rPr>
          <w:rFonts w:ascii="Arial" w:eastAsia="Times New Roman" w:hAnsi="Arial" w:cs="Arial"/>
          <w:color w:val="000000" w:themeColor="text1"/>
          <w:sz w:val="20"/>
          <w:szCs w:val="20"/>
          <w:lang w:eastAsia="sl-SI"/>
        </w:rPr>
        <w:t xml:space="preserve">onkologija ima ločene odločitvene </w:t>
      </w:r>
      <w:r>
        <w:rPr>
          <w:rFonts w:ascii="Arial" w:eastAsia="Times New Roman" w:hAnsi="Arial" w:cs="Arial"/>
          <w:color w:val="000000" w:themeColor="text1"/>
          <w:sz w:val="20"/>
          <w:szCs w:val="20"/>
          <w:lang w:eastAsia="sl-SI"/>
        </w:rPr>
        <w:t>kriterije</w:t>
      </w:r>
    </w:p>
    <w:p w14:paraId="3C799D63" w14:textId="77777777" w:rsidR="00CD0C3B" w:rsidRPr="00D05433" w:rsidRDefault="00CD0C3B" w:rsidP="00CD0C3B">
      <w:p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vir:</w:t>
      </w:r>
      <w:r w:rsidRPr="00960B51">
        <w:rPr>
          <w:rFonts w:ascii="Arial" w:eastAsia="Times New Roman" w:hAnsi="Arial" w:cs="Arial"/>
          <w:color w:val="000000" w:themeColor="text1"/>
          <w:sz w:val="20"/>
          <w:szCs w:val="20"/>
          <w:lang w:eastAsia="sl-SI"/>
        </w:rPr>
        <w:t xml:space="preserve"> CADTH </w:t>
      </w:r>
      <w:proofErr w:type="spellStart"/>
      <w:r w:rsidRPr="00960B51">
        <w:rPr>
          <w:rFonts w:ascii="Arial" w:eastAsia="Times New Roman" w:hAnsi="Arial" w:cs="Arial"/>
          <w:color w:val="000000" w:themeColor="text1"/>
          <w:sz w:val="20"/>
          <w:szCs w:val="20"/>
          <w:lang w:eastAsia="sl-SI"/>
        </w:rPr>
        <w:t>Health</w:t>
      </w:r>
      <w:proofErr w:type="spellEnd"/>
      <w:r w:rsidRPr="00960B51">
        <w:rPr>
          <w:rFonts w:ascii="Arial" w:eastAsia="Times New Roman" w:hAnsi="Arial" w:cs="Arial"/>
          <w:color w:val="000000" w:themeColor="text1"/>
          <w:sz w:val="20"/>
          <w:szCs w:val="20"/>
          <w:lang w:eastAsia="sl-SI"/>
        </w:rPr>
        <w:t xml:space="preserve"> </w:t>
      </w:r>
      <w:proofErr w:type="spellStart"/>
      <w:r w:rsidRPr="00960B51">
        <w:rPr>
          <w:rFonts w:ascii="Arial" w:eastAsia="Times New Roman" w:hAnsi="Arial" w:cs="Arial"/>
          <w:color w:val="000000" w:themeColor="text1"/>
          <w:sz w:val="20"/>
          <w:szCs w:val="20"/>
          <w:lang w:eastAsia="sl-SI"/>
        </w:rPr>
        <w:t>Technology</w:t>
      </w:r>
      <w:proofErr w:type="spellEnd"/>
      <w:r w:rsidRPr="00960B51">
        <w:rPr>
          <w:rFonts w:ascii="Arial" w:eastAsia="Times New Roman" w:hAnsi="Arial" w:cs="Arial"/>
          <w:color w:val="000000" w:themeColor="text1"/>
          <w:sz w:val="20"/>
          <w:szCs w:val="20"/>
          <w:lang w:eastAsia="sl-SI"/>
        </w:rPr>
        <w:t xml:space="preserve"> </w:t>
      </w:r>
      <w:proofErr w:type="spellStart"/>
      <w:r w:rsidRPr="00960B51">
        <w:rPr>
          <w:rFonts w:ascii="Arial" w:eastAsia="Times New Roman" w:hAnsi="Arial" w:cs="Arial"/>
          <w:color w:val="000000" w:themeColor="text1"/>
          <w:sz w:val="20"/>
          <w:szCs w:val="20"/>
          <w:lang w:eastAsia="sl-SI"/>
        </w:rPr>
        <w:t>Review</w:t>
      </w:r>
      <w:proofErr w:type="spellEnd"/>
      <w:r w:rsidRPr="00960B51">
        <w:rPr>
          <w:rFonts w:ascii="Arial" w:eastAsia="Times New Roman" w:hAnsi="Arial" w:cs="Arial"/>
          <w:color w:val="000000" w:themeColor="text1"/>
          <w:sz w:val="20"/>
          <w:szCs w:val="20"/>
          <w:lang w:eastAsia="sl-SI"/>
        </w:rPr>
        <w:t xml:space="preserve"> </w:t>
      </w:r>
      <w:proofErr w:type="spellStart"/>
      <w:r w:rsidRPr="00960B51">
        <w:rPr>
          <w:rFonts w:ascii="Arial" w:eastAsia="Times New Roman" w:hAnsi="Arial" w:cs="Arial"/>
          <w:color w:val="000000" w:themeColor="text1"/>
          <w:sz w:val="20"/>
          <w:szCs w:val="20"/>
          <w:lang w:eastAsia="sl-SI"/>
        </w:rPr>
        <w:t>Methods</w:t>
      </w:r>
      <w:proofErr w:type="spellEnd"/>
      <w:r w:rsidRPr="00960B51">
        <w:rPr>
          <w:rFonts w:ascii="Arial" w:eastAsia="Times New Roman" w:hAnsi="Arial" w:cs="Arial"/>
          <w:color w:val="000000" w:themeColor="text1"/>
          <w:sz w:val="20"/>
          <w:szCs w:val="20"/>
          <w:lang w:eastAsia="sl-SI"/>
        </w:rPr>
        <w:t xml:space="preserve"> </w:t>
      </w:r>
      <w:proofErr w:type="spellStart"/>
      <w:r w:rsidRPr="00960B51">
        <w:rPr>
          <w:rFonts w:ascii="Arial" w:eastAsia="Times New Roman" w:hAnsi="Arial" w:cs="Arial"/>
          <w:color w:val="000000" w:themeColor="text1"/>
          <w:sz w:val="20"/>
          <w:szCs w:val="20"/>
          <w:lang w:eastAsia="sl-SI"/>
        </w:rPr>
        <w:t>and</w:t>
      </w:r>
      <w:proofErr w:type="spellEnd"/>
      <w:r w:rsidRPr="00960B51">
        <w:rPr>
          <w:rFonts w:ascii="Arial" w:eastAsia="Times New Roman" w:hAnsi="Arial" w:cs="Arial"/>
          <w:color w:val="000000" w:themeColor="text1"/>
          <w:sz w:val="20"/>
          <w:szCs w:val="20"/>
          <w:lang w:eastAsia="sl-SI"/>
        </w:rPr>
        <w:t xml:space="preserve"> </w:t>
      </w:r>
      <w:proofErr w:type="spellStart"/>
      <w:r w:rsidRPr="00960B51">
        <w:rPr>
          <w:rFonts w:ascii="Arial" w:eastAsia="Times New Roman" w:hAnsi="Arial" w:cs="Arial"/>
          <w:color w:val="000000" w:themeColor="text1"/>
          <w:sz w:val="20"/>
          <w:szCs w:val="20"/>
          <w:lang w:eastAsia="sl-SI"/>
        </w:rPr>
        <w:t>Process</w:t>
      </w:r>
      <w:proofErr w:type="spellEnd"/>
      <w:r w:rsidRPr="00960B51">
        <w:rPr>
          <w:rFonts w:ascii="Arial" w:eastAsia="Times New Roman" w:hAnsi="Arial" w:cs="Arial"/>
          <w:color w:val="000000" w:themeColor="text1"/>
          <w:sz w:val="20"/>
          <w:szCs w:val="20"/>
          <w:lang w:eastAsia="sl-SI"/>
        </w:rPr>
        <w:t xml:space="preserve"> Manual 2023.</w:t>
      </w:r>
      <w:r>
        <w:rPr>
          <w:rFonts w:ascii="Arial" w:eastAsia="Times New Roman" w:hAnsi="Arial" w:cs="Arial"/>
          <w:color w:val="000000" w:themeColor="text1"/>
          <w:sz w:val="20"/>
          <w:szCs w:val="20"/>
          <w:lang w:eastAsia="sl-SI"/>
        </w:rPr>
        <w:t xml:space="preserve"> Dostopno na: </w:t>
      </w:r>
      <w:r w:rsidRPr="007E3696">
        <w:rPr>
          <w:rFonts w:ascii="Arial" w:eastAsia="Times New Roman" w:hAnsi="Arial" w:cs="Arial"/>
          <w:color w:val="000000" w:themeColor="text1"/>
          <w:sz w:val="20"/>
          <w:szCs w:val="20"/>
          <w:lang w:eastAsia="sl-SI"/>
        </w:rPr>
        <w:t>https://pmc.ncbi.nlm.nih.gov/articles/PMC11037021/</w:t>
      </w:r>
    </w:p>
    <w:p w14:paraId="2097ABD8" w14:textId="77777777" w:rsidR="00CD0C3B" w:rsidRPr="00D05433" w:rsidRDefault="00CD0C3B" w:rsidP="00CD0C3B">
      <w:pPr>
        <w:shd w:val="clear" w:color="auto" w:fill="FFFFFF"/>
        <w:spacing w:after="0" w:line="240" w:lineRule="auto"/>
        <w:rPr>
          <w:rFonts w:ascii="Arial" w:eastAsia="Times New Roman" w:hAnsi="Arial" w:cs="Arial"/>
          <w:b/>
          <w:bCs/>
          <w:color w:val="000000" w:themeColor="text1"/>
          <w:sz w:val="20"/>
          <w:szCs w:val="20"/>
          <w:lang w:eastAsia="sl-SI"/>
        </w:rPr>
      </w:pPr>
      <w:r w:rsidRPr="00D05433">
        <w:rPr>
          <w:rFonts w:ascii="Arial" w:eastAsia="Times New Roman" w:hAnsi="Arial" w:cs="Arial"/>
          <w:b/>
          <w:bCs/>
          <w:color w:val="000000" w:themeColor="text1"/>
          <w:sz w:val="20"/>
          <w:szCs w:val="20"/>
          <w:lang w:eastAsia="sl-SI"/>
        </w:rPr>
        <w:t>Danska (</w:t>
      </w:r>
      <w:proofErr w:type="spellStart"/>
      <w:r w:rsidRPr="00D05433">
        <w:rPr>
          <w:rFonts w:ascii="Arial" w:eastAsia="Times New Roman" w:hAnsi="Arial" w:cs="Arial"/>
          <w:b/>
          <w:bCs/>
          <w:color w:val="000000" w:themeColor="text1"/>
          <w:sz w:val="20"/>
          <w:szCs w:val="20"/>
          <w:lang w:eastAsia="sl-SI"/>
        </w:rPr>
        <w:t>Medicines</w:t>
      </w:r>
      <w:proofErr w:type="spellEnd"/>
      <w:r w:rsidRPr="00D05433">
        <w:rPr>
          <w:rFonts w:ascii="Arial" w:eastAsia="Times New Roman" w:hAnsi="Arial" w:cs="Arial"/>
          <w:b/>
          <w:bCs/>
          <w:color w:val="000000" w:themeColor="text1"/>
          <w:sz w:val="20"/>
          <w:szCs w:val="20"/>
          <w:lang w:eastAsia="sl-SI"/>
        </w:rPr>
        <w:t xml:space="preserve"> </w:t>
      </w:r>
      <w:proofErr w:type="spellStart"/>
      <w:r w:rsidRPr="00D05433">
        <w:rPr>
          <w:rFonts w:ascii="Arial" w:eastAsia="Times New Roman" w:hAnsi="Arial" w:cs="Arial"/>
          <w:b/>
          <w:bCs/>
          <w:color w:val="000000" w:themeColor="text1"/>
          <w:sz w:val="20"/>
          <w:szCs w:val="20"/>
          <w:lang w:eastAsia="sl-SI"/>
        </w:rPr>
        <w:t>Council</w:t>
      </w:r>
      <w:proofErr w:type="spellEnd"/>
      <w:r w:rsidRPr="00D05433">
        <w:rPr>
          <w:rFonts w:ascii="Arial" w:eastAsia="Times New Roman" w:hAnsi="Arial" w:cs="Arial"/>
          <w:b/>
          <w:bCs/>
          <w:color w:val="000000" w:themeColor="text1"/>
          <w:sz w:val="20"/>
          <w:szCs w:val="20"/>
          <w:lang w:eastAsia="sl-SI"/>
        </w:rPr>
        <w:t>)</w:t>
      </w:r>
    </w:p>
    <w:p w14:paraId="75A83EE1" w14:textId="77777777" w:rsidR="00CD0C3B" w:rsidRDefault="00CD0C3B" w:rsidP="00CD0C3B">
      <w:pPr>
        <w:numPr>
          <w:ilvl w:val="0"/>
          <w:numId w:val="5"/>
        </w:numPr>
        <w:shd w:val="clear" w:color="auto" w:fill="FFFFFF"/>
        <w:spacing w:after="100" w:afterAutospacing="1" w:line="240" w:lineRule="auto"/>
        <w:textAlignment w:val="baseline"/>
        <w:rPr>
          <w:rFonts w:ascii="Arial" w:eastAsia="Times New Roman" w:hAnsi="Arial" w:cs="Arial"/>
          <w:color w:val="000000" w:themeColor="text1"/>
          <w:sz w:val="20"/>
          <w:szCs w:val="20"/>
          <w:lang w:eastAsia="sl-SI"/>
        </w:rPr>
      </w:pPr>
      <w:r w:rsidRPr="0072288F">
        <w:rPr>
          <w:rFonts w:ascii="Arial" w:eastAsia="Times New Roman" w:hAnsi="Arial" w:cs="Arial"/>
          <w:color w:val="000000" w:themeColor="text1"/>
          <w:sz w:val="20"/>
          <w:szCs w:val="20"/>
          <w:lang w:eastAsia="sl-SI"/>
        </w:rPr>
        <w:t xml:space="preserve">ni fiksnega praga (neformalno se uporablja </w:t>
      </w:r>
      <w:r>
        <w:rPr>
          <w:rFonts w:ascii="Arial" w:eastAsia="Times New Roman" w:hAnsi="Arial" w:cs="Arial"/>
          <w:color w:val="000000" w:themeColor="text1"/>
          <w:sz w:val="20"/>
          <w:szCs w:val="20"/>
          <w:lang w:eastAsia="sl-SI"/>
        </w:rPr>
        <w:t>do 88.</w:t>
      </w:r>
      <w:r w:rsidRPr="0072288F">
        <w:rPr>
          <w:rFonts w:ascii="Arial" w:eastAsia="Times New Roman" w:hAnsi="Arial" w:cs="Arial"/>
          <w:color w:val="000000" w:themeColor="text1"/>
          <w:sz w:val="20"/>
          <w:szCs w:val="20"/>
          <w:lang w:eastAsia="sl-SI"/>
        </w:rPr>
        <w:t>000 EUR/QALY)</w:t>
      </w:r>
    </w:p>
    <w:p w14:paraId="52812D88" w14:textId="77777777" w:rsidR="00CD0C3B" w:rsidRPr="00875C4D" w:rsidRDefault="00CD0C3B" w:rsidP="00CD0C3B">
      <w:pPr>
        <w:numPr>
          <w:ilvl w:val="0"/>
          <w:numId w:val="5"/>
        </w:numPr>
        <w:shd w:val="clear" w:color="auto" w:fill="FFFFFF"/>
        <w:spacing w:before="100" w:beforeAutospacing="1" w:after="100" w:afterAutospacing="1" w:line="240" w:lineRule="auto"/>
        <w:textAlignment w:val="baseline"/>
        <w:rPr>
          <w:rFonts w:ascii="Arial" w:eastAsia="Times New Roman" w:hAnsi="Arial" w:cs="Arial"/>
          <w:color w:val="000000" w:themeColor="text1"/>
          <w:sz w:val="20"/>
          <w:szCs w:val="20"/>
          <w:lang w:eastAsia="sl-SI"/>
        </w:rPr>
      </w:pPr>
      <w:r w:rsidRPr="00875C4D">
        <w:rPr>
          <w:rFonts w:ascii="Arial" w:eastAsia="Times New Roman" w:hAnsi="Arial" w:cs="Arial"/>
          <w:color w:val="000000" w:themeColor="text1"/>
          <w:sz w:val="20"/>
          <w:szCs w:val="20"/>
          <w:lang w:eastAsia="sl-SI"/>
        </w:rPr>
        <w:t>odločitve temeljijo na:</w:t>
      </w:r>
      <w:r>
        <w:rPr>
          <w:rFonts w:ascii="Arial" w:eastAsia="Times New Roman" w:hAnsi="Arial" w:cs="Arial"/>
          <w:color w:val="000000" w:themeColor="text1"/>
          <w:sz w:val="20"/>
          <w:szCs w:val="20"/>
          <w:lang w:eastAsia="sl-SI"/>
        </w:rPr>
        <w:t xml:space="preserve"> vrednosti </w:t>
      </w:r>
      <w:r w:rsidRPr="00875C4D">
        <w:rPr>
          <w:rFonts w:ascii="Arial" w:eastAsia="Times New Roman" w:hAnsi="Arial" w:cs="Arial"/>
          <w:color w:val="000000" w:themeColor="text1"/>
          <w:sz w:val="20"/>
          <w:szCs w:val="20"/>
          <w:lang w:eastAsia="sl-SI"/>
        </w:rPr>
        <w:t>ICER</w:t>
      </w:r>
      <w:r>
        <w:rPr>
          <w:rFonts w:ascii="Arial" w:eastAsia="Times New Roman" w:hAnsi="Arial" w:cs="Arial"/>
          <w:color w:val="000000" w:themeColor="text1"/>
          <w:sz w:val="20"/>
          <w:szCs w:val="20"/>
          <w:lang w:eastAsia="sl-SI"/>
        </w:rPr>
        <w:t xml:space="preserve"> upoštevajoč </w:t>
      </w:r>
      <w:r w:rsidRPr="00875C4D">
        <w:rPr>
          <w:rFonts w:ascii="Arial" w:eastAsia="Times New Roman" w:hAnsi="Arial" w:cs="Arial"/>
          <w:color w:val="000000" w:themeColor="text1"/>
          <w:sz w:val="20"/>
          <w:szCs w:val="20"/>
          <w:lang w:eastAsia="sl-SI"/>
        </w:rPr>
        <w:t>resnost</w:t>
      </w:r>
      <w:r>
        <w:rPr>
          <w:rFonts w:ascii="Arial" w:eastAsia="Times New Roman" w:hAnsi="Arial" w:cs="Arial"/>
          <w:color w:val="000000" w:themeColor="text1"/>
          <w:sz w:val="20"/>
          <w:szCs w:val="20"/>
          <w:lang w:eastAsia="sl-SI"/>
        </w:rPr>
        <w:t xml:space="preserve"> bolezni, nivo </w:t>
      </w:r>
      <w:r w:rsidRPr="00875C4D">
        <w:rPr>
          <w:rFonts w:ascii="Arial" w:eastAsia="Times New Roman" w:hAnsi="Arial" w:cs="Arial"/>
          <w:color w:val="000000" w:themeColor="text1"/>
          <w:sz w:val="20"/>
          <w:szCs w:val="20"/>
          <w:lang w:eastAsia="sl-SI"/>
        </w:rPr>
        <w:t>negotovost</w:t>
      </w:r>
      <w:r>
        <w:rPr>
          <w:rFonts w:ascii="Arial" w:eastAsia="Times New Roman" w:hAnsi="Arial" w:cs="Arial"/>
          <w:color w:val="000000" w:themeColor="text1"/>
          <w:sz w:val="20"/>
          <w:szCs w:val="20"/>
          <w:lang w:eastAsia="sl-SI"/>
        </w:rPr>
        <w:t>i in finančni učinek</w:t>
      </w:r>
    </w:p>
    <w:p w14:paraId="40BC948C" w14:textId="77777777" w:rsidR="00CD0C3B" w:rsidRDefault="00CD0C3B" w:rsidP="00CD0C3B">
      <w:pPr>
        <w:numPr>
          <w:ilvl w:val="0"/>
          <w:numId w:val="5"/>
        </w:num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 xml:space="preserve">v praksi se kaže </w:t>
      </w:r>
      <w:r w:rsidRPr="0072288F">
        <w:rPr>
          <w:rFonts w:ascii="Arial" w:eastAsia="Times New Roman" w:hAnsi="Arial" w:cs="Arial"/>
          <w:color w:val="000000" w:themeColor="text1"/>
          <w:sz w:val="20"/>
          <w:szCs w:val="20"/>
          <w:lang w:eastAsia="sl-SI"/>
        </w:rPr>
        <w:t>večja toleranca za</w:t>
      </w:r>
      <w:r>
        <w:rPr>
          <w:rFonts w:ascii="Arial" w:eastAsia="Times New Roman" w:hAnsi="Arial" w:cs="Arial"/>
          <w:color w:val="000000" w:themeColor="text1"/>
          <w:sz w:val="20"/>
          <w:szCs w:val="20"/>
          <w:lang w:eastAsia="sl-SI"/>
        </w:rPr>
        <w:t xml:space="preserve"> redke bolezni in zdravila za napredno zdravljenje </w:t>
      </w:r>
    </w:p>
    <w:p w14:paraId="1D9B860B" w14:textId="77777777" w:rsidR="00CD0C3B" w:rsidRDefault="00CD0C3B" w:rsidP="00CD0C3B">
      <w:pPr>
        <w:shd w:val="clear" w:color="auto" w:fill="FFFFFF"/>
        <w:spacing w:before="100" w:beforeAutospacing="1" w:after="100" w:afterAutospacing="1" w:line="240" w:lineRule="auto"/>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t>vir:</w:t>
      </w:r>
      <w:r w:rsidRPr="00840064">
        <w:t xml:space="preserve"> </w:t>
      </w:r>
      <w:r w:rsidRPr="003F4124">
        <w:rPr>
          <w:rFonts w:ascii="Arial" w:eastAsia="Times New Roman" w:hAnsi="Arial" w:cs="Arial"/>
          <w:color w:val="000000" w:themeColor="text1"/>
          <w:sz w:val="20"/>
          <w:szCs w:val="20"/>
          <w:lang w:eastAsia="sl-SI"/>
        </w:rPr>
        <w:t>www.valueinhealthjournal.com/article/S1098-3015(23)04975-6/fulltext</w:t>
      </w:r>
    </w:p>
    <w:p w14:paraId="72721CE6" w14:textId="77777777" w:rsidR="00CD0C3B" w:rsidRPr="0072288F" w:rsidRDefault="00CD0C3B" w:rsidP="00CD0C3B">
      <w:pPr>
        <w:shd w:val="clear" w:color="auto" w:fill="FFFFFF"/>
        <w:spacing w:after="0" w:line="240" w:lineRule="auto"/>
        <w:rPr>
          <w:rFonts w:ascii="Arial" w:eastAsia="Times New Roman" w:hAnsi="Arial" w:cs="Arial"/>
          <w:color w:val="000000" w:themeColor="text1"/>
          <w:sz w:val="20"/>
          <w:szCs w:val="20"/>
          <w:lang w:eastAsia="sl-SI"/>
        </w:rPr>
      </w:pPr>
      <w:r w:rsidRPr="0072288F">
        <w:rPr>
          <w:rFonts w:ascii="Arial" w:eastAsia="Times New Roman" w:hAnsi="Arial" w:cs="Arial"/>
          <w:color w:val="000000" w:themeColor="text1"/>
          <w:sz w:val="20"/>
          <w:szCs w:val="20"/>
          <w:lang w:eastAsia="sl-SI"/>
        </w:rPr>
        <w:t>Za ilustracijo, kaj predstavljajo posamezne kategorije tehnologij in različni pragovi glede na višino prirastka QALY, je predstavljeno nekaj primerov zdravil:</w:t>
      </w:r>
    </w:p>
    <w:p w14:paraId="1ECB99A5" w14:textId="77777777" w:rsidR="00CD0C3B" w:rsidRDefault="00CD0C3B" w:rsidP="00CD0C3B">
      <w:pPr>
        <w:spacing w:after="0" w:line="276" w:lineRule="auto"/>
        <w:jc w:val="both"/>
      </w:pPr>
      <w:r>
        <w:rPr>
          <w:lang w:eastAsia="sl-SI"/>
        </w:rPr>
        <w:fldChar w:fldCharType="begin"/>
      </w:r>
      <w:r>
        <w:rPr>
          <w:lang w:eastAsia="sl-SI"/>
        </w:rPr>
        <w:instrText xml:space="preserve"> LINK Excel.Sheet.12 "https://jakzsi-my.sharepoint.com/personal/jure_peklar_jakz_si/Documents/Dokumenti/Glede ustanovitve JAZK/Delovna.xlsx" "Pravilnik HTA!R61C8:R67C12" \a \f 4 \h  \* MERGEFORMAT </w:instrText>
      </w:r>
      <w:r>
        <w:rPr>
          <w:lang w:eastAsia="sl-SI"/>
        </w:rPr>
        <w:fldChar w:fldCharType="separate"/>
      </w:r>
    </w:p>
    <w:tbl>
      <w:tblPr>
        <w:tblW w:w="9087" w:type="dxa"/>
        <w:tblInd w:w="-289" w:type="dxa"/>
        <w:tblCellMar>
          <w:left w:w="70" w:type="dxa"/>
          <w:right w:w="70" w:type="dxa"/>
        </w:tblCellMar>
        <w:tblLook w:val="04A0" w:firstRow="1" w:lastRow="0" w:firstColumn="1" w:lastColumn="0" w:noHBand="0" w:noVBand="1"/>
      </w:tblPr>
      <w:tblGrid>
        <w:gridCol w:w="1847"/>
        <w:gridCol w:w="1810"/>
        <w:gridCol w:w="1810"/>
        <w:gridCol w:w="1810"/>
        <w:gridCol w:w="1810"/>
      </w:tblGrid>
      <w:tr w:rsidR="00CD0C3B" w:rsidRPr="00D848F3" w14:paraId="669C5156" w14:textId="77777777" w:rsidTr="00C1796B">
        <w:trPr>
          <w:trHeight w:val="875"/>
        </w:trPr>
        <w:tc>
          <w:tcPr>
            <w:tcW w:w="1847" w:type="dxa"/>
            <w:tcBorders>
              <w:top w:val="single" w:sz="4" w:space="0" w:color="auto"/>
              <w:left w:val="single" w:sz="4" w:space="0" w:color="auto"/>
              <w:bottom w:val="single" w:sz="4" w:space="0" w:color="auto"/>
              <w:right w:val="single" w:sz="4" w:space="0" w:color="auto"/>
            </w:tcBorders>
            <w:noWrap/>
            <w:vAlign w:val="bottom"/>
            <w:hideMark/>
          </w:tcPr>
          <w:p w14:paraId="03D20C9D" w14:textId="77777777" w:rsidR="00CD0C3B" w:rsidRPr="00D848F3" w:rsidRDefault="00CD0C3B" w:rsidP="00C1796B">
            <w:pPr>
              <w:spacing w:after="0" w:line="240" w:lineRule="auto"/>
              <w:rPr>
                <w:rFonts w:ascii="Arial" w:eastAsia="Times New Roman" w:hAnsi="Arial" w:cs="Arial"/>
                <w:color w:val="000000"/>
                <w:lang w:eastAsia="sl-SI"/>
              </w:rPr>
            </w:pPr>
            <w:r w:rsidRPr="00D848F3">
              <w:rPr>
                <w:rFonts w:ascii="Arial" w:eastAsia="Times New Roman" w:hAnsi="Arial" w:cs="Arial"/>
                <w:color w:val="000000"/>
                <w:lang w:eastAsia="sl-SI"/>
              </w:rPr>
              <w:t> </w:t>
            </w:r>
          </w:p>
        </w:tc>
        <w:tc>
          <w:tcPr>
            <w:tcW w:w="1810" w:type="dxa"/>
            <w:tcBorders>
              <w:top w:val="single" w:sz="4" w:space="0" w:color="auto"/>
              <w:left w:val="nil"/>
              <w:bottom w:val="single" w:sz="4" w:space="0" w:color="auto"/>
              <w:right w:val="single" w:sz="4" w:space="0" w:color="auto"/>
            </w:tcBorders>
            <w:vAlign w:val="center"/>
            <w:hideMark/>
          </w:tcPr>
          <w:p w14:paraId="2C3A82F5" w14:textId="77777777" w:rsidR="00CD0C3B" w:rsidRPr="00D848F3" w:rsidRDefault="00CD0C3B" w:rsidP="00C1796B">
            <w:pPr>
              <w:spacing w:after="0" w:line="240" w:lineRule="auto"/>
              <w:jc w:val="center"/>
              <w:rPr>
                <w:rFonts w:ascii="Arial" w:eastAsia="Times New Roman" w:hAnsi="Arial" w:cs="Arial"/>
                <w:b/>
                <w:bCs/>
                <w:color w:val="000000"/>
                <w:sz w:val="18"/>
                <w:szCs w:val="18"/>
                <w:lang w:eastAsia="sl-SI"/>
              </w:rPr>
            </w:pPr>
            <w:r w:rsidRPr="00D848F3">
              <w:rPr>
                <w:rFonts w:ascii="Arial" w:eastAsia="Times New Roman" w:hAnsi="Arial" w:cs="Arial"/>
                <w:color w:val="000000"/>
                <w:sz w:val="18"/>
                <w:szCs w:val="18"/>
                <w:lang w:eastAsia="sl-SI"/>
              </w:rPr>
              <w:t xml:space="preserve">Primer 1: </w:t>
            </w:r>
            <w:r w:rsidRPr="00D848F3">
              <w:rPr>
                <w:rFonts w:ascii="Arial" w:eastAsia="Times New Roman" w:hAnsi="Arial" w:cs="Arial"/>
                <w:b/>
                <w:bCs/>
                <w:color w:val="000000"/>
                <w:sz w:val="18"/>
                <w:szCs w:val="18"/>
                <w:lang w:eastAsia="sl-SI"/>
              </w:rPr>
              <w:t>Standardno zdravilo, npr. kardiovaskularna bolezen</w:t>
            </w:r>
          </w:p>
        </w:tc>
        <w:tc>
          <w:tcPr>
            <w:tcW w:w="1810" w:type="dxa"/>
            <w:tcBorders>
              <w:top w:val="single" w:sz="4" w:space="0" w:color="auto"/>
              <w:left w:val="nil"/>
              <w:bottom w:val="single" w:sz="4" w:space="0" w:color="auto"/>
              <w:right w:val="single" w:sz="4" w:space="0" w:color="auto"/>
            </w:tcBorders>
            <w:vAlign w:val="center"/>
            <w:hideMark/>
          </w:tcPr>
          <w:p w14:paraId="5BBEB304" w14:textId="77777777" w:rsidR="00CD0C3B" w:rsidRPr="00D848F3" w:rsidRDefault="00CD0C3B" w:rsidP="00C1796B">
            <w:pPr>
              <w:spacing w:after="0" w:line="240" w:lineRule="auto"/>
              <w:jc w:val="center"/>
              <w:rPr>
                <w:rFonts w:ascii="Arial" w:eastAsia="Times New Roman" w:hAnsi="Arial" w:cs="Arial"/>
                <w:b/>
                <w:bCs/>
                <w:color w:val="000000"/>
                <w:sz w:val="18"/>
                <w:szCs w:val="18"/>
                <w:lang w:eastAsia="sl-SI"/>
              </w:rPr>
            </w:pPr>
            <w:r w:rsidRPr="00D848F3">
              <w:rPr>
                <w:rFonts w:ascii="Arial" w:eastAsia="Times New Roman" w:hAnsi="Arial" w:cs="Arial"/>
                <w:color w:val="000000"/>
                <w:sz w:val="18"/>
                <w:szCs w:val="18"/>
                <w:lang w:eastAsia="sl-SI"/>
              </w:rPr>
              <w:t>Primer 2:</w:t>
            </w:r>
            <w:r w:rsidRPr="00D848F3">
              <w:rPr>
                <w:rFonts w:ascii="Arial" w:eastAsia="Times New Roman" w:hAnsi="Arial" w:cs="Arial"/>
                <w:b/>
                <w:bCs/>
                <w:color w:val="000000"/>
                <w:sz w:val="18"/>
                <w:szCs w:val="18"/>
                <w:lang w:eastAsia="sl-SI"/>
              </w:rPr>
              <w:t xml:space="preserve"> Standardno zdravilo, npr. multipla skleroza</w:t>
            </w:r>
          </w:p>
        </w:tc>
        <w:tc>
          <w:tcPr>
            <w:tcW w:w="1810" w:type="dxa"/>
            <w:tcBorders>
              <w:top w:val="single" w:sz="4" w:space="0" w:color="auto"/>
              <w:left w:val="nil"/>
              <w:bottom w:val="single" w:sz="4" w:space="0" w:color="auto"/>
              <w:right w:val="single" w:sz="4" w:space="0" w:color="auto"/>
            </w:tcBorders>
            <w:vAlign w:val="center"/>
            <w:hideMark/>
          </w:tcPr>
          <w:p w14:paraId="3DE67B44" w14:textId="77777777" w:rsidR="00CD0C3B" w:rsidRPr="00D848F3" w:rsidRDefault="00CD0C3B" w:rsidP="00C1796B">
            <w:pPr>
              <w:spacing w:after="0" w:line="240" w:lineRule="auto"/>
              <w:jc w:val="center"/>
              <w:rPr>
                <w:rFonts w:ascii="Arial" w:eastAsia="Times New Roman" w:hAnsi="Arial" w:cs="Arial"/>
                <w:b/>
                <w:bCs/>
                <w:color w:val="000000"/>
                <w:sz w:val="18"/>
                <w:szCs w:val="18"/>
                <w:lang w:eastAsia="sl-SI"/>
              </w:rPr>
            </w:pPr>
            <w:r w:rsidRPr="00D848F3">
              <w:rPr>
                <w:rFonts w:ascii="Arial" w:eastAsia="Times New Roman" w:hAnsi="Arial" w:cs="Arial"/>
                <w:color w:val="000000"/>
                <w:sz w:val="18"/>
                <w:szCs w:val="18"/>
                <w:lang w:eastAsia="sl-SI"/>
              </w:rPr>
              <w:t>Primer 3:</w:t>
            </w:r>
            <w:r w:rsidRPr="00D848F3">
              <w:rPr>
                <w:rFonts w:ascii="Arial" w:eastAsia="Times New Roman" w:hAnsi="Arial" w:cs="Arial"/>
                <w:b/>
                <w:bCs/>
                <w:color w:val="000000"/>
                <w:sz w:val="18"/>
                <w:szCs w:val="18"/>
                <w:lang w:eastAsia="sl-SI"/>
              </w:rPr>
              <w:t xml:space="preserve"> Onkološko zdravilo, npr. rak dojke </w:t>
            </w:r>
          </w:p>
        </w:tc>
        <w:tc>
          <w:tcPr>
            <w:tcW w:w="1810" w:type="dxa"/>
            <w:tcBorders>
              <w:top w:val="single" w:sz="4" w:space="0" w:color="auto"/>
              <w:left w:val="nil"/>
              <w:bottom w:val="single" w:sz="4" w:space="0" w:color="auto"/>
              <w:right w:val="single" w:sz="4" w:space="0" w:color="auto"/>
            </w:tcBorders>
            <w:vAlign w:val="center"/>
            <w:hideMark/>
          </w:tcPr>
          <w:p w14:paraId="4E13BF3C" w14:textId="77777777" w:rsidR="00CD0C3B" w:rsidRPr="00D848F3" w:rsidRDefault="00CD0C3B" w:rsidP="00C1796B">
            <w:pPr>
              <w:spacing w:after="0" w:line="240" w:lineRule="auto"/>
              <w:jc w:val="center"/>
              <w:rPr>
                <w:rFonts w:ascii="Arial" w:eastAsia="Times New Roman" w:hAnsi="Arial" w:cs="Arial"/>
                <w:b/>
                <w:bCs/>
                <w:color w:val="000000"/>
                <w:sz w:val="18"/>
                <w:szCs w:val="18"/>
                <w:lang w:eastAsia="sl-SI"/>
              </w:rPr>
            </w:pPr>
            <w:r w:rsidRPr="00D848F3">
              <w:rPr>
                <w:rFonts w:ascii="Arial" w:eastAsia="Times New Roman" w:hAnsi="Arial" w:cs="Arial"/>
                <w:color w:val="000000"/>
                <w:sz w:val="18"/>
                <w:szCs w:val="18"/>
                <w:lang w:eastAsia="sl-SI"/>
              </w:rPr>
              <w:t xml:space="preserve">Primer 4: </w:t>
            </w:r>
            <w:r w:rsidRPr="00D848F3">
              <w:rPr>
                <w:rFonts w:ascii="Arial" w:eastAsia="Times New Roman" w:hAnsi="Arial" w:cs="Arial"/>
                <w:b/>
                <w:bCs/>
                <w:color w:val="000000"/>
                <w:sz w:val="18"/>
                <w:szCs w:val="18"/>
                <w:lang w:eastAsia="sl-SI"/>
              </w:rPr>
              <w:t xml:space="preserve">Zdravilo za redko bolezen, npr. </w:t>
            </w:r>
            <w:proofErr w:type="spellStart"/>
            <w:r w:rsidRPr="00D848F3">
              <w:rPr>
                <w:rFonts w:ascii="Arial" w:eastAsia="Times New Roman" w:hAnsi="Arial" w:cs="Arial"/>
                <w:b/>
                <w:bCs/>
                <w:color w:val="000000"/>
                <w:sz w:val="18"/>
                <w:szCs w:val="18"/>
                <w:lang w:eastAsia="sl-SI"/>
              </w:rPr>
              <w:t>spinalna</w:t>
            </w:r>
            <w:proofErr w:type="spellEnd"/>
            <w:r w:rsidRPr="00D848F3">
              <w:rPr>
                <w:rFonts w:ascii="Arial" w:eastAsia="Times New Roman" w:hAnsi="Arial" w:cs="Arial"/>
                <w:b/>
                <w:bCs/>
                <w:color w:val="000000"/>
                <w:sz w:val="18"/>
                <w:szCs w:val="18"/>
                <w:lang w:eastAsia="sl-SI"/>
              </w:rPr>
              <w:t xml:space="preserve"> mišična </w:t>
            </w:r>
            <w:r>
              <w:rPr>
                <w:rFonts w:ascii="Arial" w:eastAsia="Times New Roman" w:hAnsi="Arial" w:cs="Arial"/>
                <w:b/>
                <w:bCs/>
                <w:color w:val="000000"/>
                <w:sz w:val="18"/>
                <w:szCs w:val="18"/>
                <w:lang w:eastAsia="sl-SI"/>
              </w:rPr>
              <w:t>a</w:t>
            </w:r>
            <w:r w:rsidRPr="00524A0D">
              <w:rPr>
                <w:rFonts w:ascii="Arial" w:eastAsia="Times New Roman" w:hAnsi="Arial" w:cs="Arial"/>
                <w:b/>
                <w:bCs/>
                <w:color w:val="000000"/>
                <w:sz w:val="18"/>
                <w:szCs w:val="18"/>
                <w:lang w:eastAsia="sl-SI"/>
              </w:rPr>
              <w:t>trofija</w:t>
            </w:r>
          </w:p>
        </w:tc>
      </w:tr>
      <w:tr w:rsidR="00CD0C3B" w:rsidRPr="00D848F3" w14:paraId="28F7A0F7" w14:textId="77777777" w:rsidTr="00C1796B">
        <w:trPr>
          <w:trHeight w:val="266"/>
        </w:trPr>
        <w:tc>
          <w:tcPr>
            <w:tcW w:w="1847" w:type="dxa"/>
            <w:tcBorders>
              <w:top w:val="nil"/>
              <w:left w:val="single" w:sz="4" w:space="0" w:color="auto"/>
              <w:bottom w:val="single" w:sz="4" w:space="0" w:color="auto"/>
              <w:right w:val="single" w:sz="4" w:space="0" w:color="auto"/>
            </w:tcBorders>
            <w:vAlign w:val="bottom"/>
            <w:hideMark/>
          </w:tcPr>
          <w:p w14:paraId="15E949B4" w14:textId="77777777" w:rsidR="00CD0C3B" w:rsidRPr="00D848F3" w:rsidRDefault="00CD0C3B" w:rsidP="00C1796B">
            <w:pPr>
              <w:spacing w:after="0" w:line="240" w:lineRule="auto"/>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Letni strošek SOC: </w:t>
            </w:r>
          </w:p>
        </w:tc>
        <w:tc>
          <w:tcPr>
            <w:tcW w:w="1810" w:type="dxa"/>
            <w:tcBorders>
              <w:top w:val="nil"/>
              <w:left w:val="nil"/>
              <w:bottom w:val="single" w:sz="4" w:space="0" w:color="auto"/>
              <w:right w:val="single" w:sz="4" w:space="0" w:color="auto"/>
            </w:tcBorders>
            <w:noWrap/>
            <w:vAlign w:val="bottom"/>
            <w:hideMark/>
          </w:tcPr>
          <w:p w14:paraId="31BD42BA"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200 €</w:t>
            </w:r>
          </w:p>
        </w:tc>
        <w:tc>
          <w:tcPr>
            <w:tcW w:w="1810" w:type="dxa"/>
            <w:tcBorders>
              <w:top w:val="nil"/>
              <w:left w:val="nil"/>
              <w:bottom w:val="single" w:sz="4" w:space="0" w:color="auto"/>
              <w:right w:val="single" w:sz="4" w:space="0" w:color="auto"/>
            </w:tcBorders>
            <w:noWrap/>
            <w:vAlign w:val="bottom"/>
            <w:hideMark/>
          </w:tcPr>
          <w:p w14:paraId="44B5A639"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15.000 €</w:t>
            </w:r>
          </w:p>
        </w:tc>
        <w:tc>
          <w:tcPr>
            <w:tcW w:w="1810" w:type="dxa"/>
            <w:tcBorders>
              <w:top w:val="nil"/>
              <w:left w:val="nil"/>
              <w:bottom w:val="single" w:sz="4" w:space="0" w:color="auto"/>
              <w:right w:val="single" w:sz="4" w:space="0" w:color="auto"/>
            </w:tcBorders>
            <w:noWrap/>
            <w:vAlign w:val="bottom"/>
            <w:hideMark/>
          </w:tcPr>
          <w:p w14:paraId="07B6AB95"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15.000 €</w:t>
            </w:r>
          </w:p>
        </w:tc>
        <w:tc>
          <w:tcPr>
            <w:tcW w:w="1810" w:type="dxa"/>
            <w:tcBorders>
              <w:top w:val="nil"/>
              <w:left w:val="nil"/>
              <w:bottom w:val="single" w:sz="4" w:space="0" w:color="auto"/>
              <w:right w:val="single" w:sz="4" w:space="0" w:color="auto"/>
            </w:tcBorders>
            <w:noWrap/>
            <w:vAlign w:val="bottom"/>
            <w:hideMark/>
          </w:tcPr>
          <w:p w14:paraId="05E12290"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0 €</w:t>
            </w:r>
          </w:p>
        </w:tc>
      </w:tr>
      <w:tr w:rsidR="00CD0C3B" w:rsidRPr="00D848F3" w14:paraId="1B83B35A" w14:textId="77777777" w:rsidTr="00C1796B">
        <w:trPr>
          <w:trHeight w:val="270"/>
        </w:trPr>
        <w:tc>
          <w:tcPr>
            <w:tcW w:w="1847" w:type="dxa"/>
            <w:tcBorders>
              <w:top w:val="nil"/>
              <w:left w:val="single" w:sz="4" w:space="0" w:color="auto"/>
              <w:bottom w:val="single" w:sz="4" w:space="0" w:color="auto"/>
              <w:right w:val="single" w:sz="4" w:space="0" w:color="auto"/>
            </w:tcBorders>
            <w:vAlign w:val="bottom"/>
            <w:hideMark/>
          </w:tcPr>
          <w:p w14:paraId="3EE6F57A" w14:textId="77777777" w:rsidR="00CD0C3B" w:rsidRPr="00D848F3" w:rsidRDefault="00CD0C3B" w:rsidP="00C1796B">
            <w:pPr>
              <w:spacing w:after="0" w:line="240" w:lineRule="auto"/>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Letni strošek novega zdravila: </w:t>
            </w:r>
          </w:p>
        </w:tc>
        <w:tc>
          <w:tcPr>
            <w:tcW w:w="1810" w:type="dxa"/>
            <w:tcBorders>
              <w:top w:val="nil"/>
              <w:left w:val="nil"/>
              <w:bottom w:val="single" w:sz="4" w:space="0" w:color="auto"/>
              <w:right w:val="single" w:sz="4" w:space="0" w:color="auto"/>
            </w:tcBorders>
            <w:noWrap/>
            <w:vAlign w:val="bottom"/>
            <w:hideMark/>
          </w:tcPr>
          <w:p w14:paraId="3D6429AE"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3.500 €</w:t>
            </w:r>
          </w:p>
        </w:tc>
        <w:tc>
          <w:tcPr>
            <w:tcW w:w="1810" w:type="dxa"/>
            <w:tcBorders>
              <w:top w:val="nil"/>
              <w:left w:val="nil"/>
              <w:bottom w:val="single" w:sz="4" w:space="0" w:color="auto"/>
              <w:right w:val="single" w:sz="4" w:space="0" w:color="auto"/>
            </w:tcBorders>
            <w:noWrap/>
            <w:vAlign w:val="bottom"/>
            <w:hideMark/>
          </w:tcPr>
          <w:p w14:paraId="469FC251"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35.000 €</w:t>
            </w:r>
          </w:p>
        </w:tc>
        <w:tc>
          <w:tcPr>
            <w:tcW w:w="1810" w:type="dxa"/>
            <w:tcBorders>
              <w:top w:val="nil"/>
              <w:left w:val="nil"/>
              <w:bottom w:val="single" w:sz="4" w:space="0" w:color="auto"/>
              <w:right w:val="single" w:sz="4" w:space="0" w:color="auto"/>
            </w:tcBorders>
            <w:noWrap/>
            <w:vAlign w:val="bottom"/>
            <w:hideMark/>
          </w:tcPr>
          <w:p w14:paraId="79EE698D"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45.000 €</w:t>
            </w:r>
          </w:p>
        </w:tc>
        <w:tc>
          <w:tcPr>
            <w:tcW w:w="1810" w:type="dxa"/>
            <w:tcBorders>
              <w:top w:val="nil"/>
              <w:left w:val="nil"/>
              <w:bottom w:val="single" w:sz="4" w:space="0" w:color="auto"/>
              <w:right w:val="single" w:sz="4" w:space="0" w:color="auto"/>
            </w:tcBorders>
            <w:noWrap/>
            <w:vAlign w:val="bottom"/>
            <w:hideMark/>
          </w:tcPr>
          <w:p w14:paraId="4A54350B"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500.000 €</w:t>
            </w:r>
          </w:p>
        </w:tc>
      </w:tr>
      <w:tr w:rsidR="00CD0C3B" w:rsidRPr="00D848F3" w14:paraId="14F88137" w14:textId="77777777" w:rsidTr="00C1796B">
        <w:trPr>
          <w:trHeight w:val="418"/>
        </w:trPr>
        <w:tc>
          <w:tcPr>
            <w:tcW w:w="1847" w:type="dxa"/>
            <w:tcBorders>
              <w:top w:val="nil"/>
              <w:left w:val="single" w:sz="4" w:space="0" w:color="auto"/>
              <w:bottom w:val="single" w:sz="4" w:space="0" w:color="auto"/>
              <w:right w:val="single" w:sz="4" w:space="0" w:color="auto"/>
            </w:tcBorders>
            <w:vAlign w:val="bottom"/>
            <w:hideMark/>
          </w:tcPr>
          <w:p w14:paraId="26843AB2" w14:textId="77777777" w:rsidR="00CD0C3B" w:rsidRPr="00D848F3" w:rsidRDefault="00CD0C3B" w:rsidP="00C1796B">
            <w:pPr>
              <w:spacing w:after="0" w:line="240" w:lineRule="auto"/>
              <w:rPr>
                <w:rFonts w:ascii="Arial" w:eastAsia="Times New Roman" w:hAnsi="Arial" w:cs="Arial"/>
                <w:color w:val="000000" w:themeColor="text1"/>
                <w:sz w:val="18"/>
                <w:szCs w:val="18"/>
                <w:lang w:eastAsia="sl-SI"/>
              </w:rPr>
            </w:pPr>
            <w:proofErr w:type="spellStart"/>
            <w:r w:rsidRPr="00D848F3">
              <w:rPr>
                <w:rFonts w:ascii="Arial" w:eastAsia="Times New Roman" w:hAnsi="Arial" w:cs="Arial"/>
                <w:color w:val="000000" w:themeColor="text1"/>
                <w:sz w:val="18"/>
                <w:szCs w:val="18"/>
                <w:lang w:eastAsia="sl-SI"/>
              </w:rPr>
              <w:t>Inkrementalni</w:t>
            </w:r>
            <w:proofErr w:type="spellEnd"/>
            <w:r w:rsidRPr="00D848F3">
              <w:rPr>
                <w:rFonts w:ascii="Arial" w:eastAsia="Times New Roman" w:hAnsi="Arial" w:cs="Arial"/>
                <w:color w:val="000000" w:themeColor="text1"/>
                <w:sz w:val="18"/>
                <w:szCs w:val="18"/>
                <w:lang w:eastAsia="sl-SI"/>
              </w:rPr>
              <w:t xml:space="preserve"> strošek</w:t>
            </w:r>
          </w:p>
        </w:tc>
        <w:tc>
          <w:tcPr>
            <w:tcW w:w="1810" w:type="dxa"/>
            <w:tcBorders>
              <w:top w:val="nil"/>
              <w:left w:val="nil"/>
              <w:bottom w:val="single" w:sz="4" w:space="0" w:color="auto"/>
              <w:right w:val="single" w:sz="4" w:space="0" w:color="auto"/>
            </w:tcBorders>
            <w:noWrap/>
            <w:vAlign w:val="bottom"/>
            <w:hideMark/>
          </w:tcPr>
          <w:p w14:paraId="39CC7E94"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3.300 €</w:t>
            </w:r>
          </w:p>
        </w:tc>
        <w:tc>
          <w:tcPr>
            <w:tcW w:w="1810" w:type="dxa"/>
            <w:tcBorders>
              <w:top w:val="nil"/>
              <w:left w:val="nil"/>
              <w:bottom w:val="single" w:sz="4" w:space="0" w:color="auto"/>
              <w:right w:val="single" w:sz="4" w:space="0" w:color="auto"/>
            </w:tcBorders>
            <w:noWrap/>
            <w:vAlign w:val="bottom"/>
            <w:hideMark/>
          </w:tcPr>
          <w:p w14:paraId="7520CB47"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20.000 €</w:t>
            </w:r>
          </w:p>
        </w:tc>
        <w:tc>
          <w:tcPr>
            <w:tcW w:w="1810" w:type="dxa"/>
            <w:tcBorders>
              <w:top w:val="nil"/>
              <w:left w:val="nil"/>
              <w:bottom w:val="single" w:sz="4" w:space="0" w:color="auto"/>
              <w:right w:val="single" w:sz="4" w:space="0" w:color="auto"/>
            </w:tcBorders>
            <w:noWrap/>
            <w:vAlign w:val="bottom"/>
            <w:hideMark/>
          </w:tcPr>
          <w:p w14:paraId="062368FE"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30.000 €</w:t>
            </w:r>
          </w:p>
        </w:tc>
        <w:tc>
          <w:tcPr>
            <w:tcW w:w="1810" w:type="dxa"/>
            <w:tcBorders>
              <w:top w:val="nil"/>
              <w:left w:val="nil"/>
              <w:bottom w:val="single" w:sz="4" w:space="0" w:color="auto"/>
              <w:right w:val="single" w:sz="4" w:space="0" w:color="auto"/>
            </w:tcBorders>
            <w:noWrap/>
            <w:vAlign w:val="bottom"/>
            <w:hideMark/>
          </w:tcPr>
          <w:p w14:paraId="177F980A"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500.000 €</w:t>
            </w:r>
          </w:p>
        </w:tc>
      </w:tr>
      <w:tr w:rsidR="00CD0C3B" w:rsidRPr="00D848F3" w14:paraId="5991AB8B" w14:textId="77777777" w:rsidTr="00C1796B">
        <w:trPr>
          <w:trHeight w:val="126"/>
        </w:trPr>
        <w:tc>
          <w:tcPr>
            <w:tcW w:w="1847" w:type="dxa"/>
            <w:tcBorders>
              <w:top w:val="nil"/>
              <w:left w:val="single" w:sz="4" w:space="0" w:color="auto"/>
              <w:bottom w:val="single" w:sz="4" w:space="0" w:color="auto"/>
              <w:right w:val="single" w:sz="4" w:space="0" w:color="auto"/>
            </w:tcBorders>
            <w:vAlign w:val="bottom"/>
            <w:hideMark/>
          </w:tcPr>
          <w:p w14:paraId="1C81DCB2" w14:textId="77777777" w:rsidR="00CD0C3B" w:rsidRPr="00D848F3" w:rsidRDefault="00CD0C3B" w:rsidP="00C1796B">
            <w:pPr>
              <w:spacing w:after="0" w:line="240" w:lineRule="auto"/>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QALY prirastek:</w:t>
            </w:r>
          </w:p>
        </w:tc>
        <w:tc>
          <w:tcPr>
            <w:tcW w:w="1810" w:type="dxa"/>
            <w:tcBorders>
              <w:top w:val="nil"/>
              <w:left w:val="nil"/>
              <w:bottom w:val="single" w:sz="4" w:space="0" w:color="auto"/>
              <w:right w:val="single" w:sz="4" w:space="0" w:color="auto"/>
            </w:tcBorders>
            <w:noWrap/>
            <w:vAlign w:val="bottom"/>
            <w:hideMark/>
          </w:tcPr>
          <w:p w14:paraId="3CFC579B"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0,15</w:t>
            </w:r>
          </w:p>
        </w:tc>
        <w:tc>
          <w:tcPr>
            <w:tcW w:w="1810" w:type="dxa"/>
            <w:tcBorders>
              <w:top w:val="nil"/>
              <w:left w:val="nil"/>
              <w:bottom w:val="single" w:sz="4" w:space="0" w:color="auto"/>
              <w:right w:val="single" w:sz="4" w:space="0" w:color="auto"/>
            </w:tcBorders>
            <w:noWrap/>
            <w:vAlign w:val="bottom"/>
            <w:hideMark/>
          </w:tcPr>
          <w:p w14:paraId="37B99EF7"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0,3</w:t>
            </w:r>
          </w:p>
        </w:tc>
        <w:tc>
          <w:tcPr>
            <w:tcW w:w="1810" w:type="dxa"/>
            <w:tcBorders>
              <w:top w:val="nil"/>
              <w:left w:val="nil"/>
              <w:bottom w:val="single" w:sz="4" w:space="0" w:color="auto"/>
              <w:right w:val="single" w:sz="4" w:space="0" w:color="auto"/>
            </w:tcBorders>
            <w:noWrap/>
            <w:vAlign w:val="bottom"/>
            <w:hideMark/>
          </w:tcPr>
          <w:p w14:paraId="67143269"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0,4</w:t>
            </w:r>
          </w:p>
        </w:tc>
        <w:tc>
          <w:tcPr>
            <w:tcW w:w="1810" w:type="dxa"/>
            <w:tcBorders>
              <w:top w:val="nil"/>
              <w:left w:val="nil"/>
              <w:bottom w:val="single" w:sz="4" w:space="0" w:color="auto"/>
              <w:right w:val="single" w:sz="4" w:space="0" w:color="auto"/>
            </w:tcBorders>
            <w:noWrap/>
            <w:vAlign w:val="bottom"/>
            <w:hideMark/>
          </w:tcPr>
          <w:p w14:paraId="0CDEC754"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2,5</w:t>
            </w:r>
          </w:p>
        </w:tc>
      </w:tr>
      <w:tr w:rsidR="00CD0C3B" w:rsidRPr="00D848F3" w14:paraId="29BB4D6F" w14:textId="77777777" w:rsidTr="00C1796B">
        <w:trPr>
          <w:trHeight w:val="50"/>
        </w:trPr>
        <w:tc>
          <w:tcPr>
            <w:tcW w:w="1847" w:type="dxa"/>
            <w:tcBorders>
              <w:top w:val="nil"/>
              <w:left w:val="single" w:sz="4" w:space="0" w:color="auto"/>
              <w:bottom w:val="single" w:sz="4" w:space="0" w:color="auto"/>
              <w:right w:val="single" w:sz="4" w:space="0" w:color="auto"/>
            </w:tcBorders>
            <w:vAlign w:val="bottom"/>
            <w:hideMark/>
          </w:tcPr>
          <w:p w14:paraId="446EDF05" w14:textId="77777777" w:rsidR="00CD0C3B" w:rsidRPr="00D848F3" w:rsidRDefault="00CD0C3B" w:rsidP="00C1796B">
            <w:pPr>
              <w:spacing w:after="0" w:line="240" w:lineRule="auto"/>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Prag za plačilo:</w:t>
            </w:r>
          </w:p>
        </w:tc>
        <w:tc>
          <w:tcPr>
            <w:tcW w:w="1810" w:type="dxa"/>
            <w:tcBorders>
              <w:top w:val="nil"/>
              <w:left w:val="nil"/>
              <w:bottom w:val="single" w:sz="4" w:space="0" w:color="auto"/>
              <w:right w:val="single" w:sz="4" w:space="0" w:color="auto"/>
            </w:tcBorders>
            <w:noWrap/>
            <w:vAlign w:val="bottom"/>
            <w:hideMark/>
          </w:tcPr>
          <w:p w14:paraId="6C6E8F64"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30.000 EUR/QALY </w:t>
            </w:r>
          </w:p>
        </w:tc>
        <w:tc>
          <w:tcPr>
            <w:tcW w:w="1810" w:type="dxa"/>
            <w:tcBorders>
              <w:top w:val="nil"/>
              <w:left w:val="nil"/>
              <w:bottom w:val="single" w:sz="4" w:space="0" w:color="auto"/>
              <w:right w:val="single" w:sz="4" w:space="0" w:color="auto"/>
            </w:tcBorders>
            <w:noWrap/>
            <w:vAlign w:val="bottom"/>
            <w:hideMark/>
          </w:tcPr>
          <w:p w14:paraId="687FE197"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30.000 EUR/QALY </w:t>
            </w:r>
          </w:p>
        </w:tc>
        <w:tc>
          <w:tcPr>
            <w:tcW w:w="1810" w:type="dxa"/>
            <w:tcBorders>
              <w:top w:val="nil"/>
              <w:left w:val="nil"/>
              <w:bottom w:val="single" w:sz="4" w:space="0" w:color="auto"/>
              <w:right w:val="single" w:sz="4" w:space="0" w:color="auto"/>
            </w:tcBorders>
            <w:noWrap/>
            <w:vAlign w:val="bottom"/>
            <w:hideMark/>
          </w:tcPr>
          <w:p w14:paraId="0CFE5E36"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120.000 </w:t>
            </w:r>
            <w:r w:rsidRPr="00524A0D">
              <w:rPr>
                <w:rFonts w:ascii="Arial" w:eastAsia="Times New Roman" w:hAnsi="Arial" w:cs="Arial"/>
                <w:color w:val="000000" w:themeColor="text1"/>
                <w:sz w:val="18"/>
                <w:szCs w:val="18"/>
                <w:lang w:eastAsia="sl-SI"/>
              </w:rPr>
              <w:t>EUR/QALY</w:t>
            </w:r>
          </w:p>
        </w:tc>
        <w:tc>
          <w:tcPr>
            <w:tcW w:w="1810" w:type="dxa"/>
            <w:tcBorders>
              <w:top w:val="nil"/>
              <w:left w:val="nil"/>
              <w:bottom w:val="single" w:sz="4" w:space="0" w:color="auto"/>
              <w:right w:val="single" w:sz="4" w:space="0" w:color="auto"/>
            </w:tcBorders>
            <w:noWrap/>
            <w:vAlign w:val="bottom"/>
            <w:hideMark/>
          </w:tcPr>
          <w:p w14:paraId="1570F6DE" w14:textId="77777777" w:rsidR="00CD0C3B" w:rsidRPr="00D848F3" w:rsidRDefault="00CD0C3B" w:rsidP="00C1796B">
            <w:pPr>
              <w:spacing w:after="0" w:line="240" w:lineRule="auto"/>
              <w:jc w:val="center"/>
              <w:rPr>
                <w:rFonts w:ascii="Arial" w:eastAsia="Times New Roman" w:hAnsi="Arial" w:cs="Arial"/>
                <w:color w:val="000000" w:themeColor="text1"/>
                <w:sz w:val="18"/>
                <w:szCs w:val="18"/>
                <w:lang w:eastAsia="sl-SI"/>
              </w:rPr>
            </w:pPr>
            <w:r w:rsidRPr="00D848F3">
              <w:rPr>
                <w:rFonts w:ascii="Arial" w:eastAsia="Times New Roman" w:hAnsi="Arial" w:cs="Arial"/>
                <w:color w:val="000000" w:themeColor="text1"/>
                <w:sz w:val="18"/>
                <w:szCs w:val="18"/>
                <w:lang w:eastAsia="sl-SI"/>
              </w:rPr>
              <w:t xml:space="preserve">240.000 </w:t>
            </w:r>
            <w:r w:rsidRPr="00524A0D">
              <w:rPr>
                <w:rFonts w:ascii="Arial" w:eastAsia="Times New Roman" w:hAnsi="Arial" w:cs="Arial"/>
                <w:color w:val="000000" w:themeColor="text1"/>
                <w:sz w:val="18"/>
                <w:szCs w:val="18"/>
                <w:lang w:eastAsia="sl-SI"/>
              </w:rPr>
              <w:t>EUR/QALY</w:t>
            </w:r>
          </w:p>
        </w:tc>
      </w:tr>
      <w:tr w:rsidR="00CD0C3B" w:rsidRPr="00D848F3" w14:paraId="6E543F52" w14:textId="77777777" w:rsidTr="00C1796B">
        <w:trPr>
          <w:trHeight w:val="119"/>
        </w:trPr>
        <w:tc>
          <w:tcPr>
            <w:tcW w:w="1847" w:type="dxa"/>
            <w:tcBorders>
              <w:top w:val="nil"/>
              <w:left w:val="single" w:sz="4" w:space="0" w:color="auto"/>
              <w:bottom w:val="single" w:sz="4" w:space="0" w:color="auto"/>
              <w:right w:val="single" w:sz="4" w:space="0" w:color="auto"/>
            </w:tcBorders>
            <w:vAlign w:val="bottom"/>
            <w:hideMark/>
          </w:tcPr>
          <w:p w14:paraId="11966A4D" w14:textId="77777777" w:rsidR="00CD0C3B" w:rsidRPr="00D848F3" w:rsidRDefault="00CD0C3B" w:rsidP="00C1796B">
            <w:pPr>
              <w:spacing w:after="0" w:line="240" w:lineRule="auto"/>
              <w:rPr>
                <w:rFonts w:ascii="Arial" w:eastAsia="Times New Roman" w:hAnsi="Arial" w:cs="Arial"/>
                <w:color w:val="000000"/>
                <w:sz w:val="18"/>
                <w:szCs w:val="18"/>
                <w:lang w:eastAsia="sl-SI"/>
              </w:rPr>
            </w:pPr>
            <w:r w:rsidRPr="00D848F3">
              <w:rPr>
                <w:rFonts w:ascii="Arial" w:eastAsia="Times New Roman" w:hAnsi="Arial" w:cs="Arial"/>
                <w:color w:val="000000"/>
                <w:sz w:val="18"/>
                <w:szCs w:val="18"/>
                <w:lang w:eastAsia="sl-SI"/>
              </w:rPr>
              <w:t>ICER:</w:t>
            </w:r>
          </w:p>
        </w:tc>
        <w:tc>
          <w:tcPr>
            <w:tcW w:w="1810" w:type="dxa"/>
            <w:tcBorders>
              <w:top w:val="nil"/>
              <w:left w:val="nil"/>
              <w:bottom w:val="single" w:sz="4" w:space="0" w:color="auto"/>
              <w:right w:val="single" w:sz="4" w:space="0" w:color="auto"/>
            </w:tcBorders>
            <w:shd w:val="clear" w:color="000000" w:fill="DAF2D0"/>
            <w:noWrap/>
            <w:vAlign w:val="bottom"/>
            <w:hideMark/>
          </w:tcPr>
          <w:p w14:paraId="5278D0AE" w14:textId="77777777" w:rsidR="00CD0C3B" w:rsidRPr="00D848F3" w:rsidRDefault="00CD0C3B" w:rsidP="00C1796B">
            <w:pPr>
              <w:spacing w:after="0" w:line="240" w:lineRule="auto"/>
              <w:jc w:val="right"/>
              <w:rPr>
                <w:rFonts w:ascii="Arial" w:eastAsia="Times New Roman" w:hAnsi="Arial" w:cs="Arial"/>
                <w:color w:val="000000"/>
                <w:sz w:val="18"/>
                <w:szCs w:val="18"/>
                <w:lang w:eastAsia="sl-SI"/>
              </w:rPr>
            </w:pPr>
            <w:r w:rsidRPr="00D848F3">
              <w:rPr>
                <w:rFonts w:ascii="Arial" w:eastAsia="Times New Roman" w:hAnsi="Arial" w:cs="Arial"/>
                <w:color w:val="000000"/>
                <w:sz w:val="18"/>
                <w:szCs w:val="18"/>
                <w:lang w:eastAsia="sl-SI"/>
              </w:rPr>
              <w:t xml:space="preserve"> 22.000 EUR/QALY </w:t>
            </w:r>
          </w:p>
        </w:tc>
        <w:tc>
          <w:tcPr>
            <w:tcW w:w="1810" w:type="dxa"/>
            <w:tcBorders>
              <w:top w:val="nil"/>
              <w:left w:val="nil"/>
              <w:bottom w:val="single" w:sz="4" w:space="0" w:color="auto"/>
              <w:right w:val="single" w:sz="4" w:space="0" w:color="auto"/>
            </w:tcBorders>
            <w:shd w:val="clear" w:color="000000" w:fill="F7C7AC"/>
            <w:noWrap/>
            <w:vAlign w:val="bottom"/>
            <w:hideMark/>
          </w:tcPr>
          <w:p w14:paraId="7FEA92B3" w14:textId="77777777" w:rsidR="00CD0C3B" w:rsidRPr="00D848F3" w:rsidRDefault="00CD0C3B" w:rsidP="00C1796B">
            <w:pPr>
              <w:spacing w:after="0" w:line="240" w:lineRule="auto"/>
              <w:rPr>
                <w:rFonts w:ascii="Arial" w:eastAsia="Times New Roman" w:hAnsi="Arial" w:cs="Arial"/>
                <w:color w:val="000000"/>
                <w:sz w:val="18"/>
                <w:szCs w:val="18"/>
                <w:lang w:eastAsia="sl-SI"/>
              </w:rPr>
            </w:pPr>
            <w:r w:rsidRPr="00D848F3">
              <w:rPr>
                <w:rFonts w:ascii="Arial" w:eastAsia="Times New Roman" w:hAnsi="Arial" w:cs="Arial"/>
                <w:color w:val="000000"/>
                <w:sz w:val="18"/>
                <w:szCs w:val="18"/>
                <w:lang w:eastAsia="sl-SI"/>
              </w:rPr>
              <w:t xml:space="preserve"> 66.667 EUR/QALY </w:t>
            </w:r>
          </w:p>
        </w:tc>
        <w:tc>
          <w:tcPr>
            <w:tcW w:w="1810" w:type="dxa"/>
            <w:tcBorders>
              <w:top w:val="nil"/>
              <w:left w:val="nil"/>
              <w:bottom w:val="single" w:sz="4" w:space="0" w:color="auto"/>
              <w:right w:val="single" w:sz="4" w:space="0" w:color="auto"/>
            </w:tcBorders>
            <w:shd w:val="clear" w:color="000000" w:fill="DAF2D0"/>
            <w:noWrap/>
            <w:vAlign w:val="bottom"/>
            <w:hideMark/>
          </w:tcPr>
          <w:p w14:paraId="650AE804" w14:textId="77777777" w:rsidR="00CD0C3B" w:rsidRPr="00D848F3" w:rsidRDefault="00CD0C3B" w:rsidP="00C1796B">
            <w:pPr>
              <w:spacing w:after="0" w:line="240" w:lineRule="auto"/>
              <w:jc w:val="right"/>
              <w:rPr>
                <w:rFonts w:ascii="Arial" w:eastAsia="Times New Roman" w:hAnsi="Arial" w:cs="Arial"/>
                <w:color w:val="000000"/>
                <w:sz w:val="18"/>
                <w:szCs w:val="18"/>
                <w:lang w:eastAsia="sl-SI"/>
              </w:rPr>
            </w:pPr>
            <w:r w:rsidRPr="00D848F3">
              <w:rPr>
                <w:rFonts w:ascii="Arial" w:eastAsia="Times New Roman" w:hAnsi="Arial" w:cs="Arial"/>
                <w:color w:val="000000"/>
                <w:sz w:val="18"/>
                <w:szCs w:val="18"/>
                <w:lang w:eastAsia="sl-SI"/>
              </w:rPr>
              <w:t xml:space="preserve"> 75.000 EUR/QALY </w:t>
            </w:r>
          </w:p>
        </w:tc>
        <w:tc>
          <w:tcPr>
            <w:tcW w:w="1810" w:type="dxa"/>
            <w:tcBorders>
              <w:top w:val="nil"/>
              <w:left w:val="nil"/>
              <w:bottom w:val="single" w:sz="4" w:space="0" w:color="auto"/>
              <w:right w:val="single" w:sz="4" w:space="0" w:color="auto"/>
            </w:tcBorders>
            <w:shd w:val="clear" w:color="000000" w:fill="DAF2D0"/>
            <w:noWrap/>
            <w:vAlign w:val="bottom"/>
            <w:hideMark/>
          </w:tcPr>
          <w:p w14:paraId="6E73DF8E" w14:textId="77777777" w:rsidR="00CD0C3B" w:rsidRPr="00D848F3" w:rsidRDefault="00CD0C3B" w:rsidP="00C1796B">
            <w:pPr>
              <w:spacing w:after="0" w:line="240" w:lineRule="auto"/>
              <w:jc w:val="center"/>
              <w:rPr>
                <w:rFonts w:ascii="Arial" w:eastAsia="Times New Roman" w:hAnsi="Arial" w:cs="Arial"/>
                <w:color w:val="000000"/>
                <w:sz w:val="18"/>
                <w:szCs w:val="18"/>
                <w:lang w:eastAsia="sl-SI"/>
              </w:rPr>
            </w:pPr>
            <w:r w:rsidRPr="00D848F3">
              <w:rPr>
                <w:rFonts w:ascii="Arial" w:eastAsia="Times New Roman" w:hAnsi="Arial" w:cs="Arial"/>
                <w:color w:val="000000"/>
                <w:sz w:val="18"/>
                <w:szCs w:val="18"/>
                <w:lang w:eastAsia="sl-SI"/>
              </w:rPr>
              <w:t>200.000 EUR/QALY</w:t>
            </w:r>
          </w:p>
        </w:tc>
      </w:tr>
    </w:tbl>
    <w:p w14:paraId="310E2CFE"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Pr>
          <w:rFonts w:ascii="Arial" w:eastAsia="Times New Roman" w:hAnsi="Arial" w:cs="Arial"/>
          <w:color w:val="000000" w:themeColor="text1"/>
          <w:sz w:val="20"/>
          <w:szCs w:val="20"/>
          <w:lang w:eastAsia="sl-SI"/>
        </w:rPr>
        <w:lastRenderedPageBreak/>
        <w:fldChar w:fldCharType="end"/>
      </w:r>
    </w:p>
    <w:p w14:paraId="07E0DE06"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58B2462C"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E56F99">
        <w:rPr>
          <w:rFonts w:ascii="Arial" w:eastAsia="Times New Roman" w:hAnsi="Arial" w:cs="Arial"/>
          <w:color w:val="000000" w:themeColor="text1"/>
          <w:sz w:val="20"/>
          <w:szCs w:val="20"/>
          <w:lang w:eastAsia="sl-SI"/>
        </w:rPr>
        <w:t xml:space="preserve">V primerih 1, 3 in 4 je bil predlagan strošek zdravljenja ob ocenjeni učinkovitosti takšen, da je bilo razmerje prirastka stroškov glede na prirastek učinkovítosti pod predvidenim pragom za plačilo. </w:t>
      </w:r>
      <w:r>
        <w:rPr>
          <w:rFonts w:ascii="Arial" w:eastAsia="Times New Roman" w:hAnsi="Arial" w:cs="Arial"/>
          <w:color w:val="000000" w:themeColor="text1"/>
          <w:sz w:val="20"/>
          <w:szCs w:val="20"/>
          <w:lang w:eastAsia="sl-SI"/>
        </w:rPr>
        <w:t>To pomeni, da bi takšno zdravili ocenili kot stroškovno učinkovito. Nasprotno pa bi v</w:t>
      </w:r>
      <w:r w:rsidRPr="00E56F99">
        <w:rPr>
          <w:rFonts w:ascii="Arial" w:eastAsia="Times New Roman" w:hAnsi="Arial" w:cs="Arial"/>
          <w:color w:val="000000" w:themeColor="text1"/>
          <w:sz w:val="20"/>
          <w:szCs w:val="20"/>
          <w:lang w:eastAsia="sl-SI"/>
        </w:rPr>
        <w:t xml:space="preserve"> primeru 2 </w:t>
      </w:r>
      <w:r>
        <w:rPr>
          <w:rFonts w:ascii="Arial" w:eastAsia="Times New Roman" w:hAnsi="Arial" w:cs="Arial"/>
          <w:color w:val="000000" w:themeColor="text1"/>
          <w:sz w:val="20"/>
          <w:szCs w:val="20"/>
          <w:lang w:eastAsia="sl-SI"/>
        </w:rPr>
        <w:t xml:space="preserve">ocenili, da zdravilo ni stroškovno učinkovito. Da bi postalo, bi moral proizvajalec znižati ceno vsaj za </w:t>
      </w:r>
      <w:r w:rsidRPr="00E56F99">
        <w:rPr>
          <w:rFonts w:ascii="Arial" w:eastAsia="Times New Roman" w:hAnsi="Arial" w:cs="Arial"/>
          <w:color w:val="000000" w:themeColor="text1"/>
          <w:sz w:val="20"/>
          <w:szCs w:val="20"/>
          <w:lang w:eastAsia="sl-SI"/>
        </w:rPr>
        <w:t>31%,</w:t>
      </w:r>
      <w:r>
        <w:rPr>
          <w:rFonts w:ascii="Arial" w:eastAsia="Times New Roman" w:hAnsi="Arial" w:cs="Arial"/>
          <w:color w:val="000000" w:themeColor="text1"/>
          <w:sz w:val="20"/>
          <w:szCs w:val="20"/>
          <w:lang w:eastAsia="sl-SI"/>
        </w:rPr>
        <w:t xml:space="preserve"> in tako</w:t>
      </w:r>
      <w:r w:rsidRPr="00E56F99">
        <w:rPr>
          <w:rFonts w:ascii="Arial" w:eastAsia="Times New Roman" w:hAnsi="Arial" w:cs="Arial"/>
          <w:color w:val="000000" w:themeColor="text1"/>
          <w:sz w:val="20"/>
          <w:szCs w:val="20"/>
          <w:lang w:eastAsia="sl-SI"/>
        </w:rPr>
        <w:t xml:space="preserve"> bi dosegel vrednost predvidenega praga za plačilo za to zdravilo.</w:t>
      </w:r>
    </w:p>
    <w:p w14:paraId="4A3AF674"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530D8C44"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C60921">
        <w:rPr>
          <w:rFonts w:ascii="Arial" w:eastAsia="Times New Roman" w:hAnsi="Arial" w:cs="Arial"/>
          <w:color w:val="000000" w:themeColor="text1"/>
          <w:sz w:val="20"/>
          <w:szCs w:val="20"/>
          <w:lang w:eastAsia="sl-SI"/>
        </w:rPr>
        <w:t xml:space="preserve">Predlagani sistem uvaja stopničaste meje pri vrednostih QALY prirastka 0,33 in 0,50. </w:t>
      </w:r>
      <w:r>
        <w:rPr>
          <w:rFonts w:ascii="Arial" w:eastAsia="Times New Roman" w:hAnsi="Arial" w:cs="Arial"/>
          <w:color w:val="000000" w:themeColor="text1"/>
          <w:sz w:val="20"/>
          <w:szCs w:val="20"/>
          <w:lang w:eastAsia="sl-SI"/>
        </w:rPr>
        <w:t>Na JAKZ se</w:t>
      </w:r>
      <w:r w:rsidRPr="00C60921">
        <w:rPr>
          <w:rFonts w:ascii="Arial" w:eastAsia="Times New Roman" w:hAnsi="Arial" w:cs="Arial"/>
          <w:color w:val="000000" w:themeColor="text1"/>
          <w:sz w:val="20"/>
          <w:szCs w:val="20"/>
          <w:lang w:eastAsia="sl-SI"/>
        </w:rPr>
        <w:t xml:space="preserve"> zaveda</w:t>
      </w:r>
      <w:r>
        <w:rPr>
          <w:rFonts w:ascii="Arial" w:eastAsia="Times New Roman" w:hAnsi="Arial" w:cs="Arial"/>
          <w:color w:val="000000" w:themeColor="text1"/>
          <w:sz w:val="20"/>
          <w:szCs w:val="20"/>
          <w:lang w:eastAsia="sl-SI"/>
        </w:rPr>
        <w:t>mo,</w:t>
      </w:r>
      <w:r w:rsidRPr="00C60921">
        <w:rPr>
          <w:rFonts w:ascii="Arial" w:eastAsia="Times New Roman" w:hAnsi="Arial" w:cs="Arial"/>
          <w:color w:val="000000" w:themeColor="text1"/>
          <w:sz w:val="20"/>
          <w:szCs w:val="20"/>
          <w:lang w:eastAsia="sl-SI"/>
        </w:rPr>
        <w:t xml:space="preserve"> da takšne meje </w:t>
      </w:r>
      <w:r>
        <w:rPr>
          <w:rFonts w:ascii="Arial" w:eastAsia="Times New Roman" w:hAnsi="Arial" w:cs="Arial"/>
          <w:color w:val="000000" w:themeColor="text1"/>
          <w:sz w:val="20"/>
          <w:szCs w:val="20"/>
          <w:lang w:eastAsia="sl-SI"/>
        </w:rPr>
        <w:t xml:space="preserve">omogočajo možnost </w:t>
      </w:r>
      <w:r w:rsidRPr="00C60921">
        <w:rPr>
          <w:rFonts w:ascii="Arial" w:eastAsia="Times New Roman" w:hAnsi="Arial" w:cs="Arial"/>
          <w:color w:val="000000" w:themeColor="text1"/>
          <w:sz w:val="20"/>
          <w:szCs w:val="20"/>
          <w:lang w:eastAsia="sl-SI"/>
        </w:rPr>
        <w:t>optimizacij</w:t>
      </w:r>
      <w:r>
        <w:rPr>
          <w:rFonts w:ascii="Arial" w:eastAsia="Times New Roman" w:hAnsi="Arial" w:cs="Arial"/>
          <w:color w:val="000000" w:themeColor="text1"/>
          <w:sz w:val="20"/>
          <w:szCs w:val="20"/>
          <w:lang w:eastAsia="sl-SI"/>
        </w:rPr>
        <w:t>e</w:t>
      </w:r>
      <w:r w:rsidRPr="00C60921">
        <w:rPr>
          <w:rFonts w:ascii="Arial" w:eastAsia="Times New Roman" w:hAnsi="Arial" w:cs="Arial"/>
          <w:color w:val="000000" w:themeColor="text1"/>
          <w:sz w:val="20"/>
          <w:szCs w:val="20"/>
          <w:lang w:eastAsia="sl-SI"/>
        </w:rPr>
        <w:t xml:space="preserve"> ekonomskih modelov s strani predlagateljev z namenom dostopa do višjega praga. </w:t>
      </w:r>
      <w:r>
        <w:rPr>
          <w:rFonts w:ascii="Arial" w:eastAsia="Times New Roman" w:hAnsi="Arial" w:cs="Arial"/>
          <w:color w:val="000000" w:themeColor="text1"/>
          <w:sz w:val="20"/>
          <w:szCs w:val="20"/>
          <w:lang w:eastAsia="sl-SI"/>
        </w:rPr>
        <w:t xml:space="preserve">V postopku vrednotenja bomo temu posvetili posebno skrb, podkrepljeno </w:t>
      </w:r>
      <w:r w:rsidRPr="00C60921">
        <w:rPr>
          <w:rFonts w:ascii="Arial" w:eastAsia="Times New Roman" w:hAnsi="Arial" w:cs="Arial"/>
          <w:color w:val="000000" w:themeColor="text1"/>
          <w:sz w:val="20"/>
          <w:szCs w:val="20"/>
          <w:lang w:eastAsia="sl-SI"/>
        </w:rPr>
        <w:t>z metodološkimi smernicami za pripravo ekonomskih modelov ter z zahtevo po transparentnosti podatkov in predpostavk</w:t>
      </w:r>
      <w:r>
        <w:rPr>
          <w:rFonts w:ascii="Arial" w:eastAsia="Times New Roman" w:hAnsi="Arial" w:cs="Arial"/>
          <w:color w:val="000000" w:themeColor="text1"/>
          <w:sz w:val="20"/>
          <w:szCs w:val="20"/>
          <w:lang w:eastAsia="sl-SI"/>
        </w:rPr>
        <w:t>.</w:t>
      </w:r>
    </w:p>
    <w:p w14:paraId="49CAFB86"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0B200FF6" w14:textId="77777777" w:rsidR="00CD0C3B" w:rsidRPr="00162E0B" w:rsidRDefault="00CD0C3B" w:rsidP="00CD0C3B">
      <w:pPr>
        <w:spacing w:after="0" w:line="276" w:lineRule="auto"/>
        <w:jc w:val="both"/>
        <w:rPr>
          <w:rFonts w:ascii="Arial" w:eastAsia="Times New Roman" w:hAnsi="Arial" w:cs="Arial"/>
          <w:b/>
          <w:bCs/>
          <w:color w:val="000000" w:themeColor="text1"/>
          <w:sz w:val="20"/>
          <w:szCs w:val="20"/>
          <w:lang w:eastAsia="sl-SI"/>
        </w:rPr>
      </w:pPr>
      <w:r w:rsidRPr="00162E0B">
        <w:rPr>
          <w:rFonts w:ascii="Arial" w:eastAsia="Times New Roman" w:hAnsi="Arial" w:cs="Arial"/>
          <w:b/>
          <w:bCs/>
          <w:color w:val="000000" w:themeColor="text1"/>
          <w:sz w:val="20"/>
          <w:szCs w:val="20"/>
          <w:lang w:eastAsia="sl-SI"/>
        </w:rPr>
        <w:t>K 6. členu</w:t>
      </w:r>
    </w:p>
    <w:p w14:paraId="68110065"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r w:rsidRPr="00860C9E">
        <w:rPr>
          <w:rFonts w:ascii="Arial" w:eastAsia="Times New Roman" w:hAnsi="Arial" w:cs="Arial"/>
          <w:color w:val="000000" w:themeColor="text1"/>
          <w:sz w:val="20"/>
          <w:szCs w:val="20"/>
          <w:lang w:eastAsia="sl-SI"/>
        </w:rPr>
        <w:t xml:space="preserve">Člen določa posebnosti </w:t>
      </w:r>
      <w:proofErr w:type="spellStart"/>
      <w:r w:rsidRPr="00860C9E">
        <w:rPr>
          <w:rFonts w:ascii="Arial" w:eastAsia="Times New Roman" w:hAnsi="Arial" w:cs="Arial"/>
          <w:color w:val="000000" w:themeColor="text1"/>
          <w:sz w:val="20"/>
          <w:szCs w:val="20"/>
          <w:lang w:eastAsia="sl-SI"/>
        </w:rPr>
        <w:t>nekliničnega</w:t>
      </w:r>
      <w:proofErr w:type="spellEnd"/>
      <w:r w:rsidRPr="00860C9E">
        <w:rPr>
          <w:rFonts w:ascii="Arial" w:eastAsia="Times New Roman" w:hAnsi="Arial" w:cs="Arial"/>
          <w:color w:val="000000" w:themeColor="text1"/>
          <w:sz w:val="20"/>
          <w:szCs w:val="20"/>
          <w:lang w:eastAsia="sl-SI"/>
        </w:rPr>
        <w:t xml:space="preserve"> dela vloge za zdravstvene tehnologije, ki niso zdravila, kot so medicinski pripomočki, diagnostični testi in zdravstveni postopki. Pri tem se upoštevajo njihove specifičnosti, zlasti glede načina uporabe, življenjskega cikla, organizacijskih zahtev ter vpliva na izvajanje zdravstvenih storitev.</w:t>
      </w:r>
    </w:p>
    <w:p w14:paraId="6F490D16"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p>
    <w:p w14:paraId="6088027F"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r w:rsidRPr="00860C9E">
        <w:rPr>
          <w:rFonts w:ascii="Arial" w:eastAsia="Times New Roman" w:hAnsi="Arial" w:cs="Arial"/>
          <w:color w:val="000000" w:themeColor="text1"/>
          <w:sz w:val="20"/>
          <w:szCs w:val="20"/>
          <w:lang w:eastAsia="sl-SI"/>
        </w:rPr>
        <w:t>Člen določa poenostavljen pristop za tehnologije z manjšim finančnim vplivom ter obveznost priprave celovite ekonomske analize v primerih, ko je finančni vpliv pomemben. Poseben poudarek je na analizi finančnih vplivov, ki vključuje primerjavo s standardno prakso ter oceno vpliva na javna sredstva.</w:t>
      </w:r>
    </w:p>
    <w:p w14:paraId="5CD4A591"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p>
    <w:p w14:paraId="64E086F0"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r w:rsidRPr="00860C9E">
        <w:rPr>
          <w:rFonts w:ascii="Arial" w:eastAsia="Times New Roman" w:hAnsi="Arial" w:cs="Arial"/>
          <w:color w:val="000000" w:themeColor="text1"/>
          <w:sz w:val="20"/>
          <w:szCs w:val="20"/>
          <w:lang w:eastAsia="sl-SI"/>
        </w:rPr>
        <w:t>Poleg ekonomskega vidika člen posebej izpostavlja organizacijske, tehnične in operativne vidike uporabe zdravstvene tehnologije, vključno s potrebami po infrastrukturi, usposabljanju kadra ter morebitnimi spremembami v organizaciji dela. Upoštevani so tudi vidiki zanesljivosti delovanja, življenjskega cikla ter vpliva na zdravstveni sistem in javno zdravje.</w:t>
      </w:r>
    </w:p>
    <w:p w14:paraId="14A5882C" w14:textId="77777777" w:rsidR="00CD0C3B" w:rsidRPr="00860C9E" w:rsidRDefault="00CD0C3B" w:rsidP="00CD0C3B">
      <w:pPr>
        <w:spacing w:after="0" w:line="276" w:lineRule="auto"/>
        <w:jc w:val="both"/>
        <w:rPr>
          <w:rFonts w:ascii="Arial" w:eastAsia="Times New Roman" w:hAnsi="Arial" w:cs="Arial"/>
          <w:color w:val="000000" w:themeColor="text1"/>
          <w:sz w:val="20"/>
          <w:szCs w:val="20"/>
          <w:lang w:eastAsia="sl-SI"/>
        </w:rPr>
      </w:pPr>
    </w:p>
    <w:p w14:paraId="2D65B170"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860C9E">
        <w:rPr>
          <w:rFonts w:ascii="Arial" w:eastAsia="Times New Roman" w:hAnsi="Arial" w:cs="Arial"/>
          <w:color w:val="000000" w:themeColor="text1"/>
          <w:sz w:val="20"/>
          <w:szCs w:val="20"/>
          <w:lang w:eastAsia="sl-SI"/>
        </w:rPr>
        <w:t>S tem se zagotavlja celovita presoja zdravstvenih tehnologij, ki niso zdravila, ob upoštevanju njihovih posebnosti in vpliva na delovanje zdravstvenega sistema.</w:t>
      </w:r>
    </w:p>
    <w:p w14:paraId="3154EB08"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21C9677A" w14:textId="77777777" w:rsidR="00CD0C3B" w:rsidRPr="00162E0B" w:rsidRDefault="00CD0C3B" w:rsidP="00CD0C3B">
      <w:pPr>
        <w:spacing w:after="0" w:line="276" w:lineRule="auto"/>
        <w:jc w:val="both"/>
        <w:rPr>
          <w:rFonts w:ascii="Arial" w:eastAsia="Times New Roman" w:hAnsi="Arial" w:cs="Arial"/>
          <w:b/>
          <w:bCs/>
          <w:color w:val="000000" w:themeColor="text1"/>
          <w:sz w:val="20"/>
          <w:szCs w:val="20"/>
          <w:lang w:eastAsia="sl-SI"/>
        </w:rPr>
      </w:pPr>
      <w:r w:rsidRPr="00162E0B">
        <w:rPr>
          <w:rFonts w:ascii="Arial" w:eastAsia="Times New Roman" w:hAnsi="Arial" w:cs="Arial"/>
          <w:b/>
          <w:bCs/>
          <w:color w:val="000000" w:themeColor="text1"/>
          <w:sz w:val="20"/>
          <w:szCs w:val="20"/>
          <w:lang w:eastAsia="sl-SI"/>
        </w:rPr>
        <w:t>K 7. členu</w:t>
      </w:r>
    </w:p>
    <w:p w14:paraId="4693776E" w14:textId="77777777" w:rsidR="00CD0C3B" w:rsidRPr="001A6926" w:rsidRDefault="00CD0C3B" w:rsidP="00CD0C3B">
      <w:pPr>
        <w:spacing w:after="0" w:line="276" w:lineRule="auto"/>
        <w:jc w:val="both"/>
        <w:rPr>
          <w:rFonts w:ascii="Arial" w:eastAsia="Times New Roman" w:hAnsi="Arial" w:cs="Arial"/>
          <w:color w:val="000000" w:themeColor="text1"/>
          <w:sz w:val="20"/>
          <w:szCs w:val="20"/>
          <w:lang w:eastAsia="sl-SI"/>
        </w:rPr>
      </w:pPr>
      <w:r w:rsidRPr="001A6926">
        <w:rPr>
          <w:rFonts w:ascii="Arial" w:eastAsia="Times New Roman" w:hAnsi="Arial" w:cs="Arial"/>
          <w:color w:val="000000" w:themeColor="text1"/>
          <w:sz w:val="20"/>
          <w:szCs w:val="20"/>
          <w:lang w:eastAsia="sl-SI"/>
        </w:rPr>
        <w:t>Člen določa zahteve glede priprave poročila o vrednotenju zdravstvene tehnologije. Poročilo mora biti pripravljeno sistematično, pregledno in strokovno utemeljeno ter mora temeljiti na preverljivih podatkih in znanstvenih dokazih. Zagotavljati mora sledljivost postopka vrednotenja ter jasno predstavitev uporabljenih metod, podatkov in ključnih ugotovitev.</w:t>
      </w:r>
    </w:p>
    <w:p w14:paraId="22599513" w14:textId="77777777" w:rsidR="00CD0C3B" w:rsidRPr="001A6926" w:rsidRDefault="00CD0C3B" w:rsidP="00CD0C3B">
      <w:pPr>
        <w:spacing w:after="0" w:line="276" w:lineRule="auto"/>
        <w:jc w:val="both"/>
        <w:rPr>
          <w:rFonts w:ascii="Arial" w:eastAsia="Times New Roman" w:hAnsi="Arial" w:cs="Arial"/>
          <w:color w:val="000000" w:themeColor="text1"/>
          <w:sz w:val="20"/>
          <w:szCs w:val="20"/>
          <w:lang w:eastAsia="sl-SI"/>
        </w:rPr>
      </w:pPr>
    </w:p>
    <w:p w14:paraId="61B8B2C5" w14:textId="77777777" w:rsidR="00CD0C3B" w:rsidRPr="001A6926" w:rsidRDefault="00CD0C3B" w:rsidP="00CD0C3B">
      <w:pPr>
        <w:spacing w:after="0" w:line="276" w:lineRule="auto"/>
        <w:jc w:val="both"/>
        <w:rPr>
          <w:rFonts w:ascii="Arial" w:eastAsia="Times New Roman" w:hAnsi="Arial" w:cs="Arial"/>
          <w:color w:val="000000" w:themeColor="text1"/>
          <w:sz w:val="20"/>
          <w:szCs w:val="20"/>
          <w:lang w:eastAsia="sl-SI"/>
        </w:rPr>
      </w:pPr>
      <w:r w:rsidRPr="001A6926">
        <w:rPr>
          <w:rFonts w:ascii="Arial" w:eastAsia="Times New Roman" w:hAnsi="Arial" w:cs="Arial"/>
          <w:color w:val="000000" w:themeColor="text1"/>
          <w:sz w:val="20"/>
          <w:szCs w:val="20"/>
          <w:lang w:eastAsia="sl-SI"/>
        </w:rPr>
        <w:t xml:space="preserve">Poročilo predstavlja strokovno podlago za odločanje o uporabi zdravstvene tehnologije v zdravstvenem sistemu, zato mora vključevati celovito obravnavo kliničnih in </w:t>
      </w:r>
      <w:proofErr w:type="spellStart"/>
      <w:r w:rsidRPr="001A6926">
        <w:rPr>
          <w:rFonts w:ascii="Arial" w:eastAsia="Times New Roman" w:hAnsi="Arial" w:cs="Arial"/>
          <w:color w:val="000000" w:themeColor="text1"/>
          <w:sz w:val="20"/>
          <w:szCs w:val="20"/>
          <w:lang w:eastAsia="sl-SI"/>
        </w:rPr>
        <w:t>nekliničnih</w:t>
      </w:r>
      <w:proofErr w:type="spellEnd"/>
      <w:r w:rsidRPr="001A6926">
        <w:rPr>
          <w:rFonts w:ascii="Arial" w:eastAsia="Times New Roman" w:hAnsi="Arial" w:cs="Arial"/>
          <w:color w:val="000000" w:themeColor="text1"/>
          <w:sz w:val="20"/>
          <w:szCs w:val="20"/>
          <w:lang w:eastAsia="sl-SI"/>
        </w:rPr>
        <w:t xml:space="preserve"> vidikov ter njihovo interpretacijo. Poseben poudarek je na transparentni predstavitvi rezultatov, vključno z omejitvami in negotovostjo v razpoložljivih dokazih ter rezultatih analiz in njihovim vplivom na končno priporočilo.</w:t>
      </w:r>
    </w:p>
    <w:p w14:paraId="05AF2A9A" w14:textId="77777777" w:rsidR="00CD0C3B" w:rsidRPr="001A6926" w:rsidRDefault="00CD0C3B" w:rsidP="00CD0C3B">
      <w:pPr>
        <w:spacing w:after="0" w:line="276" w:lineRule="auto"/>
        <w:jc w:val="both"/>
        <w:rPr>
          <w:rFonts w:ascii="Arial" w:eastAsia="Times New Roman" w:hAnsi="Arial" w:cs="Arial"/>
          <w:color w:val="000000" w:themeColor="text1"/>
          <w:sz w:val="20"/>
          <w:szCs w:val="20"/>
          <w:lang w:eastAsia="sl-SI"/>
        </w:rPr>
      </w:pPr>
    </w:p>
    <w:p w14:paraId="2C02132A"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1A6926">
        <w:rPr>
          <w:rFonts w:ascii="Arial" w:eastAsia="Times New Roman" w:hAnsi="Arial" w:cs="Arial"/>
          <w:color w:val="000000" w:themeColor="text1"/>
          <w:sz w:val="20"/>
          <w:szCs w:val="20"/>
          <w:lang w:eastAsia="sl-SI"/>
        </w:rPr>
        <w:t>Podrobnejša struktura poročila je določena v prilogi pravilnika, kar omogoča enotno pripravo poročil in primerljivost med posameznimi vrednotenji.</w:t>
      </w:r>
    </w:p>
    <w:p w14:paraId="66A5F518"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07B87476" w14:textId="77777777" w:rsidR="00CD0C3B" w:rsidRPr="00162E0B" w:rsidRDefault="00CD0C3B" w:rsidP="00CD0C3B">
      <w:pPr>
        <w:spacing w:after="0" w:line="276" w:lineRule="auto"/>
        <w:jc w:val="both"/>
        <w:rPr>
          <w:rFonts w:ascii="Arial" w:eastAsia="Times New Roman" w:hAnsi="Arial" w:cs="Arial"/>
          <w:b/>
          <w:bCs/>
          <w:color w:val="000000" w:themeColor="text1"/>
          <w:sz w:val="20"/>
          <w:szCs w:val="20"/>
          <w:lang w:eastAsia="sl-SI"/>
        </w:rPr>
      </w:pPr>
      <w:r w:rsidRPr="00162E0B">
        <w:rPr>
          <w:rFonts w:ascii="Arial" w:eastAsia="Times New Roman" w:hAnsi="Arial" w:cs="Arial"/>
          <w:b/>
          <w:bCs/>
          <w:color w:val="000000" w:themeColor="text1"/>
          <w:sz w:val="20"/>
          <w:szCs w:val="20"/>
          <w:lang w:eastAsia="sl-SI"/>
        </w:rPr>
        <w:t>K 8. členu</w:t>
      </w:r>
    </w:p>
    <w:p w14:paraId="4A588512"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r w:rsidRPr="00E214D5">
        <w:rPr>
          <w:rFonts w:ascii="Arial" w:eastAsia="Times New Roman" w:hAnsi="Arial" w:cs="Arial"/>
          <w:color w:val="000000" w:themeColor="text1"/>
          <w:sz w:val="20"/>
          <w:szCs w:val="20"/>
          <w:lang w:eastAsia="sl-SI"/>
        </w:rPr>
        <w:t>Člen ureja postopek vrednotenja pri Agenciji. Določa način vložitve vloge, njeno vsebino ter potek postopka vrednotenja od začetka do zaključka, vključno z obravnavo popolnosti vloge in posameznimi fazami postopka, ki so podrobneje opredeljene v prilogi pravilnika.</w:t>
      </w:r>
    </w:p>
    <w:p w14:paraId="40F5D1D7"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p>
    <w:p w14:paraId="317FF7D4"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r w:rsidRPr="00E214D5">
        <w:rPr>
          <w:rFonts w:ascii="Arial" w:eastAsia="Times New Roman" w:hAnsi="Arial" w:cs="Arial"/>
          <w:color w:val="000000" w:themeColor="text1"/>
          <w:sz w:val="20"/>
          <w:szCs w:val="20"/>
          <w:lang w:eastAsia="sl-SI"/>
        </w:rPr>
        <w:lastRenderedPageBreak/>
        <w:t xml:space="preserve">Postopek se lahko začne na podlagi vloge predlagatelja ali </w:t>
      </w:r>
      <w:r>
        <w:rPr>
          <w:rFonts w:ascii="Arial" w:eastAsia="Times New Roman" w:hAnsi="Arial" w:cs="Arial"/>
          <w:color w:val="000000" w:themeColor="text1"/>
          <w:sz w:val="20"/>
          <w:szCs w:val="20"/>
          <w:lang w:eastAsia="sl-SI"/>
        </w:rPr>
        <w:t xml:space="preserve">ga začne Agencija </w:t>
      </w:r>
      <w:r w:rsidRPr="00E214D5">
        <w:rPr>
          <w:rFonts w:ascii="Arial" w:eastAsia="Times New Roman" w:hAnsi="Arial" w:cs="Arial"/>
          <w:color w:val="000000" w:themeColor="text1"/>
          <w:sz w:val="20"/>
          <w:szCs w:val="20"/>
          <w:lang w:eastAsia="sl-SI"/>
        </w:rPr>
        <w:t>po uradni dolžnosti. Vloga se vloži v elektronski obliki, pri čemer mora biti pripravljena v skladu z obrazci in metodološkimi navodili, objavljenimi na spletni strani Agencije.</w:t>
      </w:r>
    </w:p>
    <w:p w14:paraId="155347E0"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p>
    <w:p w14:paraId="36F91745"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r w:rsidRPr="00E214D5">
        <w:rPr>
          <w:rFonts w:ascii="Arial" w:eastAsia="Times New Roman" w:hAnsi="Arial" w:cs="Arial"/>
          <w:color w:val="000000" w:themeColor="text1"/>
          <w:sz w:val="20"/>
          <w:szCs w:val="20"/>
          <w:lang w:eastAsia="sl-SI"/>
        </w:rPr>
        <w:t>Člen določa tudi možnost vključevanja zunanjih strokovnjakov, pridobivanja dodatnih strokovnih mnenj ter sodelovanja z drugimi strokovnimi telesi, kadar je to potrebno za celovito in strokovno utemeljeno vrednotenje. Posebej je predvideno vključevanje kliničnih strokovnjakov in predstavnikov pacientov.</w:t>
      </w:r>
    </w:p>
    <w:p w14:paraId="0CFE8311" w14:textId="77777777" w:rsidR="00CD0C3B" w:rsidRPr="00E214D5" w:rsidRDefault="00CD0C3B" w:rsidP="00CD0C3B">
      <w:pPr>
        <w:spacing w:after="0" w:line="276" w:lineRule="auto"/>
        <w:jc w:val="both"/>
        <w:rPr>
          <w:rFonts w:ascii="Arial" w:eastAsia="Times New Roman" w:hAnsi="Arial" w:cs="Arial"/>
          <w:color w:val="000000" w:themeColor="text1"/>
          <w:sz w:val="20"/>
          <w:szCs w:val="20"/>
          <w:lang w:eastAsia="sl-SI"/>
        </w:rPr>
      </w:pPr>
    </w:p>
    <w:p w14:paraId="1AF6E437"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r w:rsidRPr="00E214D5">
        <w:rPr>
          <w:rFonts w:ascii="Arial" w:eastAsia="Times New Roman" w:hAnsi="Arial" w:cs="Arial"/>
          <w:color w:val="000000" w:themeColor="text1"/>
          <w:sz w:val="20"/>
          <w:szCs w:val="20"/>
          <w:lang w:eastAsia="sl-SI"/>
        </w:rPr>
        <w:t>Pri oblikovanju priporočila Agencija upošteva vnaprej določena merila in točkovanje, kar zagotavlja strukturirano, pregledno in primerljivo presojo posameznih zdravstvenih tehnologij ter prispeva k večji transparentnosti postopka.</w:t>
      </w:r>
    </w:p>
    <w:p w14:paraId="0C9DDEEF"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1F7E3F35" w14:textId="77777777" w:rsidR="00CD0C3B" w:rsidRPr="00C462FD" w:rsidRDefault="00CD0C3B" w:rsidP="00CD0C3B">
      <w:pPr>
        <w:spacing w:after="0" w:line="276" w:lineRule="auto"/>
        <w:jc w:val="both"/>
        <w:rPr>
          <w:rFonts w:ascii="Arial" w:eastAsia="Times New Roman" w:hAnsi="Arial" w:cs="Arial"/>
          <w:b/>
          <w:bCs/>
          <w:color w:val="000000" w:themeColor="text1"/>
          <w:sz w:val="20"/>
          <w:szCs w:val="20"/>
          <w:lang w:eastAsia="sl-SI"/>
        </w:rPr>
      </w:pPr>
      <w:r w:rsidRPr="00C462FD">
        <w:rPr>
          <w:rFonts w:ascii="Arial" w:eastAsia="Times New Roman" w:hAnsi="Arial" w:cs="Arial"/>
          <w:b/>
          <w:bCs/>
          <w:color w:val="000000" w:themeColor="text1"/>
          <w:sz w:val="20"/>
          <w:szCs w:val="20"/>
          <w:lang w:eastAsia="sl-SI"/>
        </w:rPr>
        <w:t xml:space="preserve">K </w:t>
      </w:r>
      <w:r>
        <w:rPr>
          <w:rFonts w:ascii="Arial" w:eastAsia="Times New Roman" w:hAnsi="Arial" w:cs="Arial"/>
          <w:b/>
          <w:bCs/>
          <w:color w:val="000000" w:themeColor="text1"/>
          <w:sz w:val="20"/>
          <w:szCs w:val="20"/>
          <w:lang w:eastAsia="sl-SI"/>
        </w:rPr>
        <w:t>9</w:t>
      </w:r>
      <w:r w:rsidRPr="00C462FD">
        <w:rPr>
          <w:rFonts w:ascii="Arial" w:eastAsia="Times New Roman" w:hAnsi="Arial" w:cs="Arial"/>
          <w:b/>
          <w:bCs/>
          <w:color w:val="000000" w:themeColor="text1"/>
          <w:sz w:val="20"/>
          <w:szCs w:val="20"/>
          <w:lang w:eastAsia="sl-SI"/>
        </w:rPr>
        <w:t>. členu</w:t>
      </w:r>
    </w:p>
    <w:p w14:paraId="494B9990"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ureja umik vloge za vrednotenje zdravstvene tehnologije. Določena je možnost, da predlagatelj vlogo umakne do objave poročila o vrednotenju, s čimer se zagotavlja procesna fleksibilnost v primeru spremembe okoliščin ali odločitve predlagatelja.</w:t>
      </w:r>
    </w:p>
    <w:p w14:paraId="744F03D3"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16529FAE"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določa tudi pravne posledice umika vloge po začetku postopka, zlasti glede plačila storitve, ki se v takem primeru ne vrača, saj je Agencija že opravila določene aktivnosti v postopku.</w:t>
      </w:r>
      <w:r>
        <w:rPr>
          <w:rFonts w:ascii="Arial" w:eastAsia="Times New Roman" w:hAnsi="Arial" w:cs="Arial"/>
          <w:color w:val="000000" w:themeColor="text1"/>
          <w:sz w:val="20"/>
          <w:szCs w:val="20"/>
          <w:lang w:eastAsia="sl-SI"/>
        </w:rPr>
        <w:t xml:space="preserve"> </w:t>
      </w:r>
      <w:r w:rsidRPr="00162E0B">
        <w:rPr>
          <w:rFonts w:ascii="Arial" w:eastAsia="Times New Roman" w:hAnsi="Arial" w:cs="Arial"/>
          <w:color w:val="000000" w:themeColor="text1"/>
          <w:sz w:val="20"/>
          <w:szCs w:val="20"/>
          <w:lang w:eastAsia="sl-SI"/>
        </w:rPr>
        <w:t>V te</w:t>
      </w:r>
      <w:r>
        <w:rPr>
          <w:rFonts w:ascii="Arial" w:eastAsia="Times New Roman" w:hAnsi="Arial" w:cs="Arial"/>
          <w:color w:val="000000" w:themeColor="text1"/>
          <w:sz w:val="20"/>
          <w:szCs w:val="20"/>
          <w:lang w:eastAsia="sl-SI"/>
        </w:rPr>
        <w:t>m</w:t>
      </w:r>
      <w:r w:rsidRPr="00162E0B">
        <w:rPr>
          <w:rFonts w:ascii="Arial" w:eastAsia="Times New Roman" w:hAnsi="Arial" w:cs="Arial"/>
          <w:color w:val="000000" w:themeColor="text1"/>
          <w:sz w:val="20"/>
          <w:szCs w:val="20"/>
          <w:lang w:eastAsia="sl-SI"/>
        </w:rPr>
        <w:t xml:space="preserve"> primer</w:t>
      </w:r>
      <w:r>
        <w:rPr>
          <w:rFonts w:ascii="Arial" w:eastAsia="Times New Roman" w:hAnsi="Arial" w:cs="Arial"/>
          <w:color w:val="000000" w:themeColor="text1"/>
          <w:sz w:val="20"/>
          <w:szCs w:val="20"/>
          <w:lang w:eastAsia="sl-SI"/>
        </w:rPr>
        <w:t>u</w:t>
      </w:r>
      <w:r w:rsidRPr="00162E0B">
        <w:rPr>
          <w:rFonts w:ascii="Arial" w:eastAsia="Times New Roman" w:hAnsi="Arial" w:cs="Arial"/>
          <w:color w:val="000000" w:themeColor="text1"/>
          <w:sz w:val="20"/>
          <w:szCs w:val="20"/>
          <w:lang w:eastAsia="sl-SI"/>
        </w:rPr>
        <w:t xml:space="preserve"> Agencija postopek vrednotenja ustavi in o tem obvesti predlagatelja.</w:t>
      </w:r>
    </w:p>
    <w:p w14:paraId="7AC48A95"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6105750E"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Ureditev umika vloge prispeva k jasnosti postopka ter zagotavlja pravno varnost glede posledic ravnanja predlagatelja v postopku vrednotenja.</w:t>
      </w:r>
    </w:p>
    <w:p w14:paraId="29688EE7"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2B3EEE37" w14:textId="77777777" w:rsidR="00CD0C3B" w:rsidRPr="009E2C2D" w:rsidRDefault="00CD0C3B" w:rsidP="00CD0C3B">
      <w:pPr>
        <w:spacing w:after="0" w:line="276" w:lineRule="auto"/>
        <w:jc w:val="both"/>
        <w:rPr>
          <w:rFonts w:ascii="Arial" w:eastAsia="Times New Roman" w:hAnsi="Arial" w:cs="Arial"/>
          <w:b/>
          <w:bCs/>
          <w:color w:val="000000" w:themeColor="text1"/>
          <w:sz w:val="20"/>
          <w:szCs w:val="20"/>
          <w:lang w:eastAsia="sl-SI"/>
        </w:rPr>
      </w:pPr>
      <w:r w:rsidRPr="009E2C2D">
        <w:rPr>
          <w:rFonts w:ascii="Arial" w:eastAsia="Times New Roman" w:hAnsi="Arial" w:cs="Arial"/>
          <w:b/>
          <w:bCs/>
          <w:color w:val="000000" w:themeColor="text1"/>
          <w:sz w:val="20"/>
          <w:szCs w:val="20"/>
          <w:lang w:eastAsia="sl-SI"/>
        </w:rPr>
        <w:t>K 1</w:t>
      </w:r>
      <w:r>
        <w:rPr>
          <w:rFonts w:ascii="Arial" w:eastAsia="Times New Roman" w:hAnsi="Arial" w:cs="Arial"/>
          <w:b/>
          <w:bCs/>
          <w:color w:val="000000" w:themeColor="text1"/>
          <w:sz w:val="20"/>
          <w:szCs w:val="20"/>
          <w:lang w:eastAsia="sl-SI"/>
        </w:rPr>
        <w:t>0</w:t>
      </w:r>
      <w:r w:rsidRPr="009E2C2D">
        <w:rPr>
          <w:rFonts w:ascii="Arial" w:eastAsia="Times New Roman" w:hAnsi="Arial" w:cs="Arial"/>
          <w:b/>
          <w:bCs/>
          <w:color w:val="000000" w:themeColor="text1"/>
          <w:sz w:val="20"/>
          <w:szCs w:val="20"/>
          <w:lang w:eastAsia="sl-SI"/>
        </w:rPr>
        <w:t>. členu</w:t>
      </w:r>
    </w:p>
    <w:p w14:paraId="28457399"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ureja ponovno vrednotenje zdravstvenih tehnologij. Namen ponovnega vrednotenja je preveriti ustreznost predhodne ocene ob upoštevanju novih znanstvenih dokazov, podatkov iz klinične prakse ter morebitnih sprememb v načinu uporabe ali položaju tehnologije v zdravstvenem sistemu.</w:t>
      </w:r>
    </w:p>
    <w:p w14:paraId="0B70703A"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738E2B06"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 xml:space="preserve">Člen določa, da mora predlagatelj v postopku ponovnega vrednotenja predložiti posodobljene klinične in </w:t>
      </w:r>
      <w:proofErr w:type="spellStart"/>
      <w:r w:rsidRPr="00162E0B">
        <w:rPr>
          <w:rFonts w:ascii="Arial" w:eastAsia="Times New Roman" w:hAnsi="Arial" w:cs="Arial"/>
          <w:color w:val="000000" w:themeColor="text1"/>
          <w:sz w:val="20"/>
          <w:szCs w:val="20"/>
          <w:lang w:eastAsia="sl-SI"/>
        </w:rPr>
        <w:t>neklinične</w:t>
      </w:r>
      <w:proofErr w:type="spellEnd"/>
      <w:r w:rsidRPr="00162E0B">
        <w:rPr>
          <w:rFonts w:ascii="Arial" w:eastAsia="Times New Roman" w:hAnsi="Arial" w:cs="Arial"/>
          <w:color w:val="000000" w:themeColor="text1"/>
          <w:sz w:val="20"/>
          <w:szCs w:val="20"/>
          <w:lang w:eastAsia="sl-SI"/>
        </w:rPr>
        <w:t xml:space="preserve"> podatke ter podatke o dejanski uporabi zdravstvene tehnologije, zlasti v Republiki Sloveniji. Pri tem se upoštevajo tudi ugotovitve predhodnega vrednotenja in spremembe v razpoložljivih dokazih, kliničnih smernicah ali drugih relevantnih okoliščinah.</w:t>
      </w:r>
    </w:p>
    <w:p w14:paraId="301569BC"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40862225"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Agencija lahko ponovno vrednotenje izvede tudi po uradni dolžnosti, kadar to utemeljujejo novi dokazi, pomembne spremembe v uporabi zdravstvene tehnologije ali njen vpliv na zdravstveni sistem. S tem se zagotavlja, da so odločitve o uporabi zdravstvenih tehnologij časovno aktualne in strokovno utemeljene.</w:t>
      </w:r>
    </w:p>
    <w:p w14:paraId="74D8BEE7"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3A209F7A" w14:textId="77777777" w:rsidR="00CD0C3B" w:rsidRPr="00F63290" w:rsidRDefault="00CD0C3B" w:rsidP="00CD0C3B">
      <w:pPr>
        <w:spacing w:after="0" w:line="276" w:lineRule="auto"/>
        <w:jc w:val="both"/>
        <w:rPr>
          <w:rFonts w:ascii="Arial" w:eastAsia="Times New Roman" w:hAnsi="Arial" w:cs="Arial"/>
          <w:b/>
          <w:bCs/>
          <w:color w:val="000000" w:themeColor="text1"/>
          <w:sz w:val="20"/>
          <w:szCs w:val="20"/>
          <w:lang w:eastAsia="sl-SI"/>
        </w:rPr>
      </w:pPr>
      <w:r w:rsidRPr="00F63290">
        <w:rPr>
          <w:rFonts w:ascii="Arial" w:eastAsia="Times New Roman" w:hAnsi="Arial" w:cs="Arial"/>
          <w:b/>
          <w:bCs/>
          <w:color w:val="000000" w:themeColor="text1"/>
          <w:sz w:val="20"/>
          <w:szCs w:val="20"/>
          <w:lang w:eastAsia="sl-SI"/>
        </w:rPr>
        <w:t>K 1</w:t>
      </w:r>
      <w:r>
        <w:rPr>
          <w:rFonts w:ascii="Arial" w:eastAsia="Times New Roman" w:hAnsi="Arial" w:cs="Arial"/>
          <w:b/>
          <w:bCs/>
          <w:color w:val="000000" w:themeColor="text1"/>
          <w:sz w:val="20"/>
          <w:szCs w:val="20"/>
          <w:lang w:eastAsia="sl-SI"/>
        </w:rPr>
        <w:t>1</w:t>
      </w:r>
      <w:r w:rsidRPr="00F63290">
        <w:rPr>
          <w:rFonts w:ascii="Arial" w:eastAsia="Times New Roman" w:hAnsi="Arial" w:cs="Arial"/>
          <w:b/>
          <w:bCs/>
          <w:color w:val="000000" w:themeColor="text1"/>
          <w:sz w:val="20"/>
          <w:szCs w:val="20"/>
          <w:lang w:eastAsia="sl-SI"/>
        </w:rPr>
        <w:t>. členu</w:t>
      </w:r>
    </w:p>
    <w:p w14:paraId="1092D308"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določa ravnanje glede nasprotja interesov pri sodelovanju zunanjih strokovnjakov v postopkih vrednotenja zdravstvenih tehnologij. Zunanji strokovnjaki morajo ravnati v skladu s predpisom, ki ureja preprečevanje in upravljanje nasprotja interesov, s čimer se zagotavlja neodvisnost, nepristranskost in strokovna integriteta postopka vrednotenja.</w:t>
      </w:r>
      <w:r w:rsidRPr="00585A5E">
        <w:t xml:space="preserve"> </w:t>
      </w:r>
      <w:r w:rsidRPr="00585A5E">
        <w:rPr>
          <w:rFonts w:ascii="Arial" w:eastAsia="Times New Roman" w:hAnsi="Arial" w:cs="Arial"/>
          <w:color w:val="000000" w:themeColor="text1"/>
          <w:sz w:val="20"/>
          <w:szCs w:val="20"/>
          <w:lang w:eastAsia="sl-SI"/>
        </w:rPr>
        <w:t>Hkrati morajo varovati zaupnost podatkov, s katerimi se seznanijo pri svojem delu.</w:t>
      </w:r>
    </w:p>
    <w:p w14:paraId="6BB686DC"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5460A586"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Ureditev nasprotja interesov je pomembna z vidika zagotavljanja zaupanja v postopek vrednotenja ter verodostojnosti pripravljenih strokovnih ocen. Člen vključuje tudi obveznost varovanja zaupnih podatkov, s katerimi se strokovnjaki seznanijo pri svojem delu, v skladu z veljavnimi predpisi.</w:t>
      </w:r>
    </w:p>
    <w:p w14:paraId="1ABAEC69"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p>
    <w:p w14:paraId="100C2CBF"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S tem se zagotavlja transparentno in odgovorno sodelovanje zunanjih strokovnjakov v postopku vrednotenja.</w:t>
      </w:r>
    </w:p>
    <w:p w14:paraId="3E1D627E"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08586414"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420400BF"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2E9D830B" w14:textId="77777777" w:rsidR="00CD0C3B" w:rsidRDefault="00CD0C3B" w:rsidP="00CD0C3B">
      <w:pPr>
        <w:spacing w:after="0" w:line="276" w:lineRule="auto"/>
        <w:jc w:val="both"/>
        <w:rPr>
          <w:rFonts w:ascii="Arial" w:eastAsia="Times New Roman" w:hAnsi="Arial" w:cs="Arial"/>
          <w:b/>
          <w:bCs/>
          <w:color w:val="000000" w:themeColor="text1"/>
          <w:sz w:val="20"/>
          <w:szCs w:val="20"/>
          <w:lang w:eastAsia="sl-SI"/>
        </w:rPr>
      </w:pPr>
    </w:p>
    <w:p w14:paraId="6BB906CC" w14:textId="77777777" w:rsidR="00CD0C3B" w:rsidRPr="0099021C" w:rsidRDefault="00CD0C3B" w:rsidP="00CD0C3B">
      <w:pPr>
        <w:spacing w:after="0" w:line="276" w:lineRule="auto"/>
        <w:jc w:val="both"/>
        <w:rPr>
          <w:rFonts w:ascii="Arial" w:eastAsia="Times New Roman" w:hAnsi="Arial" w:cs="Arial"/>
          <w:b/>
          <w:bCs/>
          <w:color w:val="000000" w:themeColor="text1"/>
          <w:sz w:val="20"/>
          <w:szCs w:val="20"/>
          <w:lang w:eastAsia="sl-SI"/>
        </w:rPr>
      </w:pPr>
      <w:r w:rsidRPr="0099021C">
        <w:rPr>
          <w:rFonts w:ascii="Arial" w:eastAsia="Times New Roman" w:hAnsi="Arial" w:cs="Arial"/>
          <w:b/>
          <w:bCs/>
          <w:color w:val="000000" w:themeColor="text1"/>
          <w:sz w:val="20"/>
          <w:szCs w:val="20"/>
          <w:lang w:eastAsia="sl-SI"/>
        </w:rPr>
        <w:t>K 1</w:t>
      </w:r>
      <w:r>
        <w:rPr>
          <w:rFonts w:ascii="Arial" w:eastAsia="Times New Roman" w:hAnsi="Arial" w:cs="Arial"/>
          <w:b/>
          <w:bCs/>
          <w:color w:val="000000" w:themeColor="text1"/>
          <w:sz w:val="20"/>
          <w:szCs w:val="20"/>
          <w:lang w:eastAsia="sl-SI"/>
        </w:rPr>
        <w:t>2</w:t>
      </w:r>
      <w:r w:rsidRPr="0099021C">
        <w:rPr>
          <w:rFonts w:ascii="Arial" w:eastAsia="Times New Roman" w:hAnsi="Arial" w:cs="Arial"/>
          <w:b/>
          <w:bCs/>
          <w:color w:val="000000" w:themeColor="text1"/>
          <w:sz w:val="20"/>
          <w:szCs w:val="20"/>
          <w:lang w:eastAsia="sl-SI"/>
        </w:rPr>
        <w:t>. členu</w:t>
      </w:r>
    </w:p>
    <w:p w14:paraId="3446BD17"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Člen določa začetek veljavnosti pravilnika, in sicer petnajsti dan po objavi v Uradnem listu Republike Slovenije. Takšna ureditev omogoča, da se zavezanci pravočasno seznanijo z vsebino pravilnika ter pripravijo na njegovo izvajanje.</w:t>
      </w:r>
    </w:p>
    <w:p w14:paraId="18D0F44C" w14:textId="77777777" w:rsidR="00CD0C3B" w:rsidRDefault="00CD0C3B" w:rsidP="00CD0C3B">
      <w:pPr>
        <w:spacing w:after="0" w:line="276" w:lineRule="auto"/>
        <w:jc w:val="both"/>
        <w:rPr>
          <w:rFonts w:ascii="Arial" w:eastAsia="Times New Roman" w:hAnsi="Arial" w:cs="Arial"/>
          <w:color w:val="000000" w:themeColor="text1"/>
          <w:sz w:val="20"/>
          <w:szCs w:val="20"/>
          <w:lang w:eastAsia="sl-SI"/>
        </w:rPr>
      </w:pPr>
    </w:p>
    <w:p w14:paraId="2338D264" w14:textId="77777777" w:rsidR="00CD0C3B" w:rsidRPr="00162E0B" w:rsidRDefault="00CD0C3B" w:rsidP="00CD0C3B">
      <w:pPr>
        <w:spacing w:after="0" w:line="276" w:lineRule="auto"/>
        <w:jc w:val="both"/>
        <w:rPr>
          <w:rFonts w:ascii="Arial" w:eastAsia="Times New Roman" w:hAnsi="Arial" w:cs="Arial"/>
          <w:color w:val="000000" w:themeColor="text1"/>
          <w:sz w:val="20"/>
          <w:szCs w:val="20"/>
          <w:lang w:eastAsia="sl-SI"/>
        </w:rPr>
      </w:pPr>
      <w:r w:rsidRPr="00162E0B">
        <w:rPr>
          <w:rFonts w:ascii="Arial" w:eastAsia="Times New Roman" w:hAnsi="Arial" w:cs="Arial"/>
          <w:color w:val="000000" w:themeColor="text1"/>
          <w:sz w:val="20"/>
          <w:szCs w:val="20"/>
          <w:lang w:eastAsia="sl-SI"/>
        </w:rPr>
        <w:t xml:space="preserve">Določitev </w:t>
      </w:r>
      <w:proofErr w:type="spellStart"/>
      <w:r w:rsidRPr="00162E0B">
        <w:rPr>
          <w:rFonts w:ascii="Arial" w:eastAsia="Times New Roman" w:hAnsi="Arial" w:cs="Arial"/>
          <w:color w:val="000000" w:themeColor="text1"/>
          <w:sz w:val="20"/>
          <w:szCs w:val="20"/>
          <w:lang w:eastAsia="sl-SI"/>
        </w:rPr>
        <w:t>vacatio</w:t>
      </w:r>
      <w:proofErr w:type="spellEnd"/>
      <w:r w:rsidRPr="00162E0B">
        <w:rPr>
          <w:rFonts w:ascii="Arial" w:eastAsia="Times New Roman" w:hAnsi="Arial" w:cs="Arial"/>
          <w:color w:val="000000" w:themeColor="text1"/>
          <w:sz w:val="20"/>
          <w:szCs w:val="20"/>
          <w:lang w:eastAsia="sl-SI"/>
        </w:rPr>
        <w:t xml:space="preserve"> </w:t>
      </w:r>
      <w:proofErr w:type="spellStart"/>
      <w:r w:rsidRPr="00162E0B">
        <w:rPr>
          <w:rFonts w:ascii="Arial" w:eastAsia="Times New Roman" w:hAnsi="Arial" w:cs="Arial"/>
          <w:color w:val="000000" w:themeColor="text1"/>
          <w:sz w:val="20"/>
          <w:szCs w:val="20"/>
          <w:lang w:eastAsia="sl-SI"/>
        </w:rPr>
        <w:t>legis</w:t>
      </w:r>
      <w:proofErr w:type="spellEnd"/>
      <w:r w:rsidRPr="00162E0B">
        <w:rPr>
          <w:rFonts w:ascii="Arial" w:eastAsia="Times New Roman" w:hAnsi="Arial" w:cs="Arial"/>
          <w:color w:val="000000" w:themeColor="text1"/>
          <w:sz w:val="20"/>
          <w:szCs w:val="20"/>
          <w:lang w:eastAsia="sl-SI"/>
        </w:rPr>
        <w:t xml:space="preserve"> prispeva k pravni varnosti in nemotenemu začetku uporabe pravilnika.</w:t>
      </w:r>
    </w:p>
    <w:p w14:paraId="55EC0471" w14:textId="77777777" w:rsidR="00CD0C3B" w:rsidRPr="00CF2530" w:rsidRDefault="00CD0C3B" w:rsidP="00CD0C3B">
      <w:pPr>
        <w:spacing w:after="0" w:line="276" w:lineRule="auto"/>
        <w:jc w:val="both"/>
        <w:rPr>
          <w:rFonts w:ascii="Arial" w:eastAsia="Times New Roman" w:hAnsi="Arial" w:cs="Arial"/>
          <w:b/>
          <w:bCs/>
          <w:color w:val="000000" w:themeColor="text1"/>
          <w:sz w:val="20"/>
          <w:szCs w:val="20"/>
          <w:lang w:eastAsia="sl-SI"/>
        </w:rPr>
      </w:pPr>
    </w:p>
    <w:p w14:paraId="6EF58C0A" w14:textId="77777777" w:rsidR="00D30530" w:rsidRDefault="00D30530"/>
    <w:sectPr w:rsidR="00D3053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E2F83"/>
    <w:multiLevelType w:val="multilevel"/>
    <w:tmpl w:val="001A3B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3957FA9"/>
    <w:multiLevelType w:val="multilevel"/>
    <w:tmpl w:val="B27CC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85B600E"/>
    <w:multiLevelType w:val="multilevel"/>
    <w:tmpl w:val="87E4B6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F5D4D86"/>
    <w:multiLevelType w:val="multilevel"/>
    <w:tmpl w:val="93606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8F4734F"/>
    <w:multiLevelType w:val="multilevel"/>
    <w:tmpl w:val="E830F7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06865689">
    <w:abstractNumId w:val="3"/>
  </w:num>
  <w:num w:numId="2" w16cid:durableId="753934563">
    <w:abstractNumId w:val="1"/>
  </w:num>
  <w:num w:numId="3" w16cid:durableId="1952081762">
    <w:abstractNumId w:val="2"/>
  </w:num>
  <w:num w:numId="4" w16cid:durableId="720398960">
    <w:abstractNumId w:val="4"/>
  </w:num>
  <w:num w:numId="5" w16cid:durableId="18784217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0C3B"/>
    <w:rsid w:val="00612393"/>
    <w:rsid w:val="008208C2"/>
    <w:rsid w:val="00B71765"/>
    <w:rsid w:val="00CD0C3B"/>
    <w:rsid w:val="00D3053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99716"/>
  <w15:chartTrackingRefBased/>
  <w15:docId w15:val="{F72478AC-4AB4-4EAD-8416-A693A6033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D0C3B"/>
    <w:rPr>
      <w:kern w:val="0"/>
      <w14:ligatures w14:val="none"/>
    </w:rPr>
  </w:style>
  <w:style w:type="paragraph" w:styleId="Naslov1">
    <w:name w:val="heading 1"/>
    <w:basedOn w:val="Navaden"/>
    <w:next w:val="Navaden"/>
    <w:link w:val="Naslov1Znak"/>
    <w:uiPriority w:val="9"/>
    <w:qFormat/>
    <w:rsid w:val="00CD0C3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CD0C3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CD0C3B"/>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CD0C3B"/>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CD0C3B"/>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CD0C3B"/>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CD0C3B"/>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CD0C3B"/>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CD0C3B"/>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CD0C3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CD0C3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CD0C3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CD0C3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CD0C3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CD0C3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CD0C3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CD0C3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CD0C3B"/>
    <w:rPr>
      <w:rFonts w:eastAsiaTheme="majorEastAsia" w:cstheme="majorBidi"/>
      <w:color w:val="272727" w:themeColor="text1" w:themeTint="D8"/>
    </w:rPr>
  </w:style>
  <w:style w:type="paragraph" w:styleId="Naslov">
    <w:name w:val="Title"/>
    <w:basedOn w:val="Navaden"/>
    <w:next w:val="Navaden"/>
    <w:link w:val="NaslovZnak"/>
    <w:uiPriority w:val="10"/>
    <w:qFormat/>
    <w:rsid w:val="00CD0C3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CD0C3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CD0C3B"/>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CD0C3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D0C3B"/>
    <w:pPr>
      <w:spacing w:before="160"/>
      <w:jc w:val="center"/>
    </w:pPr>
    <w:rPr>
      <w:i/>
      <w:iCs/>
      <w:color w:val="404040" w:themeColor="text1" w:themeTint="BF"/>
    </w:rPr>
  </w:style>
  <w:style w:type="character" w:customStyle="1" w:styleId="CitatZnak">
    <w:name w:val="Citat Znak"/>
    <w:basedOn w:val="Privzetapisavaodstavka"/>
    <w:link w:val="Citat"/>
    <w:uiPriority w:val="29"/>
    <w:rsid w:val="00CD0C3B"/>
    <w:rPr>
      <w:i/>
      <w:iCs/>
      <w:color w:val="404040" w:themeColor="text1" w:themeTint="BF"/>
    </w:rPr>
  </w:style>
  <w:style w:type="paragraph" w:styleId="Odstavekseznama">
    <w:name w:val="List Paragraph"/>
    <w:basedOn w:val="Navaden"/>
    <w:uiPriority w:val="34"/>
    <w:qFormat/>
    <w:rsid w:val="00CD0C3B"/>
    <w:pPr>
      <w:ind w:left="720"/>
      <w:contextualSpacing/>
    </w:pPr>
  </w:style>
  <w:style w:type="character" w:styleId="Intenzivenpoudarek">
    <w:name w:val="Intense Emphasis"/>
    <w:basedOn w:val="Privzetapisavaodstavka"/>
    <w:uiPriority w:val="21"/>
    <w:qFormat/>
    <w:rsid w:val="00CD0C3B"/>
    <w:rPr>
      <w:i/>
      <w:iCs/>
      <w:color w:val="0F4761" w:themeColor="accent1" w:themeShade="BF"/>
    </w:rPr>
  </w:style>
  <w:style w:type="paragraph" w:styleId="Intenzivencitat">
    <w:name w:val="Intense Quote"/>
    <w:basedOn w:val="Navaden"/>
    <w:next w:val="Navaden"/>
    <w:link w:val="IntenzivencitatZnak"/>
    <w:uiPriority w:val="30"/>
    <w:qFormat/>
    <w:rsid w:val="00CD0C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CD0C3B"/>
    <w:rPr>
      <w:i/>
      <w:iCs/>
      <w:color w:val="0F4761" w:themeColor="accent1" w:themeShade="BF"/>
    </w:rPr>
  </w:style>
  <w:style w:type="character" w:styleId="Intenzivensklic">
    <w:name w:val="Intense Reference"/>
    <w:basedOn w:val="Privzetapisavaodstavka"/>
    <w:uiPriority w:val="32"/>
    <w:qFormat/>
    <w:rsid w:val="00CD0C3B"/>
    <w:rPr>
      <w:b/>
      <w:bCs/>
      <w:smallCaps/>
      <w:color w:val="0F4761" w:themeColor="accent1" w:themeShade="BF"/>
      <w:spacing w:val="5"/>
    </w:rPr>
  </w:style>
  <w:style w:type="character" w:styleId="Hiperpovezava">
    <w:name w:val="Hyperlink"/>
    <w:basedOn w:val="Privzetapisavaodstavka"/>
    <w:uiPriority w:val="99"/>
    <w:unhideWhenUsed/>
    <w:rsid w:val="00CD0C3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radni-list.si/glasilo-uradni-list-rs/vsebina/2025-01-3976"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2498</Words>
  <Characters>14240</Characters>
  <Application>Microsoft Office Word</Application>
  <DocSecurity>0</DocSecurity>
  <Lines>118</Lines>
  <Paragraphs>33</Paragraphs>
  <ScaleCrop>false</ScaleCrop>
  <Company>MJU</Company>
  <LinksUpToDate>false</LinksUpToDate>
  <CharactersWithSpaces>16705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Tomaž Bregar Horvat</dc:creator>
  <cp:keywords/>
  <dc:description/>
  <cp:lastModifiedBy>Tomaž Bregar Horvat</cp:lastModifiedBy>
  <cp:revision>1</cp:revision>
  <dcterms:created xsi:type="dcterms:W3CDTF">2026-06-03T08:52:00Z</dcterms:created>
  <dcterms:modified xsi:type="dcterms:W3CDTF">2026-06-03T08:53:00Z</dcterms:modified>
</cp:coreProperties>
</file>