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AE58" w14:textId="267CC0C9" w:rsidR="005A1244" w:rsidRPr="00BE7D9E" w:rsidRDefault="005A1244" w:rsidP="005A1244">
      <w:pPr>
        <w:pStyle w:val="pravnapodlaga1"/>
        <w:spacing w:before="0" w:line="276" w:lineRule="auto"/>
        <w:ind w:firstLine="0"/>
        <w:rPr>
          <w:sz w:val="20"/>
          <w:szCs w:val="20"/>
        </w:rPr>
      </w:pPr>
      <w:r w:rsidRPr="00BE7D9E">
        <w:rPr>
          <w:sz w:val="20"/>
          <w:szCs w:val="20"/>
        </w:rPr>
        <w:t xml:space="preserve">Na podlagi </w:t>
      </w:r>
      <w:r w:rsidR="00DA1A45">
        <w:rPr>
          <w:sz w:val="20"/>
          <w:szCs w:val="20"/>
        </w:rPr>
        <w:t xml:space="preserve">petega odstavka </w:t>
      </w:r>
      <w:r w:rsidR="006914A1" w:rsidRPr="00CC1283">
        <w:rPr>
          <w:sz w:val="20"/>
          <w:szCs w:val="20"/>
        </w:rPr>
        <w:t xml:space="preserve">160. člena </w:t>
      </w:r>
      <w:r w:rsidRPr="00BE7D9E">
        <w:rPr>
          <w:sz w:val="20"/>
          <w:szCs w:val="20"/>
        </w:rPr>
        <w:t xml:space="preserve">Zakona o kmetijstvu (Uradni list RS, št. </w:t>
      </w:r>
      <w:r w:rsidR="006914A1" w:rsidRPr="00BE7D9E">
        <w:rPr>
          <w:sz w:val="20"/>
          <w:szCs w:val="20"/>
        </w:rPr>
        <w:t>100/2025</w:t>
      </w:r>
      <w:r w:rsidRPr="00BE7D9E">
        <w:rPr>
          <w:sz w:val="20"/>
          <w:szCs w:val="20"/>
        </w:rPr>
        <w:t>) ministrica za kmetijstvo, gozdarstvo in prehrano izdaja</w:t>
      </w:r>
    </w:p>
    <w:p w14:paraId="429CE032" w14:textId="77777777" w:rsidR="005A1244" w:rsidRPr="00BE7D9E" w:rsidRDefault="005A1244" w:rsidP="003361B3">
      <w:pPr>
        <w:rPr>
          <w:rFonts w:ascii="Arial" w:hAnsi="Arial" w:cs="Arial"/>
          <w:sz w:val="20"/>
          <w:szCs w:val="20"/>
        </w:rPr>
      </w:pPr>
    </w:p>
    <w:p w14:paraId="22695FB7" w14:textId="77777777" w:rsidR="005A1244" w:rsidRPr="00BE7D9E" w:rsidRDefault="005A1244" w:rsidP="003361B3">
      <w:pPr>
        <w:rPr>
          <w:rFonts w:ascii="Arial" w:hAnsi="Arial" w:cs="Arial"/>
          <w:sz w:val="20"/>
          <w:szCs w:val="20"/>
        </w:rPr>
      </w:pPr>
    </w:p>
    <w:p w14:paraId="0BBBA233" w14:textId="77777777" w:rsidR="006C15CE" w:rsidRPr="00BE7D9E" w:rsidRDefault="005A1244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 xml:space="preserve">PRAVILNIK </w:t>
      </w:r>
    </w:p>
    <w:p w14:paraId="68B61B72" w14:textId="7FAB5A3C" w:rsidR="00AE425C" w:rsidRPr="00BE7D9E" w:rsidRDefault="003361B3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>o izračunu standardnega prihodka kmetijskih gospodarstev</w:t>
      </w:r>
    </w:p>
    <w:p w14:paraId="04A77A33" w14:textId="2807AA4E" w:rsidR="003361B3" w:rsidRPr="00BE7D9E" w:rsidRDefault="003361B3" w:rsidP="003361B3">
      <w:pPr>
        <w:rPr>
          <w:rFonts w:ascii="Arial" w:hAnsi="Arial" w:cs="Arial"/>
          <w:sz w:val="20"/>
          <w:szCs w:val="20"/>
        </w:rPr>
      </w:pPr>
    </w:p>
    <w:p w14:paraId="59382005" w14:textId="1C40B029" w:rsidR="006914A1" w:rsidRPr="00BE7D9E" w:rsidRDefault="006914A1" w:rsidP="006914A1">
      <w:pPr>
        <w:jc w:val="center"/>
        <w:rPr>
          <w:rFonts w:ascii="Arial" w:hAnsi="Arial" w:cs="Arial"/>
          <w:b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>1. člen</w:t>
      </w:r>
    </w:p>
    <w:p w14:paraId="218A4D79" w14:textId="369B745B" w:rsidR="00E515E7" w:rsidRDefault="006914A1" w:rsidP="00E515E7">
      <w:pPr>
        <w:jc w:val="center"/>
        <w:rPr>
          <w:rFonts w:ascii="Arial" w:hAnsi="Arial" w:cs="Arial"/>
          <w:b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>(vsebina)</w:t>
      </w:r>
    </w:p>
    <w:p w14:paraId="0013FEAF" w14:textId="77777777" w:rsidR="00895753" w:rsidRPr="00BE7D9E" w:rsidRDefault="00895753" w:rsidP="00E515E7">
      <w:pPr>
        <w:jc w:val="center"/>
        <w:rPr>
          <w:rFonts w:ascii="Arial" w:hAnsi="Arial" w:cs="Arial"/>
          <w:b/>
          <w:sz w:val="20"/>
          <w:szCs w:val="20"/>
        </w:rPr>
      </w:pPr>
    </w:p>
    <w:p w14:paraId="072ED2E2" w14:textId="54B68313" w:rsidR="006914A1" w:rsidRPr="00E515E7" w:rsidRDefault="006914A1" w:rsidP="00E515E7">
      <w:pPr>
        <w:jc w:val="both"/>
        <w:rPr>
          <w:rFonts w:ascii="Arial" w:hAnsi="Arial" w:cs="Arial"/>
          <w:bCs/>
          <w:sz w:val="20"/>
          <w:szCs w:val="20"/>
        </w:rPr>
      </w:pPr>
      <w:r w:rsidRPr="00E515E7">
        <w:rPr>
          <w:rFonts w:ascii="Arial" w:hAnsi="Arial" w:cs="Arial"/>
          <w:bCs/>
          <w:sz w:val="20"/>
          <w:szCs w:val="20"/>
        </w:rPr>
        <w:t>Ta pravilnik določa podrobnejša pravila za izračun standardnega prihodka kmetijskih gospodarstev, vključno z metodologijo ocene standardnega prihodka kmetijskih gospodarstev (v nadaljnjem besedilu: izračun standardnega prihodka).</w:t>
      </w:r>
    </w:p>
    <w:p w14:paraId="42E9DD68" w14:textId="77777777" w:rsidR="006914A1" w:rsidRPr="00BE7D9E" w:rsidRDefault="006914A1" w:rsidP="00F5272B">
      <w:pPr>
        <w:jc w:val="both"/>
        <w:rPr>
          <w:rFonts w:ascii="Arial" w:hAnsi="Arial" w:cs="Arial"/>
          <w:sz w:val="20"/>
          <w:szCs w:val="20"/>
        </w:rPr>
      </w:pPr>
    </w:p>
    <w:p w14:paraId="35CE8DB8" w14:textId="5B39CFF5" w:rsidR="006914A1" w:rsidRPr="00E515E7" w:rsidRDefault="00CE143B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 xml:space="preserve">2. </w:t>
      </w:r>
      <w:r w:rsidR="00C97AE0" w:rsidRPr="00E515E7">
        <w:rPr>
          <w:rFonts w:ascii="Arial" w:hAnsi="Arial" w:cs="Arial"/>
          <w:b/>
          <w:sz w:val="20"/>
          <w:szCs w:val="20"/>
        </w:rPr>
        <w:t>č</w:t>
      </w:r>
      <w:r w:rsidR="006914A1" w:rsidRPr="00E515E7">
        <w:rPr>
          <w:rFonts w:ascii="Arial" w:hAnsi="Arial" w:cs="Arial"/>
          <w:b/>
          <w:sz w:val="20"/>
          <w:szCs w:val="20"/>
        </w:rPr>
        <w:t>len</w:t>
      </w:r>
    </w:p>
    <w:p w14:paraId="3E149B90" w14:textId="708B99E2" w:rsidR="00C97AE0" w:rsidRDefault="006914A1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515E7">
        <w:rPr>
          <w:rFonts w:ascii="Arial" w:hAnsi="Arial" w:cs="Arial"/>
          <w:b/>
          <w:bCs/>
          <w:sz w:val="20"/>
          <w:szCs w:val="20"/>
        </w:rPr>
        <w:t>(pomen izrazov)</w:t>
      </w:r>
    </w:p>
    <w:p w14:paraId="52670505" w14:textId="77777777" w:rsidR="00895753" w:rsidRPr="00E515E7" w:rsidRDefault="00895753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BD82766" w14:textId="59CA39B4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Izrazi, uporabljeni v tem pravilniku pomenijo:</w:t>
      </w:r>
    </w:p>
    <w:p w14:paraId="7E6C2641" w14:textId="5F9CBFDE" w:rsidR="006914A1" w:rsidRPr="00E515E7" w:rsidRDefault="006914A1" w:rsidP="00E515E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ekonomska velikost gospodarstva je vrednost kmetijskega gospodarstva glede na skupni standardni prihodek kmetijskega gospodarstva, izražena v eurih;</w:t>
      </w:r>
    </w:p>
    <w:p w14:paraId="16048048" w14:textId="194C5E3C" w:rsidR="006914A1" w:rsidRPr="00E515E7" w:rsidRDefault="006914A1" w:rsidP="00E515E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koeficient standardnega prihodka je povprečna denarna bruto vrednost proizvodnje posameznega kmetijskega proizvoda skupaj z morebitnimi stranskimi proizvodi, brez subvencij in davka na dodano vrednost (v nadaljnjem besedilu: SOC);</w:t>
      </w:r>
    </w:p>
    <w:p w14:paraId="6A84BFF2" w14:textId="127F98C7" w:rsidR="00A328A2" w:rsidRPr="00E515E7" w:rsidRDefault="00F5272B" w:rsidP="00E515E7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osnovni SOC so SOC, določeni v Prilog</w:t>
      </w:r>
      <w:r w:rsidR="009A6CC9" w:rsidRPr="00E515E7">
        <w:rPr>
          <w:rFonts w:ascii="Arial" w:hAnsi="Arial" w:cs="Arial"/>
          <w:sz w:val="20"/>
          <w:szCs w:val="20"/>
        </w:rPr>
        <w:t>i</w:t>
      </w:r>
      <w:r w:rsidRPr="00E515E7">
        <w:rPr>
          <w:rFonts w:ascii="Arial" w:hAnsi="Arial" w:cs="Arial"/>
          <w:sz w:val="20"/>
          <w:szCs w:val="20"/>
        </w:rPr>
        <w:t xml:space="preserve"> IV</w:t>
      </w:r>
      <w:r w:rsidR="008B461F" w:rsidRPr="00E515E7">
        <w:rPr>
          <w:rFonts w:ascii="Arial" w:hAnsi="Arial" w:cs="Arial"/>
          <w:sz w:val="20"/>
          <w:szCs w:val="20"/>
        </w:rPr>
        <w:t xml:space="preserve"> </w:t>
      </w:r>
      <w:r w:rsidRPr="00E515E7">
        <w:rPr>
          <w:rFonts w:ascii="Arial" w:hAnsi="Arial" w:cs="Arial"/>
          <w:sz w:val="20"/>
          <w:szCs w:val="20"/>
        </w:rPr>
        <w:t xml:space="preserve">Izvedbene uredbe </w:t>
      </w:r>
      <w:r w:rsidR="00F63068" w:rsidRPr="00E515E7">
        <w:rPr>
          <w:rFonts w:ascii="Arial" w:hAnsi="Arial" w:cs="Arial"/>
          <w:sz w:val="20"/>
          <w:szCs w:val="20"/>
        </w:rPr>
        <w:t>K</w:t>
      </w:r>
      <w:r w:rsidRPr="00E515E7">
        <w:rPr>
          <w:rFonts w:ascii="Arial" w:hAnsi="Arial" w:cs="Arial"/>
          <w:sz w:val="20"/>
          <w:szCs w:val="20"/>
        </w:rPr>
        <w:t xml:space="preserve">omisije (EU) 2024/2746 z dne 25. oktobra 2024 o določitvi pravil za uporabo Uredbe Sveta (ES) št. 1217/2009 o vzpostavitvi mreže za podatke o </w:t>
      </w:r>
      <w:proofErr w:type="spellStart"/>
      <w:r w:rsidRPr="00E515E7">
        <w:rPr>
          <w:rFonts w:ascii="Arial" w:hAnsi="Arial" w:cs="Arial"/>
          <w:sz w:val="20"/>
          <w:szCs w:val="20"/>
        </w:rPr>
        <w:t>trajnostnosti</w:t>
      </w:r>
      <w:proofErr w:type="spellEnd"/>
      <w:r w:rsidRPr="00E515E7">
        <w:rPr>
          <w:rFonts w:ascii="Arial" w:hAnsi="Arial" w:cs="Arial"/>
          <w:sz w:val="20"/>
          <w:szCs w:val="20"/>
        </w:rPr>
        <w:t xml:space="preserve"> kmetij in razveljavitvi Izvedbene uredbe Komisije (EU) 2015/220 (UL L št. 2024/2746 z dne 30.10.2024)</w:t>
      </w:r>
      <w:r w:rsidR="00692631" w:rsidRPr="00E515E7">
        <w:rPr>
          <w:rFonts w:ascii="Arial" w:hAnsi="Arial" w:cs="Arial"/>
          <w:sz w:val="20"/>
          <w:szCs w:val="20"/>
        </w:rPr>
        <w:t>, (v nadaljnjem besedilu: Izvedbena uredba 2024/2746/EU)</w:t>
      </w:r>
      <w:r w:rsidR="009E2B1D" w:rsidRPr="00E515E7">
        <w:rPr>
          <w:rFonts w:ascii="Arial" w:hAnsi="Arial" w:cs="Arial"/>
          <w:sz w:val="20"/>
          <w:szCs w:val="20"/>
        </w:rPr>
        <w:t>.</w:t>
      </w:r>
    </w:p>
    <w:p w14:paraId="767F1207" w14:textId="03E38E5B" w:rsidR="00535A21" w:rsidRPr="00BE7D9E" w:rsidRDefault="00535A21" w:rsidP="00F5272B">
      <w:pPr>
        <w:jc w:val="both"/>
        <w:rPr>
          <w:rFonts w:ascii="Arial" w:hAnsi="Arial" w:cs="Arial"/>
          <w:sz w:val="20"/>
          <w:szCs w:val="20"/>
        </w:rPr>
      </w:pPr>
    </w:p>
    <w:p w14:paraId="4BD8FD9E" w14:textId="79022423" w:rsidR="00535A21" w:rsidRPr="00E515E7" w:rsidRDefault="006914A1" w:rsidP="00535A2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515E7">
        <w:rPr>
          <w:rFonts w:ascii="Arial" w:hAnsi="Arial" w:cs="Arial"/>
          <w:b/>
          <w:bCs/>
          <w:sz w:val="20"/>
          <w:szCs w:val="20"/>
        </w:rPr>
        <w:t>3</w:t>
      </w:r>
      <w:r w:rsidR="00535A21" w:rsidRPr="00E515E7">
        <w:rPr>
          <w:rFonts w:ascii="Arial" w:hAnsi="Arial" w:cs="Arial"/>
          <w:b/>
          <w:bCs/>
          <w:sz w:val="20"/>
          <w:szCs w:val="20"/>
        </w:rPr>
        <w:t>. člen</w:t>
      </w:r>
    </w:p>
    <w:p w14:paraId="57045EBE" w14:textId="51CAEA4E" w:rsidR="00C97AE0" w:rsidRDefault="006914A1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515E7">
        <w:rPr>
          <w:rFonts w:ascii="Arial" w:hAnsi="Arial" w:cs="Arial"/>
          <w:b/>
          <w:bCs/>
          <w:sz w:val="20"/>
          <w:szCs w:val="20"/>
        </w:rPr>
        <w:t>(pravila za izračun standardnega prihodka)</w:t>
      </w:r>
    </w:p>
    <w:p w14:paraId="726E8909" w14:textId="77777777" w:rsidR="00895753" w:rsidRPr="00E515E7" w:rsidRDefault="00895753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DE22BA9" w14:textId="77777777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(1) Standardni prihodek (v nadaljnjem besedilu: SO) ministrstvo, pristojno za kmetijstvo, gozdarstvo in prehrano, izračuna v začetku tekočega leta (v nadaljnjem besedilu: leto n) za preteklo leto (v nadaljnjem besedilu: leto n-1) za rastlinske proizvode oziroma proizvode živalskega izvora posameznega kmetijskega gospodarstva.</w:t>
      </w:r>
    </w:p>
    <w:p w14:paraId="58B1AE43" w14:textId="77777777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(2) SO kmetijskega gospodarstva se izračuna v skladu z metodologijo ocene standardnega prihodka kmetijskih gospodarstev, ki je določena v Prilogi 1, ki je sestavni del tega pravilnika.</w:t>
      </w:r>
    </w:p>
    <w:p w14:paraId="33771F33" w14:textId="77777777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(3) Površina in žival na kmetijskem gospodarstvu se pomnoži s SOC, določenim v Prilogi 2, ki je sestavni del tega pravilnika, seštevek tako izračunanih posamičnih vrednosti pa predstavlja skupni SO oziroma ekonomsko velikost gospodarstva.</w:t>
      </w:r>
    </w:p>
    <w:p w14:paraId="7BF4BFB7" w14:textId="77777777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lastRenderedPageBreak/>
        <w:t>(4) SOC je izražen kot vrednost na enoto. Za rastlinske pridelke je enota hektar, v živinoreji pa glava živali, oziroma pri čebelah čebelja družina oziroma pri perutnini 100 glav.</w:t>
      </w:r>
    </w:p>
    <w:p w14:paraId="7326C8DB" w14:textId="2728CE72" w:rsidR="00535A21" w:rsidRPr="00BE7D9E" w:rsidRDefault="00535A21" w:rsidP="00BE7D9E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 xml:space="preserve">(5) Pri izračunu SO za rastlinsko pridelavo leta n se površina kmetijske rastline iz zbirne vloge ali površina vrste zelenjadnice iz Evidence pridelovalcev zelenjave in zelišč </w:t>
      </w:r>
      <w:r w:rsidR="009A6CC9" w:rsidRPr="00BE7D9E">
        <w:rPr>
          <w:rFonts w:ascii="Arial" w:hAnsi="Arial" w:cs="Arial"/>
          <w:sz w:val="20"/>
          <w:szCs w:val="20"/>
        </w:rPr>
        <w:t>ali</w:t>
      </w:r>
      <w:r w:rsidRPr="00BE7D9E">
        <w:rPr>
          <w:rFonts w:ascii="Arial" w:hAnsi="Arial" w:cs="Arial"/>
          <w:sz w:val="20"/>
          <w:szCs w:val="20"/>
        </w:rPr>
        <w:t xml:space="preserve"> rabe kmetijskih zemljišč iz Registra kmetijskih gospodarstev (v nadaljnjem besedilu: RKG) upošteva na stanje </w:t>
      </w:r>
      <w:r w:rsidR="005D0822" w:rsidRPr="00BE7D9E">
        <w:rPr>
          <w:rFonts w:ascii="Arial" w:hAnsi="Arial" w:cs="Arial"/>
          <w:sz w:val="20"/>
          <w:szCs w:val="20"/>
        </w:rPr>
        <w:t>18</w:t>
      </w:r>
      <w:r w:rsidRPr="00BE7D9E">
        <w:rPr>
          <w:rFonts w:ascii="Arial" w:hAnsi="Arial" w:cs="Arial"/>
          <w:sz w:val="20"/>
          <w:szCs w:val="20"/>
        </w:rPr>
        <w:t>. novembra leta n-1 ter podatki iz Registra pridelovalcev grozdja in vina na stanje 31. decembra leta n-1.</w:t>
      </w:r>
    </w:p>
    <w:p w14:paraId="5E24AFC6" w14:textId="77777777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(6) Pri izračunu SO za živinorejo leta n se upošteva:</w:t>
      </w:r>
    </w:p>
    <w:p w14:paraId="40782D86" w14:textId="40801A33" w:rsidR="006914A1" w:rsidRPr="00144656" w:rsidRDefault="006914A1" w:rsidP="00144656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144656">
        <w:rPr>
          <w:rFonts w:ascii="Arial" w:hAnsi="Arial" w:cs="Arial"/>
          <w:sz w:val="20"/>
          <w:szCs w:val="20"/>
        </w:rPr>
        <w:t>za govedo: povprečno letno število goveda iz Centralnega registra goveda na stanje prvega dne v mesecu, v obdobju od novembra predpreteklega leta (v nadaljnjem besedilu: leto n-2) do oktobra leta n-1;</w:t>
      </w:r>
    </w:p>
    <w:p w14:paraId="5D774B6A" w14:textId="7CF62425" w:rsidR="006914A1" w:rsidRDefault="006914A1" w:rsidP="00144656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144656">
        <w:rPr>
          <w:rFonts w:ascii="Arial" w:hAnsi="Arial" w:cs="Arial"/>
          <w:sz w:val="20"/>
          <w:szCs w:val="20"/>
        </w:rPr>
        <w:t>za krave: podatki o številu krav v kontroli mleka, pridobljeni iz Centralne podatkovne zbirke Govedo na zadnji dan v mesecu, v obdobju od oktobra leta n-2 do septembra leta n-1, podatki o količini neposredno prodanega in oddanega mleka za leto n-2 iz Evidence za sektor mleka ter podatek o vključenosti v ekološko rejo mleka za leto n-2 iz Evidence pridelovalcev in predelovalcev ekoloških in integriranih kmetijskih pridelkov ali živil;</w:t>
      </w:r>
    </w:p>
    <w:p w14:paraId="1033C390" w14:textId="2450C081" w:rsidR="006F5C7A" w:rsidRDefault="006F5C7A" w:rsidP="00144656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6F5C7A">
        <w:rPr>
          <w:rFonts w:ascii="Arial" w:hAnsi="Arial" w:cs="Arial"/>
          <w:sz w:val="20"/>
          <w:szCs w:val="20"/>
        </w:rPr>
        <w:t>za drobnico: povprečno letno število drobnice iz Centralnega registra drobnice na stanje prvega dne v mesecu, v obdobju od novembra predpreteklega leta (v nadaljnjem besedilu: leto n-2) do oktobra leta n-1;</w:t>
      </w:r>
    </w:p>
    <w:p w14:paraId="0298E4FF" w14:textId="486CD622" w:rsidR="006F5C7A" w:rsidRDefault="006F5C7A" w:rsidP="00144656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6F5C7A">
        <w:rPr>
          <w:rFonts w:ascii="Arial" w:hAnsi="Arial" w:cs="Arial"/>
          <w:sz w:val="20"/>
          <w:szCs w:val="20"/>
        </w:rPr>
        <w:t>za prašiče: povprečno letno število prašičev iz Centralnega registra prašičev na stanje prvega dne v mesecu, v obdobju od novembra predpreteklega leta (v nadaljnjem besedilu: leto n-2) do oktobra leta n-1;</w:t>
      </w:r>
    </w:p>
    <w:p w14:paraId="3061BE07" w14:textId="7F3E9EAF" w:rsidR="006F5C7A" w:rsidRPr="00144656" w:rsidRDefault="006F5C7A" w:rsidP="00144656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6F5C7A">
        <w:rPr>
          <w:rFonts w:ascii="Arial" w:hAnsi="Arial" w:cs="Arial"/>
          <w:sz w:val="20"/>
          <w:szCs w:val="20"/>
        </w:rPr>
        <w:t>za kopitarje: število kopitarjev iz Centralnega registra kopitarjev na stanje 1. februarja leta n-1</w:t>
      </w:r>
      <w:r>
        <w:rPr>
          <w:rFonts w:ascii="Arial" w:hAnsi="Arial" w:cs="Arial"/>
          <w:sz w:val="20"/>
          <w:szCs w:val="20"/>
        </w:rPr>
        <w:t>;</w:t>
      </w:r>
    </w:p>
    <w:p w14:paraId="44950443" w14:textId="2F0BD8BF" w:rsidR="006914A1" w:rsidRPr="00144656" w:rsidRDefault="006914A1" w:rsidP="00144656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144656">
        <w:rPr>
          <w:rFonts w:ascii="Arial" w:hAnsi="Arial" w:cs="Arial"/>
          <w:sz w:val="20"/>
          <w:szCs w:val="20"/>
        </w:rPr>
        <w:t>za čebele: število čebeljih družin na stanje 30. junija leta n-1 v Registru čebelnjakov (na popisna datuma 31. oktobra leta n-2 in 15. aprila leta n-1 ter vse nove registracije čebelnjakov od 31. oktobra leta n-2 do 30. junija leta n-1);</w:t>
      </w:r>
    </w:p>
    <w:p w14:paraId="23D1679E" w14:textId="3721C942" w:rsidR="006914A1" w:rsidRPr="00144656" w:rsidRDefault="006914A1" w:rsidP="00144656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 w:rsidRPr="00144656">
        <w:rPr>
          <w:rFonts w:ascii="Arial" w:hAnsi="Arial" w:cs="Arial"/>
          <w:sz w:val="20"/>
          <w:szCs w:val="20"/>
        </w:rPr>
        <w:t xml:space="preserve">za druge vrste in kategorije živali: število živali iz Evidence </w:t>
      </w:r>
      <w:proofErr w:type="spellStart"/>
      <w:r w:rsidRPr="00144656">
        <w:rPr>
          <w:rFonts w:ascii="Arial" w:hAnsi="Arial" w:cs="Arial"/>
          <w:sz w:val="20"/>
          <w:szCs w:val="20"/>
        </w:rPr>
        <w:t>rejnih</w:t>
      </w:r>
      <w:proofErr w:type="spellEnd"/>
      <w:r w:rsidRPr="00144656">
        <w:rPr>
          <w:rFonts w:ascii="Arial" w:hAnsi="Arial" w:cs="Arial"/>
          <w:sz w:val="20"/>
          <w:szCs w:val="20"/>
        </w:rPr>
        <w:t xml:space="preserve"> živali na stanje 1. februarja leta n-1, izjema pri oceni števila živali pri perutnini, kjer se upoštevajo tudi podatki o povprečnem številu živali v turnusu.</w:t>
      </w:r>
    </w:p>
    <w:p w14:paraId="3380D3BE" w14:textId="77777777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(7) Izračun vrednosti proizvodnje je izdelan na podlagi letnih statističnih podatkov o rastlinski pridelavi in živinoreji ter cenah kmetijskih pridelkov pri pridelovalcih v državi oziroma, kadar podatki na državni ravni niso dostopni, na podlagi drugih strokovnih ocen.</w:t>
      </w:r>
    </w:p>
    <w:p w14:paraId="7047F477" w14:textId="1A3DB882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(8) SOC so izračunani kot povprečje referenčnega obdobja, ki obsega pet zaporednih let (n-2 do n-6). Seznam osnovnih in podrobnejših SOC je naveden v Prilogi 2 tega pravilnika. SOC na podrobnejši ravni so določeni v preglednici 1 Priloge 1 tega pravilnika</w:t>
      </w:r>
      <w:r w:rsidR="008E5EE2">
        <w:rPr>
          <w:rFonts w:ascii="Arial" w:hAnsi="Arial" w:cs="Arial"/>
          <w:sz w:val="20"/>
          <w:szCs w:val="20"/>
        </w:rPr>
        <w:t>.</w:t>
      </w:r>
      <w:r w:rsidRPr="00E515E7">
        <w:rPr>
          <w:rFonts w:ascii="Arial" w:hAnsi="Arial" w:cs="Arial"/>
          <w:sz w:val="20"/>
          <w:szCs w:val="20"/>
        </w:rPr>
        <w:t xml:space="preserve"> </w:t>
      </w:r>
    </w:p>
    <w:p w14:paraId="137A6E46" w14:textId="77777777" w:rsidR="006914A1" w:rsidRPr="00E515E7" w:rsidRDefault="006914A1" w:rsidP="00E515E7">
      <w:pPr>
        <w:jc w:val="both"/>
        <w:rPr>
          <w:rFonts w:ascii="Arial" w:hAnsi="Arial" w:cs="Arial"/>
          <w:sz w:val="20"/>
          <w:szCs w:val="20"/>
        </w:rPr>
      </w:pPr>
      <w:r w:rsidRPr="00E515E7">
        <w:rPr>
          <w:rFonts w:ascii="Arial" w:hAnsi="Arial" w:cs="Arial"/>
          <w:sz w:val="20"/>
          <w:szCs w:val="20"/>
        </w:rPr>
        <w:t>(9) Podroben povezovalni šifrant s seznamom SOC za izračun SO kmetijskih gospodarstev je v Prilogi 2 tega pravilnika.</w:t>
      </w:r>
    </w:p>
    <w:p w14:paraId="16B73115" w14:textId="77777777" w:rsidR="00C97AE0" w:rsidRPr="00E515E7" w:rsidRDefault="00C97AE0" w:rsidP="006914A1">
      <w:pPr>
        <w:rPr>
          <w:rFonts w:ascii="Arial" w:hAnsi="Arial" w:cs="Arial"/>
          <w:sz w:val="20"/>
          <w:szCs w:val="20"/>
        </w:rPr>
      </w:pPr>
    </w:p>
    <w:p w14:paraId="3CBC72FE" w14:textId="77777777" w:rsidR="00C97AE0" w:rsidRPr="00E515E7" w:rsidRDefault="00C97AE0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515E7">
        <w:rPr>
          <w:rFonts w:ascii="Arial" w:hAnsi="Arial" w:cs="Arial"/>
          <w:b/>
          <w:bCs/>
          <w:sz w:val="20"/>
          <w:szCs w:val="20"/>
        </w:rPr>
        <w:t>4. člen</w:t>
      </w:r>
    </w:p>
    <w:p w14:paraId="7391D69D" w14:textId="04CB8747" w:rsidR="00C97AE0" w:rsidRDefault="00C97AE0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515E7">
        <w:rPr>
          <w:rFonts w:ascii="Arial" w:hAnsi="Arial" w:cs="Arial"/>
          <w:b/>
          <w:bCs/>
          <w:sz w:val="20"/>
          <w:szCs w:val="20"/>
        </w:rPr>
        <w:t>(posodabljanje izračuna standardnega prihodka)</w:t>
      </w:r>
    </w:p>
    <w:p w14:paraId="379FE5FD" w14:textId="77777777" w:rsidR="00895753" w:rsidRPr="00E515E7" w:rsidRDefault="00895753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67CAE0F5" w14:textId="77777777" w:rsidR="00C97AE0" w:rsidRPr="00BE7D9E" w:rsidRDefault="00C97AE0" w:rsidP="00C97AE0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(1) Posameznemu kmetijskemu gospodarstvu se izračun standardnega prihodka vsako leto posodobi in pripiše v RKG v začetku leta n za leto n-1.</w:t>
      </w:r>
    </w:p>
    <w:p w14:paraId="6D25067F" w14:textId="7B13C980" w:rsidR="00C97AE0" w:rsidRDefault="00C97AE0" w:rsidP="00C97AE0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(2) Vrednosti SOC so določene v Prilogi 3, ki je sestavni del tega pravilnika in se posodobijo do konca meseca februarja leta n.</w:t>
      </w:r>
    </w:p>
    <w:p w14:paraId="42FBC1B3" w14:textId="77777777" w:rsidR="00E515E7" w:rsidRPr="00BE7D9E" w:rsidRDefault="00E515E7" w:rsidP="00C97AE0">
      <w:pPr>
        <w:jc w:val="both"/>
        <w:rPr>
          <w:rFonts w:ascii="Arial" w:hAnsi="Arial" w:cs="Arial"/>
          <w:sz w:val="20"/>
          <w:szCs w:val="20"/>
        </w:rPr>
      </w:pPr>
    </w:p>
    <w:p w14:paraId="40771AC4" w14:textId="77777777" w:rsidR="00C97AE0" w:rsidRPr="00E515E7" w:rsidRDefault="00C97AE0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515E7">
        <w:rPr>
          <w:rFonts w:ascii="Arial" w:hAnsi="Arial" w:cs="Arial"/>
          <w:b/>
          <w:bCs/>
          <w:sz w:val="20"/>
          <w:szCs w:val="20"/>
        </w:rPr>
        <w:lastRenderedPageBreak/>
        <w:t>5. člen</w:t>
      </w:r>
    </w:p>
    <w:p w14:paraId="14D309E2" w14:textId="0F115576" w:rsidR="00C97AE0" w:rsidRDefault="00C97AE0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E515E7">
        <w:rPr>
          <w:rFonts w:ascii="Arial" w:hAnsi="Arial" w:cs="Arial"/>
          <w:b/>
          <w:bCs/>
          <w:sz w:val="20"/>
          <w:szCs w:val="20"/>
        </w:rPr>
        <w:t>(uvrstitev kmetijskega gospodarstva v tip kmetovanja in razred ekonomske velikosti)</w:t>
      </w:r>
    </w:p>
    <w:p w14:paraId="1833E66B" w14:textId="77777777" w:rsidR="00895753" w:rsidRPr="00E515E7" w:rsidRDefault="00895753" w:rsidP="00E515E7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F401A4A" w14:textId="77777777" w:rsidR="00C97AE0" w:rsidRPr="00BE7D9E" w:rsidRDefault="00C97AE0" w:rsidP="00C97AE0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(1) Kmetijsko gospodarstvo se na podlagi izračunanega SO razvrsti v ustrezen razred ekonomske velikosti v skladu s Prilogo V Izvedbene uredbe 2024/276/EU.</w:t>
      </w:r>
    </w:p>
    <w:p w14:paraId="04645191" w14:textId="493D6292" w:rsidR="006914A1" w:rsidRPr="00BE7D9E" w:rsidRDefault="00C97AE0" w:rsidP="00C97AE0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(2) Tip kmetovanja se določi na podlagi ugotovljenih deležev SO posameznih aktivnosti kmetovanja v skupni vrednosti SO. Postopek določitve splošnega, glavnega in posebnega tipa kmetovanja je določen v Prilogi IV Izvedbene uredbe 2024/276/EU.</w:t>
      </w:r>
    </w:p>
    <w:p w14:paraId="42375DBD" w14:textId="77777777" w:rsidR="00692631" w:rsidRPr="00BE7D9E" w:rsidRDefault="00692631" w:rsidP="005B2594">
      <w:pPr>
        <w:rPr>
          <w:rFonts w:ascii="Arial" w:hAnsi="Arial" w:cs="Arial"/>
          <w:b/>
          <w:sz w:val="20"/>
          <w:szCs w:val="20"/>
        </w:rPr>
      </w:pPr>
    </w:p>
    <w:p w14:paraId="66BC146A" w14:textId="77777777" w:rsidR="005B2594" w:rsidRPr="00BE7D9E" w:rsidRDefault="005B2594" w:rsidP="005B2594">
      <w:pPr>
        <w:rPr>
          <w:rFonts w:ascii="Arial" w:hAnsi="Arial" w:cs="Arial"/>
          <w:b/>
          <w:sz w:val="20"/>
          <w:szCs w:val="20"/>
        </w:rPr>
      </w:pPr>
    </w:p>
    <w:p w14:paraId="1CDDA425" w14:textId="45751D2B" w:rsidR="00B866CF" w:rsidRDefault="00B866CF" w:rsidP="00B866CF">
      <w:pPr>
        <w:jc w:val="center"/>
        <w:rPr>
          <w:rFonts w:ascii="Arial" w:hAnsi="Arial" w:cs="Arial"/>
          <w:b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>KONČNA DOLOČBA</w:t>
      </w:r>
    </w:p>
    <w:p w14:paraId="0179EAC0" w14:textId="77777777" w:rsidR="00E515E7" w:rsidRPr="00BE7D9E" w:rsidRDefault="00E515E7" w:rsidP="00B866CF">
      <w:pPr>
        <w:jc w:val="center"/>
        <w:rPr>
          <w:rFonts w:ascii="Arial" w:hAnsi="Arial" w:cs="Arial"/>
          <w:b/>
          <w:sz w:val="20"/>
          <w:szCs w:val="20"/>
        </w:rPr>
      </w:pPr>
    </w:p>
    <w:p w14:paraId="4FA54174" w14:textId="03E783E3" w:rsidR="00B866CF" w:rsidRPr="00BE7D9E" w:rsidRDefault="00C97AE0" w:rsidP="00B866CF">
      <w:pPr>
        <w:jc w:val="center"/>
        <w:rPr>
          <w:rFonts w:ascii="Arial" w:hAnsi="Arial" w:cs="Arial"/>
          <w:b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>6</w:t>
      </w:r>
      <w:r w:rsidR="00B866CF" w:rsidRPr="00BE7D9E">
        <w:rPr>
          <w:rFonts w:ascii="Arial" w:hAnsi="Arial" w:cs="Arial"/>
          <w:b/>
          <w:sz w:val="20"/>
          <w:szCs w:val="20"/>
        </w:rPr>
        <w:t>.</w:t>
      </w:r>
      <w:r w:rsidR="005466FE" w:rsidRPr="00BE7D9E">
        <w:rPr>
          <w:rFonts w:ascii="Arial" w:hAnsi="Arial" w:cs="Arial"/>
          <w:b/>
          <w:sz w:val="20"/>
          <w:szCs w:val="20"/>
        </w:rPr>
        <w:t xml:space="preserve"> </w:t>
      </w:r>
      <w:r w:rsidR="00B866CF" w:rsidRPr="00BE7D9E">
        <w:rPr>
          <w:rFonts w:ascii="Arial" w:hAnsi="Arial" w:cs="Arial"/>
          <w:b/>
          <w:sz w:val="20"/>
          <w:szCs w:val="20"/>
        </w:rPr>
        <w:t>člen</w:t>
      </w:r>
    </w:p>
    <w:p w14:paraId="348DEA18" w14:textId="3D2F7C46" w:rsidR="00B866CF" w:rsidRDefault="00B866CF" w:rsidP="00E515E7">
      <w:pPr>
        <w:jc w:val="center"/>
        <w:rPr>
          <w:rFonts w:ascii="Arial" w:hAnsi="Arial" w:cs="Arial"/>
          <w:b/>
          <w:sz w:val="20"/>
          <w:szCs w:val="20"/>
        </w:rPr>
      </w:pPr>
      <w:r w:rsidRPr="00BE7D9E">
        <w:rPr>
          <w:rFonts w:ascii="Arial" w:hAnsi="Arial" w:cs="Arial"/>
          <w:b/>
          <w:sz w:val="20"/>
          <w:szCs w:val="20"/>
        </w:rPr>
        <w:t>(začetek veljavnosti)</w:t>
      </w:r>
    </w:p>
    <w:p w14:paraId="0835F55A" w14:textId="77777777" w:rsidR="00E515E7" w:rsidRPr="00E515E7" w:rsidRDefault="00E515E7" w:rsidP="00E515E7">
      <w:pPr>
        <w:jc w:val="center"/>
        <w:rPr>
          <w:rFonts w:ascii="Arial" w:hAnsi="Arial" w:cs="Arial"/>
          <w:b/>
          <w:sz w:val="20"/>
          <w:szCs w:val="20"/>
        </w:rPr>
      </w:pPr>
    </w:p>
    <w:p w14:paraId="7E537958" w14:textId="4CB88041" w:rsidR="00B866CF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3BFAF156" w14:textId="77777777" w:rsidR="00674318" w:rsidRPr="00BE7D9E" w:rsidRDefault="00674318" w:rsidP="00B866CF">
      <w:pPr>
        <w:jc w:val="both"/>
        <w:rPr>
          <w:rFonts w:ascii="Arial" w:hAnsi="Arial" w:cs="Arial"/>
          <w:sz w:val="20"/>
          <w:szCs w:val="20"/>
        </w:rPr>
      </w:pPr>
    </w:p>
    <w:p w14:paraId="798AA1AA" w14:textId="77777777" w:rsidR="00C97AE0" w:rsidRPr="00BE7D9E" w:rsidRDefault="00C97AE0" w:rsidP="00C97AE0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Priloga 1: Metodologija ocene standardnega prihodka kmetijskih gospodarstev</w:t>
      </w:r>
    </w:p>
    <w:p w14:paraId="5668E533" w14:textId="77777777" w:rsidR="00C97AE0" w:rsidRPr="00BE7D9E" w:rsidRDefault="00C97AE0" w:rsidP="00C97AE0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Priloga 2: Povezovalni šifrant s seznamom SOC za izračun SO kmetijskih gospodarstev</w:t>
      </w:r>
    </w:p>
    <w:p w14:paraId="5D1D22C4" w14:textId="391C33A5" w:rsidR="00B866CF" w:rsidRPr="00BE7D9E" w:rsidRDefault="00C97AE0" w:rsidP="00C97AE0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Priloga 3: Vrednosti SOC</w:t>
      </w:r>
    </w:p>
    <w:p w14:paraId="12FE96D2" w14:textId="77777777" w:rsidR="00F71951" w:rsidRPr="00BE7D9E" w:rsidRDefault="00F71951" w:rsidP="00B866CF">
      <w:pPr>
        <w:jc w:val="both"/>
        <w:rPr>
          <w:rFonts w:ascii="Arial" w:hAnsi="Arial" w:cs="Arial"/>
          <w:sz w:val="20"/>
          <w:szCs w:val="20"/>
        </w:rPr>
      </w:pPr>
    </w:p>
    <w:p w14:paraId="3B111071" w14:textId="4C8E550D" w:rsidR="00B866CF" w:rsidRPr="00BE7D9E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Št.</w:t>
      </w:r>
      <w:r w:rsidR="00C46E4C">
        <w:rPr>
          <w:rFonts w:ascii="Arial" w:hAnsi="Arial" w:cs="Arial"/>
          <w:sz w:val="20"/>
          <w:szCs w:val="20"/>
        </w:rPr>
        <w:t>007-58/2026</w:t>
      </w:r>
    </w:p>
    <w:p w14:paraId="0BCEE550" w14:textId="05CF9C40" w:rsidR="00B866CF" w:rsidRPr="00BE7D9E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Ljubljana, dne</w:t>
      </w:r>
      <w:r w:rsidR="008F6894" w:rsidRPr="00BE7D9E">
        <w:rPr>
          <w:rFonts w:ascii="Arial" w:hAnsi="Arial" w:cs="Arial"/>
          <w:sz w:val="20"/>
          <w:szCs w:val="20"/>
        </w:rPr>
        <w:t xml:space="preserve"> </w:t>
      </w:r>
      <w:r w:rsidR="00E515E7">
        <w:rPr>
          <w:rFonts w:ascii="Arial" w:hAnsi="Arial" w:cs="Arial"/>
          <w:sz w:val="20"/>
          <w:szCs w:val="20"/>
        </w:rPr>
        <w:t>x</w:t>
      </w:r>
      <w:r w:rsidR="00D105FC" w:rsidRPr="00BE7D9E">
        <w:rPr>
          <w:rFonts w:ascii="Arial" w:hAnsi="Arial" w:cs="Arial"/>
          <w:sz w:val="20"/>
          <w:szCs w:val="20"/>
        </w:rPr>
        <w:t xml:space="preserve">. </w:t>
      </w:r>
      <w:r w:rsidR="00C46E4C">
        <w:rPr>
          <w:rFonts w:ascii="Arial" w:hAnsi="Arial" w:cs="Arial"/>
          <w:sz w:val="20"/>
          <w:szCs w:val="20"/>
        </w:rPr>
        <w:t xml:space="preserve">marec </w:t>
      </w:r>
      <w:r w:rsidR="008F6894" w:rsidRPr="00BE7D9E">
        <w:rPr>
          <w:rFonts w:ascii="Arial" w:hAnsi="Arial" w:cs="Arial"/>
          <w:sz w:val="20"/>
          <w:szCs w:val="20"/>
        </w:rPr>
        <w:t>202</w:t>
      </w:r>
      <w:r w:rsidR="00E515E7">
        <w:rPr>
          <w:rFonts w:ascii="Arial" w:hAnsi="Arial" w:cs="Arial"/>
          <w:sz w:val="20"/>
          <w:szCs w:val="20"/>
        </w:rPr>
        <w:t>6</w:t>
      </w:r>
    </w:p>
    <w:p w14:paraId="0005092B" w14:textId="165BEDDC" w:rsidR="00B866CF" w:rsidRPr="00BE7D9E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>EVA</w:t>
      </w:r>
      <w:r w:rsidR="00EE41AB" w:rsidRPr="00BE7D9E">
        <w:rPr>
          <w:rFonts w:ascii="Arial" w:hAnsi="Arial" w:cs="Arial"/>
          <w:sz w:val="20"/>
          <w:szCs w:val="20"/>
        </w:rPr>
        <w:t xml:space="preserve"> </w:t>
      </w:r>
      <w:r w:rsidR="00F90BEB" w:rsidRPr="00F90BEB">
        <w:rPr>
          <w:rFonts w:ascii="Arial" w:hAnsi="Arial" w:cs="Arial"/>
          <w:sz w:val="20"/>
          <w:szCs w:val="20"/>
        </w:rPr>
        <w:t>2026-2330-0024</w:t>
      </w:r>
    </w:p>
    <w:p w14:paraId="1E2B5325" w14:textId="77777777" w:rsidR="00F71951" w:rsidRPr="00BE7D9E" w:rsidRDefault="00F71951" w:rsidP="00B866CF">
      <w:pPr>
        <w:jc w:val="both"/>
        <w:rPr>
          <w:rFonts w:ascii="Arial" w:hAnsi="Arial" w:cs="Arial"/>
          <w:sz w:val="20"/>
          <w:szCs w:val="20"/>
        </w:rPr>
      </w:pPr>
    </w:p>
    <w:p w14:paraId="5CF9AF4C" w14:textId="1507EFF8" w:rsidR="001A3236" w:rsidRPr="00BE7D9E" w:rsidRDefault="005466FE" w:rsidP="005466FE">
      <w:pPr>
        <w:tabs>
          <w:tab w:val="left" w:pos="3686"/>
        </w:tabs>
        <w:spacing w:after="0"/>
        <w:ind w:right="5386"/>
        <w:jc w:val="right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ab/>
      </w:r>
      <w:r w:rsidRPr="00BE7D9E">
        <w:rPr>
          <w:rFonts w:ascii="Arial" w:hAnsi="Arial" w:cs="Arial"/>
          <w:sz w:val="20"/>
          <w:szCs w:val="20"/>
        </w:rPr>
        <w:tab/>
      </w:r>
      <w:r w:rsidRPr="00BE7D9E">
        <w:rPr>
          <w:rFonts w:ascii="Arial" w:hAnsi="Arial" w:cs="Arial"/>
          <w:sz w:val="20"/>
          <w:szCs w:val="20"/>
        </w:rPr>
        <w:tab/>
      </w:r>
      <w:r w:rsidRPr="00BE7D9E">
        <w:rPr>
          <w:rFonts w:ascii="Arial" w:hAnsi="Arial" w:cs="Arial"/>
          <w:sz w:val="20"/>
          <w:szCs w:val="20"/>
        </w:rPr>
        <w:tab/>
      </w:r>
      <w:r w:rsidR="001A3236" w:rsidRPr="00BE7D9E">
        <w:rPr>
          <w:rFonts w:ascii="Arial" w:hAnsi="Arial" w:cs="Arial"/>
          <w:sz w:val="20"/>
          <w:szCs w:val="20"/>
        </w:rPr>
        <w:t xml:space="preserve">Mateja </w:t>
      </w:r>
      <w:proofErr w:type="spellStart"/>
      <w:r w:rsidR="001A3236" w:rsidRPr="00BE7D9E">
        <w:rPr>
          <w:rFonts w:ascii="Arial" w:hAnsi="Arial" w:cs="Arial"/>
          <w:sz w:val="20"/>
          <w:szCs w:val="20"/>
        </w:rPr>
        <w:t>Čalušić</w:t>
      </w:r>
      <w:proofErr w:type="spellEnd"/>
    </w:p>
    <w:p w14:paraId="536A90A6" w14:textId="0894419F" w:rsidR="00B866CF" w:rsidRPr="00BE7D9E" w:rsidRDefault="005466FE" w:rsidP="005466FE">
      <w:pPr>
        <w:tabs>
          <w:tab w:val="left" w:pos="3686"/>
        </w:tabs>
        <w:spacing w:after="0"/>
        <w:ind w:right="5386"/>
        <w:jc w:val="right"/>
        <w:rPr>
          <w:rFonts w:ascii="Arial" w:hAnsi="Arial" w:cs="Arial"/>
          <w:sz w:val="20"/>
          <w:szCs w:val="20"/>
        </w:rPr>
      </w:pPr>
      <w:r w:rsidRPr="00BE7D9E">
        <w:rPr>
          <w:rFonts w:ascii="Arial" w:hAnsi="Arial" w:cs="Arial"/>
          <w:sz w:val="20"/>
          <w:szCs w:val="20"/>
        </w:rPr>
        <w:tab/>
      </w:r>
      <w:r w:rsidRPr="00BE7D9E">
        <w:rPr>
          <w:rFonts w:ascii="Arial" w:hAnsi="Arial" w:cs="Arial"/>
          <w:sz w:val="20"/>
          <w:szCs w:val="20"/>
        </w:rPr>
        <w:tab/>
      </w:r>
      <w:r w:rsidR="001A3236" w:rsidRPr="00BE7D9E">
        <w:rPr>
          <w:rFonts w:ascii="Arial" w:hAnsi="Arial" w:cs="Arial"/>
          <w:sz w:val="20"/>
          <w:szCs w:val="20"/>
        </w:rPr>
        <w:t>ministrica za kmetijstvo, gozdarstvo in prehrano</w:t>
      </w:r>
    </w:p>
    <w:p w14:paraId="2AD710B4" w14:textId="022100DB" w:rsidR="00B866CF" w:rsidRPr="00BE7D9E" w:rsidRDefault="00B866CF" w:rsidP="008477DF">
      <w:pPr>
        <w:ind w:right="5386"/>
        <w:rPr>
          <w:rFonts w:ascii="Arial" w:hAnsi="Arial" w:cs="Arial"/>
          <w:sz w:val="20"/>
          <w:szCs w:val="20"/>
        </w:rPr>
      </w:pPr>
    </w:p>
    <w:p w14:paraId="472A8FE6" w14:textId="46DF4931" w:rsidR="001A3236" w:rsidRPr="00BE7D9E" w:rsidRDefault="001A3236" w:rsidP="00B866CF">
      <w:pPr>
        <w:jc w:val="both"/>
        <w:rPr>
          <w:rFonts w:ascii="Arial" w:hAnsi="Arial" w:cs="Arial"/>
          <w:sz w:val="20"/>
          <w:szCs w:val="20"/>
        </w:rPr>
      </w:pPr>
    </w:p>
    <w:p w14:paraId="35D4AB4B" w14:textId="77777777" w:rsidR="00B866CF" w:rsidRPr="00BE7D9E" w:rsidRDefault="00B866CF" w:rsidP="0049081D">
      <w:pPr>
        <w:jc w:val="both"/>
        <w:rPr>
          <w:rFonts w:ascii="Arial" w:hAnsi="Arial" w:cs="Arial"/>
          <w:sz w:val="20"/>
          <w:szCs w:val="20"/>
        </w:rPr>
      </w:pPr>
    </w:p>
    <w:p w14:paraId="79EC905F" w14:textId="77777777" w:rsidR="0049081D" w:rsidRPr="00BE7D9E" w:rsidRDefault="0049081D" w:rsidP="005A1244">
      <w:pPr>
        <w:jc w:val="both"/>
        <w:rPr>
          <w:rFonts w:ascii="Arial" w:hAnsi="Arial" w:cs="Arial"/>
          <w:sz w:val="20"/>
          <w:szCs w:val="20"/>
        </w:rPr>
      </w:pPr>
    </w:p>
    <w:p w14:paraId="710D6CF8" w14:textId="77777777" w:rsidR="0049081D" w:rsidRPr="00BE7D9E" w:rsidRDefault="0049081D" w:rsidP="005A1244">
      <w:pPr>
        <w:jc w:val="both"/>
        <w:rPr>
          <w:rFonts w:ascii="Arial" w:hAnsi="Arial" w:cs="Arial"/>
          <w:sz w:val="20"/>
          <w:szCs w:val="20"/>
        </w:rPr>
      </w:pPr>
    </w:p>
    <w:sectPr w:rsidR="0049081D" w:rsidRPr="00BE7D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80F87"/>
    <w:multiLevelType w:val="hybridMultilevel"/>
    <w:tmpl w:val="C408F3B0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42C7D"/>
    <w:multiLevelType w:val="hybridMultilevel"/>
    <w:tmpl w:val="2E48FFA8"/>
    <w:lvl w:ilvl="0" w:tplc="4EF22046">
      <w:numFmt w:val="bullet"/>
      <w:lvlText w:val="-"/>
      <w:lvlJc w:val="left"/>
      <w:pPr>
        <w:ind w:left="1140" w:hanging="780"/>
      </w:pPr>
      <w:rPr>
        <w:rFonts w:ascii="Arial" w:eastAsiaTheme="minorHAnsi" w:hAnsi="Arial" w:cs="Arial" w:hint="default"/>
      </w:rPr>
    </w:lvl>
    <w:lvl w:ilvl="1" w:tplc="976EE2D8">
      <w:numFmt w:val="bullet"/>
      <w:lvlText w:val="–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3B4FB6"/>
    <w:multiLevelType w:val="hybridMultilevel"/>
    <w:tmpl w:val="9C306B80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B36654"/>
    <w:multiLevelType w:val="hybridMultilevel"/>
    <w:tmpl w:val="C6AE767E"/>
    <w:lvl w:ilvl="0" w:tplc="9AA42894">
      <w:start w:val="1"/>
      <w:numFmt w:val="bullet"/>
      <w:lvlText w:val="–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5491909"/>
    <w:multiLevelType w:val="hybridMultilevel"/>
    <w:tmpl w:val="9FDA00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0E1E6A"/>
    <w:multiLevelType w:val="hybridMultilevel"/>
    <w:tmpl w:val="9BCC8A2E"/>
    <w:lvl w:ilvl="0" w:tplc="7880451C">
      <w:numFmt w:val="bullet"/>
      <w:lvlText w:val="-"/>
      <w:lvlJc w:val="left"/>
      <w:pPr>
        <w:ind w:left="870" w:hanging="51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775581"/>
    <w:multiLevelType w:val="hybridMultilevel"/>
    <w:tmpl w:val="B53A0B56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0338035">
    <w:abstractNumId w:val="0"/>
  </w:num>
  <w:num w:numId="2" w16cid:durableId="709571575">
    <w:abstractNumId w:val="4"/>
  </w:num>
  <w:num w:numId="3" w16cid:durableId="1225330614">
    <w:abstractNumId w:val="6"/>
  </w:num>
  <w:num w:numId="4" w16cid:durableId="235405855">
    <w:abstractNumId w:val="2"/>
  </w:num>
  <w:num w:numId="5" w16cid:durableId="770900555">
    <w:abstractNumId w:val="1"/>
  </w:num>
  <w:num w:numId="6" w16cid:durableId="273249863">
    <w:abstractNumId w:val="3"/>
  </w:num>
  <w:num w:numId="7" w16cid:durableId="211428168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61B3"/>
    <w:rsid w:val="00065DE5"/>
    <w:rsid w:val="00084AD6"/>
    <w:rsid w:val="0011367D"/>
    <w:rsid w:val="00144656"/>
    <w:rsid w:val="001A3236"/>
    <w:rsid w:val="001E1B0C"/>
    <w:rsid w:val="0020226A"/>
    <w:rsid w:val="0026410E"/>
    <w:rsid w:val="00272674"/>
    <w:rsid w:val="002D33DA"/>
    <w:rsid w:val="003114FD"/>
    <w:rsid w:val="003361B3"/>
    <w:rsid w:val="003652C2"/>
    <w:rsid w:val="00393825"/>
    <w:rsid w:val="00397A1A"/>
    <w:rsid w:val="003B06A0"/>
    <w:rsid w:val="004546ED"/>
    <w:rsid w:val="0049081D"/>
    <w:rsid w:val="00535A21"/>
    <w:rsid w:val="005466FE"/>
    <w:rsid w:val="00564BBA"/>
    <w:rsid w:val="005A1244"/>
    <w:rsid w:val="005B122C"/>
    <w:rsid w:val="005B2594"/>
    <w:rsid w:val="005C4C6D"/>
    <w:rsid w:val="005D0822"/>
    <w:rsid w:val="005E24E3"/>
    <w:rsid w:val="00674318"/>
    <w:rsid w:val="006914A1"/>
    <w:rsid w:val="00692631"/>
    <w:rsid w:val="006B121A"/>
    <w:rsid w:val="006C15CE"/>
    <w:rsid w:val="006D3D98"/>
    <w:rsid w:val="006F5C7A"/>
    <w:rsid w:val="0072644D"/>
    <w:rsid w:val="0075664A"/>
    <w:rsid w:val="007667EB"/>
    <w:rsid w:val="007A16C6"/>
    <w:rsid w:val="007A4B99"/>
    <w:rsid w:val="007E64E0"/>
    <w:rsid w:val="008339D9"/>
    <w:rsid w:val="008477DF"/>
    <w:rsid w:val="00870F8C"/>
    <w:rsid w:val="00895753"/>
    <w:rsid w:val="008B461F"/>
    <w:rsid w:val="008C3B7B"/>
    <w:rsid w:val="008E5EE2"/>
    <w:rsid w:val="008F6894"/>
    <w:rsid w:val="00943916"/>
    <w:rsid w:val="0097115D"/>
    <w:rsid w:val="0098653B"/>
    <w:rsid w:val="009A6CC9"/>
    <w:rsid w:val="009E2B1D"/>
    <w:rsid w:val="009E52D1"/>
    <w:rsid w:val="00A328A2"/>
    <w:rsid w:val="00A64297"/>
    <w:rsid w:val="00A6649F"/>
    <w:rsid w:val="00AE3E0A"/>
    <w:rsid w:val="00AE425C"/>
    <w:rsid w:val="00B4112D"/>
    <w:rsid w:val="00B866CF"/>
    <w:rsid w:val="00BE2501"/>
    <w:rsid w:val="00BE7D9E"/>
    <w:rsid w:val="00C46E4C"/>
    <w:rsid w:val="00C924A2"/>
    <w:rsid w:val="00C97AE0"/>
    <w:rsid w:val="00CE143B"/>
    <w:rsid w:val="00D105FC"/>
    <w:rsid w:val="00D13BF5"/>
    <w:rsid w:val="00D468C4"/>
    <w:rsid w:val="00D52611"/>
    <w:rsid w:val="00D8086A"/>
    <w:rsid w:val="00D928DD"/>
    <w:rsid w:val="00DA1A45"/>
    <w:rsid w:val="00DC47D8"/>
    <w:rsid w:val="00E30C8C"/>
    <w:rsid w:val="00E515E7"/>
    <w:rsid w:val="00E8731C"/>
    <w:rsid w:val="00EC3E48"/>
    <w:rsid w:val="00ED5553"/>
    <w:rsid w:val="00EE41AB"/>
    <w:rsid w:val="00F15219"/>
    <w:rsid w:val="00F32969"/>
    <w:rsid w:val="00F5272B"/>
    <w:rsid w:val="00F63068"/>
    <w:rsid w:val="00F71951"/>
    <w:rsid w:val="00F90BEB"/>
    <w:rsid w:val="00FA498D"/>
    <w:rsid w:val="00FB71DD"/>
    <w:rsid w:val="00FD19CC"/>
    <w:rsid w:val="00FF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0C0DA"/>
  <w15:chartTrackingRefBased/>
  <w15:docId w15:val="{053377BF-8853-4AE0-A212-7AAC38B10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1">
    <w:name w:val="pravnapodlaga1"/>
    <w:basedOn w:val="Navaden"/>
    <w:rsid w:val="005A1244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D468C4"/>
    <w:pPr>
      <w:spacing w:after="200" w:line="276" w:lineRule="auto"/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D468C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468C4"/>
    <w:pPr>
      <w:spacing w:after="200"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468C4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15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15CE"/>
    <w:rPr>
      <w:rFonts w:ascii="Segoe UI" w:hAnsi="Segoe UI" w:cs="Segoe UI"/>
      <w:sz w:val="18"/>
      <w:szCs w:val="18"/>
    </w:rPr>
  </w:style>
  <w:style w:type="character" w:customStyle="1" w:styleId="highlight">
    <w:name w:val="highlight"/>
    <w:basedOn w:val="Privzetapisavaodstavka"/>
    <w:rsid w:val="006C15CE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52F2"/>
    <w:pPr>
      <w:spacing w:after="160"/>
    </w:pPr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52F2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FF52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18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CA10E24-157F-49D5-AC20-CCB90C65D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936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6265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MKGP</cp:lastModifiedBy>
  <cp:revision>7</cp:revision>
  <cp:lastPrinted>2025-02-05T09:10:00Z</cp:lastPrinted>
  <dcterms:created xsi:type="dcterms:W3CDTF">2026-03-10T11:01:00Z</dcterms:created>
  <dcterms:modified xsi:type="dcterms:W3CDTF">2026-03-11T13:24:00Z</dcterms:modified>
</cp:coreProperties>
</file>