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8804EB" w14:textId="77777777" w:rsidR="0040466D" w:rsidRDefault="00572CBD" w:rsidP="0096251A">
      <w:pPr>
        <w:pStyle w:val="Odstavek"/>
        <w:spacing w:line="260" w:lineRule="auto"/>
        <w:ind w:firstLine="0"/>
      </w:pPr>
      <w:r>
        <w:t xml:space="preserve">Na podlagi 16. člena Zakona o gozdovih (Uradni list RS, št. 30/93, 56/99 – ZON, 67/02, 110/02 – ZGO-1, 115/06 – ORZG40, 110/07, 106/10, 63/13, 101/13 – </w:t>
      </w:r>
      <w:proofErr w:type="spellStart"/>
      <w:r>
        <w:t>ZDavNepr</w:t>
      </w:r>
      <w:proofErr w:type="spellEnd"/>
      <w:r>
        <w:t xml:space="preserve">, 17/14, 22/14 – </w:t>
      </w:r>
      <w:proofErr w:type="spellStart"/>
      <w:r>
        <w:t>odl</w:t>
      </w:r>
      <w:proofErr w:type="spellEnd"/>
      <w:r>
        <w:t xml:space="preserve">. US, 24/15, 9/16 – ZGGLRS, 77/16, 78/23 – ZUNPEOVE in 85/25) in prvega odstavka 17. člena Zakona o divjadi in lovstvu (Uradni list RS, št. 16/04, 120/06 – </w:t>
      </w:r>
      <w:proofErr w:type="spellStart"/>
      <w:r>
        <w:t>odl</w:t>
      </w:r>
      <w:proofErr w:type="spellEnd"/>
      <w:r>
        <w:t xml:space="preserve">. US, 17/08, 46/14 – ZON-C, 31/18, 65/20, 97/20 – </w:t>
      </w:r>
      <w:proofErr w:type="spellStart"/>
      <w:r>
        <w:t>popr</w:t>
      </w:r>
      <w:proofErr w:type="spellEnd"/>
      <w:r>
        <w:t>., 44/22, 158/22, 28/25 in 12/26) izdaja ministrica za kmetijstvo, gozdarstvo in prehrano v soglasju z ministrom za naravne vire in prostor in ministrom za okolje, podnebje in energijo</w:t>
      </w:r>
    </w:p>
    <w:p w14:paraId="72319B8A" w14:textId="77777777" w:rsidR="0040466D" w:rsidRDefault="0040466D">
      <w:pPr>
        <w:spacing w:after="0" w:line="260" w:lineRule="auto"/>
        <w:rPr>
          <w:rFonts w:cs="Arial"/>
        </w:rPr>
      </w:pPr>
    </w:p>
    <w:p w14:paraId="7428E235" w14:textId="77777777" w:rsidR="0040466D" w:rsidRDefault="00572CBD">
      <w:pPr>
        <w:pStyle w:val="Naslov1"/>
        <w:spacing w:line="260" w:lineRule="auto"/>
      </w:pPr>
      <w:r>
        <w:t>Pravilnik o spremembah in dopolnitvah Pravilnika o načrtih za gospodarjenje z gozdovi in upravljanje z divjadjo</w:t>
      </w:r>
      <w:r>
        <w:br/>
      </w:r>
      <w:r>
        <w:br/>
      </w:r>
    </w:p>
    <w:p w14:paraId="5F7B0CCE" w14:textId="77777777" w:rsidR="0040466D" w:rsidRDefault="00572CBD">
      <w:pPr>
        <w:pStyle w:val="len"/>
        <w:spacing w:line="260" w:lineRule="auto"/>
      </w:pPr>
      <w:r>
        <w:t>1. člen</w:t>
      </w:r>
    </w:p>
    <w:p w14:paraId="0EA716ED" w14:textId="77777777" w:rsidR="0040466D" w:rsidRDefault="0040466D">
      <w:pPr>
        <w:spacing w:after="0" w:line="260" w:lineRule="auto"/>
        <w:rPr>
          <w:rFonts w:cs="Arial"/>
        </w:rPr>
      </w:pPr>
    </w:p>
    <w:p w14:paraId="3B273EA4" w14:textId="77777777" w:rsidR="0040466D" w:rsidRDefault="00572CBD">
      <w:pPr>
        <w:spacing w:after="0" w:line="260" w:lineRule="auto"/>
      </w:pPr>
      <w:r>
        <w:tab/>
        <w:t>V Pravilniku o načrtih za gospodarjenje z gozdovi in upravljanje z divjadjo (Uradni list RS, št. 91/10 in 200/20) se v prvem odstavku 86. člena, v naslovu VII. podpoglavja in v prvem, drugem in tretjem odstavku 88. člena besedilo »letni načrt« v vseh sklonih in številih nadomesti z besedilom »dvoletni načrt« v ustreznem sklonu in številu.</w:t>
      </w:r>
    </w:p>
    <w:p w14:paraId="6B9AEA6C" w14:textId="77777777" w:rsidR="0040466D" w:rsidRDefault="0040466D">
      <w:pPr>
        <w:spacing w:after="0" w:line="260" w:lineRule="auto"/>
        <w:rPr>
          <w:rFonts w:cs="Arial"/>
        </w:rPr>
      </w:pPr>
    </w:p>
    <w:p w14:paraId="31203110" w14:textId="77777777" w:rsidR="0040466D" w:rsidRDefault="00572CBD">
      <w:pPr>
        <w:pStyle w:val="len"/>
        <w:spacing w:line="260" w:lineRule="auto"/>
      </w:pPr>
      <w:r>
        <w:t>2. člen</w:t>
      </w:r>
    </w:p>
    <w:p w14:paraId="3B070828" w14:textId="77777777" w:rsidR="0040466D" w:rsidRDefault="0040466D">
      <w:pPr>
        <w:spacing w:after="0" w:line="260" w:lineRule="auto"/>
        <w:rPr>
          <w:rFonts w:cs="Arial"/>
        </w:rPr>
      </w:pPr>
    </w:p>
    <w:p w14:paraId="17D0BC1A" w14:textId="77777777" w:rsidR="0040466D" w:rsidRDefault="00572CBD">
      <w:pPr>
        <w:spacing w:after="0" w:line="260" w:lineRule="auto"/>
      </w:pPr>
      <w:r>
        <w:tab/>
        <w:t>V 87. členu v drugem odstavku se v prvem stavku beseda »leta« nadomesti z besedilom »veljavnosti dvoletnega načrta LUO«.</w:t>
      </w:r>
    </w:p>
    <w:p w14:paraId="3DCCF58E" w14:textId="77777777" w:rsidR="0040466D" w:rsidRDefault="0040466D">
      <w:pPr>
        <w:spacing w:after="0" w:line="260" w:lineRule="auto"/>
        <w:rPr>
          <w:rFonts w:cs="Arial"/>
        </w:rPr>
      </w:pPr>
    </w:p>
    <w:p w14:paraId="7AF526B1" w14:textId="77777777" w:rsidR="0040466D" w:rsidRDefault="00572CBD">
      <w:pPr>
        <w:pStyle w:val="len"/>
        <w:spacing w:line="260" w:lineRule="auto"/>
      </w:pPr>
      <w:r>
        <w:t>3. člen</w:t>
      </w:r>
    </w:p>
    <w:p w14:paraId="29DA59E6" w14:textId="77777777" w:rsidR="0040466D" w:rsidRDefault="0040466D">
      <w:pPr>
        <w:spacing w:after="0" w:line="260" w:lineRule="auto"/>
        <w:rPr>
          <w:rFonts w:cs="Arial"/>
        </w:rPr>
      </w:pPr>
    </w:p>
    <w:p w14:paraId="38B7A14D" w14:textId="77777777" w:rsidR="0040466D" w:rsidRDefault="00572CBD">
      <w:pPr>
        <w:spacing w:after="0" w:line="260" w:lineRule="auto"/>
      </w:pPr>
      <w:r>
        <w:tab/>
        <w:t>89. člen se spremeni tako, da se glasi:</w:t>
      </w:r>
    </w:p>
    <w:p w14:paraId="77B3CB28" w14:textId="77777777" w:rsidR="0040466D" w:rsidRDefault="0040466D">
      <w:pPr>
        <w:spacing w:after="0" w:line="260" w:lineRule="auto"/>
        <w:rPr>
          <w:rFonts w:cs="Arial"/>
        </w:rPr>
      </w:pPr>
    </w:p>
    <w:p w14:paraId="4785A29C" w14:textId="77777777" w:rsidR="0040466D" w:rsidRDefault="0040466D">
      <w:pPr>
        <w:spacing w:after="0" w:line="260" w:lineRule="auto"/>
        <w:rPr>
          <w:rFonts w:cs="Arial"/>
        </w:rPr>
      </w:pPr>
    </w:p>
    <w:p w14:paraId="00218421" w14:textId="77777777" w:rsidR="006B4EEE" w:rsidRDefault="00572CBD">
      <w:pPr>
        <w:pStyle w:val="lennaslov"/>
        <w:spacing w:line="260" w:lineRule="auto"/>
      </w:pPr>
      <w:r>
        <w:t xml:space="preserve">»89. člen </w:t>
      </w:r>
    </w:p>
    <w:p w14:paraId="6CBC15DB" w14:textId="2F5C39C8" w:rsidR="0040466D" w:rsidRDefault="00572CBD">
      <w:pPr>
        <w:pStyle w:val="lennaslov"/>
        <w:spacing w:line="260" w:lineRule="auto"/>
      </w:pPr>
      <w:r>
        <w:t>(uskladitev dvoletnega načrta lovišča oziroma LPN)</w:t>
      </w:r>
    </w:p>
    <w:p w14:paraId="069F74F0" w14:textId="77777777" w:rsidR="0040466D" w:rsidRDefault="0040466D">
      <w:pPr>
        <w:spacing w:after="0" w:line="260" w:lineRule="auto"/>
        <w:rPr>
          <w:rFonts w:cs="Arial"/>
        </w:rPr>
      </w:pPr>
    </w:p>
    <w:p w14:paraId="2E55D0C3" w14:textId="77777777" w:rsidR="0040466D" w:rsidRDefault="00572CBD">
      <w:pPr>
        <w:spacing w:after="0" w:line="260" w:lineRule="auto"/>
      </w:pPr>
      <w:r>
        <w:tab/>
        <w:t>(1) Najpozneje 15 dni od začetka veljavnosti sklepa, s katerim se sprejmejo dvoletni načrti LUO, morajo upravljavci lovišč in LPN v LUO v sodelovanju z izvršilnim organom OZUL ter ZGS zagotoviti, da se dvoletni načrti lovišč in LPN uskladijo z dvoletnim načrtom LUO. </w:t>
      </w:r>
    </w:p>
    <w:p w14:paraId="2D369DCF" w14:textId="77777777" w:rsidR="0040466D" w:rsidRDefault="0040466D">
      <w:pPr>
        <w:spacing w:after="0" w:line="260" w:lineRule="auto"/>
        <w:rPr>
          <w:rFonts w:cs="Arial"/>
        </w:rPr>
      </w:pPr>
    </w:p>
    <w:p w14:paraId="2350E74B" w14:textId="77777777" w:rsidR="0040466D" w:rsidRDefault="00572CBD">
      <w:pPr>
        <w:spacing w:after="0" w:line="260" w:lineRule="auto"/>
      </w:pPr>
      <w:r>
        <w:tab/>
        <w:t>(2) O uskladitvi dvoletnih načrtov lovišč in LPN z dvoletnim načrtom LUO izvršilni organ OZUL in ZGS izdata pisni sklep ter podpišeta in žigosata tiskano verzijo usklajenih dvoletnih načrtov upravljavcev lovišč oziroma LPN.</w:t>
      </w:r>
    </w:p>
    <w:p w14:paraId="71C5DA98" w14:textId="77777777" w:rsidR="0040466D" w:rsidRDefault="0040466D">
      <w:pPr>
        <w:spacing w:after="0" w:line="260" w:lineRule="auto"/>
        <w:rPr>
          <w:rFonts w:cs="Arial"/>
        </w:rPr>
      </w:pPr>
    </w:p>
    <w:p w14:paraId="4E5FFBD1" w14:textId="77777777" w:rsidR="0040466D" w:rsidRDefault="00572CBD">
      <w:pPr>
        <w:spacing w:after="0" w:line="260" w:lineRule="auto"/>
      </w:pPr>
      <w:r>
        <w:tab/>
        <w:t xml:space="preserve">(3) Do roka iz prvega in drugega odstavka tega člena oziroma sprejema dvoletnih načrtov lovišč in LPN se lahko izvaja le lov na divjad, ki se v skladu z določbami predpisa, ki ureja vrste divjadi in njihove lovne dobe, lahko lovi celo leto. Pri vrstah divjadi, za katere je določen delni lovopust, je dovoljen lov v višini in strukturi do 35 odstotkov od načrtovanega številčnega odvzema (brez dopustnih odstopanj), potrjenega v veljavnem dvoletnem načrtu lovišča in LPN iz prejšnjega leta. Ukrepi v življenjskem okolju divjadi se v tem </w:t>
      </w:r>
      <w:r>
        <w:lastRenderedPageBreak/>
        <w:t>času izvajajo na način in v obsegu, kot so bili načrtovani v potrjenem dvoletnem načrtu lovišča in LPN iz preteklega leta.</w:t>
      </w:r>
    </w:p>
    <w:p w14:paraId="534C71D8" w14:textId="77777777" w:rsidR="0040466D" w:rsidRDefault="0040466D">
      <w:pPr>
        <w:spacing w:after="0" w:line="260" w:lineRule="auto"/>
        <w:rPr>
          <w:rFonts w:cs="Arial"/>
        </w:rPr>
      </w:pPr>
    </w:p>
    <w:p w14:paraId="36B83B0B" w14:textId="77777777" w:rsidR="0040466D" w:rsidRDefault="00572CBD">
      <w:pPr>
        <w:spacing w:after="0" w:line="260" w:lineRule="auto"/>
      </w:pPr>
      <w:r>
        <w:tab/>
        <w:t>(4) Upravljavci lovišča oziroma LPN, izvršilni organ OZUL in ZGS tekoče spremljajo realizacijo odvzema na podlagi podatkov upravljavca lovišča oziroma LPN, ki so stalno na vpogled s pomočjo računalniške aplikacije. Pri tem lahko v okviru kvot dvoletnega načrta LUO, ne glede na tretji odstavek 86. člena tega pravilnika, najkasneje do 10. decembra drugega leta veljavnosti dvoletnega načrta LUO spremenijo načrtovano razdelitev odvzema parkljaste divjadi, pri čemer morajo navedeno spremembo vključiti v dvoletni načrti lovišč oziroma LPN po postopku iz tega člena.</w:t>
      </w:r>
    </w:p>
    <w:p w14:paraId="54BDEB16" w14:textId="77777777" w:rsidR="0040466D" w:rsidRDefault="0040466D">
      <w:pPr>
        <w:spacing w:after="0" w:line="260" w:lineRule="auto"/>
        <w:rPr>
          <w:rFonts w:cs="Arial"/>
        </w:rPr>
      </w:pPr>
    </w:p>
    <w:p w14:paraId="14F09FE2" w14:textId="77777777" w:rsidR="0040466D" w:rsidRDefault="00572CBD">
      <w:pPr>
        <w:spacing w:after="0" w:line="260" w:lineRule="auto"/>
      </w:pPr>
      <w:r>
        <w:tab/>
        <w:t>(5) Upravljavci lovišč in LPN morajo do 31. januarja tekočega leta za preteklo dvoletno obdobje veljavnosti dvoletnega načrta lovišča v elektronski obliki izpolniti podatke o realizaciji dvoletnega načrta lovišča ali LPN iz Priloge 2 tega pravilnika, dostaviti na ZGS dokončno izpolnjen dvoletni načrt lovišča ali LPN v tiskani obliki in pripraviti osnutek dvoletnega načrta lovišča ali LPN za tekoče dvoletno obdobje v elektronski obliki. Upravljavci lovišč in LPN morajo omogočiti ZGS tudi stalni vpogled v elektronsko obliko dvoletnega načrta lovišča ali LPN.«.</w:t>
      </w:r>
    </w:p>
    <w:p w14:paraId="6E32625D" w14:textId="77777777" w:rsidR="0040466D" w:rsidRDefault="0040466D">
      <w:pPr>
        <w:spacing w:after="0" w:line="260" w:lineRule="auto"/>
        <w:rPr>
          <w:rFonts w:cs="Arial"/>
        </w:rPr>
      </w:pPr>
    </w:p>
    <w:p w14:paraId="1DF46BA5" w14:textId="77777777" w:rsidR="0040466D" w:rsidRDefault="00572CBD">
      <w:pPr>
        <w:pStyle w:val="len"/>
        <w:spacing w:line="260" w:lineRule="auto"/>
      </w:pPr>
      <w:r>
        <w:t>4. člen</w:t>
      </w:r>
    </w:p>
    <w:p w14:paraId="44D2551C" w14:textId="77777777" w:rsidR="0040466D" w:rsidRDefault="0040466D">
      <w:pPr>
        <w:spacing w:after="0" w:line="260" w:lineRule="auto"/>
        <w:rPr>
          <w:rFonts w:cs="Arial"/>
        </w:rPr>
      </w:pPr>
    </w:p>
    <w:p w14:paraId="5417E78A" w14:textId="77777777" w:rsidR="0040466D" w:rsidRDefault="00572CBD">
      <w:pPr>
        <w:spacing w:after="0" w:line="260" w:lineRule="auto"/>
      </w:pPr>
      <w:r>
        <w:tab/>
        <w:t>Priloga 2 se nadomesti z novo prilogo 2, ki je sestavni del tega pravilnika.</w:t>
      </w:r>
    </w:p>
    <w:p w14:paraId="341A8734" w14:textId="77777777" w:rsidR="0040466D" w:rsidRDefault="0040466D">
      <w:pPr>
        <w:spacing w:after="0" w:line="260" w:lineRule="auto"/>
        <w:rPr>
          <w:rFonts w:cs="Arial"/>
        </w:rPr>
      </w:pPr>
    </w:p>
    <w:p w14:paraId="78C1A935" w14:textId="77777777" w:rsidR="0040466D" w:rsidRDefault="00572CBD">
      <w:pPr>
        <w:pStyle w:val="Poglavje"/>
        <w:spacing w:line="260" w:lineRule="auto"/>
      </w:pPr>
      <w:r>
        <w:t>KONČNA DOLOČBA</w:t>
      </w:r>
    </w:p>
    <w:p w14:paraId="388555DC" w14:textId="77777777" w:rsidR="0040466D" w:rsidRDefault="00572CBD">
      <w:pPr>
        <w:pStyle w:val="len"/>
        <w:spacing w:line="260" w:lineRule="auto"/>
      </w:pPr>
      <w:r>
        <w:t>5. člen</w:t>
      </w:r>
    </w:p>
    <w:p w14:paraId="6E3B9948" w14:textId="77777777" w:rsidR="0040466D" w:rsidRDefault="0040466D">
      <w:pPr>
        <w:spacing w:after="0" w:line="260" w:lineRule="auto"/>
        <w:rPr>
          <w:rFonts w:cs="Arial"/>
        </w:rPr>
      </w:pPr>
    </w:p>
    <w:p w14:paraId="7F74607B" w14:textId="77777777" w:rsidR="0040466D" w:rsidRDefault="00572CBD">
      <w:pPr>
        <w:spacing w:after="0" w:line="260" w:lineRule="auto"/>
      </w:pPr>
      <w:r>
        <w:tab/>
        <w:t xml:space="preserve">Ta pravilnik začne veljati petnajsti dan po objavi v Uradnem listu Republike Slovenije.  </w:t>
      </w:r>
    </w:p>
    <w:p w14:paraId="2EA63C4E" w14:textId="77777777" w:rsidR="0040466D" w:rsidRDefault="0040466D">
      <w:pPr>
        <w:spacing w:after="0" w:line="260" w:lineRule="auto"/>
        <w:rPr>
          <w:rFonts w:cs="Arial"/>
        </w:rPr>
      </w:pPr>
    </w:p>
    <w:p w14:paraId="3A644C49" w14:textId="77777777" w:rsidR="0040466D" w:rsidRDefault="00572CBD">
      <w:pPr>
        <w:spacing w:after="0" w:line="260" w:lineRule="auto"/>
      </w:pPr>
      <w:r>
        <w:t>Št. 007-435/2025</w:t>
      </w:r>
    </w:p>
    <w:p w14:paraId="34CF5F17" w14:textId="77777777" w:rsidR="0040466D" w:rsidRDefault="0040466D">
      <w:pPr>
        <w:spacing w:after="0" w:line="260" w:lineRule="auto"/>
        <w:rPr>
          <w:rFonts w:cs="Arial"/>
        </w:rPr>
      </w:pPr>
    </w:p>
    <w:p w14:paraId="127FD5A4" w14:textId="46086F9C" w:rsidR="0040466D" w:rsidRDefault="00572CBD">
      <w:pPr>
        <w:spacing w:after="0" w:line="260" w:lineRule="auto"/>
      </w:pPr>
      <w:r>
        <w:t>Ljubljana, dne  marca 2026</w:t>
      </w:r>
    </w:p>
    <w:p w14:paraId="4D33B7B7" w14:textId="77777777" w:rsidR="0040466D" w:rsidRDefault="0040466D">
      <w:pPr>
        <w:spacing w:after="0" w:line="260" w:lineRule="auto"/>
        <w:rPr>
          <w:rFonts w:cs="Arial"/>
        </w:rPr>
      </w:pPr>
    </w:p>
    <w:p w14:paraId="541BB7BA" w14:textId="77777777" w:rsidR="0040466D" w:rsidRDefault="00572CBD">
      <w:pPr>
        <w:spacing w:after="0" w:line="260" w:lineRule="auto"/>
      </w:pPr>
      <w:r>
        <w:t>EVA 2025-2330-0099</w:t>
      </w:r>
    </w:p>
    <w:p w14:paraId="46644904" w14:textId="77777777" w:rsidR="0040466D" w:rsidRDefault="0040466D">
      <w:pPr>
        <w:spacing w:after="0" w:line="260" w:lineRule="auto"/>
        <w:rPr>
          <w:rFonts w:cs="Arial"/>
        </w:rPr>
      </w:pPr>
    </w:p>
    <w:p w14:paraId="1051EE41" w14:textId="77777777" w:rsidR="0040466D" w:rsidRDefault="00572CBD">
      <w:pPr>
        <w:pStyle w:val="Podpisnik"/>
        <w:spacing w:line="260" w:lineRule="auto"/>
      </w:pPr>
      <w:r>
        <w:t xml:space="preserve">                 Mateja </w:t>
      </w:r>
      <w:proofErr w:type="spellStart"/>
      <w:r>
        <w:t>Čalušić</w:t>
      </w:r>
      <w:proofErr w:type="spellEnd"/>
      <w:r>
        <w:br/>
        <w:t xml:space="preserve">                 ministrica </w:t>
      </w:r>
      <w:r>
        <w:br/>
        <w:t>                 za kmetijstvo, gozdarstvo in prehrano</w:t>
      </w:r>
    </w:p>
    <w:p w14:paraId="322DF840" w14:textId="77777777" w:rsidR="0040466D" w:rsidRDefault="0040466D">
      <w:pPr>
        <w:spacing w:after="0" w:line="260" w:lineRule="auto"/>
        <w:rPr>
          <w:rFonts w:cs="Arial"/>
        </w:rPr>
      </w:pPr>
    </w:p>
    <w:p w14:paraId="6AE1E192" w14:textId="77777777" w:rsidR="003264BF" w:rsidRDefault="003264BF">
      <w:pPr>
        <w:spacing w:after="0" w:line="240" w:lineRule="auto"/>
      </w:pPr>
    </w:p>
    <w:p w14:paraId="2E45E8D0" w14:textId="77777777" w:rsidR="003264BF" w:rsidRDefault="003264BF">
      <w:pPr>
        <w:spacing w:after="0" w:line="240" w:lineRule="auto"/>
      </w:pPr>
    </w:p>
    <w:p w14:paraId="0751B027" w14:textId="77777777" w:rsidR="003264BF" w:rsidRDefault="003264BF">
      <w:pPr>
        <w:spacing w:after="0" w:line="240" w:lineRule="auto"/>
      </w:pPr>
    </w:p>
    <w:p w14:paraId="2899716A" w14:textId="4B012E15" w:rsidR="0040466D" w:rsidRDefault="00572CBD">
      <w:pPr>
        <w:spacing w:after="0" w:line="240" w:lineRule="auto"/>
      </w:pPr>
      <w:r>
        <w:t>Priloga 2: Dvoletni načrt lovišča oziroma lovišča s posebnim namenom za leti _________</w:t>
      </w:r>
    </w:p>
    <w:p w14:paraId="21A0B1E5" w14:textId="77777777" w:rsidR="0040466D" w:rsidRDefault="00572CBD">
      <w:pPr>
        <w:spacing w:after="0" w:line="240" w:lineRule="auto"/>
      </w:pPr>
      <w:r>
        <w:t>PRILOGA_2.docx</w:t>
      </w:r>
    </w:p>
    <w:sectPr w:rsidR="0040466D">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672852" w14:textId="77777777" w:rsidR="00770AD5" w:rsidRDefault="00770AD5">
      <w:pPr>
        <w:spacing w:after="0" w:line="240" w:lineRule="auto"/>
      </w:pPr>
      <w:r>
        <w:separator/>
      </w:r>
    </w:p>
  </w:endnote>
  <w:endnote w:type="continuationSeparator" w:id="0">
    <w:p w14:paraId="73EE5477" w14:textId="77777777" w:rsidR="00770AD5" w:rsidRDefault="00770A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FC96B4" w14:textId="77777777" w:rsidR="0040466D" w:rsidRDefault="00572CBD">
    <w:r>
      <w:rPr>
        <w:i/>
        <w:sz w:val="16"/>
      </w:rPr>
      <w:t>Ustvarjeno v MOPED-DOCS, 12. 03. 2026 12:46:28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B22B5" w14:textId="77777777" w:rsidR="00770AD5" w:rsidRDefault="00770AD5">
      <w:pPr>
        <w:spacing w:after="0" w:line="240" w:lineRule="auto"/>
      </w:pPr>
      <w:r>
        <w:separator/>
      </w:r>
    </w:p>
  </w:footnote>
  <w:footnote w:type="continuationSeparator" w:id="0">
    <w:p w14:paraId="70F57A83" w14:textId="77777777" w:rsidR="00770AD5" w:rsidRDefault="00770AD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466D"/>
    <w:rsid w:val="000E5CC1"/>
    <w:rsid w:val="003264BF"/>
    <w:rsid w:val="0040466D"/>
    <w:rsid w:val="00522DAF"/>
    <w:rsid w:val="00572CBD"/>
    <w:rsid w:val="005F5091"/>
    <w:rsid w:val="006B4EEE"/>
    <w:rsid w:val="00770AD5"/>
    <w:rsid w:val="0096251A"/>
    <w:rsid w:val="00D45570"/>
    <w:rsid w:val="00F054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5CFAA9"/>
  <w15:docId w15:val="{D453AD80-66B6-4834-8DE9-77900B83C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esedilooblaka">
    <w:name w:val="Balloon Text"/>
    <w:basedOn w:val="Navaden"/>
    <w:link w:val="BesedilooblakaZnak"/>
    <w:uiPriority w:val="99"/>
    <w:semiHidden/>
    <w:unhideWhenUsed/>
    <w:rsid w:val="003264B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264BF"/>
    <w:rPr>
      <w:rFonts w:ascii="Segoe UI" w:hAnsi="Segoe UI" w:cs="Segoe UI"/>
      <w:sz w:val="18"/>
      <w:szCs w:val="18"/>
    </w:rPr>
  </w:style>
  <w:style w:type="paragraph" w:styleId="Revizija">
    <w:name w:val="Revision"/>
    <w:hidden/>
    <w:uiPriority w:val="99"/>
    <w:semiHidden/>
    <w:rsid w:val="0096251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608</Words>
  <Characters>3469</Characters>
  <Application>Microsoft Office Word</Application>
  <DocSecurity>0</DocSecurity>
  <Lines>28</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Urška Srnec</dc:creator>
  <cp:lastModifiedBy>Urška Srnec</cp:lastModifiedBy>
  <cp:revision>2</cp:revision>
  <dcterms:created xsi:type="dcterms:W3CDTF">2026-03-17T11:41:00Z</dcterms:created>
  <dcterms:modified xsi:type="dcterms:W3CDTF">2026-03-17T11:41:00Z</dcterms:modified>
</cp:coreProperties>
</file>