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96FBD" w:rsidRDefault="00896FBD" w:rsidP="006F520B">
      <w:pPr>
        <w:pStyle w:val="datumtevilka"/>
      </w:pPr>
      <w:bookmarkStart w:id="0" w:name="_GoBack"/>
      <w:r>
        <w:rPr>
          <w:rFonts w:cs="Arial"/>
          <w:color w:val="000000"/>
        </w:rPr>
        <w:t>EVA:</w:t>
      </w:r>
      <w:r>
        <w:rPr>
          <w:rFonts w:cs="Arial"/>
          <w:color w:val="000000"/>
        </w:rPr>
        <w:tab/>
      </w:r>
      <w:r w:rsidR="00097B9F">
        <w:rPr>
          <w:rFonts w:cs="Arial"/>
          <w:color w:val="000000"/>
        </w:rPr>
        <w:t>2024-2560-0040</w:t>
      </w:r>
    </w:p>
    <w:p w:rsidR="00896FBD" w:rsidRDefault="00896FBD" w:rsidP="006F520B">
      <w:pPr>
        <w:pStyle w:val="datumtevilka"/>
      </w:pPr>
      <w:r>
        <w:t xml:space="preserve">Številka: </w:t>
      </w:r>
      <w:r>
        <w:tab/>
      </w:r>
      <w:r w:rsidR="00097B9F">
        <w:rPr>
          <w:rFonts w:cs="Arial"/>
          <w:color w:val="000000"/>
        </w:rPr>
        <w:t>00704-211/2025/30</w:t>
      </w:r>
    </w:p>
    <w:p w:rsidR="00896FBD" w:rsidRDefault="00896FBD" w:rsidP="006F520B">
      <w:pPr>
        <w:pStyle w:val="datumtevilka"/>
      </w:pPr>
      <w:r>
        <w:t>Datum:</w:t>
      </w:r>
      <w:r>
        <w:tab/>
      </w:r>
      <w:r w:rsidR="00097B9F">
        <w:rPr>
          <w:rFonts w:cs="Arial"/>
          <w:color w:val="000000"/>
        </w:rPr>
        <w:t>27. 1. 2026</w:t>
      </w:r>
      <w:r>
        <w:t xml:space="preserve"> </w:t>
      </w:r>
    </w:p>
    <w:p w:rsidR="00896FBD" w:rsidRDefault="00896FBD" w:rsidP="006F520B"/>
    <w:p w:rsidR="00896FBD" w:rsidRDefault="00896FBD" w:rsidP="006F520B">
      <w:pPr>
        <w:autoSpaceDE w:val="0"/>
        <w:autoSpaceDN w:val="0"/>
        <w:adjustRightInd w:val="0"/>
        <w:rPr>
          <w:rFonts w:cs="Arial"/>
          <w:color w:val="000000"/>
          <w:szCs w:val="20"/>
        </w:rPr>
      </w:pPr>
    </w:p>
    <w:p w:rsidR="00896FBD" w:rsidRPr="006F520B" w:rsidRDefault="00344DE8" w:rsidP="006F520B">
      <w:pPr>
        <w:autoSpaceDE w:val="0"/>
        <w:autoSpaceDN w:val="0"/>
        <w:adjustRightInd w:val="0"/>
        <w:jc w:val="center"/>
        <w:rPr>
          <w:rFonts w:cs="Arial"/>
          <w:b/>
          <w:color w:val="000000"/>
          <w:szCs w:val="20"/>
        </w:rPr>
      </w:pPr>
      <w:r w:rsidRPr="006F520B">
        <w:rPr>
          <w:rFonts w:cs="Arial"/>
          <w:b/>
          <w:color w:val="000000"/>
          <w:szCs w:val="20"/>
        </w:rPr>
        <w:t>Stališče</w:t>
      </w:r>
      <w:r w:rsidR="00097B9F" w:rsidRPr="006F520B">
        <w:rPr>
          <w:rFonts w:cs="Arial"/>
          <w:b/>
          <w:color w:val="000000"/>
          <w:szCs w:val="20"/>
        </w:rPr>
        <w:t xml:space="preserve"> do Mnenja Državnega sveta Republike Slovenije k Dopolnjenemu Predlogu zakona o postopnem zapiranju Premogovnika Velenje</w:t>
      </w:r>
    </w:p>
    <w:p w:rsidR="006F520B" w:rsidRDefault="006F520B" w:rsidP="006F520B">
      <w:pPr>
        <w:autoSpaceDE w:val="0"/>
        <w:autoSpaceDN w:val="0"/>
        <w:adjustRightInd w:val="0"/>
        <w:jc w:val="both"/>
        <w:rPr>
          <w:rFonts w:cs="Arial"/>
          <w:color w:val="000000"/>
          <w:szCs w:val="20"/>
        </w:rPr>
      </w:pPr>
    </w:p>
    <w:p w:rsidR="006F520B" w:rsidRDefault="006F520B" w:rsidP="006F520B">
      <w:pPr>
        <w:autoSpaceDE w:val="0"/>
        <w:autoSpaceDN w:val="0"/>
        <w:adjustRightInd w:val="0"/>
        <w:jc w:val="both"/>
        <w:rPr>
          <w:rFonts w:cs="Arial"/>
          <w:color w:val="000000"/>
          <w:szCs w:val="20"/>
        </w:rPr>
      </w:pPr>
    </w:p>
    <w:p w:rsidR="006F520B" w:rsidRPr="00373D87" w:rsidRDefault="006F520B" w:rsidP="006F520B">
      <w:pPr>
        <w:jc w:val="both"/>
        <w:rPr>
          <w:rFonts w:cs="Arial"/>
          <w:szCs w:val="20"/>
          <w:lang w:eastAsia="sl-SI"/>
        </w:rPr>
      </w:pPr>
      <w:r w:rsidRPr="00373D87">
        <w:rPr>
          <w:rFonts w:cs="Arial"/>
          <w:szCs w:val="20"/>
          <w:lang w:eastAsia="sl-SI"/>
        </w:rPr>
        <w:t>Državni svet Republike Slovenije (v nadaljnjem besedilu: Državni svet) je na 35. seji, dne 21. 01. 2026, sprejel Mnenje k Dopolnjenemu predlogu Zakona o postopnem zapiranju Premogovnika Velenje (ZPZPV) (v nadaljnjem besedilu: mnenje), iz katerega izhaja, da navedeni predlog zakona podpira.</w:t>
      </w:r>
    </w:p>
    <w:p w:rsidR="006F520B" w:rsidRPr="00373D87" w:rsidRDefault="006F520B" w:rsidP="006F520B">
      <w:pPr>
        <w:jc w:val="both"/>
        <w:rPr>
          <w:rFonts w:cs="Arial"/>
          <w:szCs w:val="20"/>
          <w:lang w:eastAsia="sl-SI"/>
        </w:rPr>
      </w:pPr>
      <w:r w:rsidRPr="00373D87">
        <w:rPr>
          <w:rFonts w:cs="Arial"/>
          <w:szCs w:val="20"/>
          <w:lang w:eastAsia="sl-SI"/>
        </w:rPr>
        <w:t>Državni svet podpira dopolnjen predlog zakona, ki celovito ureja postopno zapiranje Premogovnika Velenje in predstavlja pomemben korak pri uresničevanju ciljev izstopa Slovenije iz premoga. Pri tem ne zasleduje zgolj podnebnih ciljev, temveč celostno naslavlja položaj zaposlenih v Premogovniku Velenje, zagotavlja njihovo socialno varnost po izstopu iz premogovne dejavnosti, upošteva interese lokalne skupnosti ter določa postopen in časovno opredeljen izhod iz premoga do leta 2033. Ugotavlja</w:t>
      </w:r>
      <w:r>
        <w:rPr>
          <w:rFonts w:cs="Arial"/>
          <w:szCs w:val="20"/>
          <w:lang w:eastAsia="sl-SI"/>
        </w:rPr>
        <w:t xml:space="preserve"> tudi</w:t>
      </w:r>
      <w:r w:rsidRPr="00373D87">
        <w:rPr>
          <w:rFonts w:cs="Arial"/>
          <w:szCs w:val="20"/>
          <w:lang w:eastAsia="sl-SI"/>
        </w:rPr>
        <w:t xml:space="preserve">, da sta Termoelektrarna Šoštanj (v nadaljnjem besedilu: TEŠ) in Premogovnik Velenje </w:t>
      </w:r>
      <w:proofErr w:type="spellStart"/>
      <w:r w:rsidRPr="00373D87">
        <w:rPr>
          <w:rFonts w:cs="Arial"/>
          <w:szCs w:val="20"/>
          <w:lang w:eastAsia="sl-SI"/>
        </w:rPr>
        <w:t>d.o.o</w:t>
      </w:r>
      <w:proofErr w:type="spellEnd"/>
      <w:r w:rsidRPr="00373D87">
        <w:rPr>
          <w:rFonts w:cs="Arial"/>
          <w:szCs w:val="20"/>
          <w:lang w:eastAsia="sl-SI"/>
        </w:rPr>
        <w:t>. (v nadaljnjem besedilu: Premogovnik Velenje) neločljivo sistemsko povezana in skupaj tvorita enoten energetski sistem regije, pri čemer delovanje ene enote brez druge v praksi ni izvedljivo. Ukrepi za izstop iz premoga morajo zato oba sistema obravnavati celovito, saj ločeno urejanje lahko ogrozi energetsko stabilnost, poveča socialna tveganja in oteži dejansko uresničitev pravičnega prehoda.</w:t>
      </w:r>
    </w:p>
    <w:p w:rsidR="006F520B" w:rsidRPr="00373D87" w:rsidRDefault="006F520B" w:rsidP="006F520B">
      <w:pPr>
        <w:jc w:val="both"/>
        <w:rPr>
          <w:rFonts w:cs="Arial"/>
          <w:szCs w:val="20"/>
          <w:lang w:eastAsia="sl-SI"/>
        </w:rPr>
      </w:pPr>
      <w:r w:rsidRPr="00373D87">
        <w:rPr>
          <w:rFonts w:cs="Arial"/>
          <w:szCs w:val="20"/>
          <w:lang w:eastAsia="sl-SI"/>
        </w:rPr>
        <w:t>Državni svet v mnenju ugotavlja, da Dopolnjeni predlog Zakona o postopnem zapiranju Premogovnika Velenje naslavlja izjemen in specifičen položaj, ki je posledica državne odločitve o postopnem zaprtju zadnjega še delujočega premogovnika v Republiki Sloveniji. Predlagana zakonska ureditev predstavlja poseben pravni okvir, katerega namen je celovito urediti delovnopravni, socialni in organizacijski položaj zaposlenih v Premogovniku Velenje in njegovih odvisnih družbah v prehodnem obdobju, ko bosta sočasno potekala proizvodnja premoga in izvajanje zapiralnih del.</w:t>
      </w:r>
    </w:p>
    <w:p w:rsidR="006F520B" w:rsidRPr="00373D87" w:rsidRDefault="006F520B" w:rsidP="006F520B">
      <w:pPr>
        <w:jc w:val="both"/>
        <w:rPr>
          <w:rFonts w:cs="Arial"/>
          <w:szCs w:val="20"/>
          <w:lang w:eastAsia="sl-SI"/>
        </w:rPr>
      </w:pPr>
      <w:r w:rsidRPr="00373D87">
        <w:rPr>
          <w:rFonts w:cs="Arial"/>
          <w:szCs w:val="20"/>
          <w:lang w:eastAsia="sl-SI"/>
        </w:rPr>
        <w:t>Državni svet poudarja, da so zaposleni v Premogovniku Velenje v posebnem položaju, saj je izguba njihovih delovnih mest neposredna posledica odločitve Vlade Republike Slovenije, obenem pa gre za poklice in znanja, ki so ozko specializirani in omejeno prenosljivi v druge dejavnosti. Dodatno je njihov položaj otežen zaradi dejstva, da v Sloveniji ni več drugih primerljivih delodajalcev v panogi, kar zmanjšuje možnosti za novo zaposlitev, zlasti za delavce, ki opravljajo zahtevna in zdravju škodljiva dela.</w:t>
      </w:r>
    </w:p>
    <w:p w:rsidR="006F520B" w:rsidRPr="00373D87" w:rsidRDefault="006F520B" w:rsidP="006F520B">
      <w:pPr>
        <w:jc w:val="both"/>
        <w:rPr>
          <w:rFonts w:cs="Arial"/>
          <w:szCs w:val="20"/>
          <w:lang w:eastAsia="sl-SI"/>
        </w:rPr>
      </w:pPr>
      <w:r w:rsidRPr="00373D87">
        <w:rPr>
          <w:rFonts w:cs="Arial"/>
          <w:szCs w:val="20"/>
          <w:lang w:eastAsia="sl-SI"/>
        </w:rPr>
        <w:t>Predlagane zakonske rešitve po oceni Državnega sveta zagotavljajo višjo raven pravic, kot jih sicer določa splošna delovnopravna zakonodaja, ter izvirno urejajo nekatere pravice, ki so nujne zaradi posebnih okoliščin zapiranja premogovnika. Takšna ureditev prispeva k zagotavljanju socialne varnosti delavcev, ohranjanju njihove motivacije ter stabilnosti delovnega procesa v času postopnega zapiranja, kar je ključno tako z vidika varnosti pri delu kot z vidika pravočasne in učinkovite izvedbe zapiralnih aktivnosti. Državni svet ob tem meni, da je odstopanje od splošne zakonodaje na področju delovnih razmerij in upokojevanja utemeljeno z objektivnimi in stvarnimi razlogi ter skladno z ustavnim načelom enakosti pred zakonom. Posebna ureditev se nanaša izključno na delavce, katerih položaj je bistveno drugačen od položaja drugih delavcev v energetskem sektorju, saj je njihova zaposlitev neposredno in neizogibno vezana na zaprtje dejavnosti. Zato Državni svet ocenjuje, da predlog zakona predstavlja sorazmeren, ciljno usmerjen in socialno odgovoren odziv države na posledice energetske preobrazbe.</w:t>
      </w:r>
    </w:p>
    <w:p w:rsidR="006F520B" w:rsidRPr="00373D87" w:rsidRDefault="006F520B" w:rsidP="006F520B">
      <w:pPr>
        <w:jc w:val="both"/>
        <w:rPr>
          <w:rFonts w:cs="Arial"/>
          <w:szCs w:val="20"/>
          <w:lang w:eastAsia="sl-SI"/>
        </w:rPr>
      </w:pPr>
      <w:r w:rsidRPr="00373D87">
        <w:rPr>
          <w:rFonts w:cs="Arial"/>
          <w:szCs w:val="20"/>
          <w:lang w:eastAsia="sl-SI"/>
        </w:rPr>
        <w:lastRenderedPageBreak/>
        <w:t>Državni svet nadalje ugotavlja, da Premogovnik Velenje razpolaga z bogato zgodovino inovacij, tehničnega znanja in kadrovskih izkušenj, ki so se nabirali v več kot sto letih delovanja podjetja. Zato je pomembno preučiti možnosti za prenos in uporabo tega znanja v okviru prestrukturiranja SAŠA regije, zlasti pri razvoju in trženju tehnoloških rešitev, naprav in strojev, ki so bili inovirani in zaščiteni z intelektualno lastnino. Ustrezno izkoriščanje tega znanja bi lahko prispevalo k gospodarski revitalizaciji SAŠA regije, razvoju novih podjetniških pobud in dolgoročni ohranitvi strokovnega potenciala.</w:t>
      </w:r>
    </w:p>
    <w:p w:rsidR="006F520B" w:rsidRPr="00373D87" w:rsidRDefault="006F520B" w:rsidP="006F520B">
      <w:pPr>
        <w:jc w:val="both"/>
        <w:rPr>
          <w:rFonts w:cs="Arial"/>
          <w:szCs w:val="20"/>
          <w:lang w:eastAsia="sl-SI"/>
        </w:rPr>
      </w:pPr>
      <w:r w:rsidRPr="00373D87">
        <w:rPr>
          <w:rFonts w:cs="Arial"/>
          <w:szCs w:val="20"/>
          <w:lang w:eastAsia="sl-SI"/>
        </w:rPr>
        <w:t>V okviru obravnave dopolnjenega predloga zakona se je Državni svet seznanil tudi z več predlogi in pobudami, ki so se nanašali na razširitev posameznih pravic oziroma na spremembe nekaterih rešitev v predlogu zakona:</w:t>
      </w:r>
    </w:p>
    <w:p w:rsidR="006F520B" w:rsidRPr="00373D87" w:rsidRDefault="006F520B" w:rsidP="006F520B">
      <w:pPr>
        <w:numPr>
          <w:ilvl w:val="0"/>
          <w:numId w:val="6"/>
        </w:numPr>
        <w:jc w:val="both"/>
        <w:rPr>
          <w:rFonts w:cs="Arial"/>
          <w:szCs w:val="20"/>
          <w:lang w:eastAsia="sl-SI"/>
        </w:rPr>
      </w:pPr>
      <w:r w:rsidRPr="00373D87">
        <w:rPr>
          <w:rFonts w:cs="Arial"/>
          <w:szCs w:val="20"/>
          <w:lang w:eastAsia="sl-SI"/>
        </w:rPr>
        <w:t xml:space="preserve">Glede predkupne pravice najemnikov stanovanj v povezavi s predlaganim prenosom stanovanj na Stanovanjski sklad Republike Slovenije se je Državni svet seznanil s predlogi, da bi se najemnikom priznala predkupna pravica ob odsvojitvi teh stanovanj. Ob tem je ugotovil, da je prenos stanovanj na Stanovanjski sklad </w:t>
      </w:r>
      <w:r>
        <w:rPr>
          <w:rFonts w:cs="Arial"/>
          <w:szCs w:val="20"/>
          <w:lang w:eastAsia="sl-SI"/>
        </w:rPr>
        <w:t>Republike Slovenije, kot je urejen v šestem odstavku 4. člena Dopolnjenega predloga zakona</w:t>
      </w:r>
      <w:r w:rsidRPr="00373D87">
        <w:rPr>
          <w:rFonts w:cs="Arial"/>
          <w:szCs w:val="20"/>
          <w:lang w:eastAsia="sl-SI"/>
        </w:rPr>
        <w:t xml:space="preserve"> prvenstveno namenjen zagotavljanju dolgoročne javne in socialne funkcije teh stanovanj ter stabilnosti najemnih razmerij, zato posebna ureditev predkupne pravice najemnikov v tem kontekstu ni nujna za dosego ciljev predloga zakona.</w:t>
      </w:r>
    </w:p>
    <w:p w:rsidR="006F520B" w:rsidRPr="00373D87" w:rsidRDefault="006F520B" w:rsidP="006F520B">
      <w:pPr>
        <w:numPr>
          <w:ilvl w:val="0"/>
          <w:numId w:val="6"/>
        </w:numPr>
        <w:jc w:val="both"/>
        <w:rPr>
          <w:rFonts w:cs="Arial"/>
          <w:szCs w:val="20"/>
          <w:lang w:eastAsia="sl-SI"/>
        </w:rPr>
      </w:pPr>
      <w:r w:rsidRPr="00373D87">
        <w:rPr>
          <w:rFonts w:cs="Arial"/>
          <w:szCs w:val="20"/>
          <w:lang w:eastAsia="sl-SI"/>
        </w:rPr>
        <w:t xml:space="preserve">V zvezi s predkupnimi pravicami ob prodaji </w:t>
      </w:r>
      <w:proofErr w:type="spellStart"/>
      <w:r w:rsidRPr="00373D87">
        <w:rPr>
          <w:rFonts w:cs="Arial"/>
          <w:szCs w:val="20"/>
          <w:lang w:eastAsia="sl-SI"/>
        </w:rPr>
        <w:t>nestanovanjskih</w:t>
      </w:r>
      <w:proofErr w:type="spellEnd"/>
      <w:r w:rsidRPr="00373D87">
        <w:rPr>
          <w:rFonts w:cs="Arial"/>
          <w:szCs w:val="20"/>
          <w:lang w:eastAsia="sl-SI"/>
        </w:rPr>
        <w:t xml:space="preserve"> nepremičnin se je Državni svet seznanil s predlogi, da bi se tudi na tem področju razširile oziroma posebej uredile predkupne pravice določenih subjektov. Državni svet je ob tem zavzel stališče, da takšna ureditev presega namen in vsebinski okvir predloga zakona, ki je osredotočen na postopno zapiranje Premogovnika Velenje in obravnavo položaja zaposlenih, ter da dodatni posegi v splošni režim razpolaganja z </w:t>
      </w:r>
      <w:proofErr w:type="spellStart"/>
      <w:r w:rsidRPr="00373D87">
        <w:rPr>
          <w:rFonts w:cs="Arial"/>
          <w:szCs w:val="20"/>
          <w:lang w:eastAsia="sl-SI"/>
        </w:rPr>
        <w:t>nestanovanjskimi</w:t>
      </w:r>
      <w:proofErr w:type="spellEnd"/>
      <w:r w:rsidRPr="00373D87">
        <w:rPr>
          <w:rFonts w:cs="Arial"/>
          <w:szCs w:val="20"/>
          <w:lang w:eastAsia="sl-SI"/>
        </w:rPr>
        <w:t xml:space="preserve"> nepremičninami v tem zakonu niso utemeljeni. Ugotavlja, da so bila v določeni meri v Dopolnjenem predlogu Zakona o postopnem zapiranju Premogovnika Velenje upoštevana tudi opozorila Mestne občine Velenje in Občine Šoštanj. Med drugim je v </w:t>
      </w:r>
      <w:r>
        <w:rPr>
          <w:rFonts w:cs="Arial"/>
          <w:szCs w:val="20"/>
          <w:lang w:eastAsia="sl-SI"/>
        </w:rPr>
        <w:t xml:space="preserve">sedmem odstavku </w:t>
      </w:r>
      <w:r w:rsidRPr="00373D87">
        <w:rPr>
          <w:rFonts w:cs="Arial"/>
          <w:szCs w:val="20"/>
          <w:lang w:eastAsia="sl-SI"/>
        </w:rPr>
        <w:t>4. člen</w:t>
      </w:r>
      <w:r>
        <w:rPr>
          <w:rFonts w:cs="Arial"/>
          <w:szCs w:val="20"/>
          <w:lang w:eastAsia="sl-SI"/>
        </w:rPr>
        <w:t>a</w:t>
      </w:r>
      <w:r w:rsidRPr="00373D87">
        <w:rPr>
          <w:rFonts w:cs="Arial"/>
          <w:szCs w:val="20"/>
          <w:lang w:eastAsia="sl-SI"/>
        </w:rPr>
        <w:t xml:space="preserve"> </w:t>
      </w:r>
      <w:r>
        <w:rPr>
          <w:rFonts w:cs="Arial"/>
          <w:szCs w:val="20"/>
          <w:lang w:eastAsia="sl-SI"/>
        </w:rPr>
        <w:t xml:space="preserve">dopolnjenega </w:t>
      </w:r>
      <w:r w:rsidRPr="00373D87">
        <w:rPr>
          <w:rFonts w:cs="Arial"/>
          <w:szCs w:val="20"/>
          <w:lang w:eastAsia="sl-SI"/>
        </w:rPr>
        <w:t xml:space="preserve">predloga zakona določeno, da mora biti ob prodaji </w:t>
      </w:r>
      <w:proofErr w:type="spellStart"/>
      <w:r w:rsidRPr="00373D87">
        <w:rPr>
          <w:rFonts w:cs="Arial"/>
          <w:szCs w:val="20"/>
          <w:lang w:eastAsia="sl-SI"/>
        </w:rPr>
        <w:t>nestanovanjskih</w:t>
      </w:r>
      <w:proofErr w:type="spellEnd"/>
      <w:r w:rsidRPr="00373D87">
        <w:rPr>
          <w:rFonts w:cs="Arial"/>
          <w:szCs w:val="20"/>
          <w:lang w:eastAsia="sl-SI"/>
        </w:rPr>
        <w:t xml:space="preserve"> nepremičnin v lasti družbe Premogovnik Velenje zagotovljeno uveljavljanje zakonitih predkupnih pravic po vsakokrat veljavnih predpisih. To pomeni, da bosta imeli Mestna občina Velenje in Občina Šoštanj možnost uveljavljanja predkupne pravice v okviru svojih prostorskih aktov.</w:t>
      </w:r>
    </w:p>
    <w:p w:rsidR="006F520B" w:rsidRPr="00373D87" w:rsidRDefault="006F520B" w:rsidP="006F520B">
      <w:pPr>
        <w:numPr>
          <w:ilvl w:val="0"/>
          <w:numId w:val="6"/>
        </w:numPr>
        <w:jc w:val="both"/>
        <w:rPr>
          <w:rFonts w:cs="Arial"/>
          <w:szCs w:val="20"/>
          <w:lang w:eastAsia="sl-SI"/>
        </w:rPr>
      </w:pPr>
      <w:r w:rsidRPr="00373D87">
        <w:rPr>
          <w:rFonts w:cs="Arial"/>
          <w:szCs w:val="20"/>
          <w:lang w:eastAsia="sl-SI"/>
        </w:rPr>
        <w:t xml:space="preserve">Državni svet se je prav tako seznanil s predlogi, da bi se pravice iz III. poglavja </w:t>
      </w:r>
      <w:r>
        <w:rPr>
          <w:rFonts w:cs="Arial"/>
          <w:szCs w:val="20"/>
          <w:lang w:eastAsia="sl-SI"/>
        </w:rPr>
        <w:t xml:space="preserve">dopolnjenega </w:t>
      </w:r>
      <w:r w:rsidRPr="00373D87">
        <w:rPr>
          <w:rFonts w:cs="Arial"/>
          <w:szCs w:val="20"/>
          <w:lang w:eastAsia="sl-SI"/>
        </w:rPr>
        <w:t xml:space="preserve">predloga zakona razširile tudi na zaposlene v TEŠ. V zvezi s tem je ugotovil, da položaj zaposlenih v TEŠ ni primerljiv s položajem zaposlenih v Premogovniku Velenje </w:t>
      </w:r>
      <w:proofErr w:type="spellStart"/>
      <w:r w:rsidRPr="00373D87">
        <w:rPr>
          <w:rFonts w:cs="Arial"/>
          <w:szCs w:val="20"/>
          <w:lang w:eastAsia="sl-SI"/>
        </w:rPr>
        <w:t>d.o.o</w:t>
      </w:r>
      <w:proofErr w:type="spellEnd"/>
      <w:r w:rsidRPr="00373D87">
        <w:rPr>
          <w:rFonts w:cs="Arial"/>
          <w:szCs w:val="20"/>
          <w:lang w:eastAsia="sl-SI"/>
        </w:rPr>
        <w:t>. in njegovih odvisnih družbah, saj njihova zaposlitev ni neposredno in neizogibno ogrožena zaradi zaprtja dejavnosti. Državni svet zato ni podprl razširitve posebne ureditve na zaposlene v TEŠ</w:t>
      </w:r>
      <w:r>
        <w:rPr>
          <w:rFonts w:cs="Arial"/>
          <w:szCs w:val="20"/>
          <w:lang w:eastAsia="sl-SI"/>
        </w:rPr>
        <w:t xml:space="preserve"> v dopolnjenem predlogu zakona</w:t>
      </w:r>
      <w:r w:rsidRPr="00373D87">
        <w:rPr>
          <w:rFonts w:cs="Arial"/>
          <w:szCs w:val="20"/>
          <w:lang w:eastAsia="sl-SI"/>
        </w:rPr>
        <w:t xml:space="preserve"> in se je pridružil stališčem</w:t>
      </w:r>
      <w:r>
        <w:rPr>
          <w:rFonts w:cs="Arial"/>
          <w:szCs w:val="20"/>
          <w:lang w:eastAsia="sl-SI"/>
        </w:rPr>
        <w:t xml:space="preserve"> predlagatelja</w:t>
      </w:r>
      <w:r w:rsidRPr="00373D87">
        <w:rPr>
          <w:rFonts w:cs="Arial"/>
          <w:szCs w:val="20"/>
          <w:lang w:eastAsia="sl-SI"/>
        </w:rPr>
        <w:t>, da za takšno širitev niso izkazani objektivni in stvarni razlogi, ki bi utemeljevali odstop od sistemske zakonodaje.</w:t>
      </w:r>
    </w:p>
    <w:p w:rsidR="006F520B" w:rsidRPr="00373D87" w:rsidRDefault="006F520B" w:rsidP="006F520B">
      <w:pPr>
        <w:numPr>
          <w:ilvl w:val="0"/>
          <w:numId w:val="6"/>
        </w:numPr>
        <w:jc w:val="both"/>
        <w:rPr>
          <w:rFonts w:cs="Arial"/>
          <w:szCs w:val="20"/>
          <w:lang w:eastAsia="sl-SI"/>
        </w:rPr>
      </w:pPr>
      <w:r w:rsidRPr="00373D87">
        <w:rPr>
          <w:rFonts w:cs="Arial"/>
          <w:szCs w:val="20"/>
          <w:lang w:eastAsia="sl-SI"/>
        </w:rPr>
        <w:t>V zvezi s pobudami za podaljšanje veljavnosti interventnega zakona Zakon o prehodnem financiranju pospešenega in pravičnega izstopa iz premoga (Uradni list RS, št. 109/24, v nadaljnjem besedilu: ZPFPPIP) se je Državni svet seznanil z argumenti za nadaljnje podaljšanje izrednih ukrepov ter ugotavlja, da se je pristojna komisija Državnega sveta pridružila opozorilom družbe TEŠ, občin Velenje in Šoštanj ter sindikatov P</w:t>
      </w:r>
      <w:r>
        <w:rPr>
          <w:rFonts w:cs="Arial"/>
          <w:szCs w:val="20"/>
          <w:lang w:eastAsia="sl-SI"/>
        </w:rPr>
        <w:t>remogovnika Velenje</w:t>
      </w:r>
      <w:r w:rsidRPr="00373D87">
        <w:rPr>
          <w:rFonts w:cs="Arial"/>
          <w:szCs w:val="20"/>
          <w:lang w:eastAsia="sl-SI"/>
        </w:rPr>
        <w:t xml:space="preserve"> in TEŠ glede neusklajenosti </w:t>
      </w:r>
      <w:proofErr w:type="spellStart"/>
      <w:r w:rsidRPr="00373D87">
        <w:rPr>
          <w:rFonts w:cs="Arial"/>
          <w:szCs w:val="20"/>
          <w:lang w:eastAsia="sl-SI"/>
        </w:rPr>
        <w:t>časovnice</w:t>
      </w:r>
      <w:proofErr w:type="spellEnd"/>
      <w:r w:rsidRPr="00373D87">
        <w:rPr>
          <w:rFonts w:cs="Arial"/>
          <w:szCs w:val="20"/>
          <w:lang w:eastAsia="sl-SI"/>
        </w:rPr>
        <w:t xml:space="preserve"> predloga zakona v prvotni različici, ki predvideva zaključek pridobivanja premoga najpozneje do 31. 12. 2033, ter Zakona o prehodnem financiranju pospešenega in pravičnega izstopa iz premoga, ki izvajanje začasnega ukrepa gospodarske javne službe s strani TEŠ omejuje do 30. 4. 2027. Takšno neskladje lahko ogrozi socialno varnost zaposlenih ter izpolnjevanje finančnih obveznosti TEŠ, zlasti glede možnosti unovčenja poroštva Evropske investicijske banke. Državni svet pričakuje, da bo veljavnost interventnega zakona ZPFPPIP pravočasno podaljšana ali da bo sprejeta druga ustrezna pravna rešitev. Hkrati opozarja, da bi </w:t>
      </w:r>
      <w:r w:rsidRPr="00373D87">
        <w:rPr>
          <w:rFonts w:cs="Arial"/>
          <w:szCs w:val="20"/>
          <w:lang w:eastAsia="sl-SI"/>
        </w:rPr>
        <w:lastRenderedPageBreak/>
        <w:t xml:space="preserve">predčasen ali neustrezno načrtovan izstop iz premoga v razmerah negotovih globalnih energetskih tokov, naraščajoče uvozne odvisnosti ter nestabilnih geostrateških razmer lahko povzročil povečana energetska, gospodarska in socialna tveganja. Pri tem izpostavlja, da TEŠ, ki še ni amortiziran, predstavlja pomemben vir električne energije ter omogoča zanesljivo oskrbo, zlasti v obdobjih omejene razpoložljivosti obnovljivih virov. Državni svet zato poudarja pomen spoštovanja </w:t>
      </w:r>
      <w:proofErr w:type="spellStart"/>
      <w:r w:rsidRPr="00373D87">
        <w:rPr>
          <w:rFonts w:cs="Arial"/>
          <w:szCs w:val="20"/>
          <w:lang w:eastAsia="sl-SI"/>
        </w:rPr>
        <w:t>časovnice</w:t>
      </w:r>
      <w:proofErr w:type="spellEnd"/>
      <w:r w:rsidRPr="00373D87">
        <w:rPr>
          <w:rFonts w:cs="Arial"/>
          <w:szCs w:val="20"/>
          <w:lang w:eastAsia="sl-SI"/>
        </w:rPr>
        <w:t xml:space="preserve"> izstopa iz premoga do leta 2033, kot je določena v Nacionalni strategiji za izstop iz premoga in prestrukturiranje premogovnih regij v skladu z načeli pravičnega prehoda, ter ohranjanja operativne in energetske funkcionalnosti TEŠ do takrat.</w:t>
      </w:r>
    </w:p>
    <w:p w:rsidR="006F520B" w:rsidRPr="00373D87" w:rsidRDefault="006F520B" w:rsidP="006F520B">
      <w:pPr>
        <w:jc w:val="both"/>
        <w:rPr>
          <w:rFonts w:cs="Arial"/>
          <w:szCs w:val="20"/>
          <w:lang w:eastAsia="sl-SI"/>
        </w:rPr>
      </w:pPr>
      <w:r w:rsidRPr="00373D87">
        <w:rPr>
          <w:rFonts w:cs="Arial"/>
          <w:szCs w:val="20"/>
          <w:lang w:eastAsia="sl-SI"/>
        </w:rPr>
        <w:t>Državni svet ugotavlja, da je matično delovno telo Državnega zbora s sprejetimi amandmaji koalicijskih poslanskih skupin večinoma sledilo pripombam Zakonodajno</w:t>
      </w:r>
      <w:r w:rsidRPr="00373D87">
        <w:rPr>
          <w:rFonts w:cs="Arial"/>
          <w:szCs w:val="20"/>
          <w:lang w:eastAsia="sl-SI"/>
        </w:rPr>
        <w:noBreakHyphen/>
        <w:t>pravne službe Državnega zbora. Pozitivno ocenjuje, da dopolnjen predlog zakona jasno opredeljuje odgovornost države za nadzor nad zapiralnimi in sanacijskimi deli ter za njihovo financiranje, kar zagotavlja stabilno in izvedljivo podlago za uresničevanje pravičnega prehoda.</w:t>
      </w:r>
    </w:p>
    <w:p w:rsidR="006F520B" w:rsidRPr="00373D87" w:rsidRDefault="006F520B" w:rsidP="006F520B">
      <w:pPr>
        <w:jc w:val="both"/>
        <w:rPr>
          <w:rFonts w:cs="Arial"/>
          <w:b/>
          <w:bCs/>
          <w:szCs w:val="20"/>
          <w:lang w:eastAsia="sl-SI"/>
        </w:rPr>
      </w:pPr>
      <w:r w:rsidRPr="00373D87">
        <w:rPr>
          <w:rFonts w:cs="Arial"/>
          <w:b/>
          <w:bCs/>
          <w:szCs w:val="20"/>
          <w:lang w:eastAsia="sl-SI"/>
        </w:rPr>
        <w:t xml:space="preserve">Vlada Republike Slovenije (v nadaljnjem besedilu: vlada) </w:t>
      </w:r>
      <w:r>
        <w:rPr>
          <w:rFonts w:cs="Arial"/>
          <w:b/>
          <w:bCs/>
          <w:szCs w:val="20"/>
          <w:lang w:eastAsia="sl-SI"/>
        </w:rPr>
        <w:t xml:space="preserve">glede mnenja Državnega sveta </w:t>
      </w:r>
      <w:r w:rsidRPr="00373D87">
        <w:rPr>
          <w:rFonts w:cs="Arial"/>
          <w:b/>
          <w:bCs/>
          <w:szCs w:val="20"/>
          <w:lang w:eastAsia="sl-SI"/>
        </w:rPr>
        <w:t>pojasnjuje naslednje:</w:t>
      </w:r>
    </w:p>
    <w:p w:rsidR="006F520B" w:rsidRPr="00373D87" w:rsidRDefault="006F520B" w:rsidP="006F520B">
      <w:pPr>
        <w:jc w:val="both"/>
        <w:rPr>
          <w:rFonts w:cs="Arial"/>
          <w:szCs w:val="20"/>
          <w:lang w:eastAsia="sl-SI"/>
        </w:rPr>
      </w:pPr>
      <w:r w:rsidRPr="00373D87">
        <w:rPr>
          <w:rFonts w:cs="Arial"/>
          <w:szCs w:val="20"/>
          <w:lang w:eastAsia="sl-SI"/>
        </w:rPr>
        <w:t>Vlada uvodoma ugotavlja, da Državni svet v mnenju k Dopolnjenemu predlogu Zakona o postopnem zapiranju Premogovnika Velenje (ZPZPV) podpira predlagano zakonsko ureditev ter ne predlaga konkretnih amandmajev k Dopolnjenemu predlogu ZPZPV, ki ga podpira vlada.</w:t>
      </w:r>
    </w:p>
    <w:p w:rsidR="006F520B" w:rsidRPr="00373D87" w:rsidRDefault="006F520B" w:rsidP="006F520B">
      <w:pPr>
        <w:jc w:val="both"/>
        <w:rPr>
          <w:rFonts w:cs="Arial"/>
          <w:szCs w:val="20"/>
          <w:lang w:eastAsia="sl-SI"/>
        </w:rPr>
      </w:pPr>
      <w:r w:rsidRPr="00373D87">
        <w:rPr>
          <w:rFonts w:cs="Arial"/>
          <w:szCs w:val="20"/>
          <w:lang w:eastAsia="sl-SI"/>
        </w:rPr>
        <w:t xml:space="preserve">Glede izpostavljenih pobud </w:t>
      </w:r>
      <w:r>
        <w:rPr>
          <w:rFonts w:cs="Arial"/>
          <w:szCs w:val="20"/>
          <w:lang w:eastAsia="sl-SI"/>
        </w:rPr>
        <w:t xml:space="preserve">Državnega sveta v predlogu </w:t>
      </w:r>
      <w:r w:rsidRPr="00373D87">
        <w:rPr>
          <w:rFonts w:cs="Arial"/>
          <w:szCs w:val="20"/>
          <w:lang w:eastAsia="sl-SI"/>
        </w:rPr>
        <w:t>vlada podaja naslednje stališče:</w:t>
      </w:r>
    </w:p>
    <w:p w:rsidR="006F520B" w:rsidRPr="00373D87" w:rsidRDefault="006F520B" w:rsidP="006F520B">
      <w:pPr>
        <w:numPr>
          <w:ilvl w:val="0"/>
          <w:numId w:val="7"/>
        </w:numPr>
        <w:jc w:val="both"/>
        <w:rPr>
          <w:rFonts w:cs="Arial"/>
          <w:szCs w:val="20"/>
          <w:lang w:eastAsia="sl-SI"/>
        </w:rPr>
      </w:pPr>
      <w:r w:rsidRPr="00373D87">
        <w:rPr>
          <w:rFonts w:cs="Arial"/>
          <w:szCs w:val="20"/>
          <w:lang w:eastAsia="sl-SI"/>
        </w:rPr>
        <w:t>V zvezi s pobudo vzpostavitve dvoletne predkupne pravice najemnikov stanovanj v Dopolnjenem predlogu ZPZPV vlada pojasnjuje, da je predkupna pravica pri prodaji nepremičnin (v tem primeru stanovanj) urejena v Stvarnopravnem zakoniku (Uradni list RS, št. 87/02, 91/13 in 23/20, v nadaljnjem besedilu: SPZ). SPZ predkupno pravico dopušča izključno v primeru predkupne pravice solastnikov (66. člen SPZ) ter v primeru predkupne pravice med etažnimi lastniki (124. člen SPZ).</w:t>
      </w:r>
    </w:p>
    <w:p w:rsidR="006F520B" w:rsidRPr="00373D87" w:rsidRDefault="006F520B" w:rsidP="006F520B">
      <w:pPr>
        <w:ind w:left="720"/>
        <w:jc w:val="both"/>
        <w:rPr>
          <w:rFonts w:cs="Arial"/>
          <w:szCs w:val="20"/>
          <w:lang w:eastAsia="sl-SI"/>
        </w:rPr>
      </w:pPr>
      <w:r w:rsidRPr="00373D87">
        <w:rPr>
          <w:rFonts w:cs="Arial"/>
          <w:szCs w:val="20"/>
          <w:lang w:eastAsia="sl-SI"/>
        </w:rPr>
        <w:t xml:space="preserve">Osnovni namen zakonske ureditve odplačnega prenosa stanovanj Premogovnika Velenje na Stanovanjski sklad Republike Slovenije v šestem odstavku 4. člena Dopolnjenega predloga ZPZPV je nadzorovano </w:t>
      </w:r>
      <w:proofErr w:type="spellStart"/>
      <w:r w:rsidRPr="00373D87">
        <w:rPr>
          <w:rFonts w:cs="Arial"/>
          <w:szCs w:val="20"/>
          <w:lang w:eastAsia="sl-SI"/>
        </w:rPr>
        <w:t>dezinvestiranje</w:t>
      </w:r>
      <w:proofErr w:type="spellEnd"/>
      <w:r w:rsidRPr="00373D87">
        <w:rPr>
          <w:rFonts w:cs="Arial"/>
          <w:szCs w:val="20"/>
          <w:lang w:eastAsia="sl-SI"/>
        </w:rPr>
        <w:t>, vključitev stanovanj Premogovnika Velenje v javni najemni fond, ureditev dolgoročnega upravljanja stanovanj v javnem interesu ter zagotavljanje stabilnih in dolgoročnih najemnih razmerij, ki krepijo pravno varnost najemnikov. Vlada zato ocenjuje, da posebna ureditev (začasne) predkupne pravice najemnikov v okviru ZPZPV ne predstavlja ustreznega ali potrebnega ukrepa za dosego ciljev zakona.</w:t>
      </w:r>
    </w:p>
    <w:p w:rsidR="006F520B" w:rsidRPr="00373D87" w:rsidRDefault="006F520B" w:rsidP="006F520B">
      <w:pPr>
        <w:ind w:left="720"/>
        <w:jc w:val="both"/>
        <w:rPr>
          <w:rFonts w:cs="Arial"/>
          <w:szCs w:val="20"/>
          <w:lang w:eastAsia="sl-SI"/>
        </w:rPr>
      </w:pPr>
      <w:r w:rsidRPr="00373D87">
        <w:rPr>
          <w:rFonts w:cs="Arial"/>
          <w:szCs w:val="20"/>
          <w:lang w:eastAsia="sl-SI"/>
        </w:rPr>
        <w:t>V skladu s spremembo Programa evropske kohezijske politike v obdobju 2021–2027 je v letu 2026 predvidenih 5 milijonov evrov kohezijskih sredstev za namen odkupa stanovanj Premogovnika Velenje s strani Stanovanjskega sklada Republike Slovenije. Sredstva je treba porabiti do 30. 9. 2026, v nasprotnem primeru jih Republika Slovenija nepovratno izgubi. Uvedba predkupne pravice najemnikov bi onemogočila pravočasen odkup stanovanj s strani sklada in s tem ogrozila črpanje kohezijskih sredstev. Prav tako bi omogočanje predkupnih pravic po prenosu stanovanj na Stanovanjski sklad R</w:t>
      </w:r>
      <w:r>
        <w:rPr>
          <w:rFonts w:cs="Arial"/>
          <w:szCs w:val="20"/>
          <w:lang w:eastAsia="sl-SI"/>
        </w:rPr>
        <w:t>epublike Slovenije</w:t>
      </w:r>
      <w:r w:rsidRPr="00373D87">
        <w:rPr>
          <w:rFonts w:cs="Arial"/>
          <w:szCs w:val="20"/>
          <w:lang w:eastAsia="sl-SI"/>
        </w:rPr>
        <w:t xml:space="preserve"> sprožilo pričakovanja po enaki obravnavi tudi pri drugih najemnikih in otežilo uresničevanje strateške vloge sklada, ki je usmerjena v krepitev javnega najemnega stanovanjskega fonda, ne pa v odprodajo stanovanj.</w:t>
      </w:r>
    </w:p>
    <w:p w:rsidR="006F520B" w:rsidRPr="001105D7" w:rsidRDefault="006F520B" w:rsidP="006F520B">
      <w:pPr>
        <w:numPr>
          <w:ilvl w:val="0"/>
          <w:numId w:val="8"/>
        </w:numPr>
        <w:ind w:left="714" w:hanging="357"/>
        <w:jc w:val="both"/>
        <w:rPr>
          <w:rFonts w:cs="Arial"/>
          <w:szCs w:val="20"/>
          <w:lang w:eastAsia="sl-SI"/>
        </w:rPr>
      </w:pPr>
      <w:r w:rsidRPr="00373D87">
        <w:rPr>
          <w:rFonts w:cs="Arial"/>
          <w:szCs w:val="20"/>
          <w:lang w:eastAsia="sl-SI"/>
        </w:rPr>
        <w:t xml:space="preserve">V zvezi s predkupnimi pravicami ob prodaji </w:t>
      </w:r>
      <w:proofErr w:type="spellStart"/>
      <w:r w:rsidRPr="00373D87">
        <w:rPr>
          <w:rFonts w:cs="Arial"/>
          <w:szCs w:val="20"/>
          <w:lang w:eastAsia="sl-SI"/>
        </w:rPr>
        <w:t>nestanovanjskih</w:t>
      </w:r>
      <w:proofErr w:type="spellEnd"/>
      <w:r w:rsidRPr="00373D87">
        <w:rPr>
          <w:rFonts w:cs="Arial"/>
          <w:szCs w:val="20"/>
          <w:lang w:eastAsia="sl-SI"/>
        </w:rPr>
        <w:t xml:space="preserve"> nepremičnin vlada pojasnjuje, da je v sedmem odstavku 4. člena Dopolnjenega predloga ZPZPV določeno, da mora biti v postopku prodaje omogočeno uveljavljanje predkupnih pravic v skladu z veljavnimi predpisi. Predlog zakona je osredotočen na postopno zapiranje Premogovnika Velenje in urejanje položaja zaposlenih, zato dodatni posegi v splošni režim razpolaganja z </w:t>
      </w:r>
      <w:proofErr w:type="spellStart"/>
      <w:r w:rsidRPr="00373D87">
        <w:rPr>
          <w:rFonts w:cs="Arial"/>
          <w:szCs w:val="20"/>
          <w:lang w:eastAsia="sl-SI"/>
        </w:rPr>
        <w:t>nestanovanjskimi</w:t>
      </w:r>
      <w:proofErr w:type="spellEnd"/>
      <w:r w:rsidRPr="00373D87">
        <w:rPr>
          <w:rFonts w:cs="Arial"/>
          <w:szCs w:val="20"/>
          <w:lang w:eastAsia="sl-SI"/>
        </w:rPr>
        <w:t xml:space="preserve"> nepremičninami v tem zakonu niso potrebni niti utemeljeni.</w:t>
      </w:r>
    </w:p>
    <w:p w:rsidR="006F520B" w:rsidRPr="00373D87" w:rsidRDefault="006F520B" w:rsidP="006F520B">
      <w:pPr>
        <w:numPr>
          <w:ilvl w:val="0"/>
          <w:numId w:val="8"/>
        </w:numPr>
        <w:jc w:val="both"/>
        <w:rPr>
          <w:rFonts w:cs="Arial"/>
          <w:szCs w:val="20"/>
          <w:lang w:eastAsia="sl-SI"/>
        </w:rPr>
      </w:pPr>
      <w:r w:rsidRPr="00B86395">
        <w:rPr>
          <w:rFonts w:cs="Arial"/>
          <w:szCs w:val="20"/>
          <w:lang w:eastAsia="sl-SI"/>
        </w:rPr>
        <w:t xml:space="preserve">Glede razširitve pravic iz III. poglavja Dopolnjenega predloga ZPZPV na zaposlene v TEŠ vlada pojasnjuje, da veljavni ZPFPPIP v 31. in 32. členu že določa določene pravice za zaposlene v TEŠ. Vlada ocenjuje, da položaj zaposlenih v TEŠ ni neposredno primerljiv </w:t>
      </w:r>
      <w:r w:rsidRPr="00B86395">
        <w:rPr>
          <w:rFonts w:cs="Arial"/>
          <w:szCs w:val="20"/>
          <w:lang w:eastAsia="sl-SI"/>
        </w:rPr>
        <w:lastRenderedPageBreak/>
        <w:t>s položajem zaposlenih v Premogovniku Velenje, zato posebne ureditve iz III. poglavja ZPZPV ni smiselno širiti.</w:t>
      </w:r>
    </w:p>
    <w:p w:rsidR="006F520B" w:rsidRPr="00373D87" w:rsidRDefault="006F520B" w:rsidP="006F520B">
      <w:pPr>
        <w:numPr>
          <w:ilvl w:val="0"/>
          <w:numId w:val="8"/>
        </w:numPr>
        <w:jc w:val="both"/>
        <w:rPr>
          <w:rFonts w:cs="Arial"/>
          <w:szCs w:val="20"/>
          <w:lang w:eastAsia="sl-SI"/>
        </w:rPr>
      </w:pPr>
      <w:r w:rsidRPr="00373D87">
        <w:rPr>
          <w:rFonts w:cs="Arial"/>
          <w:szCs w:val="20"/>
          <w:lang w:eastAsia="sl-SI"/>
        </w:rPr>
        <w:t xml:space="preserve">V zvezi s podaljšanjem veljavnosti ZPFPPIP vlada pojasnjuje, da na Ministrstvu za okolje, podnebje in energijo že potekajo aktivnosti za pripravo podlag za spremembe in podaljšanje veljavnosti navedenega zakona tudi po 30. aprilu 2027. Vsebina morebitne novele ZPFPPIP bo usklajena z ZPZPV, pri čemer bo pomemben tudi datum potrditve sheme državne pomoči s strani Evropske komisije, ki trenutno še ni znan, zato </w:t>
      </w:r>
      <w:proofErr w:type="spellStart"/>
      <w:r w:rsidRPr="00373D87">
        <w:rPr>
          <w:rFonts w:cs="Arial"/>
          <w:szCs w:val="20"/>
          <w:lang w:eastAsia="sl-SI"/>
        </w:rPr>
        <w:t>časovnice</w:t>
      </w:r>
      <w:proofErr w:type="spellEnd"/>
      <w:r w:rsidRPr="00373D87">
        <w:rPr>
          <w:rFonts w:cs="Arial"/>
          <w:szCs w:val="20"/>
          <w:lang w:eastAsia="sl-SI"/>
        </w:rPr>
        <w:t xml:space="preserve"> in vsebine novele še ni mogoče dokončno opredeliti.</w:t>
      </w:r>
    </w:p>
    <w:p w:rsidR="006F520B" w:rsidRPr="00373D87" w:rsidRDefault="006F520B" w:rsidP="006F520B">
      <w:pPr>
        <w:jc w:val="both"/>
        <w:rPr>
          <w:rFonts w:cs="Arial"/>
          <w:szCs w:val="20"/>
          <w:lang w:eastAsia="sl-SI"/>
        </w:rPr>
      </w:pPr>
      <w:r w:rsidRPr="00373D87">
        <w:rPr>
          <w:rFonts w:cs="Arial"/>
          <w:szCs w:val="20"/>
          <w:lang w:eastAsia="sl-SI"/>
        </w:rPr>
        <w:t>Na podlagi vseh prejetih mnenj, pozivov in stališč deležnikov vlada ocenjuje, da ni razlogov za spreminjanje ali dopolnjevanje Dopolnjenega predloga ZPZPV.</w:t>
      </w:r>
    </w:p>
    <w:p w:rsidR="006F520B" w:rsidRPr="00373D87" w:rsidRDefault="006F520B" w:rsidP="006F520B">
      <w:pPr>
        <w:jc w:val="both"/>
        <w:outlineLvl w:val="2"/>
        <w:rPr>
          <w:rFonts w:cs="Arial"/>
          <w:b/>
          <w:bCs/>
          <w:szCs w:val="20"/>
          <w:lang w:eastAsia="sl-SI"/>
        </w:rPr>
      </w:pPr>
      <w:r w:rsidRPr="00373D87">
        <w:rPr>
          <w:rFonts w:cs="Arial"/>
          <w:b/>
          <w:bCs/>
          <w:szCs w:val="20"/>
          <w:lang w:eastAsia="sl-SI"/>
        </w:rPr>
        <w:t>ZAKLJUČEK</w:t>
      </w:r>
    </w:p>
    <w:p w:rsidR="006F520B" w:rsidRPr="00373D87" w:rsidRDefault="006F520B" w:rsidP="006F520B">
      <w:pPr>
        <w:jc w:val="both"/>
        <w:rPr>
          <w:rFonts w:cs="Arial"/>
          <w:szCs w:val="20"/>
          <w:lang w:eastAsia="sl-SI"/>
        </w:rPr>
      </w:pPr>
      <w:r w:rsidRPr="00373D87">
        <w:rPr>
          <w:rFonts w:cs="Arial"/>
          <w:szCs w:val="20"/>
          <w:lang w:eastAsia="sl-SI"/>
        </w:rPr>
        <w:t xml:space="preserve">Vlada meni, da Dopolnjeni predlog Zakona o postopnem zapiranju Premogovnika Velenje ustrezno in celovito ureja specifičen položaj Premogovnika Velenje </w:t>
      </w:r>
      <w:proofErr w:type="spellStart"/>
      <w:r w:rsidRPr="00373D87">
        <w:rPr>
          <w:rFonts w:cs="Arial"/>
          <w:szCs w:val="20"/>
          <w:lang w:eastAsia="sl-SI"/>
        </w:rPr>
        <w:t>d.o.o</w:t>
      </w:r>
      <w:proofErr w:type="spellEnd"/>
      <w:r w:rsidRPr="00373D87">
        <w:rPr>
          <w:rFonts w:cs="Arial"/>
          <w:szCs w:val="20"/>
          <w:lang w:eastAsia="sl-SI"/>
        </w:rPr>
        <w:t>., njegovih odvisnih družb in zaposlenih ter predstavlja sorazmeren in premišljen odziv države na posledice postopnega izstopa iz premoga.</w:t>
      </w:r>
    </w:p>
    <w:p w:rsidR="006F520B" w:rsidRPr="001105D7" w:rsidRDefault="006F520B" w:rsidP="006F520B">
      <w:pPr>
        <w:jc w:val="both"/>
        <w:rPr>
          <w:rFonts w:cs="Arial"/>
          <w:szCs w:val="20"/>
          <w:lang w:eastAsia="sl-SI"/>
        </w:rPr>
      </w:pPr>
      <w:r w:rsidRPr="00373D87">
        <w:rPr>
          <w:rFonts w:cs="Arial"/>
          <w:szCs w:val="20"/>
          <w:lang w:eastAsia="sl-SI"/>
        </w:rPr>
        <w:t>Ker Državni svet k predlogu zakona ni predlagal amandmajev in ker so izpostavljena vprašanja že naslovljena bodisi v predlaganem zakonu bodisi v veljavni ali pripravljajoči se zakonodaji, vlada predlaga, da Državni zbor predlogu zakona izreče podporo.</w:t>
      </w:r>
    </w:p>
    <w:bookmarkEnd w:id="0"/>
    <w:p w:rsidR="00782FD4" w:rsidRPr="00EC13B0" w:rsidRDefault="00782FD4" w:rsidP="006F520B">
      <w:pPr>
        <w:autoSpaceDE w:val="0"/>
        <w:autoSpaceDN w:val="0"/>
        <w:adjustRightInd w:val="0"/>
        <w:jc w:val="both"/>
      </w:pPr>
    </w:p>
    <w:sectPr w:rsidR="00782FD4" w:rsidRPr="00EC13B0" w:rsidSect="005D5957">
      <w:headerReference w:type="even" r:id="rId7"/>
      <w:headerReference w:type="default" r:id="rId8"/>
      <w:footerReference w:type="even" r:id="rId9"/>
      <w:footerReference w:type="default" r:id="rId10"/>
      <w:headerReference w:type="first" r:id="rId11"/>
      <w:footerReference w:type="first" r:id="rId12"/>
      <w:pgSz w:w="11906" w:h="16838"/>
      <w:pgMar w:top="1701" w:right="1701" w:bottom="1134" w:left="1701" w:header="964" w:footer="794"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F26286" w:rsidRDefault="00F26286" w:rsidP="00767987">
      <w:pPr>
        <w:spacing w:line="240" w:lineRule="auto"/>
      </w:pPr>
      <w:r>
        <w:separator/>
      </w:r>
    </w:p>
  </w:endnote>
  <w:endnote w:type="continuationSeparator" w:id="0">
    <w:p w:rsidR="00F26286" w:rsidRDefault="00F26286" w:rsidP="00767987">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EE"/>
    <w:family w:val="swiss"/>
    <w:pitch w:val="variable"/>
    <w:sig w:usb0="E0002EFF" w:usb1="C000785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D159D" w:rsidRDefault="00CD159D">
    <w:pPr>
      <w:pStyle w:val="Nog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D159D" w:rsidRDefault="00CD159D">
    <w:pPr>
      <w:pStyle w:val="Nog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D159D" w:rsidRDefault="00CD159D">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F26286" w:rsidRDefault="00F26286" w:rsidP="00767987">
      <w:pPr>
        <w:spacing w:line="240" w:lineRule="auto"/>
      </w:pPr>
      <w:r>
        <w:separator/>
      </w:r>
    </w:p>
  </w:footnote>
  <w:footnote w:type="continuationSeparator" w:id="0">
    <w:p w:rsidR="00F26286" w:rsidRDefault="00F26286" w:rsidP="00767987">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D159D" w:rsidRDefault="00CD159D">
    <w:pPr>
      <w:pStyle w:val="Glav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D159D" w:rsidRDefault="00CD159D">
    <w:pPr>
      <w:pStyle w:val="Glava"/>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D5957" w:rsidRPr="00A9231D" w:rsidRDefault="005D5957" w:rsidP="005D5957">
    <w:pPr>
      <w:pStyle w:val="Glava"/>
      <w:tabs>
        <w:tab w:val="clear" w:pos="4536"/>
        <w:tab w:val="clear" w:pos="9072"/>
        <w:tab w:val="left" w:pos="5112"/>
        <w:tab w:val="left" w:pos="8641"/>
      </w:tabs>
      <w:spacing w:before="340" w:line="240" w:lineRule="exact"/>
      <w:ind w:left="-765"/>
      <w:rPr>
        <w:rFonts w:cs="Arial"/>
        <w:sz w:val="16"/>
      </w:rPr>
    </w:pPr>
    <w:r w:rsidRPr="00CE234E">
      <w:rPr>
        <w:noProof/>
        <w:lang w:eastAsia="sl-SI"/>
      </w:rPr>
      <w:drawing>
        <wp:inline distT="0" distB="0" distL="0" distR="0" wp14:anchorId="7ACAF12D" wp14:editId="5693384B">
          <wp:extent cx="2165350" cy="325120"/>
          <wp:effectExtent l="0" t="0" r="6350" b="0"/>
          <wp:docPr id="1" name="Slika 1" descr="Republika Slovenija&#10;Vlada Republike Sloveni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165350" cy="325120"/>
                  </a:xfrm>
                  <a:prstGeom prst="rect">
                    <a:avLst/>
                  </a:prstGeom>
                  <a:noFill/>
                  <a:ln>
                    <a:noFill/>
                  </a:ln>
                </pic:spPr>
              </pic:pic>
            </a:graphicData>
          </a:graphic>
        </wp:inline>
      </w:drawing>
    </w:r>
  </w:p>
  <w:p w:rsidR="005D5957" w:rsidRPr="00A9231D" w:rsidRDefault="005D5957" w:rsidP="005D5957">
    <w:pPr>
      <w:pStyle w:val="Glava"/>
      <w:tabs>
        <w:tab w:val="clear" w:pos="4536"/>
        <w:tab w:val="clear" w:pos="9072"/>
        <w:tab w:val="left" w:pos="5114"/>
        <w:tab w:val="left" w:pos="8641"/>
      </w:tabs>
      <w:spacing w:before="120" w:line="240" w:lineRule="exact"/>
      <w:rPr>
        <w:rFonts w:cs="Arial"/>
        <w:sz w:val="16"/>
      </w:rPr>
    </w:pPr>
    <w:r w:rsidRPr="00A9231D">
      <w:rPr>
        <w:rFonts w:cs="Arial"/>
        <w:sz w:val="16"/>
      </w:rPr>
      <w:t xml:space="preserve">Gregorčičeva </w:t>
    </w:r>
    <w:r>
      <w:rPr>
        <w:rFonts w:cs="Arial"/>
        <w:sz w:val="16"/>
      </w:rPr>
      <w:t xml:space="preserve">ulica </w:t>
    </w:r>
    <w:r w:rsidRPr="00A9231D">
      <w:rPr>
        <w:rFonts w:cs="Arial"/>
        <w:sz w:val="16"/>
      </w:rPr>
      <w:t>20–25, 100</w:t>
    </w:r>
    <w:r>
      <w:rPr>
        <w:rFonts w:cs="Arial"/>
        <w:sz w:val="16"/>
      </w:rPr>
      <w:t>0</w:t>
    </w:r>
    <w:r w:rsidRPr="00A9231D">
      <w:rPr>
        <w:rFonts w:cs="Arial"/>
        <w:sz w:val="16"/>
      </w:rPr>
      <w:t xml:space="preserve"> Ljubljana</w:t>
    </w:r>
    <w:r w:rsidRPr="00A9231D">
      <w:rPr>
        <w:rFonts w:cs="Arial"/>
        <w:sz w:val="16"/>
      </w:rPr>
      <w:tab/>
      <w:t>T: +386 1 478 1000</w:t>
    </w:r>
  </w:p>
  <w:p w:rsidR="005D5957" w:rsidRPr="00A9231D" w:rsidRDefault="005D5957" w:rsidP="005D5957">
    <w:pPr>
      <w:pStyle w:val="Glava"/>
      <w:tabs>
        <w:tab w:val="clear" w:pos="4536"/>
        <w:tab w:val="clear" w:pos="9072"/>
        <w:tab w:val="left" w:pos="5114"/>
        <w:tab w:val="left" w:pos="8641"/>
      </w:tabs>
      <w:spacing w:line="240" w:lineRule="exact"/>
      <w:rPr>
        <w:rFonts w:cs="Arial"/>
        <w:sz w:val="16"/>
      </w:rPr>
    </w:pPr>
    <w:r w:rsidRPr="00A9231D">
      <w:rPr>
        <w:rFonts w:cs="Arial"/>
        <w:sz w:val="16"/>
      </w:rPr>
      <w:tab/>
      <w:t>F: +386 1 478 1607</w:t>
    </w:r>
  </w:p>
  <w:p w:rsidR="005D5957" w:rsidRPr="00A9231D" w:rsidRDefault="005D5957" w:rsidP="005D5957">
    <w:pPr>
      <w:pStyle w:val="Glava"/>
      <w:tabs>
        <w:tab w:val="clear" w:pos="4536"/>
        <w:tab w:val="clear" w:pos="9072"/>
        <w:tab w:val="left" w:pos="5114"/>
        <w:tab w:val="left" w:pos="8641"/>
      </w:tabs>
      <w:spacing w:line="240" w:lineRule="exact"/>
      <w:rPr>
        <w:rFonts w:cs="Arial"/>
        <w:sz w:val="16"/>
      </w:rPr>
    </w:pPr>
    <w:r w:rsidRPr="00A9231D">
      <w:rPr>
        <w:rFonts w:cs="Arial"/>
        <w:sz w:val="16"/>
      </w:rPr>
      <w:tab/>
      <w:t>E: gp.gs@gov.si</w:t>
    </w:r>
  </w:p>
  <w:p w:rsidR="005D5957" w:rsidRPr="00A9231D" w:rsidRDefault="005D5957" w:rsidP="005D5957">
    <w:pPr>
      <w:pStyle w:val="Glava"/>
      <w:tabs>
        <w:tab w:val="clear" w:pos="4536"/>
        <w:tab w:val="clear" w:pos="9072"/>
        <w:tab w:val="left" w:pos="5114"/>
        <w:tab w:val="left" w:pos="8641"/>
      </w:tabs>
      <w:spacing w:line="240" w:lineRule="exact"/>
      <w:rPr>
        <w:rFonts w:cs="Arial"/>
        <w:sz w:val="16"/>
      </w:rPr>
    </w:pPr>
    <w:r w:rsidRPr="00A9231D">
      <w:rPr>
        <w:rFonts w:cs="Arial"/>
        <w:sz w:val="16"/>
      </w:rPr>
      <w:tab/>
      <w:t>http://www.vlada.si/</w:t>
    </w:r>
  </w:p>
  <w:p w:rsidR="006C69EC" w:rsidRDefault="006C69EC">
    <w:pPr>
      <w:pStyle w:val="Glav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5105752"/>
    <w:multiLevelType w:val="hybridMultilevel"/>
    <w:tmpl w:val="6008B0F2"/>
    <w:lvl w:ilvl="0" w:tplc="5684846C">
      <w:start w:val="1"/>
      <w:numFmt w:val="bullet"/>
      <w:lvlText w:val="–"/>
      <w:lvlJc w:val="left"/>
      <w:pPr>
        <w:ind w:left="980" w:hanging="360"/>
      </w:pPr>
      <w:rPr>
        <w:rFonts w:ascii="Arial" w:hAnsi="Arial" w:cs="Times New Roman" w:hint="default"/>
      </w:rPr>
    </w:lvl>
    <w:lvl w:ilvl="1" w:tplc="04090003">
      <w:start w:val="1"/>
      <w:numFmt w:val="bullet"/>
      <w:lvlText w:val="o"/>
      <w:lvlJc w:val="left"/>
      <w:pPr>
        <w:ind w:left="1700" w:hanging="360"/>
      </w:pPr>
      <w:rPr>
        <w:rFonts w:ascii="Courier New" w:hAnsi="Courier New" w:cs="Courier New" w:hint="default"/>
      </w:rPr>
    </w:lvl>
    <w:lvl w:ilvl="2" w:tplc="04090005">
      <w:start w:val="1"/>
      <w:numFmt w:val="bullet"/>
      <w:lvlText w:val=""/>
      <w:lvlJc w:val="left"/>
      <w:pPr>
        <w:ind w:left="2420" w:hanging="360"/>
      </w:pPr>
      <w:rPr>
        <w:rFonts w:ascii="Wingdings" w:hAnsi="Wingdings" w:hint="default"/>
      </w:rPr>
    </w:lvl>
    <w:lvl w:ilvl="3" w:tplc="04090001">
      <w:start w:val="1"/>
      <w:numFmt w:val="bullet"/>
      <w:lvlText w:val=""/>
      <w:lvlJc w:val="left"/>
      <w:pPr>
        <w:ind w:left="3140" w:hanging="360"/>
      </w:pPr>
      <w:rPr>
        <w:rFonts w:ascii="Symbol" w:hAnsi="Symbol" w:hint="default"/>
      </w:rPr>
    </w:lvl>
    <w:lvl w:ilvl="4" w:tplc="04090003">
      <w:start w:val="1"/>
      <w:numFmt w:val="bullet"/>
      <w:lvlText w:val="o"/>
      <w:lvlJc w:val="left"/>
      <w:pPr>
        <w:ind w:left="3860" w:hanging="360"/>
      </w:pPr>
      <w:rPr>
        <w:rFonts w:ascii="Courier New" w:hAnsi="Courier New" w:cs="Courier New" w:hint="default"/>
      </w:rPr>
    </w:lvl>
    <w:lvl w:ilvl="5" w:tplc="04090005">
      <w:start w:val="1"/>
      <w:numFmt w:val="bullet"/>
      <w:lvlText w:val=""/>
      <w:lvlJc w:val="left"/>
      <w:pPr>
        <w:ind w:left="4580" w:hanging="360"/>
      </w:pPr>
      <w:rPr>
        <w:rFonts w:ascii="Wingdings" w:hAnsi="Wingdings" w:hint="default"/>
      </w:rPr>
    </w:lvl>
    <w:lvl w:ilvl="6" w:tplc="04090001">
      <w:start w:val="1"/>
      <w:numFmt w:val="bullet"/>
      <w:lvlText w:val=""/>
      <w:lvlJc w:val="left"/>
      <w:pPr>
        <w:ind w:left="5300" w:hanging="360"/>
      </w:pPr>
      <w:rPr>
        <w:rFonts w:ascii="Symbol" w:hAnsi="Symbol" w:hint="default"/>
      </w:rPr>
    </w:lvl>
    <w:lvl w:ilvl="7" w:tplc="04090003">
      <w:start w:val="1"/>
      <w:numFmt w:val="bullet"/>
      <w:lvlText w:val="o"/>
      <w:lvlJc w:val="left"/>
      <w:pPr>
        <w:ind w:left="6020" w:hanging="360"/>
      </w:pPr>
      <w:rPr>
        <w:rFonts w:ascii="Courier New" w:hAnsi="Courier New" w:cs="Courier New" w:hint="default"/>
      </w:rPr>
    </w:lvl>
    <w:lvl w:ilvl="8" w:tplc="04090005">
      <w:start w:val="1"/>
      <w:numFmt w:val="bullet"/>
      <w:lvlText w:val=""/>
      <w:lvlJc w:val="left"/>
      <w:pPr>
        <w:ind w:left="6740" w:hanging="360"/>
      </w:pPr>
      <w:rPr>
        <w:rFonts w:ascii="Wingdings" w:hAnsi="Wingdings" w:hint="default"/>
      </w:rPr>
    </w:lvl>
  </w:abstractNum>
  <w:abstractNum w:abstractNumId="1" w15:restartNumberingAfterBreak="0">
    <w:nsid w:val="3ECB336A"/>
    <w:multiLevelType w:val="multilevel"/>
    <w:tmpl w:val="45FC3EB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46DD5399"/>
    <w:multiLevelType w:val="multilevel"/>
    <w:tmpl w:val="A64A056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4C080309"/>
    <w:multiLevelType w:val="hybridMultilevel"/>
    <w:tmpl w:val="596E5182"/>
    <w:lvl w:ilvl="0" w:tplc="795AEBD6">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 w15:restartNumberingAfterBreak="0">
    <w:nsid w:val="5583524C"/>
    <w:multiLevelType w:val="hybridMultilevel"/>
    <w:tmpl w:val="D07CA032"/>
    <w:lvl w:ilvl="0" w:tplc="5684846C">
      <w:start w:val="1"/>
      <w:numFmt w:val="bullet"/>
      <w:lvlText w:val="–"/>
      <w:lvlJc w:val="left"/>
      <w:pPr>
        <w:ind w:left="720" w:hanging="360"/>
      </w:pPr>
      <w:rPr>
        <w:rFonts w:ascii="Arial" w:hAnsi="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6E451286"/>
    <w:multiLevelType w:val="hybridMultilevel"/>
    <w:tmpl w:val="88B88C78"/>
    <w:lvl w:ilvl="0" w:tplc="5684846C">
      <w:start w:val="1"/>
      <w:numFmt w:val="bullet"/>
      <w:lvlText w:val="–"/>
      <w:lvlJc w:val="left"/>
      <w:pPr>
        <w:ind w:left="697" w:hanging="360"/>
      </w:pPr>
      <w:rPr>
        <w:rFonts w:ascii="Arial" w:hAnsi="Arial" w:hint="default"/>
      </w:rPr>
    </w:lvl>
    <w:lvl w:ilvl="1" w:tplc="4A728A6C">
      <w:numFmt w:val="bullet"/>
      <w:lvlText w:val="-"/>
      <w:lvlJc w:val="left"/>
      <w:pPr>
        <w:ind w:left="1417" w:hanging="360"/>
      </w:pPr>
      <w:rPr>
        <w:rFonts w:ascii="Arial" w:eastAsia="Calibri" w:hAnsi="Arial" w:cs="Arial" w:hint="default"/>
      </w:rPr>
    </w:lvl>
    <w:lvl w:ilvl="2" w:tplc="04090005" w:tentative="1">
      <w:start w:val="1"/>
      <w:numFmt w:val="bullet"/>
      <w:lvlText w:val=""/>
      <w:lvlJc w:val="left"/>
      <w:pPr>
        <w:ind w:left="2137" w:hanging="360"/>
      </w:pPr>
      <w:rPr>
        <w:rFonts w:ascii="Wingdings" w:hAnsi="Wingdings" w:hint="default"/>
      </w:rPr>
    </w:lvl>
    <w:lvl w:ilvl="3" w:tplc="04090001" w:tentative="1">
      <w:start w:val="1"/>
      <w:numFmt w:val="bullet"/>
      <w:lvlText w:val=""/>
      <w:lvlJc w:val="left"/>
      <w:pPr>
        <w:ind w:left="2857" w:hanging="360"/>
      </w:pPr>
      <w:rPr>
        <w:rFonts w:ascii="Symbol" w:hAnsi="Symbol" w:hint="default"/>
      </w:rPr>
    </w:lvl>
    <w:lvl w:ilvl="4" w:tplc="04090003" w:tentative="1">
      <w:start w:val="1"/>
      <w:numFmt w:val="bullet"/>
      <w:lvlText w:val="o"/>
      <w:lvlJc w:val="left"/>
      <w:pPr>
        <w:ind w:left="3577" w:hanging="360"/>
      </w:pPr>
      <w:rPr>
        <w:rFonts w:ascii="Courier New" w:hAnsi="Courier New" w:cs="Courier New" w:hint="default"/>
      </w:rPr>
    </w:lvl>
    <w:lvl w:ilvl="5" w:tplc="04090005" w:tentative="1">
      <w:start w:val="1"/>
      <w:numFmt w:val="bullet"/>
      <w:lvlText w:val=""/>
      <w:lvlJc w:val="left"/>
      <w:pPr>
        <w:ind w:left="4297" w:hanging="360"/>
      </w:pPr>
      <w:rPr>
        <w:rFonts w:ascii="Wingdings" w:hAnsi="Wingdings" w:hint="default"/>
      </w:rPr>
    </w:lvl>
    <w:lvl w:ilvl="6" w:tplc="04090001" w:tentative="1">
      <w:start w:val="1"/>
      <w:numFmt w:val="bullet"/>
      <w:lvlText w:val=""/>
      <w:lvlJc w:val="left"/>
      <w:pPr>
        <w:ind w:left="5017" w:hanging="360"/>
      </w:pPr>
      <w:rPr>
        <w:rFonts w:ascii="Symbol" w:hAnsi="Symbol" w:hint="default"/>
      </w:rPr>
    </w:lvl>
    <w:lvl w:ilvl="7" w:tplc="04090003" w:tentative="1">
      <w:start w:val="1"/>
      <w:numFmt w:val="bullet"/>
      <w:lvlText w:val="o"/>
      <w:lvlJc w:val="left"/>
      <w:pPr>
        <w:ind w:left="5737" w:hanging="360"/>
      </w:pPr>
      <w:rPr>
        <w:rFonts w:ascii="Courier New" w:hAnsi="Courier New" w:cs="Courier New" w:hint="default"/>
      </w:rPr>
    </w:lvl>
    <w:lvl w:ilvl="8" w:tplc="04090005" w:tentative="1">
      <w:start w:val="1"/>
      <w:numFmt w:val="bullet"/>
      <w:lvlText w:val=""/>
      <w:lvlJc w:val="left"/>
      <w:pPr>
        <w:ind w:left="6457" w:hanging="360"/>
      </w:pPr>
      <w:rPr>
        <w:rFonts w:ascii="Wingdings" w:hAnsi="Wingdings" w:hint="default"/>
      </w:rPr>
    </w:lvl>
  </w:abstractNum>
  <w:abstractNum w:abstractNumId="6" w15:restartNumberingAfterBreak="0">
    <w:nsid w:val="7E8F04CB"/>
    <w:multiLevelType w:val="multilevel"/>
    <w:tmpl w:val="26CCD57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5"/>
  </w:num>
  <w:num w:numId="2">
    <w:abstractNumId w:val="3"/>
  </w:num>
  <w:num w:numId="3">
    <w:abstractNumId w:val="4"/>
  </w:num>
  <w:num w:numId="4">
    <w:abstractNumId w:val="0"/>
  </w:num>
  <w:num w:numId="5">
    <w:abstractNumId w:val="5"/>
  </w:num>
  <w:num w:numId="6">
    <w:abstractNumId w:val="1"/>
  </w:num>
  <w:num w:numId="7">
    <w:abstractNumId w:val="2"/>
  </w:num>
  <w:num w:numId="8">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9"/>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E1BCE"/>
    <w:rsid w:val="00097B9F"/>
    <w:rsid w:val="000B3FE6"/>
    <w:rsid w:val="000E21B2"/>
    <w:rsid w:val="001643DA"/>
    <w:rsid w:val="001A2469"/>
    <w:rsid w:val="00204177"/>
    <w:rsid w:val="00344DE8"/>
    <w:rsid w:val="00366636"/>
    <w:rsid w:val="00367DE6"/>
    <w:rsid w:val="00386F13"/>
    <w:rsid w:val="003B3E19"/>
    <w:rsid w:val="004076C6"/>
    <w:rsid w:val="004A6867"/>
    <w:rsid w:val="004B7F76"/>
    <w:rsid w:val="004E1BCE"/>
    <w:rsid w:val="0056541B"/>
    <w:rsid w:val="00592079"/>
    <w:rsid w:val="005B2E5E"/>
    <w:rsid w:val="005D5957"/>
    <w:rsid w:val="00670CE0"/>
    <w:rsid w:val="00676475"/>
    <w:rsid w:val="00682FFE"/>
    <w:rsid w:val="006C69EC"/>
    <w:rsid w:val="006F520B"/>
    <w:rsid w:val="007039D0"/>
    <w:rsid w:val="00710C90"/>
    <w:rsid w:val="00767987"/>
    <w:rsid w:val="00782FD4"/>
    <w:rsid w:val="007C47BB"/>
    <w:rsid w:val="00811140"/>
    <w:rsid w:val="00896FBD"/>
    <w:rsid w:val="008A3F94"/>
    <w:rsid w:val="00904A48"/>
    <w:rsid w:val="00940CA7"/>
    <w:rsid w:val="009510F6"/>
    <w:rsid w:val="00980294"/>
    <w:rsid w:val="009C5392"/>
    <w:rsid w:val="00A50E4B"/>
    <w:rsid w:val="00A513EA"/>
    <w:rsid w:val="00A9231D"/>
    <w:rsid w:val="00B40287"/>
    <w:rsid w:val="00C0216A"/>
    <w:rsid w:val="00CD159D"/>
    <w:rsid w:val="00CD6077"/>
    <w:rsid w:val="00CE234E"/>
    <w:rsid w:val="00D02973"/>
    <w:rsid w:val="00DA09BE"/>
    <w:rsid w:val="00E278C9"/>
    <w:rsid w:val="00E30579"/>
    <w:rsid w:val="00EC13B0"/>
    <w:rsid w:val="00F26286"/>
    <w:rsid w:val="00FB00DD"/>
    <w:rsid w:val="00FE1680"/>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5:chartTrackingRefBased/>
  <w15:docId w15:val="{A289029D-D534-4CF9-8555-38669BE2FF0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8A3F94"/>
    <w:pPr>
      <w:spacing w:after="0" w:line="260" w:lineRule="exact"/>
    </w:pPr>
    <w:rPr>
      <w:rFonts w:ascii="Arial" w:eastAsia="Times New Roman" w:hAnsi="Arial" w:cs="Times New Roman"/>
      <w:sz w:val="20"/>
      <w:szCs w:val="24"/>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datumtevilka">
    <w:name w:val="datum številka"/>
    <w:basedOn w:val="Navaden"/>
    <w:qFormat/>
    <w:rsid w:val="00767987"/>
    <w:pPr>
      <w:tabs>
        <w:tab w:val="left" w:pos="1701"/>
      </w:tabs>
    </w:pPr>
    <w:rPr>
      <w:szCs w:val="20"/>
      <w:lang w:eastAsia="sl-SI"/>
    </w:rPr>
  </w:style>
  <w:style w:type="paragraph" w:styleId="Glava">
    <w:name w:val="header"/>
    <w:basedOn w:val="Navaden"/>
    <w:link w:val="GlavaZnak"/>
    <w:unhideWhenUsed/>
    <w:rsid w:val="00767987"/>
    <w:pPr>
      <w:tabs>
        <w:tab w:val="center" w:pos="4536"/>
        <w:tab w:val="right" w:pos="9072"/>
      </w:tabs>
      <w:spacing w:line="240" w:lineRule="auto"/>
    </w:pPr>
  </w:style>
  <w:style w:type="character" w:customStyle="1" w:styleId="GlavaZnak">
    <w:name w:val="Glava Znak"/>
    <w:basedOn w:val="Privzetapisavaodstavka"/>
    <w:link w:val="Glava"/>
    <w:rsid w:val="00767987"/>
  </w:style>
  <w:style w:type="paragraph" w:styleId="Noga">
    <w:name w:val="footer"/>
    <w:basedOn w:val="Navaden"/>
    <w:link w:val="NogaZnak"/>
    <w:uiPriority w:val="99"/>
    <w:unhideWhenUsed/>
    <w:rsid w:val="00767987"/>
    <w:pPr>
      <w:tabs>
        <w:tab w:val="center" w:pos="4536"/>
        <w:tab w:val="right" w:pos="9072"/>
      </w:tabs>
      <w:spacing w:line="240" w:lineRule="auto"/>
    </w:pPr>
  </w:style>
  <w:style w:type="character" w:customStyle="1" w:styleId="NogaZnak">
    <w:name w:val="Noga Znak"/>
    <w:basedOn w:val="Privzetapisavaodstavka"/>
    <w:link w:val="Noga"/>
    <w:uiPriority w:val="99"/>
    <w:rsid w:val="00767987"/>
  </w:style>
  <w:style w:type="paragraph" w:styleId="Odstavekseznama">
    <w:name w:val="List Paragraph"/>
    <w:basedOn w:val="Navaden"/>
    <w:uiPriority w:val="34"/>
    <w:qFormat/>
    <w:rsid w:val="00E30579"/>
    <w:pPr>
      <w:ind w:left="720"/>
      <w:contextualSpacing/>
    </w:pPr>
  </w:style>
  <w:style w:type="paragraph" w:customStyle="1" w:styleId="ZADEVA">
    <w:name w:val="ZADEVA"/>
    <w:basedOn w:val="Navaden"/>
    <w:qFormat/>
    <w:rsid w:val="008A3F94"/>
    <w:pPr>
      <w:tabs>
        <w:tab w:val="left" w:pos="1701"/>
      </w:tabs>
      <w:ind w:left="1701" w:hanging="1701"/>
    </w:pPr>
    <w:rPr>
      <w:b/>
      <w:lang w:val="it-IT"/>
    </w:rPr>
  </w:style>
  <w:style w:type="paragraph" w:customStyle="1" w:styleId="podpisi">
    <w:name w:val="podpisi"/>
    <w:basedOn w:val="Navaden"/>
    <w:qFormat/>
    <w:rsid w:val="008A3F94"/>
    <w:pPr>
      <w:tabs>
        <w:tab w:val="left" w:pos="3402"/>
      </w:tabs>
    </w:pPr>
    <w:rPr>
      <w:lang w:val="it-IT"/>
    </w:rPr>
  </w:style>
  <w:style w:type="character" w:styleId="Hiperpovezava">
    <w:name w:val="Hyperlink"/>
    <w:basedOn w:val="Privzetapisavaodstavka"/>
    <w:uiPriority w:val="99"/>
    <w:semiHidden/>
    <w:unhideWhenUsed/>
    <w:rsid w:val="005D5957"/>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27066083">
      <w:bodyDiv w:val="1"/>
      <w:marLeft w:val="0"/>
      <w:marRight w:val="0"/>
      <w:marTop w:val="0"/>
      <w:marBottom w:val="0"/>
      <w:divBdr>
        <w:top w:val="none" w:sz="0" w:space="0" w:color="auto"/>
        <w:left w:val="none" w:sz="0" w:space="0" w:color="auto"/>
        <w:bottom w:val="none" w:sz="0" w:space="0" w:color="auto"/>
        <w:right w:val="none" w:sz="0" w:space="0" w:color="auto"/>
      </w:divBdr>
    </w:div>
    <w:div w:id="13743063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_rels/header3.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4</Pages>
  <Words>2022</Words>
  <Characters>11527</Characters>
  <Application>Microsoft Office Word</Application>
  <DocSecurity>0</DocSecurity>
  <Lines>96</Lines>
  <Paragraphs>27</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13522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VRS</dc:creator>
  <cp:keywords/>
  <dc:description/>
  <cp:lastModifiedBy>Katja Pucihar</cp:lastModifiedBy>
  <cp:revision>2</cp:revision>
  <dcterms:created xsi:type="dcterms:W3CDTF">2026-01-27T07:38:00Z</dcterms:created>
  <dcterms:modified xsi:type="dcterms:W3CDTF">2026-01-27T07:38:00Z</dcterms:modified>
</cp:coreProperties>
</file>