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8CC6B1" w14:textId="77777777" w:rsidR="00E6348F" w:rsidRDefault="00E6348F" w:rsidP="009F54B1">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bookmarkStart w:id="0" w:name="_GoBack"/>
      <w:bookmarkEnd w:id="0"/>
    </w:p>
    <w:p w14:paraId="1B278B62" w14:textId="77777777" w:rsidR="00A73184" w:rsidRPr="00A9231D" w:rsidRDefault="00A73184" w:rsidP="00A73184">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2A3CCD1D" wp14:editId="7995AB4C">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71AED77" w14:textId="7DD973AC" w:rsidR="00A73184" w:rsidRPr="00A9231D" w:rsidRDefault="00A73184" w:rsidP="00A73184">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3F14D748" w14:textId="1A379170" w:rsidR="00A73184" w:rsidRPr="00A9231D" w:rsidRDefault="00A73184" w:rsidP="00A7318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1D93B1F6" w14:textId="60D32437" w:rsidR="00A73184" w:rsidRPr="00A9231D" w:rsidRDefault="00A73184" w:rsidP="00A7318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461EE4D0" w14:textId="1F214A78" w:rsidR="00A73184" w:rsidRPr="00A9231D" w:rsidRDefault="00A73184" w:rsidP="00A7318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5FC9359E" w14:textId="77777777" w:rsidR="00E6348F" w:rsidRDefault="00E6348F" w:rsidP="009F54B1">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p>
    <w:p w14:paraId="2F1EE23B" w14:textId="77777777" w:rsidR="00E6348F" w:rsidRDefault="00E6348F" w:rsidP="009F54B1">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p>
    <w:p w14:paraId="2B640A95" w14:textId="451AC5B1" w:rsidR="009F54B1" w:rsidRDefault="009F54B1" w:rsidP="009F54B1">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r w:rsidRPr="00620790">
        <w:rPr>
          <w:rFonts w:eastAsia="Times New Roman" w:cs="Arial"/>
          <w:b/>
          <w:szCs w:val="20"/>
          <w:lang w:eastAsia="sl-SI"/>
        </w:rPr>
        <w:t>PREDLOG</w:t>
      </w:r>
    </w:p>
    <w:p w14:paraId="238F74A3" w14:textId="517A4716" w:rsidR="003F3DFB" w:rsidRPr="00620790" w:rsidRDefault="003F3DFB" w:rsidP="009F54B1">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r>
        <w:rPr>
          <w:rFonts w:eastAsia="Times New Roman" w:cs="Arial"/>
          <w:b/>
          <w:szCs w:val="20"/>
          <w:lang w:eastAsia="sl-SI"/>
        </w:rPr>
        <w:t>NUJNI POSTOPEK</w:t>
      </w:r>
    </w:p>
    <w:p w14:paraId="37F6D19E" w14:textId="7CFA25F7" w:rsidR="009F54B1" w:rsidRPr="00620790" w:rsidRDefault="00784351" w:rsidP="009F54B1">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r w:rsidRPr="000A4748">
        <w:rPr>
          <w:rFonts w:eastAsia="Times New Roman" w:cs="Arial"/>
          <w:b/>
          <w:szCs w:val="20"/>
          <w:lang w:eastAsia="sl-SI"/>
        </w:rPr>
        <w:t>EVA 202</w:t>
      </w:r>
      <w:r w:rsidR="00467F12">
        <w:rPr>
          <w:rFonts w:eastAsia="Times New Roman" w:cs="Arial"/>
          <w:b/>
          <w:szCs w:val="20"/>
          <w:lang w:eastAsia="sl-SI"/>
        </w:rPr>
        <w:t>5</w:t>
      </w:r>
      <w:r w:rsidRPr="000A4748">
        <w:rPr>
          <w:rFonts w:eastAsia="Times New Roman" w:cs="Arial"/>
          <w:b/>
          <w:szCs w:val="20"/>
          <w:lang w:eastAsia="sl-SI"/>
        </w:rPr>
        <w:t>-2570-00</w:t>
      </w:r>
      <w:r w:rsidR="00467F12">
        <w:rPr>
          <w:rFonts w:eastAsia="Times New Roman" w:cs="Arial"/>
          <w:b/>
          <w:szCs w:val="20"/>
          <w:lang w:eastAsia="sl-SI"/>
        </w:rPr>
        <w:t>61</w:t>
      </w:r>
    </w:p>
    <w:p w14:paraId="12D46BEC" w14:textId="77777777" w:rsidR="009F54B1" w:rsidRPr="00784351" w:rsidRDefault="009F54B1" w:rsidP="009F54B1">
      <w:pPr>
        <w:suppressAutoHyphens/>
        <w:overflowPunct w:val="0"/>
        <w:autoSpaceDE w:val="0"/>
        <w:autoSpaceDN w:val="0"/>
        <w:adjustRightInd w:val="0"/>
        <w:spacing w:after="0" w:line="260" w:lineRule="exact"/>
        <w:jc w:val="right"/>
        <w:textAlignment w:val="baseline"/>
        <w:rPr>
          <w:rFonts w:eastAsia="Times New Roman" w:cs="Arial"/>
          <w:b/>
          <w:szCs w:val="20"/>
          <w:highlight w:val="yellow"/>
          <w:lang w:eastAsia="sl-SI"/>
        </w:rPr>
      </w:pPr>
    </w:p>
    <w:p w14:paraId="4E703B1B" w14:textId="11CC173F" w:rsidR="00784351" w:rsidRPr="000A4748" w:rsidRDefault="00784351" w:rsidP="009F54B1">
      <w:pPr>
        <w:suppressAutoHyphens/>
        <w:overflowPunct w:val="0"/>
        <w:autoSpaceDE w:val="0"/>
        <w:autoSpaceDN w:val="0"/>
        <w:adjustRightInd w:val="0"/>
        <w:spacing w:after="0" w:line="260" w:lineRule="exact"/>
        <w:jc w:val="center"/>
        <w:textAlignment w:val="baseline"/>
        <w:rPr>
          <w:rFonts w:eastAsia="Times New Roman" w:cs="Arial"/>
          <w:b/>
          <w:szCs w:val="20"/>
          <w:lang w:eastAsia="sl-SI"/>
        </w:rPr>
      </w:pPr>
      <w:r w:rsidRPr="000A4748">
        <w:rPr>
          <w:rFonts w:eastAsia="Times New Roman" w:cs="Arial"/>
          <w:b/>
          <w:szCs w:val="20"/>
          <w:lang w:eastAsia="sl-SI"/>
        </w:rPr>
        <w:t>Z</w:t>
      </w:r>
      <w:r w:rsidR="005B276C">
        <w:rPr>
          <w:rFonts w:eastAsia="Times New Roman" w:cs="Arial"/>
          <w:b/>
          <w:szCs w:val="20"/>
          <w:lang w:eastAsia="sl-SI"/>
        </w:rPr>
        <w:t xml:space="preserve">AKON O </w:t>
      </w:r>
      <w:r w:rsidR="00797896" w:rsidRPr="00797896">
        <w:rPr>
          <w:rFonts w:eastAsia="Times New Roman" w:cs="Arial"/>
          <w:b/>
          <w:szCs w:val="20"/>
          <w:lang w:eastAsia="sl-SI"/>
        </w:rPr>
        <w:t xml:space="preserve">SPODBUJANJU KONKURENČNOSTI </w:t>
      </w:r>
      <w:r w:rsidR="0003603F">
        <w:rPr>
          <w:rFonts w:eastAsia="Times New Roman" w:cs="Arial"/>
          <w:b/>
          <w:szCs w:val="20"/>
          <w:lang w:eastAsia="sl-SI"/>
        </w:rPr>
        <w:t xml:space="preserve">IN RAZOGLJIČENJA </w:t>
      </w:r>
      <w:r w:rsidR="00797896" w:rsidRPr="00797896">
        <w:rPr>
          <w:rFonts w:eastAsia="Times New Roman" w:cs="Arial"/>
          <w:b/>
          <w:szCs w:val="20"/>
          <w:lang w:eastAsia="sl-SI"/>
        </w:rPr>
        <w:t>ELEKTROINTENZIVNIH PODJETI</w:t>
      </w:r>
      <w:r w:rsidR="00797896">
        <w:rPr>
          <w:rFonts w:eastAsia="Times New Roman" w:cs="Arial"/>
          <w:b/>
          <w:szCs w:val="20"/>
          <w:lang w:eastAsia="sl-SI"/>
        </w:rPr>
        <w:t>J</w:t>
      </w:r>
    </w:p>
    <w:p w14:paraId="126FEFE8" w14:textId="77777777" w:rsidR="009F54B1" w:rsidRPr="00620790" w:rsidRDefault="009F54B1" w:rsidP="009F54B1">
      <w:pPr>
        <w:suppressAutoHyphens/>
        <w:overflowPunct w:val="0"/>
        <w:autoSpaceDE w:val="0"/>
        <w:autoSpaceDN w:val="0"/>
        <w:adjustRightInd w:val="0"/>
        <w:spacing w:after="0" w:line="260" w:lineRule="exact"/>
        <w:jc w:val="center"/>
        <w:textAlignment w:val="baseline"/>
        <w:rPr>
          <w:rFonts w:eastAsia="Times New Roman" w:cs="Arial"/>
          <w:b/>
          <w:szCs w:val="20"/>
          <w:lang w:eastAsia="sl-SI"/>
        </w:rPr>
      </w:pPr>
    </w:p>
    <w:p w14:paraId="6B536248" w14:textId="6016A3EB" w:rsidR="009F54B1" w:rsidRPr="00620790" w:rsidRDefault="009F54B1" w:rsidP="008A6824">
      <w:pPr>
        <w:pStyle w:val="Naslov1"/>
        <w:jc w:val="both"/>
        <w:rPr>
          <w:rFonts w:eastAsia="Times New Roman" w:cs="Arial"/>
          <w:szCs w:val="20"/>
          <w:lang w:eastAsia="sl-SI"/>
        </w:rPr>
      </w:pPr>
      <w:r w:rsidRPr="00620790">
        <w:rPr>
          <w:rFonts w:eastAsia="Times New Roman" w:cs="Arial"/>
          <w:szCs w:val="20"/>
          <w:lang w:eastAsia="sl-SI"/>
        </w:rPr>
        <w:t>I. UVOD</w:t>
      </w:r>
    </w:p>
    <w:p w14:paraId="1FBEFD43" w14:textId="6C308758" w:rsidR="00416C42" w:rsidRPr="00B90E1F" w:rsidRDefault="009F54B1" w:rsidP="00B90E1F">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1. OCENA STANJA IN RAZLOGI ZA SPREJEM PREDLOGA ZAKONA</w:t>
      </w:r>
    </w:p>
    <w:p w14:paraId="3BF657C2" w14:textId="77777777" w:rsidR="00467F12" w:rsidRDefault="00467F12" w:rsidP="00467F12">
      <w:pPr>
        <w:spacing w:before="100" w:beforeAutospacing="1" w:after="100" w:afterAutospacing="1" w:line="240" w:lineRule="auto"/>
        <w:rPr>
          <w:rFonts w:eastAsia="Times New Roman" w:cs="Arial"/>
          <w:iCs/>
          <w:szCs w:val="20"/>
          <w:lang w:eastAsia="sl-SI"/>
        </w:rPr>
      </w:pPr>
      <w:r w:rsidRPr="00467F12">
        <w:rPr>
          <w:rFonts w:eastAsia="Times New Roman" w:cs="Arial"/>
          <w:iCs/>
          <w:szCs w:val="20"/>
          <w:lang w:eastAsia="sl-SI"/>
        </w:rPr>
        <w:t>Energetsko intenzivna industrija v Republiki Sloveniji je pomemben del gospodarstva, ki ustvarja visoko dodano vrednost, pomemben delež izvoza ter zagotavlja veliko število delovnih mest, pogosto v okoljih, kjer so možnosti za alternativno zaposlitev omejene. Za ta podjetja so stroški električne energije eden ključnih stroškov poslovanja in pomemben dejavnik njihove mednarodne konkurenčnosti.</w:t>
      </w:r>
    </w:p>
    <w:p w14:paraId="605DAA18" w14:textId="2E0A758A" w:rsidR="00731973" w:rsidRPr="00731973" w:rsidRDefault="00731973" w:rsidP="00731973">
      <w:pPr>
        <w:spacing w:before="100" w:beforeAutospacing="1" w:after="100" w:afterAutospacing="1" w:line="240" w:lineRule="auto"/>
        <w:rPr>
          <w:rFonts w:eastAsia="Times New Roman" w:cs="Arial"/>
          <w:iCs/>
          <w:szCs w:val="20"/>
          <w:lang w:eastAsia="sl-SI"/>
        </w:rPr>
      </w:pPr>
      <w:r w:rsidRPr="00731973">
        <w:rPr>
          <w:rFonts w:eastAsia="Times New Roman" w:cs="Arial"/>
          <w:iCs/>
          <w:szCs w:val="20"/>
          <w:lang w:eastAsia="sl-SI"/>
        </w:rPr>
        <w:t>V trenutnih gospodarskih razmerah, ko se slovenska industrija sooča z visokimi cenami energentov, je podpora energetsko intenzivnim podjetjem nujno potrebna. Obravnava teh podjetij v okviru strateškega nacionalnega interesa ni le gospodarska nuja, temveč tudi temeljna predpostavka za uspešno izvajanje evropskega zelenega prehoda, ohranjanje industrijske suverenosti in zagotavljanje socialne kohezije.</w:t>
      </w:r>
    </w:p>
    <w:p w14:paraId="045350F6" w14:textId="792CF7C2" w:rsidR="00731973" w:rsidRPr="00731973" w:rsidRDefault="00731973" w:rsidP="00731973">
      <w:pPr>
        <w:spacing w:before="100" w:beforeAutospacing="1" w:after="100" w:afterAutospacing="1" w:line="240" w:lineRule="auto"/>
        <w:rPr>
          <w:rFonts w:eastAsia="Times New Roman" w:cs="Arial"/>
          <w:iCs/>
          <w:szCs w:val="20"/>
          <w:lang w:eastAsia="sl-SI"/>
        </w:rPr>
      </w:pPr>
      <w:r w:rsidRPr="00731973">
        <w:rPr>
          <w:rFonts w:eastAsia="Times New Roman" w:cs="Arial"/>
          <w:iCs/>
          <w:szCs w:val="20"/>
          <w:lang w:eastAsia="sl-SI"/>
        </w:rPr>
        <w:t xml:space="preserve">Proizvodnja v industrijah materialov in strateških surovin ni le industrijska politika – je temeljna varnostna, geostrateška in trajnostna izbira za prihodnost Evrope. Industrije materialov so ključne za večjo strateško avtonomijo Evrope pri materialih. Primarni industrijski materiali predstavljajo surovinsko osnovo za vse ostale industrijske panoge v Sloveniji in Evropi. Gre za materiale, ki so kritično pomembni za razvoj, proizvodnjo in uporabo nizkoogljičnih materialov, ki so ključni za izvedbo zelenega prehoda. Brez razvoja domačih zmogljivosti na teh področjih bo </w:t>
      </w:r>
      <w:r w:rsidR="00D729DE">
        <w:rPr>
          <w:rFonts w:eastAsia="Times New Roman" w:cs="Arial"/>
          <w:iCs/>
          <w:szCs w:val="20"/>
          <w:lang w:eastAsia="sl-SI"/>
        </w:rPr>
        <w:t>Evropska unija (v nadaljnjem besedilu: EU)</w:t>
      </w:r>
      <w:r w:rsidRPr="00731973">
        <w:rPr>
          <w:rFonts w:eastAsia="Times New Roman" w:cs="Arial"/>
          <w:iCs/>
          <w:szCs w:val="20"/>
          <w:lang w:eastAsia="sl-SI"/>
        </w:rPr>
        <w:t xml:space="preserve"> še naprej ranljiva na svetovnem trgu, omejena pri zeleni transformaciji in odvisna od geopolitično nestabilnih partnerjev, kar ima lahko vpliv na večja nihanja v proizvodnji in izvozu, slabšo ekonomiko poslovanja teh družb kot tudi na negativne učinke na trgu dela.</w:t>
      </w:r>
    </w:p>
    <w:p w14:paraId="196BA150" w14:textId="720EF7EC" w:rsidR="008779D6" w:rsidRPr="008779D6" w:rsidRDefault="008779D6" w:rsidP="008779D6">
      <w:pPr>
        <w:spacing w:before="100" w:beforeAutospacing="1" w:after="100" w:afterAutospacing="1" w:line="240" w:lineRule="auto"/>
        <w:rPr>
          <w:rFonts w:eastAsia="Times New Roman" w:cs="Arial"/>
          <w:iCs/>
          <w:szCs w:val="20"/>
          <w:lang w:eastAsia="sl-SI"/>
        </w:rPr>
      </w:pPr>
      <w:r w:rsidRPr="008779D6">
        <w:rPr>
          <w:rFonts w:eastAsia="Times New Roman" w:cs="Arial"/>
          <w:iCs/>
          <w:szCs w:val="20"/>
          <w:lang w:eastAsia="sl-SI"/>
        </w:rPr>
        <w:t>V zadnjih letih se je trg z električno energijo v E</w:t>
      </w:r>
      <w:r w:rsidR="00D729DE">
        <w:rPr>
          <w:rFonts w:eastAsia="Times New Roman" w:cs="Arial"/>
          <w:iCs/>
          <w:szCs w:val="20"/>
          <w:lang w:eastAsia="sl-SI"/>
        </w:rPr>
        <w:t>U</w:t>
      </w:r>
      <w:r w:rsidRPr="008779D6">
        <w:rPr>
          <w:rFonts w:eastAsia="Times New Roman" w:cs="Arial"/>
          <w:iCs/>
          <w:szCs w:val="20"/>
          <w:lang w:eastAsia="sl-SI"/>
        </w:rPr>
        <w:t xml:space="preserve"> soočal z izrazito cenovno volatilnostjo in obdobji izjemno visokih cen. Ob hkratnih ambicioznih ciljih razogljičenja in prehoda na podnebno nevtralno gospodarstvo to povečuje tveganje, da energetsko intenzivna podjetja del proizvodnje selijo izven EU ali zmanjšajo obseg proizvodnje, kar lahko negativno vpliva na gospodarsko rast, zaposlenost in doseganje podnebnih ciljev.</w:t>
      </w:r>
    </w:p>
    <w:p w14:paraId="511830D6" w14:textId="42F893AA" w:rsidR="008779D6" w:rsidRPr="008779D6" w:rsidRDefault="008779D6" w:rsidP="008779D6">
      <w:pPr>
        <w:spacing w:before="100" w:beforeAutospacing="1" w:after="100" w:afterAutospacing="1" w:line="240" w:lineRule="auto"/>
        <w:rPr>
          <w:rFonts w:eastAsia="Times New Roman" w:cs="Arial"/>
          <w:iCs/>
          <w:szCs w:val="20"/>
          <w:lang w:eastAsia="sl-SI"/>
        </w:rPr>
      </w:pPr>
      <w:r w:rsidRPr="008779D6">
        <w:rPr>
          <w:rFonts w:eastAsia="Times New Roman" w:cs="Arial"/>
          <w:iCs/>
          <w:szCs w:val="20"/>
          <w:lang w:eastAsia="sl-SI"/>
        </w:rPr>
        <w:t>Evropska komisija je zato sprejela</w:t>
      </w:r>
      <w:r w:rsidR="00D729DE">
        <w:rPr>
          <w:rFonts w:eastAsia="Times New Roman" w:cs="Arial"/>
          <w:iCs/>
          <w:szCs w:val="20"/>
          <w:lang w:eastAsia="sl-SI"/>
        </w:rPr>
        <w:t xml:space="preserve"> Sporočilo Komisije -</w:t>
      </w:r>
      <w:r w:rsidRPr="008779D6">
        <w:rPr>
          <w:rFonts w:eastAsia="Times New Roman" w:cs="Arial"/>
          <w:iCs/>
          <w:szCs w:val="20"/>
          <w:lang w:eastAsia="sl-SI"/>
        </w:rPr>
        <w:t xml:space="preserve"> Okvir za ukrepe državne pomoči v podporo dogovoru o čisti industriji </w:t>
      </w:r>
      <w:r w:rsidR="00D729DE" w:rsidRPr="00D729DE">
        <w:rPr>
          <w:rFonts w:eastAsia="Times New Roman" w:cs="Arial"/>
          <w:iCs/>
          <w:szCs w:val="20"/>
          <w:lang w:eastAsia="sl-SI"/>
        </w:rPr>
        <w:t>(UL C št. C/2025/3602 z dne 4. 7. 2025; v nadaljnjem besedilu:</w:t>
      </w:r>
      <w:r w:rsidR="001A5340">
        <w:rPr>
          <w:rFonts w:eastAsia="Times New Roman" w:cs="Arial"/>
          <w:iCs/>
          <w:szCs w:val="20"/>
          <w:lang w:eastAsia="sl-SI"/>
        </w:rPr>
        <w:t xml:space="preserve"> </w:t>
      </w:r>
      <w:r w:rsidR="00D729DE" w:rsidRPr="00D729DE">
        <w:rPr>
          <w:rFonts w:eastAsia="Times New Roman" w:cs="Arial"/>
          <w:iCs/>
          <w:szCs w:val="20"/>
          <w:lang w:eastAsia="sl-SI"/>
        </w:rPr>
        <w:t>CISAF)</w:t>
      </w:r>
      <w:r w:rsidRPr="008779D6">
        <w:rPr>
          <w:rFonts w:eastAsia="Times New Roman" w:cs="Arial"/>
          <w:iCs/>
          <w:szCs w:val="20"/>
          <w:lang w:eastAsia="sl-SI"/>
        </w:rPr>
        <w:t>, s katerim državam članicam omogoča, da v omejenem obsegu in pod strogimi pogoji podprejo energetsko intenzivna podjetja pri soočanju z visokimi stroški električne energije, hkrati pa jih zavežejo k vlaganjem v razogljičenje in prehod na čistejše tehnologije.</w:t>
      </w:r>
    </w:p>
    <w:p w14:paraId="2816531E" w14:textId="77777777" w:rsidR="008779D6" w:rsidRPr="008779D6" w:rsidRDefault="008779D6" w:rsidP="008779D6">
      <w:pPr>
        <w:spacing w:before="100" w:beforeAutospacing="1" w:after="100" w:afterAutospacing="1" w:line="240" w:lineRule="auto"/>
        <w:rPr>
          <w:rFonts w:eastAsia="Times New Roman" w:cs="Arial"/>
          <w:iCs/>
          <w:szCs w:val="20"/>
          <w:lang w:eastAsia="sl-SI"/>
        </w:rPr>
      </w:pPr>
      <w:r w:rsidRPr="008779D6">
        <w:rPr>
          <w:rFonts w:eastAsia="Times New Roman" w:cs="Arial"/>
          <w:iCs/>
          <w:szCs w:val="20"/>
          <w:lang w:eastAsia="sl-SI"/>
        </w:rPr>
        <w:lastRenderedPageBreak/>
        <w:t>Obstoječa nacionalna zakonodaja ne zagotavlja posebnega, ciljno usmerjenega in časovno omejenega instrumenta, ki bi bil skladen s CISAF in bi omogočal:</w:t>
      </w:r>
    </w:p>
    <w:p w14:paraId="7B7F6369" w14:textId="0472A186" w:rsidR="008779D6" w:rsidRPr="008779D6" w:rsidRDefault="008779D6" w:rsidP="008779D6">
      <w:pPr>
        <w:spacing w:before="100" w:beforeAutospacing="1" w:after="100" w:afterAutospacing="1" w:line="240" w:lineRule="auto"/>
        <w:rPr>
          <w:rFonts w:eastAsia="Times New Roman" w:cs="Arial"/>
          <w:iCs/>
          <w:szCs w:val="20"/>
          <w:lang w:eastAsia="sl-SI"/>
        </w:rPr>
      </w:pPr>
      <w:r w:rsidRPr="008779D6">
        <w:rPr>
          <w:rFonts w:eastAsia="Times New Roman" w:cs="Arial"/>
          <w:iCs/>
          <w:szCs w:val="20"/>
          <w:lang w:eastAsia="sl-SI"/>
        </w:rPr>
        <w:t>•</w:t>
      </w:r>
      <w:r>
        <w:rPr>
          <w:rFonts w:eastAsia="Times New Roman" w:cs="Arial"/>
          <w:iCs/>
          <w:szCs w:val="20"/>
          <w:lang w:eastAsia="sl-SI"/>
        </w:rPr>
        <w:t xml:space="preserve"> </w:t>
      </w:r>
      <w:r w:rsidRPr="008779D6">
        <w:rPr>
          <w:rFonts w:eastAsia="Times New Roman" w:cs="Arial"/>
          <w:iCs/>
          <w:szCs w:val="20"/>
          <w:lang w:eastAsia="sl-SI"/>
        </w:rPr>
        <w:t>delno blaženje stroškov električne energije elektrointenzivnim podjetjem v najbolj izpostavljenih sektorjih in</w:t>
      </w:r>
    </w:p>
    <w:p w14:paraId="6115B837" w14:textId="0F9D5752" w:rsidR="008779D6" w:rsidRPr="008779D6" w:rsidRDefault="008779D6" w:rsidP="008779D6">
      <w:pPr>
        <w:spacing w:before="100" w:beforeAutospacing="1" w:after="100" w:afterAutospacing="1" w:line="240" w:lineRule="auto"/>
        <w:rPr>
          <w:rFonts w:eastAsia="Times New Roman" w:cs="Arial"/>
          <w:iCs/>
          <w:szCs w:val="20"/>
          <w:lang w:eastAsia="sl-SI"/>
        </w:rPr>
      </w:pPr>
      <w:r w:rsidRPr="008779D6">
        <w:rPr>
          <w:rFonts w:eastAsia="Times New Roman" w:cs="Arial"/>
          <w:iCs/>
          <w:szCs w:val="20"/>
          <w:lang w:eastAsia="sl-SI"/>
        </w:rPr>
        <w:t>•</w:t>
      </w:r>
      <w:r>
        <w:rPr>
          <w:rFonts w:eastAsia="Times New Roman" w:cs="Arial"/>
          <w:iCs/>
          <w:szCs w:val="20"/>
          <w:lang w:eastAsia="sl-SI"/>
        </w:rPr>
        <w:t xml:space="preserve"> </w:t>
      </w:r>
      <w:r w:rsidRPr="008779D6">
        <w:rPr>
          <w:rFonts w:eastAsia="Times New Roman" w:cs="Arial"/>
          <w:iCs/>
          <w:szCs w:val="20"/>
          <w:lang w:eastAsia="sl-SI"/>
        </w:rPr>
        <w:t>hkrati obvezno vlaganje pomembnega dela prejete pomoči v naložbe v razogljičenje.</w:t>
      </w:r>
    </w:p>
    <w:p w14:paraId="6650B065" w14:textId="1949069A" w:rsidR="008779D6" w:rsidRDefault="008779D6" w:rsidP="008779D6">
      <w:pPr>
        <w:spacing w:before="100" w:beforeAutospacing="1" w:after="100" w:afterAutospacing="1" w:line="240" w:lineRule="auto"/>
        <w:rPr>
          <w:rFonts w:eastAsia="Times New Roman" w:cs="Arial"/>
          <w:iCs/>
          <w:szCs w:val="20"/>
          <w:lang w:eastAsia="sl-SI"/>
        </w:rPr>
      </w:pPr>
      <w:r w:rsidRPr="008779D6">
        <w:rPr>
          <w:rFonts w:eastAsia="Times New Roman" w:cs="Arial"/>
          <w:iCs/>
          <w:szCs w:val="20"/>
          <w:lang w:eastAsia="sl-SI"/>
        </w:rPr>
        <w:t>Zaradi navedenega je potreben poseben, vsebinsko omejen in časovno opredeljen zakon, ki za obdobje 2026–2028 vzpostavlja sistem spodbud, skladen s pravili EU o državnih pomočeh, ter prispeva k ohranjanju konkurenčnosti in hkratnemu pospeševanju razogljičenja industrije.</w:t>
      </w:r>
    </w:p>
    <w:p w14:paraId="0B55929C" w14:textId="1430A1D9" w:rsidR="00731973" w:rsidRPr="00731973" w:rsidRDefault="00731973" w:rsidP="00731973">
      <w:pPr>
        <w:spacing w:before="100" w:beforeAutospacing="1" w:after="100" w:afterAutospacing="1" w:line="240" w:lineRule="auto"/>
        <w:rPr>
          <w:rFonts w:eastAsia="Times New Roman" w:cs="Arial"/>
          <w:iCs/>
          <w:szCs w:val="20"/>
          <w:lang w:eastAsia="sl-SI"/>
        </w:rPr>
      </w:pPr>
      <w:r>
        <w:rPr>
          <w:rFonts w:eastAsia="Times New Roman" w:cs="Arial"/>
          <w:iCs/>
          <w:szCs w:val="20"/>
          <w:lang w:eastAsia="sl-SI"/>
        </w:rPr>
        <w:t>S</w:t>
      </w:r>
      <w:r w:rsidRPr="00731973">
        <w:rPr>
          <w:rFonts w:eastAsia="Times New Roman" w:cs="Arial"/>
          <w:iCs/>
          <w:szCs w:val="20"/>
          <w:lang w:eastAsia="sl-SI"/>
        </w:rPr>
        <w:t>lovenska energetsko intenzivna podjetja</w:t>
      </w:r>
      <w:r>
        <w:rPr>
          <w:rFonts w:eastAsia="Times New Roman" w:cs="Arial"/>
          <w:iCs/>
          <w:szCs w:val="20"/>
          <w:lang w:eastAsia="sl-SI"/>
        </w:rPr>
        <w:t xml:space="preserve"> so bila</w:t>
      </w:r>
      <w:r w:rsidRPr="00731973">
        <w:rPr>
          <w:rFonts w:eastAsia="Times New Roman" w:cs="Arial"/>
          <w:iCs/>
          <w:szCs w:val="20"/>
          <w:lang w:eastAsia="sl-SI"/>
        </w:rPr>
        <w:t xml:space="preserve"> v obdobju 2021–2024 močno prizadeta zaradi energetske krize. Cene električne energije za velike industrijske odjemalce so se v tem obdobju za nekaj časa potrojile, pri čemer so bile v letu 2024 še vedno za 150 % višje od ravni leta 2021. Kljub temu, da so bile cene EE v Sloveniji pred krizo nižje od povprečja EU, so se med krizo dvignile nad evropsko povprečje. V segmentu največjih odjemalcev (70–150 GWh) so bile cene v letu 2024 za približno 30 EUR/MWh višje od povprečja EU. Še bolj zaskrbljujoča je primerjava s tretjimi državami, kot so Bosna in Hercegovina, Srbija in Turčija, kjer so bile cene </w:t>
      </w:r>
      <w:r w:rsidR="00D729DE">
        <w:rPr>
          <w:rFonts w:eastAsia="Times New Roman" w:cs="Arial"/>
          <w:iCs/>
          <w:szCs w:val="20"/>
          <w:lang w:eastAsia="sl-SI"/>
        </w:rPr>
        <w:t>električne energije</w:t>
      </w:r>
      <w:r w:rsidRPr="00731973">
        <w:rPr>
          <w:rFonts w:eastAsia="Times New Roman" w:cs="Arial"/>
          <w:iCs/>
          <w:szCs w:val="20"/>
          <w:lang w:eastAsia="sl-SI"/>
        </w:rPr>
        <w:t xml:space="preserve"> v letu 2024 približno polovične glede na slovenske. Te države tudi niso vključene v</w:t>
      </w:r>
      <w:r w:rsidR="00FF3576">
        <w:rPr>
          <w:rFonts w:eastAsia="Times New Roman" w:cs="Arial"/>
          <w:iCs/>
          <w:szCs w:val="20"/>
          <w:lang w:eastAsia="sl-SI"/>
        </w:rPr>
        <w:t xml:space="preserve"> trgovalno evropsko shemo z emisijskimi kuponi,</w:t>
      </w:r>
      <w:r w:rsidRPr="00731973">
        <w:rPr>
          <w:rFonts w:eastAsia="Times New Roman" w:cs="Arial"/>
          <w:iCs/>
          <w:szCs w:val="20"/>
          <w:lang w:eastAsia="sl-SI"/>
        </w:rPr>
        <w:t xml:space="preserve"> z EU pa imajo podpisane ugodne trgovinske sporazume z nizkimi trgovinskimi ovirami. To je povzročilo znatno poslabšanje stroškovne konkurenčnosti slovenskih izvozno usmerjenih podjetij.</w:t>
      </w:r>
    </w:p>
    <w:p w14:paraId="6CE628B6" w14:textId="7EF66527" w:rsidR="00731973" w:rsidRPr="00731973" w:rsidRDefault="00731973" w:rsidP="00731973">
      <w:pPr>
        <w:spacing w:before="100" w:beforeAutospacing="1" w:after="100" w:afterAutospacing="1" w:line="240" w:lineRule="auto"/>
        <w:rPr>
          <w:rFonts w:eastAsia="Times New Roman" w:cs="Arial"/>
          <w:iCs/>
          <w:szCs w:val="20"/>
          <w:lang w:eastAsia="sl-SI"/>
        </w:rPr>
      </w:pPr>
      <w:r w:rsidRPr="00731973">
        <w:rPr>
          <w:rFonts w:eastAsia="Times New Roman" w:cs="Arial"/>
          <w:iCs/>
          <w:szCs w:val="20"/>
          <w:lang w:eastAsia="sl-SI"/>
        </w:rPr>
        <w:t xml:space="preserve">Posledično je prišlo do znatnega upada industrijske proizvodnje v sedmih </w:t>
      </w:r>
      <w:r w:rsidR="00B008BF" w:rsidRPr="00731973">
        <w:rPr>
          <w:rFonts w:eastAsia="Times New Roman" w:cs="Arial"/>
          <w:iCs/>
          <w:szCs w:val="20"/>
          <w:lang w:eastAsia="sl-SI"/>
        </w:rPr>
        <w:t>ključnih</w:t>
      </w:r>
      <w:r w:rsidRPr="00731973">
        <w:rPr>
          <w:rFonts w:eastAsia="Times New Roman" w:cs="Arial"/>
          <w:iCs/>
          <w:szCs w:val="20"/>
          <w:lang w:eastAsia="sl-SI"/>
        </w:rPr>
        <w:t xml:space="preserve"> energetsko intenzivnih industrijah materialov. V skupini industrij materialov posluje skupaj okrog 4.700 podjetij (22 % vseh podjetij v predelovalni dejavnosti). Vrednost proizvodnje v teh dejavnostih je v letu 2024 znašala 12,2 milijardi evrov, dodana vrednost pa 3,2 milijardi evrov. Število zaposlenih je leta 2024 znašalo 56.300 in je bilo za 3 % nižje kot leta 2021. V industrijah materialov so se med letoma 2021 in 2024 realni prihodki zmanjšali za eno osmino glede na leto 2021 (-12,5%), dodana vrednost pa za dobro četrtino (-25,4 %). Posledično so trendno izgubljale svoj relativni pomen v slovenski predelovalni dejavnosti. </w:t>
      </w:r>
    </w:p>
    <w:p w14:paraId="33E6995F" w14:textId="41485E83" w:rsidR="00731973" w:rsidRPr="00731973" w:rsidRDefault="00731973" w:rsidP="00731973">
      <w:pPr>
        <w:spacing w:before="100" w:beforeAutospacing="1" w:after="100" w:afterAutospacing="1" w:line="240" w:lineRule="auto"/>
        <w:rPr>
          <w:rFonts w:eastAsia="Times New Roman" w:cs="Arial"/>
          <w:iCs/>
          <w:szCs w:val="20"/>
          <w:lang w:eastAsia="sl-SI"/>
        </w:rPr>
      </w:pPr>
      <w:r>
        <w:rPr>
          <w:rFonts w:eastAsia="Times New Roman" w:cs="Arial"/>
          <w:iCs/>
          <w:szCs w:val="20"/>
          <w:lang w:eastAsia="sl-SI"/>
        </w:rPr>
        <w:t xml:space="preserve">Ukrep začasne cenovne olajšave za električno energijo za energetsko intenzivne porabnike iz </w:t>
      </w:r>
      <w:r w:rsidRPr="00731973">
        <w:rPr>
          <w:rFonts w:eastAsia="Times New Roman" w:cs="Arial"/>
          <w:iCs/>
          <w:szCs w:val="20"/>
          <w:lang w:eastAsia="sl-SI"/>
        </w:rPr>
        <w:t>CISAF</w:t>
      </w:r>
      <w:r>
        <w:rPr>
          <w:rFonts w:eastAsia="Times New Roman" w:cs="Arial"/>
          <w:iCs/>
          <w:szCs w:val="20"/>
          <w:lang w:eastAsia="sl-SI"/>
        </w:rPr>
        <w:t xml:space="preserve"> je</w:t>
      </w:r>
      <w:r w:rsidRPr="00731973">
        <w:rPr>
          <w:rFonts w:eastAsia="Times New Roman" w:cs="Arial"/>
          <w:iCs/>
          <w:szCs w:val="20"/>
          <w:lang w:eastAsia="sl-SI"/>
        </w:rPr>
        <w:t xml:space="preserve"> skladen z evropskimi cilji glede zelene preobrazbe. Stabilna cena električne energije omogoča finančno uspešnost izvedbe projektov elektrifikacije in prehoda na </w:t>
      </w:r>
      <w:r w:rsidR="00015EAE">
        <w:rPr>
          <w:rFonts w:eastAsia="Times New Roman" w:cs="Arial"/>
          <w:iCs/>
          <w:szCs w:val="20"/>
          <w:lang w:eastAsia="sl-SI"/>
        </w:rPr>
        <w:t>obnovljive vire energije (v nadaljnjem besedilu: OVE)</w:t>
      </w:r>
      <w:r w:rsidRPr="00731973">
        <w:rPr>
          <w:rFonts w:eastAsia="Times New Roman" w:cs="Arial"/>
          <w:iCs/>
          <w:szCs w:val="20"/>
          <w:lang w:eastAsia="sl-SI"/>
        </w:rPr>
        <w:t xml:space="preserve"> ter pospešuje </w:t>
      </w:r>
      <w:r>
        <w:rPr>
          <w:rFonts w:eastAsia="Times New Roman" w:cs="Arial"/>
          <w:iCs/>
          <w:szCs w:val="20"/>
          <w:lang w:eastAsia="sl-SI"/>
        </w:rPr>
        <w:t>širjenje uporabe</w:t>
      </w:r>
      <w:r w:rsidRPr="00731973">
        <w:rPr>
          <w:rFonts w:eastAsia="Times New Roman" w:cs="Arial"/>
          <w:iCs/>
          <w:szCs w:val="20"/>
          <w:lang w:eastAsia="sl-SI"/>
        </w:rPr>
        <w:t xml:space="preserve"> čistih tehnologij; krepi strateško avtonomijo z ohranjanjem domačih materialnih kapacitet in zmanjševanjem ogljičnega uhajanja v panogah z visoko trgovinsko in elektro-intenzivnostjo; varuje sidrna delovna mesta v industrijskih regijah; ter je fiskalno razumen, ker se lahko opre na namenske vire in povračila v letih nizkih cen električne energije. Glavni argumenti za uporabo mehanizma CISAF so naslednji:</w:t>
      </w:r>
    </w:p>
    <w:p w14:paraId="30968ECE" w14:textId="7F213EAC" w:rsidR="00731973" w:rsidRPr="00731973" w:rsidRDefault="00731973" w:rsidP="00731973">
      <w:pPr>
        <w:spacing w:before="100" w:beforeAutospacing="1" w:after="100" w:afterAutospacing="1" w:line="240" w:lineRule="auto"/>
        <w:rPr>
          <w:rFonts w:eastAsia="Times New Roman" w:cs="Arial"/>
          <w:iCs/>
          <w:szCs w:val="20"/>
          <w:lang w:eastAsia="sl-SI"/>
        </w:rPr>
      </w:pPr>
      <w:r w:rsidRPr="00731973">
        <w:rPr>
          <w:rFonts w:eastAsia="Times New Roman" w:cs="Arial"/>
          <w:iCs/>
          <w:szCs w:val="20"/>
          <w:lang w:eastAsia="sl-SI"/>
        </w:rPr>
        <w:t>1.</w:t>
      </w:r>
      <w:r>
        <w:rPr>
          <w:rFonts w:eastAsia="Times New Roman" w:cs="Arial"/>
          <w:iCs/>
          <w:szCs w:val="20"/>
          <w:lang w:eastAsia="sl-SI"/>
        </w:rPr>
        <w:t xml:space="preserve"> </w:t>
      </w:r>
      <w:r w:rsidRPr="00731973">
        <w:rPr>
          <w:rFonts w:eastAsia="Times New Roman" w:cs="Arial"/>
          <w:iCs/>
          <w:szCs w:val="20"/>
          <w:lang w:eastAsia="sl-SI"/>
        </w:rPr>
        <w:t xml:space="preserve">Pospešitev zelenega prehoda: </w:t>
      </w:r>
      <w:r w:rsidR="00015EAE">
        <w:rPr>
          <w:rFonts w:eastAsia="Times New Roman" w:cs="Arial"/>
          <w:iCs/>
          <w:szCs w:val="20"/>
          <w:lang w:eastAsia="sl-SI"/>
        </w:rPr>
        <w:t>e</w:t>
      </w:r>
      <w:r w:rsidRPr="00731973">
        <w:rPr>
          <w:rFonts w:eastAsia="Times New Roman" w:cs="Arial"/>
          <w:iCs/>
          <w:szCs w:val="20"/>
          <w:lang w:eastAsia="sl-SI"/>
        </w:rPr>
        <w:t>nergetsko intenzivnim podjetjem omogoča predvidljivost stroškov, ki so ključni za financiranje obsežnih naložb v elektrifikacijo, energetsko učinkovitost in prehod na obnovljive vire, s čimer dejansko pospešuje njihovo razogljičenje.</w:t>
      </w:r>
    </w:p>
    <w:p w14:paraId="1AF13EA5" w14:textId="396E3BE7" w:rsidR="00731973" w:rsidRPr="00731973" w:rsidRDefault="00731973" w:rsidP="00731973">
      <w:pPr>
        <w:spacing w:before="100" w:beforeAutospacing="1" w:after="100" w:afterAutospacing="1" w:line="240" w:lineRule="auto"/>
        <w:rPr>
          <w:rFonts w:eastAsia="Times New Roman" w:cs="Arial"/>
          <w:iCs/>
          <w:szCs w:val="20"/>
          <w:lang w:eastAsia="sl-SI"/>
        </w:rPr>
      </w:pPr>
      <w:r w:rsidRPr="00731973">
        <w:rPr>
          <w:rFonts w:eastAsia="Times New Roman" w:cs="Arial"/>
          <w:iCs/>
          <w:szCs w:val="20"/>
          <w:lang w:eastAsia="sl-SI"/>
        </w:rPr>
        <w:t>2.</w:t>
      </w:r>
      <w:r>
        <w:rPr>
          <w:rFonts w:eastAsia="Times New Roman" w:cs="Arial"/>
          <w:iCs/>
          <w:szCs w:val="20"/>
          <w:lang w:eastAsia="sl-SI"/>
        </w:rPr>
        <w:t xml:space="preserve"> </w:t>
      </w:r>
      <w:r w:rsidRPr="00731973">
        <w:rPr>
          <w:rFonts w:eastAsia="Times New Roman" w:cs="Arial"/>
          <w:iCs/>
          <w:szCs w:val="20"/>
          <w:lang w:eastAsia="sl-SI"/>
        </w:rPr>
        <w:t xml:space="preserve">Krepitev strateške avtonomije: </w:t>
      </w:r>
      <w:r w:rsidR="00015EAE">
        <w:rPr>
          <w:rFonts w:eastAsia="Times New Roman" w:cs="Arial"/>
          <w:iCs/>
          <w:szCs w:val="20"/>
          <w:lang w:eastAsia="sl-SI"/>
        </w:rPr>
        <w:t>s</w:t>
      </w:r>
      <w:r w:rsidRPr="00731973">
        <w:rPr>
          <w:rFonts w:eastAsia="Times New Roman" w:cs="Arial"/>
          <w:iCs/>
          <w:szCs w:val="20"/>
          <w:lang w:eastAsia="sl-SI"/>
        </w:rPr>
        <w:t xml:space="preserve"> preprečevanjem selitve kritičnih proizvodnih panog (kovine, minerali, kemikalije, gradbeni materiali, steklo, stroji) v tretje države mehanizem ščiti strateške dobavne verige EU in preprečuje trajno izgubo industrijskega znanja ter kapacitet.</w:t>
      </w:r>
    </w:p>
    <w:p w14:paraId="33FCF032" w14:textId="54FCEAA7" w:rsidR="00731973" w:rsidRPr="00731973" w:rsidRDefault="00731973" w:rsidP="00731973">
      <w:pPr>
        <w:spacing w:before="100" w:beforeAutospacing="1" w:after="100" w:afterAutospacing="1" w:line="240" w:lineRule="auto"/>
        <w:rPr>
          <w:rFonts w:eastAsia="Times New Roman" w:cs="Arial"/>
          <w:iCs/>
          <w:szCs w:val="20"/>
          <w:lang w:eastAsia="sl-SI"/>
        </w:rPr>
      </w:pPr>
      <w:r w:rsidRPr="00731973">
        <w:rPr>
          <w:rFonts w:eastAsia="Times New Roman" w:cs="Arial"/>
          <w:iCs/>
          <w:szCs w:val="20"/>
          <w:lang w:eastAsia="sl-SI"/>
        </w:rPr>
        <w:t>3.</w:t>
      </w:r>
      <w:r>
        <w:rPr>
          <w:rFonts w:eastAsia="Times New Roman" w:cs="Arial"/>
          <w:iCs/>
          <w:szCs w:val="20"/>
          <w:lang w:eastAsia="sl-SI"/>
        </w:rPr>
        <w:t xml:space="preserve"> </w:t>
      </w:r>
      <w:r w:rsidRPr="00731973">
        <w:rPr>
          <w:rFonts w:eastAsia="Times New Roman" w:cs="Arial"/>
          <w:iCs/>
          <w:szCs w:val="20"/>
          <w:lang w:eastAsia="sl-SI"/>
        </w:rPr>
        <w:t xml:space="preserve">Preprečevanje ogljičnega uhajanja: </w:t>
      </w:r>
      <w:r w:rsidR="00015EAE">
        <w:rPr>
          <w:rFonts w:eastAsia="Times New Roman" w:cs="Arial"/>
          <w:iCs/>
          <w:szCs w:val="20"/>
          <w:lang w:eastAsia="sl-SI"/>
        </w:rPr>
        <w:t>c</w:t>
      </w:r>
      <w:r w:rsidRPr="00731973">
        <w:rPr>
          <w:rFonts w:eastAsia="Times New Roman" w:cs="Arial"/>
          <w:iCs/>
          <w:szCs w:val="20"/>
          <w:lang w:eastAsia="sl-SI"/>
        </w:rPr>
        <w:t>iljana podpora podjetjem v panogah z visoko trgovinsko in elektro-intenzivnostjo, ki so zaradi visokih energetskih stroškov izpostavljena globalni konkurenci, preprečuje selitev proizvodnje, emisij in delovnih mest iz EU v države z nižjimi okoljskimi standardi, kar ohranja globalni okoljski učinek.</w:t>
      </w:r>
    </w:p>
    <w:p w14:paraId="0997871C" w14:textId="05C2EB6D" w:rsidR="00731973" w:rsidRPr="00731973" w:rsidRDefault="00731973" w:rsidP="00731973">
      <w:pPr>
        <w:spacing w:before="100" w:beforeAutospacing="1" w:after="100" w:afterAutospacing="1" w:line="240" w:lineRule="auto"/>
        <w:rPr>
          <w:rFonts w:eastAsia="Times New Roman" w:cs="Arial"/>
          <w:iCs/>
          <w:szCs w:val="20"/>
          <w:lang w:eastAsia="sl-SI"/>
        </w:rPr>
      </w:pPr>
      <w:r w:rsidRPr="00731973">
        <w:rPr>
          <w:rFonts w:eastAsia="Times New Roman" w:cs="Arial"/>
          <w:iCs/>
          <w:szCs w:val="20"/>
          <w:lang w:eastAsia="sl-SI"/>
        </w:rPr>
        <w:t>4.</w:t>
      </w:r>
      <w:r>
        <w:rPr>
          <w:rFonts w:eastAsia="Times New Roman" w:cs="Arial"/>
          <w:iCs/>
          <w:szCs w:val="20"/>
          <w:lang w:eastAsia="sl-SI"/>
        </w:rPr>
        <w:t xml:space="preserve"> </w:t>
      </w:r>
      <w:r w:rsidRPr="00731973">
        <w:rPr>
          <w:rFonts w:eastAsia="Times New Roman" w:cs="Arial"/>
          <w:iCs/>
          <w:szCs w:val="20"/>
          <w:lang w:eastAsia="sl-SI"/>
        </w:rPr>
        <w:t xml:space="preserve">Varuje regionalno zaposlenost in dobavne verige: </w:t>
      </w:r>
      <w:r w:rsidR="00015EAE">
        <w:rPr>
          <w:rFonts w:eastAsia="Times New Roman" w:cs="Arial"/>
          <w:iCs/>
          <w:szCs w:val="20"/>
          <w:lang w:eastAsia="sl-SI"/>
        </w:rPr>
        <w:t>s</w:t>
      </w:r>
      <w:r w:rsidRPr="00731973">
        <w:rPr>
          <w:rFonts w:eastAsia="Times New Roman" w:cs="Arial"/>
          <w:iCs/>
          <w:szCs w:val="20"/>
          <w:lang w:eastAsia="sl-SI"/>
        </w:rPr>
        <w:t xml:space="preserve"> podpiranjem strateških delodajalcev v regijah mehanizem preprečuje domino učinke izgube delovnih mest, zmanjšanja davčnih prihodkov in depopulacije, s čimer varuje socialno in ekonomsko stabilnost. Ciljana, pogojena in časovno omejena </w:t>
      </w:r>
      <w:r w:rsidRPr="00731973">
        <w:rPr>
          <w:rFonts w:eastAsia="Times New Roman" w:cs="Arial"/>
          <w:iCs/>
          <w:szCs w:val="20"/>
          <w:lang w:eastAsia="sl-SI"/>
        </w:rPr>
        <w:lastRenderedPageBreak/>
        <w:t>pomoč je cenejša od kasnejših socialnih in fiskalnih stroškov zapiranja obratov in stroškov spodbujanja reindustrializacije.</w:t>
      </w:r>
    </w:p>
    <w:p w14:paraId="0FA91BF9" w14:textId="21CE7783" w:rsidR="00731973" w:rsidRPr="00731973" w:rsidRDefault="00731973" w:rsidP="00731973">
      <w:pPr>
        <w:spacing w:before="100" w:beforeAutospacing="1" w:after="100" w:afterAutospacing="1" w:line="240" w:lineRule="auto"/>
        <w:rPr>
          <w:rFonts w:eastAsia="Times New Roman" w:cs="Arial"/>
          <w:iCs/>
          <w:szCs w:val="20"/>
          <w:lang w:eastAsia="sl-SI"/>
        </w:rPr>
      </w:pPr>
      <w:r w:rsidRPr="00731973">
        <w:rPr>
          <w:rFonts w:eastAsia="Times New Roman" w:cs="Arial"/>
          <w:iCs/>
          <w:szCs w:val="20"/>
          <w:lang w:eastAsia="sl-SI"/>
        </w:rPr>
        <w:t>5.</w:t>
      </w:r>
      <w:r>
        <w:rPr>
          <w:rFonts w:eastAsia="Times New Roman" w:cs="Arial"/>
          <w:iCs/>
          <w:szCs w:val="20"/>
          <w:lang w:eastAsia="sl-SI"/>
        </w:rPr>
        <w:t xml:space="preserve"> </w:t>
      </w:r>
      <w:r w:rsidRPr="00731973">
        <w:rPr>
          <w:rFonts w:eastAsia="Times New Roman" w:cs="Arial"/>
          <w:iCs/>
          <w:szCs w:val="20"/>
          <w:lang w:eastAsia="sl-SI"/>
        </w:rPr>
        <w:t xml:space="preserve">Krepi konkurenčnost in naložbe: </w:t>
      </w:r>
      <w:r w:rsidR="00104641">
        <w:rPr>
          <w:rFonts w:eastAsia="Times New Roman" w:cs="Arial"/>
          <w:iCs/>
          <w:szCs w:val="20"/>
          <w:lang w:eastAsia="sl-SI"/>
        </w:rPr>
        <w:t>s</w:t>
      </w:r>
      <w:r w:rsidRPr="00731973">
        <w:rPr>
          <w:rFonts w:eastAsia="Times New Roman" w:cs="Arial"/>
          <w:iCs/>
          <w:szCs w:val="20"/>
          <w:lang w:eastAsia="sl-SI"/>
        </w:rPr>
        <w:t>tabilna cena energije omogoča “finančno zapiranje” projektov elektrifikacije in razogljičenja. Z zagotavljanjem konkurenčnih energetskih pogojev, ki so primerljivi s tistimi pri konkurentih v drugih državah, mehanizem spodbuja podjetja, da svoje naložbe v zelene tehnologije izvedejo doma in ne v tujini.</w:t>
      </w:r>
    </w:p>
    <w:p w14:paraId="65A2E92F" w14:textId="08CB97F0" w:rsidR="00731973" w:rsidRPr="00731973" w:rsidRDefault="00731973" w:rsidP="00731973">
      <w:pPr>
        <w:spacing w:before="100" w:beforeAutospacing="1" w:after="100" w:afterAutospacing="1" w:line="240" w:lineRule="auto"/>
        <w:rPr>
          <w:rFonts w:eastAsia="Times New Roman" w:cs="Arial"/>
          <w:iCs/>
          <w:szCs w:val="20"/>
          <w:lang w:eastAsia="sl-SI"/>
        </w:rPr>
      </w:pPr>
      <w:r>
        <w:rPr>
          <w:rFonts w:eastAsia="Times New Roman" w:cs="Arial"/>
          <w:iCs/>
          <w:szCs w:val="20"/>
          <w:lang w:eastAsia="sl-SI"/>
        </w:rPr>
        <w:t>6</w:t>
      </w:r>
      <w:r w:rsidRPr="00731973">
        <w:rPr>
          <w:rFonts w:eastAsia="Times New Roman" w:cs="Arial"/>
          <w:iCs/>
          <w:szCs w:val="20"/>
          <w:lang w:eastAsia="sl-SI"/>
        </w:rPr>
        <w:t>.</w:t>
      </w:r>
      <w:r>
        <w:rPr>
          <w:rFonts w:eastAsia="Times New Roman" w:cs="Arial"/>
          <w:iCs/>
          <w:szCs w:val="20"/>
          <w:lang w:eastAsia="sl-SI"/>
        </w:rPr>
        <w:t xml:space="preserve"> </w:t>
      </w:r>
      <w:r w:rsidRPr="00731973">
        <w:rPr>
          <w:rFonts w:eastAsia="Times New Roman" w:cs="Arial"/>
          <w:iCs/>
          <w:szCs w:val="20"/>
          <w:lang w:eastAsia="sl-SI"/>
        </w:rPr>
        <w:t xml:space="preserve">Vzpostavitev jasnih pogojev in nadzora: </w:t>
      </w:r>
      <w:r w:rsidR="00104641">
        <w:rPr>
          <w:rFonts w:eastAsia="Times New Roman" w:cs="Arial"/>
          <w:iCs/>
          <w:szCs w:val="20"/>
          <w:lang w:eastAsia="sl-SI"/>
        </w:rPr>
        <w:t>m</w:t>
      </w:r>
      <w:r w:rsidRPr="00731973">
        <w:rPr>
          <w:rFonts w:eastAsia="Times New Roman" w:cs="Arial"/>
          <w:iCs/>
          <w:szCs w:val="20"/>
          <w:lang w:eastAsia="sl-SI"/>
        </w:rPr>
        <w:t>ehanizem je zasnovan kot ciljan, pogojen in časovno omejen, kar pomeni, da je pomoč vezana na merljive (kvantificirane) obveznosti podjetij za izvajanje ukrepov učinkovitosti in razogljičenja, ter zagotavlja transparentno poročanje.</w:t>
      </w:r>
    </w:p>
    <w:p w14:paraId="5368770D" w14:textId="05908046" w:rsidR="00731973" w:rsidRPr="00731973" w:rsidRDefault="00731973" w:rsidP="00731973">
      <w:pPr>
        <w:spacing w:before="100" w:beforeAutospacing="1" w:after="100" w:afterAutospacing="1" w:line="240" w:lineRule="auto"/>
        <w:rPr>
          <w:rFonts w:eastAsia="Times New Roman" w:cs="Arial"/>
          <w:iCs/>
          <w:szCs w:val="20"/>
          <w:lang w:eastAsia="sl-SI"/>
        </w:rPr>
      </w:pPr>
      <w:r>
        <w:rPr>
          <w:rFonts w:eastAsia="Times New Roman" w:cs="Arial"/>
          <w:iCs/>
          <w:szCs w:val="20"/>
          <w:lang w:eastAsia="sl-SI"/>
        </w:rPr>
        <w:t>7</w:t>
      </w:r>
      <w:r w:rsidRPr="00731973">
        <w:rPr>
          <w:rFonts w:eastAsia="Times New Roman" w:cs="Arial"/>
          <w:iCs/>
          <w:szCs w:val="20"/>
          <w:lang w:eastAsia="sl-SI"/>
        </w:rPr>
        <w:t>.</w:t>
      </w:r>
      <w:r w:rsidR="009B4C5F">
        <w:rPr>
          <w:rFonts w:eastAsia="Times New Roman" w:cs="Arial"/>
          <w:iCs/>
          <w:szCs w:val="20"/>
          <w:lang w:eastAsia="sl-SI"/>
        </w:rPr>
        <w:t xml:space="preserve"> </w:t>
      </w:r>
      <w:r w:rsidRPr="00731973">
        <w:rPr>
          <w:rFonts w:eastAsia="Times New Roman" w:cs="Arial"/>
          <w:iCs/>
          <w:szCs w:val="20"/>
          <w:lang w:eastAsia="sl-SI"/>
        </w:rPr>
        <w:t xml:space="preserve">Krepitev družbenega dogovora: </w:t>
      </w:r>
      <w:r w:rsidR="00104641">
        <w:rPr>
          <w:rFonts w:eastAsia="Times New Roman" w:cs="Arial"/>
          <w:iCs/>
          <w:szCs w:val="20"/>
          <w:lang w:eastAsia="sl-SI"/>
        </w:rPr>
        <w:t>m</w:t>
      </w:r>
      <w:r w:rsidRPr="00731973">
        <w:rPr>
          <w:rFonts w:eastAsia="Times New Roman" w:cs="Arial"/>
          <w:iCs/>
          <w:szCs w:val="20"/>
          <w:lang w:eastAsia="sl-SI"/>
        </w:rPr>
        <w:t>ehanizem temelji na načelu "pomoč v zameno za preobrazbo", kjer javna podpora ne predstavlja subvencije, temveč pogodbeno pospešuje prehod podjetij v trajnostno in nizkoogljično poslovanje.</w:t>
      </w:r>
    </w:p>
    <w:p w14:paraId="0B1A896A" w14:textId="0E57D1B2" w:rsidR="00731973" w:rsidRPr="00731973" w:rsidRDefault="009B4C5F" w:rsidP="00731973">
      <w:pPr>
        <w:spacing w:before="100" w:beforeAutospacing="1" w:after="100" w:afterAutospacing="1" w:line="240" w:lineRule="auto"/>
        <w:rPr>
          <w:rFonts w:eastAsia="Times New Roman" w:cs="Arial"/>
          <w:iCs/>
          <w:szCs w:val="20"/>
          <w:lang w:eastAsia="sl-SI"/>
        </w:rPr>
      </w:pPr>
      <w:r>
        <w:rPr>
          <w:rFonts w:eastAsia="Times New Roman" w:cs="Arial"/>
          <w:iCs/>
          <w:szCs w:val="20"/>
          <w:lang w:eastAsia="sl-SI"/>
        </w:rPr>
        <w:t>Ukrep za zniževanje stroška za določeno količino električne energije (največ</w:t>
      </w:r>
      <w:r w:rsidR="00731973" w:rsidRPr="00731973">
        <w:rPr>
          <w:rFonts w:eastAsia="Times New Roman" w:cs="Arial"/>
          <w:iCs/>
          <w:szCs w:val="20"/>
          <w:lang w:eastAsia="sl-SI"/>
        </w:rPr>
        <w:t xml:space="preserve"> </w:t>
      </w:r>
      <w:r>
        <w:rPr>
          <w:rFonts w:eastAsia="Times New Roman" w:cs="Arial"/>
          <w:iCs/>
          <w:szCs w:val="20"/>
          <w:lang w:eastAsia="sl-SI"/>
        </w:rPr>
        <w:t>do polovice letne porabe)</w:t>
      </w:r>
      <w:r w:rsidR="00731973" w:rsidRPr="00731973">
        <w:rPr>
          <w:rFonts w:eastAsia="Times New Roman" w:cs="Arial"/>
          <w:iCs/>
          <w:szCs w:val="20"/>
          <w:lang w:eastAsia="sl-SI"/>
        </w:rPr>
        <w:t xml:space="preserve">, izveden v okviru mehanizma CISAF in kombiniran z jasnimi pogoji razogljičenja, </w:t>
      </w:r>
      <w:r>
        <w:rPr>
          <w:rFonts w:eastAsia="Times New Roman" w:cs="Arial"/>
          <w:iCs/>
          <w:szCs w:val="20"/>
          <w:lang w:eastAsia="sl-SI"/>
        </w:rPr>
        <w:t xml:space="preserve">je </w:t>
      </w:r>
      <w:r w:rsidR="00731973" w:rsidRPr="00731973">
        <w:rPr>
          <w:rFonts w:eastAsia="Times New Roman" w:cs="Arial"/>
          <w:iCs/>
          <w:szCs w:val="20"/>
          <w:lang w:eastAsia="sl-SI"/>
        </w:rPr>
        <w:t>racionalen, skladen in ciljan odgovor</w:t>
      </w:r>
      <w:r>
        <w:rPr>
          <w:rFonts w:eastAsia="Times New Roman" w:cs="Arial"/>
          <w:iCs/>
          <w:szCs w:val="20"/>
          <w:lang w:eastAsia="sl-SI"/>
        </w:rPr>
        <w:t xml:space="preserve"> države</w:t>
      </w:r>
      <w:r w:rsidR="00731973" w:rsidRPr="00731973">
        <w:rPr>
          <w:rFonts w:eastAsia="Times New Roman" w:cs="Arial"/>
          <w:iCs/>
          <w:szCs w:val="20"/>
          <w:lang w:eastAsia="sl-SI"/>
        </w:rPr>
        <w:t xml:space="preserve"> na </w:t>
      </w:r>
      <w:r>
        <w:rPr>
          <w:rFonts w:eastAsia="Times New Roman" w:cs="Arial"/>
          <w:iCs/>
          <w:szCs w:val="20"/>
          <w:lang w:eastAsia="sl-SI"/>
        </w:rPr>
        <w:t xml:space="preserve">potrebe elektro intenzivne industrije, ki je izpostavljena mednarodni trgovini </w:t>
      </w:r>
      <w:r w:rsidR="00731973" w:rsidRPr="00731973">
        <w:rPr>
          <w:rFonts w:eastAsia="Times New Roman" w:cs="Arial"/>
          <w:iCs/>
          <w:szCs w:val="20"/>
          <w:lang w:eastAsia="sl-SI"/>
        </w:rPr>
        <w:t>ter globaln</w:t>
      </w:r>
      <w:r>
        <w:rPr>
          <w:rFonts w:eastAsia="Times New Roman" w:cs="Arial"/>
          <w:iCs/>
          <w:szCs w:val="20"/>
          <w:lang w:eastAsia="sl-SI"/>
        </w:rPr>
        <w:t>i</w:t>
      </w:r>
      <w:r w:rsidR="008B6654">
        <w:rPr>
          <w:rFonts w:eastAsia="Times New Roman" w:cs="Arial"/>
          <w:iCs/>
          <w:szCs w:val="20"/>
          <w:lang w:eastAsia="sl-SI"/>
        </w:rPr>
        <w:t xml:space="preserve"> </w:t>
      </w:r>
      <w:r w:rsidR="00731973" w:rsidRPr="00731973">
        <w:rPr>
          <w:rFonts w:eastAsia="Times New Roman" w:cs="Arial"/>
          <w:iCs/>
          <w:szCs w:val="20"/>
          <w:lang w:eastAsia="sl-SI"/>
        </w:rPr>
        <w:t>industrijsk</w:t>
      </w:r>
      <w:r>
        <w:rPr>
          <w:rFonts w:eastAsia="Times New Roman" w:cs="Arial"/>
          <w:iCs/>
          <w:szCs w:val="20"/>
          <w:lang w:eastAsia="sl-SI"/>
        </w:rPr>
        <w:t>i</w:t>
      </w:r>
      <w:r w:rsidR="00731973" w:rsidRPr="00731973">
        <w:rPr>
          <w:rFonts w:eastAsia="Times New Roman" w:cs="Arial"/>
          <w:iCs/>
          <w:szCs w:val="20"/>
          <w:lang w:eastAsia="sl-SI"/>
        </w:rPr>
        <w:t xml:space="preserve"> tekm</w:t>
      </w:r>
      <w:r>
        <w:rPr>
          <w:rFonts w:eastAsia="Times New Roman" w:cs="Arial"/>
          <w:iCs/>
          <w:szCs w:val="20"/>
          <w:lang w:eastAsia="sl-SI"/>
        </w:rPr>
        <w:t>i</w:t>
      </w:r>
      <w:r w:rsidR="00731973" w:rsidRPr="00731973">
        <w:rPr>
          <w:rFonts w:eastAsia="Times New Roman" w:cs="Arial"/>
          <w:iCs/>
          <w:szCs w:val="20"/>
          <w:lang w:eastAsia="sl-SI"/>
        </w:rPr>
        <w:t>. Sloveniji omogoča ohranitev strateških proizvodnih kapacitet, dobro plačanih delovnih mest in izvozne konkurenčnosti, hkrati pa pospešuje naložbe v učinkovitost, OVE in fleksibilnost. To ni odmik od evropskih ciljev, temveč orodje za njihovo dosego – na način, ki zmanjšuje tveganje selitve proizvodnje, krepi strateško avtonomijo in varuje socialno kohezijo.</w:t>
      </w:r>
    </w:p>
    <w:p w14:paraId="2C1EEEB1" w14:textId="1CAC71FA" w:rsidR="00731973" w:rsidRPr="00731973" w:rsidRDefault="00731973" w:rsidP="00731973">
      <w:pPr>
        <w:spacing w:before="100" w:beforeAutospacing="1" w:after="100" w:afterAutospacing="1" w:line="240" w:lineRule="auto"/>
        <w:rPr>
          <w:rFonts w:eastAsia="Times New Roman" w:cs="Arial"/>
          <w:iCs/>
          <w:szCs w:val="20"/>
          <w:lang w:eastAsia="sl-SI"/>
        </w:rPr>
      </w:pPr>
      <w:r w:rsidRPr="00731973">
        <w:rPr>
          <w:rFonts w:eastAsia="Times New Roman" w:cs="Arial"/>
          <w:iCs/>
          <w:szCs w:val="20"/>
          <w:lang w:eastAsia="sl-SI"/>
        </w:rPr>
        <w:t>Na podlagi podatkov S</w:t>
      </w:r>
      <w:r w:rsidR="00104641">
        <w:rPr>
          <w:rFonts w:eastAsia="Times New Roman" w:cs="Arial"/>
          <w:iCs/>
          <w:szCs w:val="20"/>
          <w:lang w:eastAsia="sl-SI"/>
        </w:rPr>
        <w:t>tatističnega urada Republike Slovenije (v nadaljnjem besedilu: SURS)</w:t>
      </w:r>
      <w:r w:rsidRPr="00731973">
        <w:rPr>
          <w:rFonts w:eastAsia="Times New Roman" w:cs="Arial"/>
          <w:iCs/>
          <w:szCs w:val="20"/>
          <w:lang w:eastAsia="sl-SI"/>
        </w:rPr>
        <w:t xml:space="preserve"> in </w:t>
      </w:r>
      <w:r w:rsidR="00104641">
        <w:rPr>
          <w:rFonts w:eastAsia="Times New Roman" w:cs="Arial"/>
          <w:iCs/>
          <w:szCs w:val="20"/>
          <w:lang w:eastAsia="sl-SI"/>
        </w:rPr>
        <w:t xml:space="preserve">Agencije Republike Slovenije za javnopravne evidence in storitve (v nadaljnjem besedilu: </w:t>
      </w:r>
      <w:r w:rsidRPr="00731973">
        <w:rPr>
          <w:rFonts w:eastAsia="Times New Roman" w:cs="Arial"/>
          <w:iCs/>
          <w:szCs w:val="20"/>
          <w:lang w:eastAsia="sl-SI"/>
        </w:rPr>
        <w:t>AJPES</w:t>
      </w:r>
      <w:r w:rsidR="00104641">
        <w:rPr>
          <w:rFonts w:eastAsia="Times New Roman" w:cs="Arial"/>
          <w:iCs/>
          <w:szCs w:val="20"/>
          <w:lang w:eastAsia="sl-SI"/>
        </w:rPr>
        <w:t>)</w:t>
      </w:r>
      <w:r w:rsidRPr="00731973">
        <w:rPr>
          <w:rFonts w:eastAsia="Times New Roman" w:cs="Arial"/>
          <w:iCs/>
          <w:szCs w:val="20"/>
          <w:lang w:eastAsia="sl-SI"/>
        </w:rPr>
        <w:t xml:space="preserve"> je bilo ugotovljeno, da večina sektorjev, ki jih CISAF opredeljuje kot upravičene, izpolnjuje tudi slovenske kriterije elektro intenzivnosti (EI ≥ 5 %) in trgovinske intenzivnosti (TI ≥ 5 %). Poleg tega je bil identificiran dodaten sektor – proizvodnja motornih vozil in prikolic – ki kljub temu, da ga CISAF ne navaja, na podlagi slovenskih podatkov za segment največjih odjemalcev </w:t>
      </w:r>
      <w:r w:rsidR="00104641">
        <w:rPr>
          <w:rFonts w:eastAsia="Times New Roman" w:cs="Arial"/>
          <w:iCs/>
          <w:szCs w:val="20"/>
          <w:lang w:eastAsia="sl-SI"/>
        </w:rPr>
        <w:t>električne energije</w:t>
      </w:r>
      <w:r w:rsidRPr="00731973">
        <w:rPr>
          <w:rFonts w:eastAsia="Times New Roman" w:cs="Arial"/>
          <w:iCs/>
          <w:szCs w:val="20"/>
          <w:lang w:eastAsia="sl-SI"/>
        </w:rPr>
        <w:t xml:space="preserve"> izpolnjuje pogoj glede elektro intenzivnosti.</w:t>
      </w:r>
    </w:p>
    <w:p w14:paraId="5785EF76" w14:textId="43964DC8" w:rsidR="00731973" w:rsidRPr="00731973" w:rsidRDefault="00731973" w:rsidP="00731973">
      <w:pPr>
        <w:spacing w:before="100" w:beforeAutospacing="1" w:after="100" w:afterAutospacing="1" w:line="240" w:lineRule="auto"/>
        <w:rPr>
          <w:rFonts w:eastAsia="Times New Roman" w:cs="Arial"/>
          <w:iCs/>
          <w:szCs w:val="20"/>
          <w:lang w:eastAsia="sl-SI"/>
        </w:rPr>
      </w:pPr>
      <w:r w:rsidRPr="00731973">
        <w:rPr>
          <w:rFonts w:eastAsia="Times New Roman" w:cs="Arial"/>
          <w:iCs/>
          <w:szCs w:val="20"/>
          <w:lang w:eastAsia="sl-SI"/>
        </w:rPr>
        <w:t>Analiza</w:t>
      </w:r>
      <w:r w:rsidR="009B4C5F">
        <w:rPr>
          <w:rFonts w:eastAsia="Times New Roman" w:cs="Arial"/>
          <w:iCs/>
          <w:szCs w:val="20"/>
          <w:lang w:eastAsia="sl-SI"/>
        </w:rPr>
        <w:t xml:space="preserve"> naročena s strani </w:t>
      </w:r>
      <w:r w:rsidR="00104641">
        <w:rPr>
          <w:rFonts w:eastAsia="Times New Roman" w:cs="Arial"/>
          <w:iCs/>
          <w:szCs w:val="20"/>
          <w:lang w:eastAsia="sl-SI"/>
        </w:rPr>
        <w:t xml:space="preserve">Ministrstva za gospodarstvo, turizem in šport (v nadaljnjem besedilu: </w:t>
      </w:r>
      <w:r w:rsidR="009B4C5F">
        <w:rPr>
          <w:rFonts w:eastAsia="Times New Roman" w:cs="Arial"/>
          <w:iCs/>
          <w:szCs w:val="20"/>
          <w:lang w:eastAsia="sl-SI"/>
        </w:rPr>
        <w:t>MGTŠ</w:t>
      </w:r>
      <w:r w:rsidR="00104641">
        <w:rPr>
          <w:rFonts w:eastAsia="Times New Roman" w:cs="Arial"/>
          <w:iCs/>
          <w:szCs w:val="20"/>
          <w:lang w:eastAsia="sl-SI"/>
        </w:rPr>
        <w:t>)</w:t>
      </w:r>
      <w:r w:rsidR="009B4C5F">
        <w:rPr>
          <w:rFonts w:eastAsia="Times New Roman" w:cs="Arial"/>
          <w:iCs/>
          <w:szCs w:val="20"/>
          <w:lang w:eastAsia="sl-SI"/>
        </w:rPr>
        <w:t xml:space="preserve"> je pokazala, da če </w:t>
      </w:r>
      <w:r w:rsidR="008779D6">
        <w:rPr>
          <w:rFonts w:eastAsia="Times New Roman" w:cs="Arial"/>
          <w:iCs/>
          <w:szCs w:val="20"/>
          <w:lang w:eastAsia="sl-SI"/>
        </w:rPr>
        <w:t xml:space="preserve">se </w:t>
      </w:r>
      <w:r w:rsidR="009B4C5F">
        <w:rPr>
          <w:rFonts w:eastAsia="Times New Roman" w:cs="Arial"/>
          <w:iCs/>
          <w:szCs w:val="20"/>
          <w:lang w:eastAsia="sl-SI"/>
        </w:rPr>
        <w:t xml:space="preserve">poleg kriterijev elektro in trgovinske intenzivnosti upošteva še </w:t>
      </w:r>
      <w:r w:rsidRPr="00731973">
        <w:rPr>
          <w:rFonts w:eastAsia="Times New Roman" w:cs="Arial"/>
          <w:iCs/>
          <w:szCs w:val="20"/>
          <w:lang w:eastAsia="sl-SI"/>
        </w:rPr>
        <w:t>dodatn</w:t>
      </w:r>
      <w:r w:rsidR="009B4C5F">
        <w:rPr>
          <w:rFonts w:eastAsia="Times New Roman" w:cs="Arial"/>
          <w:iCs/>
          <w:szCs w:val="20"/>
          <w:lang w:eastAsia="sl-SI"/>
        </w:rPr>
        <w:t>i</w:t>
      </w:r>
      <w:r w:rsidRPr="00731973">
        <w:rPr>
          <w:rFonts w:eastAsia="Times New Roman" w:cs="Arial"/>
          <w:iCs/>
          <w:szCs w:val="20"/>
          <w:lang w:eastAsia="sl-SI"/>
        </w:rPr>
        <w:t xml:space="preserve"> kriterij </w:t>
      </w:r>
      <w:r w:rsidR="008779D6">
        <w:rPr>
          <w:rFonts w:eastAsia="Times New Roman" w:cs="Arial"/>
          <w:iCs/>
          <w:szCs w:val="20"/>
          <w:lang w:eastAsia="sl-SI"/>
        </w:rPr>
        <w:t xml:space="preserve">z vidika </w:t>
      </w:r>
      <w:r w:rsidRPr="00731973">
        <w:rPr>
          <w:rFonts w:eastAsia="Times New Roman" w:cs="Arial"/>
          <w:iCs/>
          <w:szCs w:val="20"/>
          <w:lang w:eastAsia="sl-SI"/>
        </w:rPr>
        <w:t>vpliva dviga cen električne energije na poslovanje posameznega odjemalca elektrike</w:t>
      </w:r>
      <w:r w:rsidR="008779D6">
        <w:rPr>
          <w:rFonts w:eastAsia="Times New Roman" w:cs="Arial"/>
          <w:iCs/>
          <w:szCs w:val="20"/>
          <w:lang w:eastAsia="sl-SI"/>
        </w:rPr>
        <w:t xml:space="preserve">, ki se razbere skozi primerjavo izbranih </w:t>
      </w:r>
      <w:r w:rsidRPr="00731973">
        <w:rPr>
          <w:rFonts w:eastAsia="Times New Roman" w:cs="Arial"/>
          <w:iCs/>
          <w:szCs w:val="20"/>
          <w:lang w:eastAsia="sl-SI"/>
        </w:rPr>
        <w:t>indikatorjev poslovanja</w:t>
      </w:r>
      <w:r w:rsidR="008779D6">
        <w:rPr>
          <w:rFonts w:eastAsia="Times New Roman" w:cs="Arial"/>
          <w:iCs/>
          <w:szCs w:val="20"/>
          <w:lang w:eastAsia="sl-SI"/>
        </w:rPr>
        <w:t>, ki kažejo na</w:t>
      </w:r>
      <w:r w:rsidRPr="00731973">
        <w:rPr>
          <w:rFonts w:eastAsia="Times New Roman" w:cs="Arial"/>
          <w:iCs/>
          <w:szCs w:val="20"/>
          <w:lang w:eastAsia="sl-SI"/>
        </w:rPr>
        <w:t xml:space="preserve"> negativen vpliv na poslovanje v letu 2024 glede na 2021</w:t>
      </w:r>
      <w:r w:rsidR="008779D6">
        <w:rPr>
          <w:rFonts w:eastAsia="Times New Roman" w:cs="Arial"/>
          <w:iCs/>
          <w:szCs w:val="20"/>
          <w:lang w:eastAsia="sl-SI"/>
        </w:rPr>
        <w:t>, potem</w:t>
      </w:r>
      <w:r w:rsidRPr="00731973">
        <w:rPr>
          <w:rFonts w:eastAsia="Times New Roman" w:cs="Arial"/>
          <w:iCs/>
          <w:szCs w:val="20"/>
          <w:lang w:eastAsia="sl-SI"/>
        </w:rPr>
        <w:t xml:space="preserve"> spadajo med upravičene sektorje rudarstvo, proizvodnja tekstilij, lesnih izdelkov, papirja in kemikalij ter proizvodnja nekovinskih in kovinskih materialov, kovinskih izdelkov, električnih strojev in naprav in proizvodnja vozil. Med upravičene sektorje pa ne bi spadala podjetja v živilski industriji in farmaciji in v proizvodnji gumarskih in plastičnih izdelkov, saj so v teh dejavnostih (v povprečju) uspeli kljub energetski krizi ta stroškovni šok uspešno nadomestiti in izboljšati svoje poslovanje glede na leto 2021. Po podatkih za leto 2024 skupno število upravičenih podjetij do pomoči po kombinaciji teh kriterijev in ob upoštevanju 5 % elektro intenzivnosti znaša 38.</w:t>
      </w:r>
    </w:p>
    <w:p w14:paraId="484078C7" w14:textId="77777777" w:rsidR="00731973" w:rsidRPr="00731973" w:rsidRDefault="00731973" w:rsidP="00731973">
      <w:pPr>
        <w:spacing w:before="100" w:beforeAutospacing="1" w:after="100" w:afterAutospacing="1" w:line="240" w:lineRule="auto"/>
        <w:rPr>
          <w:rFonts w:eastAsia="Times New Roman" w:cs="Arial"/>
          <w:iCs/>
          <w:szCs w:val="20"/>
          <w:lang w:eastAsia="sl-SI"/>
        </w:rPr>
      </w:pPr>
      <w:r w:rsidRPr="00731973">
        <w:rPr>
          <w:rFonts w:eastAsia="Times New Roman" w:cs="Arial"/>
          <w:iCs/>
          <w:szCs w:val="20"/>
          <w:lang w:eastAsia="sl-SI"/>
        </w:rPr>
        <w:t>Kumulativna neposredna ekonomska škoda zaradi neukrepanja v obdobju 2022–2024 (na vzorcu upravičenih podjetij) je ocenjena na 2,2 milijarde EUR izgubljenih prihodkov od prodaje, 1,8 milijarde EUR izgubljenega izvoza, 1,2 milijarde EUR izgubljene dodane vrednosti in 2.000 izgubljenih delovnih mest.</w:t>
      </w:r>
    </w:p>
    <w:p w14:paraId="6C664E3F" w14:textId="77777777" w:rsidR="00731973" w:rsidRPr="00731973" w:rsidRDefault="00731973" w:rsidP="00731973">
      <w:pPr>
        <w:spacing w:before="100" w:beforeAutospacing="1" w:after="100" w:afterAutospacing="1" w:line="240" w:lineRule="auto"/>
        <w:rPr>
          <w:rFonts w:eastAsia="Times New Roman" w:cs="Arial"/>
          <w:iCs/>
          <w:szCs w:val="20"/>
          <w:lang w:eastAsia="sl-SI"/>
        </w:rPr>
      </w:pPr>
      <w:r w:rsidRPr="00731973">
        <w:rPr>
          <w:rFonts w:eastAsia="Times New Roman" w:cs="Arial"/>
          <w:iCs/>
          <w:szCs w:val="20"/>
          <w:lang w:eastAsia="sl-SI"/>
        </w:rPr>
        <w:t xml:space="preserve">Ocena učinkov v primeru nadaljevanja trenutnih trendov brez ukrepa v obdobju 2025-2027 (na vzorcu upravičenih podjetij) kaže na dodatno potencialno kumulativno izgubo do 1,3 milijarde EUR pri prodaji, 1 milijarde EUR pri izvozu, 0,5 milijarde EUR pri dodani vrednosti in 2.800 delovnih mest. </w:t>
      </w:r>
    </w:p>
    <w:p w14:paraId="2BD4AC91" w14:textId="314CAAC1" w:rsidR="00731973" w:rsidRPr="00731973" w:rsidRDefault="008779D6" w:rsidP="00731973">
      <w:pPr>
        <w:spacing w:before="100" w:beforeAutospacing="1" w:after="100" w:afterAutospacing="1" w:line="240" w:lineRule="auto"/>
        <w:rPr>
          <w:rFonts w:eastAsia="Times New Roman" w:cs="Arial"/>
          <w:iCs/>
          <w:szCs w:val="20"/>
          <w:lang w:eastAsia="sl-SI"/>
        </w:rPr>
      </w:pPr>
      <w:r>
        <w:rPr>
          <w:rFonts w:eastAsia="Times New Roman" w:cs="Arial"/>
          <w:iCs/>
          <w:szCs w:val="20"/>
          <w:lang w:eastAsia="sl-SI"/>
        </w:rPr>
        <w:t>Simulacija</w:t>
      </w:r>
      <w:r w:rsidR="00731973" w:rsidRPr="00731973">
        <w:rPr>
          <w:rFonts w:eastAsia="Times New Roman" w:cs="Arial"/>
          <w:iCs/>
          <w:szCs w:val="20"/>
          <w:lang w:eastAsia="sl-SI"/>
        </w:rPr>
        <w:t xml:space="preserve"> obseg</w:t>
      </w:r>
      <w:r>
        <w:rPr>
          <w:rFonts w:eastAsia="Times New Roman" w:cs="Arial"/>
          <w:iCs/>
          <w:szCs w:val="20"/>
          <w:lang w:eastAsia="sl-SI"/>
        </w:rPr>
        <w:t>a</w:t>
      </w:r>
      <w:r w:rsidR="00731973" w:rsidRPr="00731973">
        <w:rPr>
          <w:rFonts w:eastAsia="Times New Roman" w:cs="Arial"/>
          <w:iCs/>
          <w:szCs w:val="20"/>
          <w:lang w:eastAsia="sl-SI"/>
        </w:rPr>
        <w:t xml:space="preserve"> državne pomoči ob različnih višinah praga odjema električne energije (&gt;15 GWh ali &gt;20 GWh) in ob različnih višinah praga elektro intenzivnosti posameznih podjetij (v razponu med &gt;3 % in &gt;8 %)</w:t>
      </w:r>
      <w:r>
        <w:rPr>
          <w:rFonts w:eastAsia="Times New Roman" w:cs="Arial"/>
          <w:iCs/>
          <w:szCs w:val="20"/>
          <w:lang w:eastAsia="sl-SI"/>
        </w:rPr>
        <w:t xml:space="preserve"> je pokazala</w:t>
      </w:r>
      <w:r w:rsidR="00731973" w:rsidRPr="00731973">
        <w:rPr>
          <w:rFonts w:eastAsia="Times New Roman" w:cs="Arial"/>
          <w:iCs/>
          <w:szCs w:val="20"/>
          <w:lang w:eastAsia="sl-SI"/>
        </w:rPr>
        <w:t xml:space="preserve">, da bi uvedba sheme državne pomoči ob upoštevanju praga odjema električne energije &gt;15 GWh in &gt;5 % elektro intenzivnosti zajemala 38 upravičenih podjetij. Skupen obseg </w:t>
      </w:r>
      <w:r w:rsidR="00731973" w:rsidRPr="00731973">
        <w:rPr>
          <w:rFonts w:eastAsia="Times New Roman" w:cs="Arial"/>
          <w:iCs/>
          <w:szCs w:val="20"/>
          <w:lang w:eastAsia="sl-SI"/>
        </w:rPr>
        <w:lastRenderedPageBreak/>
        <w:t xml:space="preserve">subvencionirane porabe </w:t>
      </w:r>
      <w:r w:rsidR="00104641">
        <w:rPr>
          <w:rFonts w:eastAsia="Times New Roman" w:cs="Arial"/>
          <w:iCs/>
          <w:szCs w:val="20"/>
          <w:lang w:eastAsia="sl-SI"/>
        </w:rPr>
        <w:t>električne energije</w:t>
      </w:r>
      <w:r w:rsidR="00731973" w:rsidRPr="00731973">
        <w:rPr>
          <w:rFonts w:eastAsia="Times New Roman" w:cs="Arial"/>
          <w:iCs/>
          <w:szCs w:val="20"/>
          <w:lang w:eastAsia="sl-SI"/>
        </w:rPr>
        <w:t xml:space="preserve"> po zamejeni ceni (70 EUR/MWh) bi znašal 1,081 TWh električne energije letno in bi za državni proračun pomenila obveznost v višini 30 milijonov EUR letno. </w:t>
      </w:r>
    </w:p>
    <w:p w14:paraId="77939928" w14:textId="77777777" w:rsidR="00731973" w:rsidRPr="00731973" w:rsidRDefault="00731973" w:rsidP="00731973">
      <w:pPr>
        <w:spacing w:before="100" w:beforeAutospacing="1" w:after="100" w:afterAutospacing="1" w:line="240" w:lineRule="auto"/>
        <w:rPr>
          <w:rFonts w:eastAsia="Times New Roman" w:cs="Arial"/>
          <w:iCs/>
          <w:szCs w:val="20"/>
          <w:lang w:eastAsia="sl-SI"/>
        </w:rPr>
      </w:pPr>
      <w:r w:rsidRPr="00731973">
        <w:rPr>
          <w:rFonts w:eastAsia="Times New Roman" w:cs="Arial"/>
          <w:iCs/>
          <w:szCs w:val="20"/>
          <w:lang w:eastAsia="sl-SI"/>
        </w:rPr>
        <w:t>Modelske ocene kažejo, da bi kumulativni učinek od vladnega ukrepa v naslednjih treh letih na ravni celotnega gospodarstva lahko vplival na povečanje skupnih prihodkov in prihodkov od izvoza za 0.7 %, dodane vrednosti za 0.4 % in zaposlenosti za 0.4 %. Vrednostno (v cenah iz leta 2024) to pomeni, da bi zaradi vladnega ukrepa zamejitve cen električne energije za upravičene sektorje lahko prišlo do kumulativnega povečanja prihodkov od prodaje v višini za 840 mio EUR, prihodkov od izvoza za 410 mio EUR, dodane vrednosti za do 285 mio EUR in za okrog 110 novih delovnih mest v panogah, ki bodo deležne državne pomoči.</w:t>
      </w:r>
    </w:p>
    <w:p w14:paraId="611AED31" w14:textId="77777777" w:rsidR="00F341E0" w:rsidRPr="00467F12" w:rsidRDefault="00F341E0" w:rsidP="009F54B1">
      <w:pPr>
        <w:suppressAutoHyphens/>
        <w:overflowPunct w:val="0"/>
        <w:autoSpaceDE w:val="0"/>
        <w:autoSpaceDN w:val="0"/>
        <w:adjustRightInd w:val="0"/>
        <w:spacing w:after="0" w:line="260" w:lineRule="exact"/>
        <w:textAlignment w:val="baseline"/>
        <w:outlineLvl w:val="3"/>
        <w:rPr>
          <w:rFonts w:eastAsia="Times New Roman" w:cs="Arial"/>
          <w:iCs/>
          <w:szCs w:val="20"/>
          <w:lang w:eastAsia="sl-SI"/>
        </w:rPr>
      </w:pPr>
    </w:p>
    <w:p w14:paraId="11967B9B" w14:textId="77777777" w:rsidR="00467F12" w:rsidRDefault="00467F12"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
    <w:p w14:paraId="4F05A224" w14:textId="75B5F8E9"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2. CILJI, NAČELA IN POGLAVITNE REŠITVE PREDLOGA ZAKONA</w:t>
      </w:r>
    </w:p>
    <w:p w14:paraId="71663A05" w14:textId="77777777" w:rsidR="00F5378F" w:rsidRPr="00620790" w:rsidRDefault="00F5378F" w:rsidP="00ED6BA3">
      <w:pPr>
        <w:rPr>
          <w:rFonts w:eastAsia="Times New Roman"/>
          <w:lang w:eastAsia="sl-SI"/>
        </w:rPr>
      </w:pPr>
    </w:p>
    <w:p w14:paraId="37B1A50E" w14:textId="1B3E421E" w:rsidR="009F54B1"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2.1 Cilji</w:t>
      </w:r>
    </w:p>
    <w:p w14:paraId="56450165" w14:textId="7F9EDCFA" w:rsidR="00D25D04" w:rsidRDefault="00D25D04" w:rsidP="00484FB5">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4572FAD0" w14:textId="0CDE6A44" w:rsidR="00797896" w:rsidRPr="00797896" w:rsidRDefault="00797896" w:rsidP="00797896">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 xml:space="preserve">Glavni cilji </w:t>
      </w:r>
      <w:r w:rsidR="00104641">
        <w:rPr>
          <w:rFonts w:eastAsia="Times New Roman" w:cs="Arial"/>
          <w:szCs w:val="20"/>
          <w:lang w:eastAsia="sl-SI"/>
        </w:rPr>
        <w:t xml:space="preserve">predloga zakona </w:t>
      </w:r>
      <w:r w:rsidRPr="00797896">
        <w:rPr>
          <w:rFonts w:eastAsia="Times New Roman" w:cs="Arial"/>
          <w:szCs w:val="20"/>
          <w:lang w:eastAsia="sl-SI"/>
        </w:rPr>
        <w:t>so:</w:t>
      </w:r>
    </w:p>
    <w:p w14:paraId="670CCCD6" w14:textId="5D32AB44" w:rsidR="00797896" w:rsidRPr="00797896" w:rsidRDefault="00797896" w:rsidP="00797896">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1.</w:t>
      </w:r>
      <w:r>
        <w:rPr>
          <w:rFonts w:eastAsia="Times New Roman" w:cs="Arial"/>
          <w:szCs w:val="20"/>
          <w:lang w:eastAsia="sl-SI"/>
        </w:rPr>
        <w:t xml:space="preserve"> </w:t>
      </w:r>
      <w:r w:rsidRPr="00797896">
        <w:rPr>
          <w:rFonts w:eastAsia="Times New Roman" w:cs="Arial"/>
          <w:szCs w:val="20"/>
          <w:lang w:eastAsia="sl-SI"/>
        </w:rPr>
        <w:t>ohranitev mednarodne konkurenčnosti elektrointenzivnih podjetij v upravičenih sektorjih v Republiki Sloveniji v razmerah visokih in volatilnih cen električne energije,</w:t>
      </w:r>
    </w:p>
    <w:p w14:paraId="711B0E52" w14:textId="0A1A331E" w:rsidR="00797896" w:rsidRPr="00797896" w:rsidRDefault="00797896" w:rsidP="00797896">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2.</w:t>
      </w:r>
      <w:r>
        <w:rPr>
          <w:rFonts w:eastAsia="Times New Roman" w:cs="Arial"/>
          <w:szCs w:val="20"/>
          <w:lang w:eastAsia="sl-SI"/>
        </w:rPr>
        <w:t xml:space="preserve"> </w:t>
      </w:r>
      <w:r w:rsidRPr="00797896">
        <w:rPr>
          <w:rFonts w:eastAsia="Times New Roman" w:cs="Arial"/>
          <w:szCs w:val="20"/>
          <w:lang w:eastAsia="sl-SI"/>
        </w:rPr>
        <w:t>preprečevanje selitve proizvodnje in izgube delovnih mest v energetsko intenzivni industriji,</w:t>
      </w:r>
    </w:p>
    <w:p w14:paraId="3601652A" w14:textId="510AE907" w:rsidR="00797896" w:rsidRPr="00797896" w:rsidRDefault="00797896" w:rsidP="00797896">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3.</w:t>
      </w:r>
      <w:r>
        <w:rPr>
          <w:rFonts w:eastAsia="Times New Roman" w:cs="Arial"/>
          <w:szCs w:val="20"/>
          <w:lang w:eastAsia="sl-SI"/>
        </w:rPr>
        <w:t xml:space="preserve"> </w:t>
      </w:r>
      <w:r w:rsidRPr="00797896">
        <w:rPr>
          <w:rFonts w:eastAsia="Times New Roman" w:cs="Arial"/>
          <w:szCs w:val="20"/>
          <w:lang w:eastAsia="sl-SI"/>
        </w:rPr>
        <w:t>pospeševanje razogljičenja industrije z zavezo upravičencev, da vsaj polovico prejetih sredstev investirajo v naložbe v razogljičenje,</w:t>
      </w:r>
    </w:p>
    <w:p w14:paraId="6E92BC05" w14:textId="7CDBA38C" w:rsidR="00797896" w:rsidRPr="00797896" w:rsidRDefault="00797896" w:rsidP="00797896">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4.</w:t>
      </w:r>
      <w:r>
        <w:rPr>
          <w:rFonts w:eastAsia="Times New Roman" w:cs="Arial"/>
          <w:szCs w:val="20"/>
          <w:lang w:eastAsia="sl-SI"/>
        </w:rPr>
        <w:t xml:space="preserve"> </w:t>
      </w:r>
      <w:r w:rsidRPr="00797896">
        <w:rPr>
          <w:rFonts w:eastAsia="Times New Roman" w:cs="Arial"/>
          <w:szCs w:val="20"/>
          <w:lang w:eastAsia="sl-SI"/>
        </w:rPr>
        <w:t>učinkovita in ciljna uporaba omejenih sredstev, pri kateri se preprečuje prekomerno nadomestilo in dvojno financiranje,</w:t>
      </w:r>
    </w:p>
    <w:p w14:paraId="14F2C61B" w14:textId="2EADC637" w:rsidR="00797896" w:rsidRDefault="00797896" w:rsidP="00797896">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5.</w:t>
      </w:r>
      <w:r>
        <w:rPr>
          <w:rFonts w:eastAsia="Times New Roman" w:cs="Arial"/>
          <w:szCs w:val="20"/>
          <w:lang w:eastAsia="sl-SI"/>
        </w:rPr>
        <w:t xml:space="preserve"> </w:t>
      </w:r>
      <w:r w:rsidRPr="00797896">
        <w:rPr>
          <w:rFonts w:eastAsia="Times New Roman" w:cs="Arial"/>
          <w:szCs w:val="20"/>
          <w:lang w:eastAsia="sl-SI"/>
        </w:rPr>
        <w:t xml:space="preserve">zagotavljanje skladnosti z okvirom EU za državne pomoči, zlasti s CISAF in </w:t>
      </w:r>
      <w:r w:rsidR="00104641">
        <w:rPr>
          <w:rFonts w:eastAsia="Times New Roman" w:cs="Arial"/>
          <w:szCs w:val="20"/>
          <w:lang w:eastAsia="sl-SI"/>
        </w:rPr>
        <w:t>S</w:t>
      </w:r>
      <w:r w:rsidRPr="00797896">
        <w:rPr>
          <w:rFonts w:eastAsia="Times New Roman" w:cs="Arial"/>
          <w:szCs w:val="20"/>
          <w:lang w:eastAsia="sl-SI"/>
        </w:rPr>
        <w:t>mernicami</w:t>
      </w:r>
      <w:r w:rsidR="00104641">
        <w:rPr>
          <w:rFonts w:eastAsia="Times New Roman" w:cs="Arial"/>
          <w:szCs w:val="20"/>
          <w:lang w:eastAsia="sl-SI"/>
        </w:rPr>
        <w:t xml:space="preserve"> o državni pomoči za podnebje, varstvo okolja in energijo</w:t>
      </w:r>
      <w:r w:rsidRPr="00797896">
        <w:rPr>
          <w:rFonts w:eastAsia="Times New Roman" w:cs="Arial"/>
          <w:szCs w:val="20"/>
          <w:lang w:eastAsia="sl-SI"/>
        </w:rPr>
        <w:t xml:space="preserve"> </w:t>
      </w:r>
      <w:r w:rsidR="00104641">
        <w:rPr>
          <w:rFonts w:eastAsia="Times New Roman" w:cs="Arial"/>
          <w:szCs w:val="20"/>
          <w:lang w:eastAsia="sl-SI"/>
        </w:rPr>
        <w:t xml:space="preserve">(v nadaljnjem besedilu: </w:t>
      </w:r>
      <w:r w:rsidRPr="00797896">
        <w:rPr>
          <w:rFonts w:eastAsia="Times New Roman" w:cs="Arial"/>
          <w:szCs w:val="20"/>
          <w:lang w:eastAsia="sl-SI"/>
        </w:rPr>
        <w:t>CEEAG</w:t>
      </w:r>
      <w:r w:rsidR="00104641">
        <w:rPr>
          <w:rFonts w:eastAsia="Times New Roman" w:cs="Arial"/>
          <w:szCs w:val="20"/>
          <w:lang w:eastAsia="sl-SI"/>
        </w:rPr>
        <w:t>)</w:t>
      </w:r>
      <w:r w:rsidRPr="00797896">
        <w:rPr>
          <w:rFonts w:eastAsia="Times New Roman" w:cs="Arial"/>
          <w:szCs w:val="20"/>
          <w:lang w:eastAsia="sl-SI"/>
        </w:rPr>
        <w:t>.</w:t>
      </w:r>
    </w:p>
    <w:p w14:paraId="11A4116A" w14:textId="77777777" w:rsidR="00774888" w:rsidRDefault="00774888"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
    <w:p w14:paraId="68C22268" w14:textId="6F25A126"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bookmarkStart w:id="1" w:name="_Hlk196395800"/>
      <w:r w:rsidRPr="00620790">
        <w:rPr>
          <w:rFonts w:eastAsia="Times New Roman" w:cs="Arial"/>
          <w:b/>
          <w:szCs w:val="20"/>
          <w:lang w:eastAsia="sl-SI"/>
        </w:rPr>
        <w:t>2.2 Načela</w:t>
      </w:r>
    </w:p>
    <w:p w14:paraId="28635E50" w14:textId="5598609F" w:rsidR="00850A84" w:rsidRDefault="00850A84" w:rsidP="00CD2B23">
      <w:pPr>
        <w:spacing w:line="276" w:lineRule="auto"/>
        <w:contextualSpacing/>
        <w:rPr>
          <w:rFonts w:eastAsia="Times New Roman" w:cs="Arial"/>
          <w:szCs w:val="20"/>
        </w:rPr>
      </w:pPr>
    </w:p>
    <w:p w14:paraId="45F2609C" w14:textId="3DC461C9" w:rsidR="00797896" w:rsidRPr="00797896" w:rsidRDefault="00797896" w:rsidP="00797896">
      <w:pPr>
        <w:spacing w:line="276" w:lineRule="auto"/>
        <w:contextualSpacing/>
        <w:rPr>
          <w:rFonts w:eastAsia="Times New Roman" w:cs="Arial"/>
          <w:szCs w:val="20"/>
        </w:rPr>
      </w:pPr>
      <w:r>
        <w:rPr>
          <w:rFonts w:eastAsia="Times New Roman" w:cs="Arial"/>
          <w:szCs w:val="20"/>
        </w:rPr>
        <w:t xml:space="preserve">Predlog </w:t>
      </w:r>
      <w:r w:rsidR="00104641">
        <w:rPr>
          <w:rFonts w:eastAsia="Times New Roman" w:cs="Arial"/>
          <w:szCs w:val="20"/>
        </w:rPr>
        <w:t>z</w:t>
      </w:r>
      <w:r w:rsidRPr="00797896">
        <w:rPr>
          <w:rFonts w:eastAsia="Times New Roman" w:cs="Arial"/>
          <w:szCs w:val="20"/>
        </w:rPr>
        <w:t>akon</w:t>
      </w:r>
      <w:r>
        <w:rPr>
          <w:rFonts w:eastAsia="Times New Roman" w:cs="Arial"/>
          <w:szCs w:val="20"/>
        </w:rPr>
        <w:t>a</w:t>
      </w:r>
      <w:r w:rsidRPr="00797896">
        <w:rPr>
          <w:rFonts w:eastAsia="Times New Roman" w:cs="Arial"/>
          <w:szCs w:val="20"/>
        </w:rPr>
        <w:t xml:space="preserve"> temelji na naslednjih načelih:</w:t>
      </w:r>
    </w:p>
    <w:p w14:paraId="7E71284B" w14:textId="4D4A5FB3" w:rsidR="00797896" w:rsidRPr="00797896" w:rsidRDefault="00797896" w:rsidP="00797896">
      <w:pPr>
        <w:spacing w:line="276" w:lineRule="auto"/>
        <w:contextualSpacing/>
        <w:rPr>
          <w:rFonts w:eastAsia="Times New Roman" w:cs="Arial"/>
          <w:szCs w:val="20"/>
        </w:rPr>
      </w:pPr>
      <w:r w:rsidRPr="00797896">
        <w:rPr>
          <w:rFonts w:eastAsia="Times New Roman" w:cs="Arial"/>
          <w:szCs w:val="20"/>
        </w:rPr>
        <w:t>•</w:t>
      </w:r>
      <w:r>
        <w:rPr>
          <w:rFonts w:eastAsia="Times New Roman" w:cs="Arial"/>
          <w:szCs w:val="20"/>
        </w:rPr>
        <w:t xml:space="preserve"> </w:t>
      </w:r>
      <w:r w:rsidRPr="00797896">
        <w:rPr>
          <w:rFonts w:eastAsia="Times New Roman" w:cs="Arial"/>
          <w:szCs w:val="20"/>
        </w:rPr>
        <w:t>načelo ciljne usmerjenosti – pomoč je omejena na elektrointenzivna podjetja v upravičenih sektorjih, za katera je dokazano, da stroški električne energije pomembno vplivajo na njihovo konkurenčnost;</w:t>
      </w:r>
    </w:p>
    <w:p w14:paraId="5623CD77" w14:textId="563DE70F" w:rsidR="00797896" w:rsidRPr="00797896" w:rsidRDefault="00797896" w:rsidP="00797896">
      <w:pPr>
        <w:spacing w:line="276" w:lineRule="auto"/>
        <w:contextualSpacing/>
        <w:rPr>
          <w:rFonts w:eastAsia="Times New Roman" w:cs="Arial"/>
          <w:szCs w:val="20"/>
        </w:rPr>
      </w:pPr>
      <w:r w:rsidRPr="00797896">
        <w:rPr>
          <w:rFonts w:eastAsia="Times New Roman" w:cs="Arial"/>
          <w:szCs w:val="20"/>
        </w:rPr>
        <w:t>•</w:t>
      </w:r>
      <w:r>
        <w:rPr>
          <w:rFonts w:eastAsia="Times New Roman" w:cs="Arial"/>
          <w:szCs w:val="20"/>
        </w:rPr>
        <w:t xml:space="preserve"> </w:t>
      </w:r>
      <w:r w:rsidRPr="00797896">
        <w:rPr>
          <w:rFonts w:eastAsia="Times New Roman" w:cs="Arial"/>
          <w:szCs w:val="20"/>
        </w:rPr>
        <w:t>načelo časovne omejenosti – ukrep je omejen na obdobje porabe električne energije v letih 2026–2028, zakon pa se uporablja do zaključka poračunov in poročanja;</w:t>
      </w:r>
    </w:p>
    <w:p w14:paraId="368E30C3" w14:textId="6FBD2492" w:rsidR="00797896" w:rsidRPr="00797896" w:rsidRDefault="00797896" w:rsidP="00797896">
      <w:pPr>
        <w:spacing w:line="276" w:lineRule="auto"/>
        <w:contextualSpacing/>
        <w:rPr>
          <w:rFonts w:eastAsia="Times New Roman" w:cs="Arial"/>
          <w:szCs w:val="20"/>
        </w:rPr>
      </w:pPr>
      <w:r w:rsidRPr="00797896">
        <w:rPr>
          <w:rFonts w:eastAsia="Times New Roman" w:cs="Arial"/>
          <w:szCs w:val="20"/>
        </w:rPr>
        <w:t>•</w:t>
      </w:r>
      <w:r>
        <w:rPr>
          <w:rFonts w:eastAsia="Times New Roman" w:cs="Arial"/>
          <w:szCs w:val="20"/>
        </w:rPr>
        <w:t xml:space="preserve"> </w:t>
      </w:r>
      <w:r w:rsidRPr="00797896">
        <w:rPr>
          <w:rFonts w:eastAsia="Times New Roman" w:cs="Arial"/>
          <w:szCs w:val="20"/>
        </w:rPr>
        <w:t>načelo pogojenosti – dodelitev spodbud je pogojena z izpolnjevanjem meril elektrointenzivnosti, ustreznim energetskim upravljanjem in izvedbo naložb v razogljičenje;</w:t>
      </w:r>
    </w:p>
    <w:p w14:paraId="07F17D36" w14:textId="5D37B48C" w:rsidR="00797896" w:rsidRPr="00797896" w:rsidRDefault="00797896" w:rsidP="00797896">
      <w:pPr>
        <w:spacing w:line="276" w:lineRule="auto"/>
        <w:contextualSpacing/>
        <w:rPr>
          <w:rFonts w:eastAsia="Times New Roman" w:cs="Arial"/>
          <w:szCs w:val="20"/>
        </w:rPr>
      </w:pPr>
      <w:r w:rsidRPr="00797896">
        <w:rPr>
          <w:rFonts w:eastAsia="Times New Roman" w:cs="Arial"/>
          <w:szCs w:val="20"/>
        </w:rPr>
        <w:t>•</w:t>
      </w:r>
      <w:r>
        <w:rPr>
          <w:rFonts w:eastAsia="Times New Roman" w:cs="Arial"/>
          <w:szCs w:val="20"/>
        </w:rPr>
        <w:t xml:space="preserve"> </w:t>
      </w:r>
      <w:r w:rsidRPr="00797896">
        <w:rPr>
          <w:rFonts w:eastAsia="Times New Roman" w:cs="Arial"/>
          <w:szCs w:val="20"/>
        </w:rPr>
        <w:t>načelo razogljičenja – najmanj 50 % prejetih sredstev morajo upravičenci investirati v naložbe z neposrednim učinkom na zmanjšanje emisij toplogrednih plinov in porabe fosilnih goriv;</w:t>
      </w:r>
    </w:p>
    <w:p w14:paraId="565D4853" w14:textId="1B727B35" w:rsidR="00797896" w:rsidRPr="00797896" w:rsidRDefault="00797896" w:rsidP="00797896">
      <w:pPr>
        <w:spacing w:line="276" w:lineRule="auto"/>
        <w:contextualSpacing/>
        <w:rPr>
          <w:rFonts w:eastAsia="Times New Roman" w:cs="Arial"/>
          <w:szCs w:val="20"/>
        </w:rPr>
      </w:pPr>
      <w:r w:rsidRPr="00797896">
        <w:rPr>
          <w:rFonts w:eastAsia="Times New Roman" w:cs="Arial"/>
          <w:szCs w:val="20"/>
        </w:rPr>
        <w:t>•</w:t>
      </w:r>
      <w:r>
        <w:rPr>
          <w:rFonts w:eastAsia="Times New Roman" w:cs="Arial"/>
          <w:szCs w:val="20"/>
        </w:rPr>
        <w:t xml:space="preserve"> </w:t>
      </w:r>
      <w:r w:rsidRPr="00797896">
        <w:rPr>
          <w:rFonts w:eastAsia="Times New Roman" w:cs="Arial"/>
          <w:szCs w:val="20"/>
        </w:rPr>
        <w:t>načelo preprečevanja prekomernega nadomestila – z zakonskimi omejitvami višine spodbude, minimalno ceno električne energije in upoštevanjem drugih oblik pomoči se preprečuje prekomerno nadomestilo;</w:t>
      </w:r>
    </w:p>
    <w:p w14:paraId="6DFE6271" w14:textId="59A6539D" w:rsidR="00797896" w:rsidRDefault="00797896" w:rsidP="00797896">
      <w:pPr>
        <w:spacing w:line="276" w:lineRule="auto"/>
        <w:contextualSpacing/>
        <w:rPr>
          <w:rFonts w:eastAsia="Times New Roman" w:cs="Arial"/>
          <w:szCs w:val="20"/>
        </w:rPr>
      </w:pPr>
      <w:r w:rsidRPr="00797896">
        <w:rPr>
          <w:rFonts w:eastAsia="Times New Roman" w:cs="Arial"/>
          <w:szCs w:val="20"/>
        </w:rPr>
        <w:t>•</w:t>
      </w:r>
      <w:r>
        <w:rPr>
          <w:rFonts w:eastAsia="Times New Roman" w:cs="Arial"/>
          <w:szCs w:val="20"/>
        </w:rPr>
        <w:t xml:space="preserve"> </w:t>
      </w:r>
      <w:r w:rsidRPr="00797896">
        <w:rPr>
          <w:rFonts w:eastAsia="Times New Roman" w:cs="Arial"/>
          <w:szCs w:val="20"/>
        </w:rPr>
        <w:t>načelo preglednosti in odgovornosti – določa se obveznost poročanja, objave podatkov o prejemnikih in zneskih pomoči ter nadzora nad namensko porabo sredstev.</w:t>
      </w:r>
    </w:p>
    <w:p w14:paraId="323087D4" w14:textId="77777777" w:rsidR="00797896" w:rsidRPr="00620790" w:rsidRDefault="00797896" w:rsidP="00CD2B23">
      <w:pPr>
        <w:spacing w:line="276" w:lineRule="auto"/>
        <w:contextualSpacing/>
        <w:rPr>
          <w:rFonts w:eastAsia="Times New Roman" w:cs="Arial"/>
          <w:szCs w:val="20"/>
        </w:rPr>
      </w:pPr>
    </w:p>
    <w:bookmarkEnd w:id="1"/>
    <w:p w14:paraId="02DECD09" w14:textId="36EDD81B" w:rsidR="009F54B1" w:rsidRPr="00620790" w:rsidRDefault="00F5378F" w:rsidP="00F5378F">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 xml:space="preserve">2.3 </w:t>
      </w:r>
      <w:r w:rsidR="009F54B1" w:rsidRPr="00620790">
        <w:rPr>
          <w:rFonts w:eastAsia="Times New Roman" w:cs="Arial"/>
          <w:b/>
          <w:szCs w:val="20"/>
          <w:lang w:eastAsia="sl-SI"/>
        </w:rPr>
        <w:t>Poglavitne rešitve</w:t>
      </w:r>
    </w:p>
    <w:p w14:paraId="7C4F3C5B" w14:textId="77777777" w:rsidR="00F5378F" w:rsidRPr="00620790" w:rsidRDefault="00F5378F" w:rsidP="00F5378F">
      <w:pPr>
        <w:rPr>
          <w:rFonts w:eastAsia="Times New Roman" w:cs="Arial"/>
          <w:szCs w:val="20"/>
          <w:lang w:eastAsia="sl-SI"/>
        </w:rPr>
      </w:pPr>
    </w:p>
    <w:p w14:paraId="7312D39A" w14:textId="2F830C3C" w:rsidR="003F670C" w:rsidRPr="00620790" w:rsidRDefault="00D2648D" w:rsidP="000C21B9">
      <w:pPr>
        <w:overflowPunct w:val="0"/>
        <w:autoSpaceDE w:val="0"/>
        <w:autoSpaceDN w:val="0"/>
        <w:adjustRightInd w:val="0"/>
        <w:ind w:left="360" w:hanging="360"/>
        <w:textAlignment w:val="baseline"/>
        <w:rPr>
          <w:rFonts w:eastAsia="Times New Roman" w:cs="Arial"/>
          <w:b/>
          <w:szCs w:val="20"/>
          <w:lang w:eastAsia="sl-SI"/>
        </w:rPr>
      </w:pPr>
      <w:r w:rsidRPr="00620790">
        <w:rPr>
          <w:rFonts w:eastAsia="Times New Roman" w:cs="Arial"/>
          <w:b/>
          <w:szCs w:val="20"/>
          <w:lang w:eastAsia="sl-SI"/>
        </w:rPr>
        <w:t xml:space="preserve">a) </w:t>
      </w:r>
      <w:r w:rsidR="009F54B1" w:rsidRPr="00620790">
        <w:rPr>
          <w:rFonts w:eastAsia="Times New Roman" w:cs="Arial"/>
          <w:b/>
          <w:szCs w:val="20"/>
          <w:lang w:eastAsia="sl-SI"/>
        </w:rPr>
        <w:t>Predstavitev predlaganih rešitev:</w:t>
      </w:r>
    </w:p>
    <w:p w14:paraId="10E0F230" w14:textId="77777777" w:rsidR="00797896" w:rsidRPr="00797896" w:rsidRDefault="00797896" w:rsidP="00797896">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Poglavitne rešitve zakona so:</w:t>
      </w:r>
    </w:p>
    <w:p w14:paraId="20B7E3AC" w14:textId="2F00A57E" w:rsidR="00797896" w:rsidRPr="00797896" w:rsidRDefault="00797896" w:rsidP="00797896">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lastRenderedPageBreak/>
        <w:t>•</w:t>
      </w:r>
      <w:r>
        <w:rPr>
          <w:rFonts w:eastAsia="Times New Roman" w:cs="Arial"/>
          <w:szCs w:val="20"/>
          <w:lang w:eastAsia="sl-SI"/>
        </w:rPr>
        <w:t xml:space="preserve"> </w:t>
      </w:r>
      <w:r w:rsidRPr="00797896">
        <w:rPr>
          <w:rFonts w:eastAsia="Times New Roman" w:cs="Arial"/>
          <w:szCs w:val="20"/>
          <w:lang w:eastAsia="sl-SI"/>
        </w:rPr>
        <w:t>opredelitev elektrointenzivnih podjetij in upravičenih sektorjev na podlagi razmerja med stroški električne energije in dodano vrednostjo ter s sklicevanjem na prilogo smernic CEEAG oziroma dodatne odločitve Evropske komisije v okviru CISAF,</w:t>
      </w:r>
    </w:p>
    <w:p w14:paraId="49A5F4DB" w14:textId="23D1C1F9" w:rsidR="00797896" w:rsidRPr="00797896" w:rsidRDefault="00797896" w:rsidP="00797896">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w:t>
      </w:r>
      <w:r>
        <w:rPr>
          <w:rFonts w:eastAsia="Times New Roman" w:cs="Arial"/>
          <w:szCs w:val="20"/>
          <w:lang w:eastAsia="sl-SI"/>
        </w:rPr>
        <w:t xml:space="preserve"> </w:t>
      </w:r>
      <w:r w:rsidRPr="00797896">
        <w:rPr>
          <w:rFonts w:eastAsia="Times New Roman" w:cs="Arial"/>
          <w:szCs w:val="20"/>
          <w:lang w:eastAsia="sl-SI"/>
        </w:rPr>
        <w:t>določitev upravičencev z minimalno letno porabo električne energije 15 GWh, najmanj 5 % deležem stroškov električne energije v dodani vrednosti in uvedenim sistemom upravljanja z energijo (npr. ISO 50001),</w:t>
      </w:r>
    </w:p>
    <w:p w14:paraId="7EAF5850" w14:textId="66599BB2" w:rsidR="00797896" w:rsidRPr="00797896" w:rsidRDefault="00797896" w:rsidP="00797896">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w:t>
      </w:r>
      <w:r>
        <w:rPr>
          <w:rFonts w:eastAsia="Times New Roman" w:cs="Arial"/>
          <w:szCs w:val="20"/>
          <w:lang w:eastAsia="sl-SI"/>
        </w:rPr>
        <w:t xml:space="preserve"> </w:t>
      </w:r>
      <w:r w:rsidRPr="00797896">
        <w:rPr>
          <w:rFonts w:eastAsia="Times New Roman" w:cs="Arial"/>
          <w:szCs w:val="20"/>
          <w:lang w:eastAsia="sl-SI"/>
        </w:rPr>
        <w:t>določitev referenčne tržne cene električne energije na podlagi povprečja zadnjih dvanajstih mesečnih cen produkta »EEX-PXE Slovenian Power Base Year Future« za posamezno leto,</w:t>
      </w:r>
    </w:p>
    <w:p w14:paraId="27DBDE57" w14:textId="038A951A" w:rsidR="00797896" w:rsidRPr="00797896" w:rsidRDefault="00797896" w:rsidP="00797896">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w:t>
      </w:r>
      <w:r>
        <w:rPr>
          <w:rFonts w:eastAsia="Times New Roman" w:cs="Arial"/>
          <w:szCs w:val="20"/>
          <w:lang w:eastAsia="sl-SI"/>
        </w:rPr>
        <w:t xml:space="preserve"> </w:t>
      </w:r>
      <w:r w:rsidRPr="00797896">
        <w:rPr>
          <w:rFonts w:eastAsia="Times New Roman" w:cs="Arial"/>
          <w:szCs w:val="20"/>
          <w:lang w:eastAsia="sl-SI"/>
        </w:rPr>
        <w:t>omejitev intenzivnosti spodbude na največ 50 % stroškov napovedane porabe električne energije, z dodatnimi varovalkami:</w:t>
      </w:r>
    </w:p>
    <w:p w14:paraId="38ED6B06" w14:textId="5B55356C" w:rsidR="00797896" w:rsidRPr="00797896" w:rsidRDefault="00797896" w:rsidP="00797896">
      <w:pPr>
        <w:pStyle w:val="Odstavekseznama"/>
        <w:numPr>
          <w:ilvl w:val="0"/>
          <w:numId w:val="50"/>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da stroški električne energije po prejemu spodbude ne smejo pasti pod 50 % stroškov, ki bi nastali pri referenčni tržni ceni,</w:t>
      </w:r>
    </w:p>
    <w:p w14:paraId="072FA099" w14:textId="6C5E538E" w:rsidR="00797896" w:rsidRPr="00797896" w:rsidRDefault="00797896" w:rsidP="00797896">
      <w:pPr>
        <w:pStyle w:val="Odstavekseznama"/>
        <w:numPr>
          <w:ilvl w:val="0"/>
          <w:numId w:val="50"/>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da povprečni strošek električne energije ne sme biti nižji od 50 EUR/MWh,</w:t>
      </w:r>
    </w:p>
    <w:p w14:paraId="4930B1C6" w14:textId="32489B19" w:rsidR="00797896" w:rsidRPr="00797896" w:rsidRDefault="00797896" w:rsidP="00797896">
      <w:pPr>
        <w:pStyle w:val="Odstavekseznama"/>
        <w:numPr>
          <w:ilvl w:val="0"/>
          <w:numId w:val="50"/>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da se upošteva vpliv vseh drugih oblik pomoči za blaženje visokih stroškov električne energije,</w:t>
      </w:r>
    </w:p>
    <w:p w14:paraId="6C20C880" w14:textId="1FEAA969" w:rsidR="00797896" w:rsidRPr="00797896" w:rsidRDefault="00797896" w:rsidP="00797896">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w:t>
      </w:r>
      <w:r>
        <w:rPr>
          <w:rFonts w:eastAsia="Times New Roman" w:cs="Arial"/>
          <w:szCs w:val="20"/>
          <w:lang w:eastAsia="sl-SI"/>
        </w:rPr>
        <w:t xml:space="preserve"> </w:t>
      </w:r>
      <w:r w:rsidRPr="00797896">
        <w:rPr>
          <w:rFonts w:eastAsia="Times New Roman" w:cs="Arial"/>
          <w:szCs w:val="20"/>
          <w:lang w:eastAsia="sl-SI"/>
        </w:rPr>
        <w:t>povezava pomoči z naložbami v razogljičenje, pri čemer morajo upravičenci najmanj 50 % prejetih sredstev uporabiti za naložbe v:</w:t>
      </w:r>
    </w:p>
    <w:p w14:paraId="40B8D2F5" w14:textId="4D21995C" w:rsidR="00797896" w:rsidRPr="00797896" w:rsidRDefault="00797896" w:rsidP="00797896">
      <w:pPr>
        <w:pStyle w:val="Odstavekseznama"/>
        <w:numPr>
          <w:ilvl w:val="0"/>
          <w:numId w:val="51"/>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proizvodnjo energije iz obnovljivih virov,</w:t>
      </w:r>
    </w:p>
    <w:p w14:paraId="0D81CF9B" w14:textId="6D26AA2E" w:rsidR="00797896" w:rsidRPr="00797896" w:rsidRDefault="00797896" w:rsidP="00797896">
      <w:pPr>
        <w:pStyle w:val="Odstavekseznama"/>
        <w:numPr>
          <w:ilvl w:val="0"/>
          <w:numId w:val="51"/>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shranjevanje energije,</w:t>
      </w:r>
    </w:p>
    <w:p w14:paraId="4806358A" w14:textId="791C7C64" w:rsidR="00797896" w:rsidRPr="00797896" w:rsidRDefault="00797896" w:rsidP="00797896">
      <w:pPr>
        <w:pStyle w:val="Odstavekseznama"/>
        <w:numPr>
          <w:ilvl w:val="0"/>
          <w:numId w:val="51"/>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prožnost na strani odjema,</w:t>
      </w:r>
    </w:p>
    <w:p w14:paraId="3140CCDF" w14:textId="3DB165C2" w:rsidR="00797896" w:rsidRPr="00797896" w:rsidRDefault="00797896" w:rsidP="00797896">
      <w:pPr>
        <w:pStyle w:val="Odstavekseznama"/>
        <w:numPr>
          <w:ilvl w:val="0"/>
          <w:numId w:val="51"/>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energetsko učinkovitost,</w:t>
      </w:r>
    </w:p>
    <w:p w14:paraId="1E004368" w14:textId="75155F84" w:rsidR="00797896" w:rsidRPr="00797896" w:rsidRDefault="00797896" w:rsidP="00797896">
      <w:pPr>
        <w:pStyle w:val="Odstavekseznama"/>
        <w:numPr>
          <w:ilvl w:val="0"/>
          <w:numId w:val="51"/>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proizvodnjo obnovljivega ali nizkoogljičnega vodika,</w:t>
      </w:r>
    </w:p>
    <w:p w14:paraId="0B26AFB2" w14:textId="6A902419" w:rsidR="00797896" w:rsidRPr="00797896" w:rsidRDefault="00797896" w:rsidP="00797896">
      <w:pPr>
        <w:pStyle w:val="Odstavekseznama"/>
        <w:numPr>
          <w:ilvl w:val="0"/>
          <w:numId w:val="51"/>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elektrifikacijo procesov z nadomeščanjem fosilnih goriv,</w:t>
      </w:r>
    </w:p>
    <w:p w14:paraId="662EFB01" w14:textId="5E5008CD" w:rsidR="00797896" w:rsidRPr="00797896" w:rsidRDefault="00797896" w:rsidP="00797896">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w:t>
      </w:r>
      <w:r>
        <w:rPr>
          <w:rFonts w:eastAsia="Times New Roman" w:cs="Arial"/>
          <w:szCs w:val="20"/>
          <w:lang w:eastAsia="sl-SI"/>
        </w:rPr>
        <w:t xml:space="preserve"> </w:t>
      </w:r>
      <w:r w:rsidRPr="00797896">
        <w:rPr>
          <w:rFonts w:eastAsia="Times New Roman" w:cs="Arial"/>
          <w:szCs w:val="20"/>
          <w:lang w:eastAsia="sl-SI"/>
        </w:rPr>
        <w:t>jasno urejen postopek javnega poziva, vloge in odločanja:</w:t>
      </w:r>
    </w:p>
    <w:p w14:paraId="3360502C" w14:textId="102B54A3" w:rsidR="00797896" w:rsidRPr="00797896" w:rsidRDefault="00797896" w:rsidP="00797896">
      <w:pPr>
        <w:pStyle w:val="Odstavekseznama"/>
        <w:numPr>
          <w:ilvl w:val="0"/>
          <w:numId w:val="52"/>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letni javni poziv do 31. januarja,</w:t>
      </w:r>
    </w:p>
    <w:p w14:paraId="10F076AA" w14:textId="1250D73D" w:rsidR="00797896" w:rsidRPr="00797896" w:rsidRDefault="00797896" w:rsidP="00797896">
      <w:pPr>
        <w:pStyle w:val="Odstavekseznama"/>
        <w:numPr>
          <w:ilvl w:val="0"/>
          <w:numId w:val="52"/>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natančno opredeljena vsebina vloge in dokazil,</w:t>
      </w:r>
    </w:p>
    <w:p w14:paraId="74050097" w14:textId="27CAD90E" w:rsidR="00797896" w:rsidRPr="00797896" w:rsidRDefault="00797896" w:rsidP="00797896">
      <w:pPr>
        <w:pStyle w:val="Odstavekseznama"/>
        <w:numPr>
          <w:ilvl w:val="0"/>
          <w:numId w:val="52"/>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odločanje operaterja trga z odločbo z določeno najvišjo letno spodbudo,</w:t>
      </w:r>
    </w:p>
    <w:p w14:paraId="7EF4A0D4" w14:textId="0BA82771" w:rsidR="00797896" w:rsidRPr="00797896" w:rsidRDefault="00797896" w:rsidP="00797896">
      <w:pPr>
        <w:pStyle w:val="Odstavekseznama"/>
        <w:numPr>
          <w:ilvl w:val="0"/>
          <w:numId w:val="52"/>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izplačevanje v obliki akontacij in poračun na podlagi dejanske porabe in poročanja,</w:t>
      </w:r>
    </w:p>
    <w:p w14:paraId="09CAEE83" w14:textId="40609E9A" w:rsidR="00797896" w:rsidRPr="00797896" w:rsidRDefault="00797896" w:rsidP="00797896">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w:t>
      </w:r>
      <w:r>
        <w:rPr>
          <w:rFonts w:eastAsia="Times New Roman" w:cs="Arial"/>
          <w:szCs w:val="20"/>
          <w:lang w:eastAsia="sl-SI"/>
        </w:rPr>
        <w:t xml:space="preserve"> </w:t>
      </w:r>
      <w:r w:rsidRPr="00797896">
        <w:rPr>
          <w:rFonts w:eastAsia="Times New Roman" w:cs="Arial"/>
          <w:szCs w:val="20"/>
          <w:lang w:eastAsia="sl-SI"/>
        </w:rPr>
        <w:t>zagotavljanje virov sredstev s posebno obveznostjo družb v 100 % lasti države, ki imajo v lasti elektrarne s skupno močjo nad 400 MW, da v skladu s sklepom vlade zagotavljajo finančna sredstva za spodbude in stroške operaterja trga,</w:t>
      </w:r>
    </w:p>
    <w:p w14:paraId="492CD70E" w14:textId="0F5DF264" w:rsidR="00797896" w:rsidRPr="00797896" w:rsidRDefault="00797896" w:rsidP="00797896">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w:t>
      </w:r>
      <w:r>
        <w:rPr>
          <w:rFonts w:eastAsia="Times New Roman" w:cs="Arial"/>
          <w:szCs w:val="20"/>
          <w:lang w:eastAsia="sl-SI"/>
        </w:rPr>
        <w:t xml:space="preserve"> </w:t>
      </w:r>
      <w:r w:rsidRPr="00797896">
        <w:rPr>
          <w:rFonts w:eastAsia="Times New Roman" w:cs="Arial"/>
          <w:szCs w:val="20"/>
          <w:lang w:eastAsia="sl-SI"/>
        </w:rPr>
        <w:t>obveznosti poročanja in nadzora, vključno z:</w:t>
      </w:r>
    </w:p>
    <w:p w14:paraId="58430828" w14:textId="4F642EB9" w:rsidR="00797896" w:rsidRPr="00797896" w:rsidRDefault="00797896" w:rsidP="00797896">
      <w:pPr>
        <w:pStyle w:val="Odstavekseznama"/>
        <w:numPr>
          <w:ilvl w:val="0"/>
          <w:numId w:val="53"/>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letnim poročanjem upravičencev operaterju trga o porabi električne energije in o izvedbi naložb v razogljičenje,</w:t>
      </w:r>
    </w:p>
    <w:p w14:paraId="1E9CB8BB" w14:textId="1D86B429" w:rsidR="00797896" w:rsidRPr="00797896" w:rsidRDefault="00797896" w:rsidP="00797896">
      <w:pPr>
        <w:pStyle w:val="Odstavekseznama"/>
        <w:numPr>
          <w:ilvl w:val="0"/>
          <w:numId w:val="53"/>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vodenjem evidenc in objavo podatkov o prejemnikih ter zneskih spodbud,</w:t>
      </w:r>
    </w:p>
    <w:p w14:paraId="7D679B5F" w14:textId="2E511027" w:rsidR="00797896" w:rsidRPr="00797896" w:rsidRDefault="00797896" w:rsidP="00797896">
      <w:pPr>
        <w:pStyle w:val="Odstavekseznama"/>
        <w:numPr>
          <w:ilvl w:val="0"/>
          <w:numId w:val="53"/>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nadzorom s strani pristojne inšpekcije,</w:t>
      </w:r>
    </w:p>
    <w:p w14:paraId="33CA9323" w14:textId="5E29735A" w:rsidR="005430AC" w:rsidRDefault="00797896" w:rsidP="00797896">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797896">
        <w:rPr>
          <w:rFonts w:eastAsia="Times New Roman" w:cs="Arial"/>
          <w:szCs w:val="20"/>
          <w:lang w:eastAsia="sl-SI"/>
        </w:rPr>
        <w:t>•</w:t>
      </w:r>
      <w:r>
        <w:rPr>
          <w:rFonts w:eastAsia="Times New Roman" w:cs="Arial"/>
          <w:szCs w:val="20"/>
          <w:lang w:eastAsia="sl-SI"/>
        </w:rPr>
        <w:t xml:space="preserve"> </w:t>
      </w:r>
      <w:r w:rsidRPr="00797896">
        <w:rPr>
          <w:rFonts w:eastAsia="Times New Roman" w:cs="Arial"/>
          <w:szCs w:val="20"/>
          <w:lang w:eastAsia="sl-SI"/>
        </w:rPr>
        <w:t>sankcije in vračila v primeru neresničnih podatkov, neizpolnjevanja pogojev ali neizvedbe naložb v razogljičenje, vključno z obveznostjo vračila neupravičeno prejetih sredstev z zamudnimi obrestmi in predpisom prekrškov.</w:t>
      </w:r>
    </w:p>
    <w:p w14:paraId="78B1977C" w14:textId="77777777" w:rsidR="00797896" w:rsidRPr="009B551B" w:rsidRDefault="00797896" w:rsidP="005430AC">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2B98F27C" w14:textId="0B66EA06" w:rsidR="009F54B1" w:rsidRDefault="00D2648D" w:rsidP="009F54B1">
      <w:pPr>
        <w:overflowPunct w:val="0"/>
        <w:autoSpaceDE w:val="0"/>
        <w:autoSpaceDN w:val="0"/>
        <w:adjustRightInd w:val="0"/>
        <w:spacing w:line="276" w:lineRule="auto"/>
        <w:ind w:left="360" w:hanging="360"/>
        <w:textAlignment w:val="baseline"/>
        <w:rPr>
          <w:rFonts w:eastAsia="Times New Roman" w:cs="Arial"/>
          <w:b/>
          <w:szCs w:val="20"/>
          <w:lang w:eastAsia="sl-SI"/>
        </w:rPr>
      </w:pPr>
      <w:r w:rsidRPr="00620790">
        <w:rPr>
          <w:rFonts w:eastAsia="Times New Roman" w:cs="Arial"/>
          <w:b/>
          <w:szCs w:val="20"/>
          <w:lang w:eastAsia="sl-SI"/>
        </w:rPr>
        <w:t xml:space="preserve">b) </w:t>
      </w:r>
      <w:r w:rsidR="009F54B1" w:rsidRPr="00620790">
        <w:rPr>
          <w:rFonts w:eastAsia="Times New Roman" w:cs="Arial"/>
          <w:b/>
          <w:szCs w:val="20"/>
          <w:lang w:eastAsia="sl-SI"/>
        </w:rPr>
        <w:t>Način reševanja:</w:t>
      </w:r>
    </w:p>
    <w:p w14:paraId="64565220" w14:textId="56A11E1B" w:rsidR="00625A40" w:rsidRDefault="00711869" w:rsidP="00711869">
      <w:pPr>
        <w:suppressAutoHyphens/>
        <w:overflowPunct w:val="0"/>
        <w:autoSpaceDE w:val="0"/>
        <w:autoSpaceDN w:val="0"/>
        <w:adjustRightInd w:val="0"/>
        <w:spacing w:line="260" w:lineRule="exact"/>
        <w:textAlignment w:val="baseline"/>
        <w:rPr>
          <w:rFonts w:eastAsia="Times New Roman" w:cs="Arial"/>
          <w:szCs w:val="20"/>
          <w:lang w:eastAsia="sl-SI"/>
        </w:rPr>
      </w:pPr>
      <w:r w:rsidRPr="00711869">
        <w:rPr>
          <w:rFonts w:eastAsia="Times New Roman" w:cs="Arial"/>
          <w:bCs/>
          <w:szCs w:val="20"/>
          <w:lang w:eastAsia="sl-SI"/>
        </w:rPr>
        <w:t>Poglavitna vprašanja, ki se bodo urejala s predlaganim zakonom, so navedena v predhodni točki.</w:t>
      </w:r>
      <w:r w:rsidRPr="00711869">
        <w:rPr>
          <w:rFonts w:eastAsia="Times New Roman" w:cs="Arial"/>
          <w:sz w:val="22"/>
          <w:lang w:eastAsia="sl-SI"/>
        </w:rPr>
        <w:t xml:space="preserve"> </w:t>
      </w:r>
      <w:r w:rsidRPr="00711869">
        <w:rPr>
          <w:rFonts w:eastAsia="Times New Roman" w:cs="Arial"/>
          <w:szCs w:val="20"/>
          <w:lang w:eastAsia="sl-SI"/>
        </w:rPr>
        <w:t>Predlog zakona</w:t>
      </w:r>
      <w:r w:rsidR="00630C8A">
        <w:rPr>
          <w:rFonts w:eastAsia="Times New Roman" w:cs="Arial"/>
          <w:szCs w:val="20"/>
          <w:lang w:eastAsia="sl-SI"/>
        </w:rPr>
        <w:t xml:space="preserve"> ne predvideva </w:t>
      </w:r>
      <w:r>
        <w:rPr>
          <w:rFonts w:eastAsia="Times New Roman" w:cs="Arial"/>
          <w:szCs w:val="20"/>
          <w:lang w:eastAsia="sl-SI"/>
        </w:rPr>
        <w:t>izdajo</w:t>
      </w:r>
      <w:r w:rsidRPr="00711869">
        <w:rPr>
          <w:rFonts w:eastAsia="Times New Roman" w:cs="Arial"/>
          <w:szCs w:val="20"/>
          <w:lang w:eastAsia="sl-SI"/>
        </w:rPr>
        <w:t xml:space="preserve"> podzakonskih predpisov, tako </w:t>
      </w:r>
      <w:r w:rsidR="00630C8A">
        <w:rPr>
          <w:rFonts w:eastAsia="Times New Roman" w:cs="Arial"/>
          <w:szCs w:val="20"/>
          <w:lang w:eastAsia="sl-SI"/>
        </w:rPr>
        <w:t xml:space="preserve">ne s strani </w:t>
      </w:r>
      <w:r w:rsidRPr="00711869">
        <w:rPr>
          <w:rFonts w:eastAsia="Times New Roman" w:cs="Arial"/>
          <w:szCs w:val="20"/>
          <w:lang w:eastAsia="sl-SI"/>
        </w:rPr>
        <w:t>vlade kot tudi</w:t>
      </w:r>
      <w:r w:rsidR="00630C8A">
        <w:rPr>
          <w:rFonts w:eastAsia="Times New Roman" w:cs="Arial"/>
          <w:szCs w:val="20"/>
          <w:lang w:eastAsia="sl-SI"/>
        </w:rPr>
        <w:t xml:space="preserve"> ne s strani</w:t>
      </w:r>
      <w:r w:rsidRPr="00711869">
        <w:rPr>
          <w:rFonts w:eastAsia="Times New Roman" w:cs="Arial"/>
          <w:szCs w:val="20"/>
          <w:lang w:eastAsia="sl-SI"/>
        </w:rPr>
        <w:t xml:space="preserve"> ministra, pristojnega za energijo. </w:t>
      </w:r>
      <w:r w:rsidR="00630C8A">
        <w:rPr>
          <w:rFonts w:eastAsia="Times New Roman" w:cs="Arial"/>
          <w:szCs w:val="20"/>
          <w:lang w:eastAsia="sl-SI"/>
        </w:rPr>
        <w:t>Mora pa operater trga objaviti navodila vezana na poročanje upravičencev, da bo lahko zagotovil ustrezne podatke za odločanje, spremljanje izvajanja ukrepa in poročanje.</w:t>
      </w:r>
    </w:p>
    <w:p w14:paraId="46EA888F" w14:textId="77777777" w:rsidR="00EF0CC6" w:rsidRPr="00EF0CC6" w:rsidRDefault="00EF0CC6" w:rsidP="00EF0CC6">
      <w:pPr>
        <w:pStyle w:val="Odstavekseznama"/>
        <w:overflowPunct w:val="0"/>
        <w:autoSpaceDE w:val="0"/>
        <w:autoSpaceDN w:val="0"/>
        <w:adjustRightInd w:val="0"/>
        <w:spacing w:line="276" w:lineRule="auto"/>
        <w:ind w:left="360"/>
        <w:textAlignment w:val="baseline"/>
        <w:rPr>
          <w:rFonts w:eastAsia="Times New Roman" w:cs="Arial"/>
          <w:b/>
          <w:szCs w:val="20"/>
          <w:lang w:eastAsia="sl-SI"/>
        </w:rPr>
      </w:pPr>
    </w:p>
    <w:p w14:paraId="4547337A" w14:textId="4D8D75BC" w:rsidR="009F54B1" w:rsidRPr="00EF0CC6" w:rsidRDefault="00D2648D" w:rsidP="00EF0CC6">
      <w:pPr>
        <w:overflowPunct w:val="0"/>
        <w:autoSpaceDE w:val="0"/>
        <w:autoSpaceDN w:val="0"/>
        <w:adjustRightInd w:val="0"/>
        <w:spacing w:line="276" w:lineRule="auto"/>
        <w:textAlignment w:val="baseline"/>
        <w:rPr>
          <w:rFonts w:eastAsia="Times New Roman" w:cs="Arial"/>
          <w:b/>
          <w:szCs w:val="20"/>
          <w:lang w:eastAsia="sl-SI"/>
        </w:rPr>
      </w:pPr>
      <w:r w:rsidRPr="00EF0CC6">
        <w:rPr>
          <w:rFonts w:eastAsia="Times New Roman" w:cs="Arial"/>
          <w:b/>
          <w:szCs w:val="20"/>
          <w:lang w:eastAsia="sl-SI"/>
        </w:rPr>
        <w:t xml:space="preserve">c) </w:t>
      </w:r>
      <w:r w:rsidR="009F54B1" w:rsidRPr="00EF0CC6">
        <w:rPr>
          <w:rFonts w:eastAsia="Times New Roman" w:cs="Arial"/>
          <w:b/>
          <w:szCs w:val="20"/>
          <w:lang w:eastAsia="sl-SI"/>
        </w:rPr>
        <w:t>Normativna usklajenost predloga zakona:</w:t>
      </w:r>
    </w:p>
    <w:p w14:paraId="578EB020" w14:textId="270EBF17" w:rsidR="009F54B1" w:rsidRPr="00620790" w:rsidRDefault="00013E94" w:rsidP="009F54B1">
      <w:pPr>
        <w:spacing w:line="260" w:lineRule="exact"/>
        <w:rPr>
          <w:rFonts w:eastAsia="Times New Roman" w:cs="Arial"/>
          <w:szCs w:val="20"/>
        </w:rPr>
      </w:pPr>
      <w:r>
        <w:rPr>
          <w:rFonts w:eastAsia="Times New Roman" w:cs="Arial"/>
          <w:szCs w:val="20"/>
        </w:rPr>
        <w:t>Predlog z</w:t>
      </w:r>
      <w:r w:rsidR="009F54B1" w:rsidRPr="00620790">
        <w:rPr>
          <w:rFonts w:eastAsia="Times New Roman" w:cs="Arial"/>
          <w:szCs w:val="20"/>
        </w:rPr>
        <w:t>akon</w:t>
      </w:r>
      <w:r>
        <w:rPr>
          <w:rFonts w:eastAsia="Times New Roman" w:cs="Arial"/>
          <w:szCs w:val="20"/>
        </w:rPr>
        <w:t>a</w:t>
      </w:r>
      <w:r w:rsidR="009F54B1" w:rsidRPr="00620790">
        <w:rPr>
          <w:rFonts w:eastAsia="Times New Roman" w:cs="Arial"/>
          <w:szCs w:val="20"/>
        </w:rPr>
        <w:t xml:space="preserve"> je usklajen z veljavnim pravnim redom in </w:t>
      </w:r>
      <w:r w:rsidR="00A906C0" w:rsidRPr="00620790">
        <w:rPr>
          <w:rFonts w:eastAsia="Times New Roman" w:cs="Arial"/>
          <w:szCs w:val="20"/>
        </w:rPr>
        <w:t>s</w:t>
      </w:r>
      <w:r w:rsidR="009F54B1" w:rsidRPr="00620790">
        <w:rPr>
          <w:rFonts w:eastAsia="Times New Roman" w:cs="Arial"/>
          <w:szCs w:val="20"/>
        </w:rPr>
        <w:t xml:space="preserve"> pravnim redom E</w:t>
      </w:r>
      <w:r w:rsidR="00A906C0" w:rsidRPr="00620790">
        <w:rPr>
          <w:rFonts w:eastAsia="Times New Roman" w:cs="Arial"/>
          <w:szCs w:val="20"/>
        </w:rPr>
        <w:t>U.</w:t>
      </w:r>
      <w:r w:rsidR="009F54B1" w:rsidRPr="00620790">
        <w:rPr>
          <w:rFonts w:eastAsia="Times New Roman" w:cs="Arial"/>
          <w:szCs w:val="20"/>
        </w:rPr>
        <w:t xml:space="preserve"> </w:t>
      </w:r>
    </w:p>
    <w:p w14:paraId="649D4875" w14:textId="3D9B2984" w:rsidR="00D2648D" w:rsidRPr="00620790" w:rsidRDefault="003F6934" w:rsidP="00D2648D">
      <w:pPr>
        <w:spacing w:line="260" w:lineRule="exact"/>
        <w:rPr>
          <w:rFonts w:eastAsia="Times New Roman" w:cs="Arial"/>
          <w:b/>
          <w:szCs w:val="20"/>
        </w:rPr>
      </w:pPr>
      <w:r w:rsidRPr="00620790">
        <w:rPr>
          <w:rFonts w:eastAsia="Times New Roman" w:cs="Arial"/>
          <w:b/>
          <w:szCs w:val="20"/>
        </w:rPr>
        <w:t>č</w:t>
      </w:r>
      <w:r w:rsidR="00D2648D" w:rsidRPr="00620790">
        <w:rPr>
          <w:rFonts w:eastAsia="Times New Roman" w:cs="Arial"/>
          <w:b/>
          <w:szCs w:val="20"/>
        </w:rPr>
        <w:t>) Usklajenost predloga zakona:</w:t>
      </w:r>
    </w:p>
    <w:p w14:paraId="3EB9C84A" w14:textId="2BC13A1F" w:rsidR="00630C8A" w:rsidRPr="00630C8A" w:rsidRDefault="00630C8A" w:rsidP="00630C8A">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630C8A">
        <w:rPr>
          <w:rFonts w:eastAsia="Times New Roman" w:cs="Arial"/>
          <w:iCs/>
          <w:szCs w:val="20"/>
          <w:lang w:eastAsia="sl-SI"/>
        </w:rPr>
        <w:lastRenderedPageBreak/>
        <w:t xml:space="preserve">Gradivo je bilo </w:t>
      </w:r>
      <w:r>
        <w:rPr>
          <w:rFonts w:eastAsia="Times New Roman" w:cs="Arial"/>
          <w:iCs/>
          <w:szCs w:val="20"/>
          <w:lang w:eastAsia="sl-SI"/>
        </w:rPr>
        <w:t xml:space="preserve">v javni obravnavi </w:t>
      </w:r>
      <w:r w:rsidRPr="00630C8A">
        <w:rPr>
          <w:rFonts w:eastAsia="Times New Roman" w:cs="Arial"/>
          <w:iCs/>
          <w:szCs w:val="20"/>
          <w:lang w:eastAsia="sl-SI"/>
        </w:rPr>
        <w:t>objavljeno na e-demokraciji</w:t>
      </w:r>
      <w:r>
        <w:rPr>
          <w:rFonts w:eastAsia="Times New Roman" w:cs="Arial"/>
          <w:iCs/>
          <w:szCs w:val="20"/>
          <w:lang w:eastAsia="sl-SI"/>
        </w:rPr>
        <w:t xml:space="preserve"> od </w:t>
      </w:r>
      <w:r w:rsidR="008B6654">
        <w:t>7</w:t>
      </w:r>
      <w:r w:rsidRPr="00630C8A">
        <w:t>. 11. 2025 do 2</w:t>
      </w:r>
      <w:r w:rsidR="008B6654">
        <w:t>2</w:t>
      </w:r>
      <w:r w:rsidRPr="00630C8A">
        <w:t>. 11. 2025</w:t>
      </w:r>
      <w:r>
        <w:t>. Objavljeno je</w:t>
      </w:r>
      <w:r w:rsidR="008B6654">
        <w:t xml:space="preserve"> bilo</w:t>
      </w:r>
      <w:r>
        <w:t xml:space="preserve"> tudi na Portalu energetika.</w:t>
      </w:r>
    </w:p>
    <w:p w14:paraId="225F731A" w14:textId="77777777" w:rsidR="00630C8A" w:rsidRPr="00630C8A" w:rsidRDefault="00630C8A" w:rsidP="00630C8A">
      <w:pPr>
        <w:widowControl w:val="0"/>
        <w:overflowPunct w:val="0"/>
        <w:autoSpaceDE w:val="0"/>
        <w:autoSpaceDN w:val="0"/>
        <w:adjustRightInd w:val="0"/>
        <w:spacing w:after="0" w:line="260" w:lineRule="exact"/>
        <w:textAlignment w:val="baseline"/>
        <w:rPr>
          <w:rFonts w:eastAsia="Times New Roman" w:cs="Arial"/>
          <w:iCs/>
          <w:szCs w:val="20"/>
          <w:lang w:eastAsia="sl-SI"/>
        </w:rPr>
      </w:pPr>
    </w:p>
    <w:p w14:paraId="42CF81CA" w14:textId="77777777" w:rsidR="00630C8A" w:rsidRPr="00630C8A" w:rsidRDefault="00630C8A" w:rsidP="00630C8A">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630C8A">
        <w:rPr>
          <w:rFonts w:eastAsia="Times New Roman" w:cs="Arial"/>
          <w:iCs/>
          <w:szCs w:val="20"/>
          <w:lang w:eastAsia="sl-SI"/>
        </w:rPr>
        <w:t xml:space="preserve">V razpravo so bili vključeni: </w:t>
      </w:r>
    </w:p>
    <w:p w14:paraId="2DB2F7F4" w14:textId="77777777" w:rsidR="00630C8A" w:rsidRPr="00630C8A" w:rsidRDefault="00630C8A" w:rsidP="00630C8A">
      <w:pPr>
        <w:widowControl w:val="0"/>
        <w:numPr>
          <w:ilvl w:val="0"/>
          <w:numId w:val="6"/>
        </w:numPr>
        <w:overflowPunct w:val="0"/>
        <w:autoSpaceDE w:val="0"/>
        <w:autoSpaceDN w:val="0"/>
        <w:adjustRightInd w:val="0"/>
        <w:spacing w:after="0" w:line="260" w:lineRule="exact"/>
        <w:textAlignment w:val="baseline"/>
        <w:rPr>
          <w:rFonts w:eastAsia="Times New Roman" w:cs="Arial"/>
          <w:iCs/>
          <w:szCs w:val="20"/>
          <w:lang w:eastAsia="sl-SI"/>
        </w:rPr>
      </w:pPr>
      <w:r w:rsidRPr="00630C8A">
        <w:rPr>
          <w:rFonts w:eastAsia="Times New Roman" w:cs="Arial"/>
          <w:iCs/>
          <w:szCs w:val="20"/>
          <w:lang w:eastAsia="sl-SI"/>
        </w:rPr>
        <w:t>predstavniki zainteresirane javnosti,</w:t>
      </w:r>
    </w:p>
    <w:p w14:paraId="45DF0FC0" w14:textId="77777777" w:rsidR="00630C8A" w:rsidRPr="00630C8A" w:rsidRDefault="00630C8A" w:rsidP="00630C8A">
      <w:pPr>
        <w:widowControl w:val="0"/>
        <w:numPr>
          <w:ilvl w:val="0"/>
          <w:numId w:val="6"/>
        </w:numPr>
        <w:overflowPunct w:val="0"/>
        <w:autoSpaceDE w:val="0"/>
        <w:autoSpaceDN w:val="0"/>
        <w:adjustRightInd w:val="0"/>
        <w:spacing w:after="0" w:line="260" w:lineRule="exact"/>
        <w:textAlignment w:val="baseline"/>
        <w:rPr>
          <w:rFonts w:eastAsia="Times New Roman" w:cs="Arial"/>
          <w:iCs/>
          <w:szCs w:val="20"/>
          <w:lang w:eastAsia="sl-SI"/>
        </w:rPr>
      </w:pPr>
      <w:r w:rsidRPr="00630C8A">
        <w:rPr>
          <w:rFonts w:eastAsia="Times New Roman" w:cs="Arial"/>
          <w:iCs/>
          <w:szCs w:val="20"/>
          <w:lang w:eastAsia="sl-SI"/>
        </w:rPr>
        <w:t>predstavniki strokovne javnosti.</w:t>
      </w:r>
    </w:p>
    <w:p w14:paraId="196C16DD" w14:textId="77777777" w:rsidR="00630C8A" w:rsidRPr="00630C8A" w:rsidRDefault="00630C8A" w:rsidP="00630C8A">
      <w:pPr>
        <w:widowControl w:val="0"/>
        <w:overflowPunct w:val="0"/>
        <w:autoSpaceDE w:val="0"/>
        <w:autoSpaceDN w:val="0"/>
        <w:adjustRightInd w:val="0"/>
        <w:spacing w:after="0" w:line="260" w:lineRule="exact"/>
        <w:textAlignment w:val="baseline"/>
        <w:rPr>
          <w:rFonts w:eastAsia="Times New Roman" w:cs="Arial"/>
          <w:iCs/>
          <w:szCs w:val="20"/>
          <w:lang w:eastAsia="sl-SI"/>
        </w:rPr>
      </w:pPr>
    </w:p>
    <w:p w14:paraId="23A707D4" w14:textId="0CB36335" w:rsidR="00AE3AA1" w:rsidRPr="00C81738" w:rsidRDefault="00AE3AA1" w:rsidP="00AE3AA1">
      <w:pPr>
        <w:pStyle w:val="Neotevilenodstavek"/>
        <w:widowControl w:val="0"/>
        <w:spacing w:after="0" w:line="260" w:lineRule="exact"/>
        <w:rPr>
          <w:iCs/>
          <w:szCs w:val="20"/>
        </w:rPr>
      </w:pPr>
      <w:r w:rsidRPr="00C81738">
        <w:rPr>
          <w:iCs/>
          <w:szCs w:val="20"/>
        </w:rPr>
        <w:t>V okviru javne obravnave smo prejeli pripombe različnih deležnikov. To so: SIST, Calcit, Valji</w:t>
      </w:r>
      <w:r w:rsidR="003A7C85">
        <w:rPr>
          <w:iCs/>
          <w:szCs w:val="20"/>
        </w:rPr>
        <w:t>,</w:t>
      </w:r>
      <w:r w:rsidRPr="00C81738">
        <w:rPr>
          <w:iCs/>
          <w:szCs w:val="20"/>
        </w:rPr>
        <w:t xml:space="preserve"> Hidria, SIJ Acroni, Resalta, Gospodarska zbornica Slovenije, Papirnica Vevče, Borzen, AquafilSLO, HSE, GEN-energija, Talum. </w:t>
      </w:r>
    </w:p>
    <w:p w14:paraId="59E41F23" w14:textId="4A98D213" w:rsidR="00AE3AA1" w:rsidRPr="00C81738" w:rsidRDefault="00AE3AA1" w:rsidP="00AE3AA1">
      <w:pPr>
        <w:pStyle w:val="Neotevilenodstavek"/>
        <w:widowControl w:val="0"/>
        <w:spacing w:after="0" w:line="260" w:lineRule="exact"/>
        <w:rPr>
          <w:iCs/>
          <w:szCs w:val="20"/>
        </w:rPr>
      </w:pPr>
      <w:r w:rsidRPr="00C81738">
        <w:rPr>
          <w:iCs/>
          <w:szCs w:val="20"/>
        </w:rPr>
        <w:t>Ministrstvo, pristojno za energijo</w:t>
      </w:r>
      <w:r w:rsidR="003D145C">
        <w:rPr>
          <w:iCs/>
          <w:szCs w:val="20"/>
        </w:rPr>
        <w:t>,</w:t>
      </w:r>
      <w:r w:rsidRPr="00C81738">
        <w:rPr>
          <w:iCs/>
          <w:szCs w:val="20"/>
        </w:rPr>
        <w:t xml:space="preserve"> je pregledalo in obravnavalo vse prejete pripombe in jih v največji možni meri upoštevalo, v kolikor so bile strokovno utemeljene ter niso bile v nasprotju s pravnim redom Republike Slovenije in EU ter sistemskimi rešitvami predloga zakona. </w:t>
      </w:r>
      <w:r>
        <w:rPr>
          <w:iCs/>
          <w:szCs w:val="20"/>
        </w:rPr>
        <w:t>P</w:t>
      </w:r>
      <w:r w:rsidRPr="00C81738">
        <w:rPr>
          <w:iCs/>
          <w:szCs w:val="20"/>
        </w:rPr>
        <w:t>ripomb</w:t>
      </w:r>
      <w:r>
        <w:rPr>
          <w:iCs/>
          <w:szCs w:val="20"/>
        </w:rPr>
        <w:t>e</w:t>
      </w:r>
      <w:r w:rsidR="003A7C85">
        <w:rPr>
          <w:iCs/>
          <w:szCs w:val="20"/>
        </w:rPr>
        <w:t>,</w:t>
      </w:r>
      <w:r w:rsidRPr="00C81738">
        <w:rPr>
          <w:iCs/>
          <w:szCs w:val="20"/>
        </w:rPr>
        <w:t xml:space="preserve"> ki so</w:t>
      </w:r>
      <w:r>
        <w:rPr>
          <w:iCs/>
          <w:szCs w:val="20"/>
        </w:rPr>
        <w:t xml:space="preserve"> bile </w:t>
      </w:r>
      <w:r w:rsidRPr="00C81738">
        <w:rPr>
          <w:iCs/>
          <w:szCs w:val="20"/>
        </w:rPr>
        <w:t>neskladne z veljavnimi pravili državnih pomoči</w:t>
      </w:r>
      <w:r>
        <w:rPr>
          <w:iCs/>
          <w:szCs w:val="20"/>
        </w:rPr>
        <w:t>, niso upoštevane</w:t>
      </w:r>
      <w:r w:rsidRPr="00C81738">
        <w:rPr>
          <w:iCs/>
          <w:szCs w:val="20"/>
        </w:rPr>
        <w:t>.</w:t>
      </w:r>
    </w:p>
    <w:p w14:paraId="1F8B7ABA" w14:textId="77777777" w:rsidR="00AE3AA1" w:rsidRPr="00C81738" w:rsidRDefault="00AE3AA1" w:rsidP="00AE3AA1">
      <w:pPr>
        <w:pStyle w:val="Neotevilenodstavek"/>
        <w:widowControl w:val="0"/>
        <w:spacing w:after="0" w:line="260" w:lineRule="exact"/>
        <w:rPr>
          <w:iCs/>
          <w:szCs w:val="20"/>
        </w:rPr>
      </w:pPr>
    </w:p>
    <w:p w14:paraId="44EFF275" w14:textId="77777777" w:rsidR="00AE3AA1" w:rsidRPr="00C81738" w:rsidRDefault="00AE3AA1" w:rsidP="00AE3AA1">
      <w:pPr>
        <w:pStyle w:val="Neotevilenodstavek"/>
        <w:widowControl w:val="0"/>
        <w:spacing w:after="0" w:line="260" w:lineRule="exact"/>
        <w:rPr>
          <w:iCs/>
          <w:szCs w:val="20"/>
        </w:rPr>
      </w:pPr>
      <w:r w:rsidRPr="00C81738">
        <w:rPr>
          <w:iCs/>
          <w:szCs w:val="20"/>
        </w:rPr>
        <w:t xml:space="preserve">Pripombe se nanašajo predvsem na: </w:t>
      </w:r>
    </w:p>
    <w:p w14:paraId="443557E2" w14:textId="77777777" w:rsidR="00AE3AA1" w:rsidRPr="00C81738" w:rsidRDefault="00AE3AA1" w:rsidP="00AE3AA1">
      <w:pPr>
        <w:pStyle w:val="Neotevilenodstavek"/>
        <w:widowControl w:val="0"/>
        <w:spacing w:after="0" w:line="260" w:lineRule="exact"/>
        <w:rPr>
          <w:iCs/>
          <w:szCs w:val="20"/>
        </w:rPr>
      </w:pPr>
      <w:r w:rsidRPr="00C81738">
        <w:rPr>
          <w:iCs/>
          <w:szCs w:val="20"/>
        </w:rPr>
        <w:t>- višine praga letne porabe električne energije za upravičenost do pomoči,</w:t>
      </w:r>
    </w:p>
    <w:p w14:paraId="4D7949B9" w14:textId="77777777" w:rsidR="00AE3AA1" w:rsidRPr="00C81738" w:rsidRDefault="00AE3AA1" w:rsidP="00AE3AA1">
      <w:pPr>
        <w:pStyle w:val="Neotevilenodstavek"/>
        <w:widowControl w:val="0"/>
        <w:spacing w:after="0" w:line="260" w:lineRule="exact"/>
        <w:rPr>
          <w:iCs/>
          <w:szCs w:val="20"/>
        </w:rPr>
      </w:pPr>
      <w:r w:rsidRPr="00C81738">
        <w:rPr>
          <w:iCs/>
          <w:szCs w:val="20"/>
        </w:rPr>
        <w:t>- višino podpore oziroma pomoči,</w:t>
      </w:r>
    </w:p>
    <w:p w14:paraId="410E2921" w14:textId="77777777" w:rsidR="00AE3AA1" w:rsidRPr="00C81738" w:rsidRDefault="00AE3AA1" w:rsidP="00AE3AA1">
      <w:pPr>
        <w:pStyle w:val="Neotevilenodstavek"/>
        <w:widowControl w:val="0"/>
        <w:spacing w:after="0" w:line="260" w:lineRule="exact"/>
        <w:rPr>
          <w:iCs/>
          <w:szCs w:val="20"/>
        </w:rPr>
      </w:pPr>
      <w:r w:rsidRPr="00C81738">
        <w:rPr>
          <w:iCs/>
          <w:szCs w:val="20"/>
        </w:rPr>
        <w:t>- načina kumulacije pomoči tega ukrepa z drugimi spodbudami za iste naložbe,</w:t>
      </w:r>
    </w:p>
    <w:p w14:paraId="574CB88B" w14:textId="77777777" w:rsidR="00AE3AA1" w:rsidRPr="00C81738" w:rsidRDefault="00AE3AA1" w:rsidP="00AE3AA1">
      <w:pPr>
        <w:pStyle w:val="Neotevilenodstavek"/>
        <w:widowControl w:val="0"/>
        <w:spacing w:after="0" w:line="260" w:lineRule="exact"/>
        <w:rPr>
          <w:iCs/>
          <w:szCs w:val="20"/>
        </w:rPr>
      </w:pPr>
      <w:r w:rsidRPr="00C81738">
        <w:rPr>
          <w:iCs/>
          <w:szCs w:val="20"/>
        </w:rPr>
        <w:t>- sistem upravljanja z energijo in</w:t>
      </w:r>
    </w:p>
    <w:p w14:paraId="3550995E" w14:textId="77777777" w:rsidR="00AE3AA1" w:rsidRPr="00C81738" w:rsidRDefault="00AE3AA1" w:rsidP="00AE3AA1">
      <w:pPr>
        <w:pStyle w:val="Neotevilenodstavek"/>
        <w:widowControl w:val="0"/>
        <w:spacing w:after="0" w:line="260" w:lineRule="exact"/>
        <w:rPr>
          <w:iCs/>
          <w:szCs w:val="20"/>
        </w:rPr>
      </w:pPr>
      <w:r w:rsidRPr="00C81738">
        <w:rPr>
          <w:iCs/>
          <w:szCs w:val="20"/>
        </w:rPr>
        <w:t>- načina izvajanja naložb preko pogodbenih modelov energetskih storitev (ESCO).</w:t>
      </w:r>
    </w:p>
    <w:p w14:paraId="70188210" w14:textId="77777777" w:rsidR="00AE3AA1" w:rsidRPr="00C81738" w:rsidRDefault="00AE3AA1" w:rsidP="00AE3AA1">
      <w:pPr>
        <w:pStyle w:val="Neotevilenodstavek"/>
        <w:widowControl w:val="0"/>
        <w:spacing w:after="0" w:line="260" w:lineRule="exact"/>
        <w:rPr>
          <w:iCs/>
          <w:szCs w:val="20"/>
        </w:rPr>
      </w:pPr>
    </w:p>
    <w:p w14:paraId="7742949F" w14:textId="77777777" w:rsidR="00AE3AA1" w:rsidRDefault="00AE3AA1" w:rsidP="00AE3AA1">
      <w:pPr>
        <w:pStyle w:val="Neotevilenodstavek"/>
        <w:widowControl w:val="0"/>
        <w:spacing w:after="0" w:line="260" w:lineRule="exact"/>
        <w:rPr>
          <w:iCs/>
          <w:szCs w:val="20"/>
        </w:rPr>
      </w:pPr>
      <w:r w:rsidRPr="00C81738">
        <w:rPr>
          <w:iCs/>
          <w:szCs w:val="20"/>
        </w:rPr>
        <w:t xml:space="preserve">Več pripomb in predlogov se nanaša na definicije oziroma izraze uporabljene v osnutku zakona. Te pripombe </w:t>
      </w:r>
      <w:r>
        <w:rPr>
          <w:iCs/>
          <w:szCs w:val="20"/>
        </w:rPr>
        <w:t>s</w:t>
      </w:r>
      <w:r w:rsidRPr="00C81738">
        <w:rPr>
          <w:iCs/>
          <w:szCs w:val="20"/>
        </w:rPr>
        <w:t>o smiselno upošteva</w:t>
      </w:r>
      <w:r>
        <w:rPr>
          <w:iCs/>
          <w:szCs w:val="20"/>
        </w:rPr>
        <w:t>ne</w:t>
      </w:r>
      <w:r w:rsidRPr="00C81738">
        <w:rPr>
          <w:iCs/>
          <w:szCs w:val="20"/>
        </w:rPr>
        <w:t>.</w:t>
      </w:r>
    </w:p>
    <w:p w14:paraId="1F21DEB1" w14:textId="77777777" w:rsidR="00630C8A" w:rsidRDefault="00630C8A" w:rsidP="00784DDE">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
    <w:p w14:paraId="5F52277B" w14:textId="77777777" w:rsidR="00630C8A" w:rsidRDefault="00630C8A" w:rsidP="00784DDE">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
    <w:p w14:paraId="336A337D" w14:textId="7168DF79" w:rsidR="00620790" w:rsidRPr="00784DDE" w:rsidRDefault="009F54B1" w:rsidP="00784DDE">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3. OCENA FINANČNIH POSLEDIC PREDLOGA ZAKONA ZA DRŽAVNI PRORAČUN IN DRUGA JAVNA FINANČNA SREDSTVA</w:t>
      </w:r>
    </w:p>
    <w:p w14:paraId="157093D1" w14:textId="77777777" w:rsidR="007B025D" w:rsidRPr="00735F02" w:rsidRDefault="007B025D" w:rsidP="00D176F6">
      <w:pPr>
        <w:rPr>
          <w:highlight w:val="cyan"/>
        </w:rPr>
      </w:pPr>
    </w:p>
    <w:p w14:paraId="0D801BF9" w14:textId="17E44B36" w:rsidR="003230E4" w:rsidRDefault="003D145C" w:rsidP="003230E4">
      <w:pPr>
        <w:overflowPunct w:val="0"/>
        <w:autoSpaceDE w:val="0"/>
        <w:autoSpaceDN w:val="0"/>
        <w:adjustRightInd w:val="0"/>
        <w:spacing w:line="276" w:lineRule="auto"/>
        <w:textAlignment w:val="baseline"/>
      </w:pPr>
      <w:r>
        <w:t>Predlog z</w:t>
      </w:r>
      <w:r w:rsidR="003230E4">
        <w:t>akon</w:t>
      </w:r>
      <w:r>
        <w:t>a</w:t>
      </w:r>
      <w:r w:rsidR="003230E4">
        <w:t xml:space="preserve"> predvideva, da se sredstva za izvajanje ukrepa zagotavljajo izven državnega proračuna, in sicer iz sredstev družb proizvajalcev električne energije v 100 % lasti Republike Slovenije, ki imajo v neposredni ali posredni lasti elektrarne s skupno močjo nad 400 MW, razen če proizvajalci izvajajo pretežno gospodarsko javno službo.</w:t>
      </w:r>
    </w:p>
    <w:p w14:paraId="06BDE3CC" w14:textId="43804E03" w:rsidR="003230E4" w:rsidRDefault="003230E4" w:rsidP="003230E4">
      <w:pPr>
        <w:overflowPunct w:val="0"/>
        <w:autoSpaceDE w:val="0"/>
        <w:autoSpaceDN w:val="0"/>
        <w:adjustRightInd w:val="0"/>
        <w:spacing w:line="276" w:lineRule="auto"/>
        <w:textAlignment w:val="baseline"/>
      </w:pPr>
      <w:r>
        <w:t>Vlada bo z vsakoletnim sklepom določila:</w:t>
      </w:r>
    </w:p>
    <w:p w14:paraId="2B09E51D" w14:textId="79A56DA7" w:rsidR="003230E4" w:rsidRDefault="003230E4" w:rsidP="00552272">
      <w:pPr>
        <w:pStyle w:val="Odstavekseznama"/>
        <w:numPr>
          <w:ilvl w:val="1"/>
          <w:numId w:val="55"/>
        </w:numPr>
        <w:overflowPunct w:val="0"/>
        <w:autoSpaceDE w:val="0"/>
        <w:autoSpaceDN w:val="0"/>
        <w:adjustRightInd w:val="0"/>
        <w:spacing w:line="276" w:lineRule="auto"/>
        <w:textAlignment w:val="baseline"/>
      </w:pPr>
      <w:r>
        <w:t xml:space="preserve">skupni razpoložljivi letni znesek sredstev za dodelitev spodbud in </w:t>
      </w:r>
    </w:p>
    <w:p w14:paraId="2107426B" w14:textId="04B5694B" w:rsidR="003230E4" w:rsidRDefault="003230E4" w:rsidP="00552272">
      <w:pPr>
        <w:pStyle w:val="Odstavekseznama"/>
        <w:numPr>
          <w:ilvl w:val="1"/>
          <w:numId w:val="55"/>
        </w:numPr>
        <w:overflowPunct w:val="0"/>
        <w:autoSpaceDE w:val="0"/>
        <w:autoSpaceDN w:val="0"/>
        <w:adjustRightInd w:val="0"/>
        <w:spacing w:line="276" w:lineRule="auto"/>
        <w:textAlignment w:val="baseline"/>
      </w:pPr>
      <w:r>
        <w:t>najvišjo spodbudo v EUR/MWh.</w:t>
      </w:r>
    </w:p>
    <w:p w14:paraId="39BC8FE4" w14:textId="5E159723" w:rsidR="003230E4" w:rsidRDefault="003230E4" w:rsidP="003230E4">
      <w:pPr>
        <w:overflowPunct w:val="0"/>
        <w:autoSpaceDE w:val="0"/>
        <w:autoSpaceDN w:val="0"/>
        <w:adjustRightInd w:val="0"/>
        <w:spacing w:line="276" w:lineRule="auto"/>
        <w:textAlignment w:val="baseline"/>
      </w:pPr>
      <w:r>
        <w:t xml:space="preserve">Pri odločanju bo upoštevala stanje na energetskih trgih, finančne zmožnosti zavezancev ter ocenjeno porabo električne energije upravičencev. Sklep </w:t>
      </w:r>
      <w:r w:rsidR="00552272">
        <w:t>se bo vsako leto</w:t>
      </w:r>
      <w:r>
        <w:t xml:space="preserve"> objavi</w:t>
      </w:r>
      <w:r w:rsidR="00552272">
        <w:t>lo</w:t>
      </w:r>
      <w:r>
        <w:t xml:space="preserve"> v Uradnem listu Republike Slovenije, kar </w:t>
      </w:r>
      <w:r w:rsidR="00552272">
        <w:t xml:space="preserve">bo </w:t>
      </w:r>
      <w:r>
        <w:t>prispeva</w:t>
      </w:r>
      <w:r w:rsidR="00552272">
        <w:t>lo</w:t>
      </w:r>
      <w:r>
        <w:t xml:space="preserve"> k preglednosti in predvidljivosti.</w:t>
      </w:r>
    </w:p>
    <w:p w14:paraId="11E8F6D9" w14:textId="77777777" w:rsidR="003230E4" w:rsidRDefault="003230E4" w:rsidP="003230E4">
      <w:pPr>
        <w:overflowPunct w:val="0"/>
        <w:autoSpaceDE w:val="0"/>
        <w:autoSpaceDN w:val="0"/>
        <w:adjustRightInd w:val="0"/>
        <w:spacing w:line="276" w:lineRule="auto"/>
        <w:textAlignment w:val="baseline"/>
      </w:pPr>
      <w:r>
        <w:t>Posledice za javna sredstva se tako kažejo:</w:t>
      </w:r>
    </w:p>
    <w:p w14:paraId="31528E37" w14:textId="26713D24" w:rsidR="003230E4" w:rsidRDefault="003230E4" w:rsidP="00552272">
      <w:pPr>
        <w:pStyle w:val="Odstavekseznama"/>
        <w:numPr>
          <w:ilvl w:val="1"/>
          <w:numId w:val="57"/>
        </w:numPr>
        <w:overflowPunct w:val="0"/>
        <w:autoSpaceDE w:val="0"/>
        <w:autoSpaceDN w:val="0"/>
        <w:adjustRightInd w:val="0"/>
        <w:spacing w:line="276" w:lineRule="auto"/>
        <w:textAlignment w:val="baseline"/>
      </w:pPr>
      <w:r>
        <w:t>neposredno v obremenitvi zavezancev (energetskih družb v državni lasti), ki sredstva zagotavljajo operaterju trga, in</w:t>
      </w:r>
    </w:p>
    <w:p w14:paraId="4726B457" w14:textId="5362F4A3" w:rsidR="003230E4" w:rsidRDefault="003230E4" w:rsidP="00552272">
      <w:pPr>
        <w:pStyle w:val="Odstavekseznama"/>
        <w:numPr>
          <w:ilvl w:val="1"/>
          <w:numId w:val="57"/>
        </w:numPr>
        <w:overflowPunct w:val="0"/>
        <w:autoSpaceDE w:val="0"/>
        <w:autoSpaceDN w:val="0"/>
        <w:adjustRightInd w:val="0"/>
        <w:spacing w:line="276" w:lineRule="auto"/>
        <w:textAlignment w:val="baseline"/>
      </w:pPr>
      <w:r>
        <w:t>posredno v morebitnem zmanjšanju prihodkov iz dividend ali drugih prihodkov države iz naslova poslovanja teh družb, odvisno od višine letnih sredstev za spodbude.</w:t>
      </w:r>
    </w:p>
    <w:p w14:paraId="32E137B6" w14:textId="77777777" w:rsidR="003230E4" w:rsidRDefault="003230E4" w:rsidP="003230E4">
      <w:pPr>
        <w:overflowPunct w:val="0"/>
        <w:autoSpaceDE w:val="0"/>
        <w:autoSpaceDN w:val="0"/>
        <w:adjustRightInd w:val="0"/>
        <w:spacing w:line="276" w:lineRule="auto"/>
        <w:textAlignment w:val="baseline"/>
      </w:pPr>
      <w:r>
        <w:t>Za državni proračun se predvideva zlasti:</w:t>
      </w:r>
    </w:p>
    <w:p w14:paraId="05230D40" w14:textId="70DAE009" w:rsidR="003230E4" w:rsidRDefault="003230E4" w:rsidP="00B17BA2">
      <w:pPr>
        <w:pStyle w:val="Odstavekseznama"/>
        <w:numPr>
          <w:ilvl w:val="1"/>
          <w:numId w:val="59"/>
        </w:numPr>
        <w:overflowPunct w:val="0"/>
        <w:autoSpaceDE w:val="0"/>
        <w:autoSpaceDN w:val="0"/>
        <w:adjustRightInd w:val="0"/>
        <w:spacing w:line="276" w:lineRule="auto"/>
        <w:textAlignment w:val="baseline"/>
      </w:pPr>
      <w:r>
        <w:lastRenderedPageBreak/>
        <w:t>obremenitev z upravnimi in nadzornimi stroški pristojnih organov (ministrstva, inšpekcije),</w:t>
      </w:r>
    </w:p>
    <w:p w14:paraId="2CBFF258" w14:textId="6BAC9C2A" w:rsidR="003230E4" w:rsidRDefault="003230E4" w:rsidP="00B17BA2">
      <w:pPr>
        <w:pStyle w:val="Odstavekseznama"/>
        <w:numPr>
          <w:ilvl w:val="1"/>
          <w:numId w:val="59"/>
        </w:numPr>
        <w:overflowPunct w:val="0"/>
        <w:autoSpaceDE w:val="0"/>
        <w:autoSpaceDN w:val="0"/>
        <w:adjustRightInd w:val="0"/>
        <w:spacing w:line="276" w:lineRule="auto"/>
        <w:textAlignment w:val="baseline"/>
      </w:pPr>
      <w:r>
        <w:t>morebitne posledice vračil neupravičeno prejetih spodbud, ki se vplačujejo v proračun.</w:t>
      </w:r>
    </w:p>
    <w:p w14:paraId="5AC0E63F" w14:textId="77777777" w:rsidR="003230E4" w:rsidRDefault="003230E4" w:rsidP="003230E4">
      <w:pPr>
        <w:overflowPunct w:val="0"/>
        <w:autoSpaceDE w:val="0"/>
        <w:autoSpaceDN w:val="0"/>
        <w:adjustRightInd w:val="0"/>
        <w:spacing w:line="276" w:lineRule="auto"/>
        <w:textAlignment w:val="baseline"/>
      </w:pPr>
      <w:r>
        <w:t>Natančna kvantitativna ocena finančnih učinkov bo odvisna od:</w:t>
      </w:r>
    </w:p>
    <w:p w14:paraId="354DD548" w14:textId="1E928F98" w:rsidR="003230E4" w:rsidRDefault="003230E4" w:rsidP="00651193">
      <w:pPr>
        <w:pStyle w:val="Odstavekseznama"/>
        <w:numPr>
          <w:ilvl w:val="1"/>
          <w:numId w:val="61"/>
        </w:numPr>
        <w:overflowPunct w:val="0"/>
        <w:autoSpaceDE w:val="0"/>
        <w:autoSpaceDN w:val="0"/>
        <w:adjustRightInd w:val="0"/>
        <w:spacing w:line="276" w:lineRule="auto"/>
        <w:textAlignment w:val="baseline"/>
      </w:pPr>
      <w:r>
        <w:t>števila in strukture upravičencev,</w:t>
      </w:r>
    </w:p>
    <w:p w14:paraId="05FBEF32" w14:textId="37CE27EF" w:rsidR="003230E4" w:rsidRDefault="003230E4" w:rsidP="00651193">
      <w:pPr>
        <w:pStyle w:val="Odstavekseznama"/>
        <w:numPr>
          <w:ilvl w:val="1"/>
          <w:numId w:val="61"/>
        </w:numPr>
        <w:overflowPunct w:val="0"/>
        <w:autoSpaceDE w:val="0"/>
        <w:autoSpaceDN w:val="0"/>
        <w:adjustRightInd w:val="0"/>
        <w:spacing w:line="276" w:lineRule="auto"/>
        <w:textAlignment w:val="baseline"/>
      </w:pPr>
      <w:r>
        <w:t>njihove dejanske porabe električne energije v letih 2026–2028,</w:t>
      </w:r>
    </w:p>
    <w:p w14:paraId="2D1401F2" w14:textId="479210B4" w:rsidR="003230E4" w:rsidRDefault="003230E4" w:rsidP="00651193">
      <w:pPr>
        <w:pStyle w:val="Odstavekseznama"/>
        <w:numPr>
          <w:ilvl w:val="1"/>
          <w:numId w:val="61"/>
        </w:numPr>
        <w:overflowPunct w:val="0"/>
        <w:autoSpaceDE w:val="0"/>
        <w:autoSpaceDN w:val="0"/>
        <w:adjustRightInd w:val="0"/>
        <w:spacing w:line="276" w:lineRule="auto"/>
        <w:textAlignment w:val="baseline"/>
      </w:pPr>
      <w:r>
        <w:t>gibanja tržnih cen električne energije in</w:t>
      </w:r>
    </w:p>
    <w:p w14:paraId="739B5DE7" w14:textId="71BDD0C6" w:rsidR="003230E4" w:rsidRDefault="003230E4" w:rsidP="00651193">
      <w:pPr>
        <w:pStyle w:val="Odstavekseznama"/>
        <w:numPr>
          <w:ilvl w:val="1"/>
          <w:numId w:val="61"/>
        </w:numPr>
        <w:overflowPunct w:val="0"/>
        <w:autoSpaceDE w:val="0"/>
        <w:autoSpaceDN w:val="0"/>
        <w:adjustRightInd w:val="0"/>
        <w:spacing w:line="276" w:lineRule="auto"/>
        <w:textAlignment w:val="baseline"/>
      </w:pPr>
      <w:r>
        <w:t>višine najvišje spodbude, ki jo za posamezno leto določi vlada.</w:t>
      </w:r>
    </w:p>
    <w:p w14:paraId="06421C02" w14:textId="54C34073" w:rsidR="00735F02" w:rsidRDefault="003230E4" w:rsidP="003230E4">
      <w:pPr>
        <w:overflowPunct w:val="0"/>
        <w:autoSpaceDE w:val="0"/>
        <w:autoSpaceDN w:val="0"/>
        <w:adjustRightInd w:val="0"/>
        <w:spacing w:line="276" w:lineRule="auto"/>
        <w:textAlignment w:val="baseline"/>
      </w:pPr>
      <w:r>
        <w:t xml:space="preserve">Zaradi navedenega </w:t>
      </w:r>
      <w:r w:rsidR="00C13DDE">
        <w:t xml:space="preserve">predlog </w:t>
      </w:r>
      <w:r>
        <w:t>zakon</w:t>
      </w:r>
      <w:r w:rsidR="00C13DDE">
        <w:t>a</w:t>
      </w:r>
      <w:r>
        <w:t xml:space="preserve"> določa mehanizem letnega prilagajanja preko sklepa vlade in sorazmernega znižanja najvišje spodbude v primeru preseganja razpoložljivih sredstev, kar omogoča natančnejše obvladovanje finančnih posledic.</w:t>
      </w:r>
    </w:p>
    <w:p w14:paraId="0904C61D" w14:textId="338B3906" w:rsidR="007E7CBC" w:rsidRPr="002552EF" w:rsidRDefault="007E7CBC" w:rsidP="003230E4">
      <w:pPr>
        <w:overflowPunct w:val="0"/>
        <w:autoSpaceDE w:val="0"/>
        <w:autoSpaceDN w:val="0"/>
        <w:adjustRightInd w:val="0"/>
        <w:spacing w:line="276" w:lineRule="auto"/>
        <w:textAlignment w:val="baseline"/>
      </w:pPr>
      <w:r w:rsidRPr="00DD4E31">
        <w:t>Predlog zakona ne bo imel posledic za druga javnofinančna sredstva.</w:t>
      </w:r>
    </w:p>
    <w:p w14:paraId="36F9D0E4" w14:textId="77777777" w:rsidR="009F54B1" w:rsidRPr="0076107B"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 xml:space="preserve">4. NAVEDBA, DA SO SREDSTVA ZA IZVAJANJE ZAKONA V DRŽAVNEM PRORAČUNU ZAGOTOVLJENA, ČE PREDLOG ZAKONA PREDVIDEVA PORABO PRORAČUNSKIH SREDSTEV </w:t>
      </w:r>
      <w:r w:rsidRPr="0076107B">
        <w:rPr>
          <w:rFonts w:eastAsia="Times New Roman" w:cs="Arial"/>
          <w:b/>
          <w:szCs w:val="20"/>
          <w:lang w:eastAsia="sl-SI"/>
        </w:rPr>
        <w:t>V OBDOBJU, ZA KATERO JE BIL DRŽAVNI PRORAČUN ŽE SPREJET</w:t>
      </w:r>
    </w:p>
    <w:p w14:paraId="38FBC9EE" w14:textId="77777777" w:rsidR="00D7597E" w:rsidRPr="0076107B" w:rsidRDefault="00D7597E" w:rsidP="006E58FD">
      <w:pPr>
        <w:suppressAutoHyphens/>
        <w:overflowPunct w:val="0"/>
        <w:autoSpaceDE w:val="0"/>
        <w:autoSpaceDN w:val="0"/>
        <w:adjustRightInd w:val="0"/>
        <w:spacing w:after="0" w:line="260" w:lineRule="exact"/>
        <w:jc w:val="left"/>
        <w:textAlignment w:val="baseline"/>
        <w:rPr>
          <w:rFonts w:eastAsia="Times New Roman" w:cs="Arial"/>
          <w:iCs/>
          <w:szCs w:val="20"/>
        </w:rPr>
      </w:pPr>
    </w:p>
    <w:p w14:paraId="02888540" w14:textId="648C474A" w:rsidR="001D7902" w:rsidRPr="00DD4E31" w:rsidRDefault="001D7902" w:rsidP="00C12004">
      <w:pPr>
        <w:suppressAutoHyphens/>
        <w:overflowPunct w:val="0"/>
        <w:autoSpaceDE w:val="0"/>
        <w:autoSpaceDN w:val="0"/>
        <w:adjustRightInd w:val="0"/>
        <w:spacing w:after="0" w:line="260" w:lineRule="exact"/>
        <w:textAlignment w:val="baseline"/>
        <w:rPr>
          <w:rFonts w:eastAsia="Times New Roman" w:cs="Arial"/>
          <w:iCs/>
          <w:szCs w:val="20"/>
        </w:rPr>
      </w:pPr>
      <w:r w:rsidRPr="00DD4E31">
        <w:rPr>
          <w:rFonts w:eastAsia="Times New Roman" w:cs="Arial"/>
          <w:iCs/>
          <w:szCs w:val="20"/>
        </w:rPr>
        <w:t xml:space="preserve">Za izvajanje </w:t>
      </w:r>
      <w:r w:rsidR="00C13DDE" w:rsidRPr="00DD4E31">
        <w:rPr>
          <w:rFonts w:eastAsia="Times New Roman" w:cs="Arial"/>
          <w:iCs/>
          <w:szCs w:val="20"/>
        </w:rPr>
        <w:t xml:space="preserve">predloga </w:t>
      </w:r>
      <w:r w:rsidRPr="00DD4E31">
        <w:rPr>
          <w:rFonts w:eastAsia="Times New Roman" w:cs="Arial"/>
          <w:iCs/>
          <w:szCs w:val="20"/>
        </w:rPr>
        <w:t>zakona dodatnih finančnih sredstev v že sprejetem proračunu ni treba zagotoviti.</w:t>
      </w:r>
    </w:p>
    <w:p w14:paraId="72F31731" w14:textId="4EE8F319" w:rsidR="00ED315F" w:rsidRPr="00DD4E31" w:rsidRDefault="0051678F" w:rsidP="001853FC">
      <w:pPr>
        <w:suppressAutoHyphens/>
        <w:overflowPunct w:val="0"/>
        <w:autoSpaceDE w:val="0"/>
        <w:autoSpaceDN w:val="0"/>
        <w:adjustRightInd w:val="0"/>
        <w:spacing w:after="0" w:line="260" w:lineRule="exact"/>
        <w:textAlignment w:val="baseline"/>
        <w:rPr>
          <w:rFonts w:eastAsia="Times New Roman" w:cs="Arial"/>
          <w:iCs/>
          <w:szCs w:val="20"/>
        </w:rPr>
      </w:pPr>
      <w:r w:rsidRPr="00DD4E31">
        <w:rPr>
          <w:rFonts w:eastAsia="Times New Roman" w:cs="Arial"/>
          <w:iCs/>
          <w:szCs w:val="20"/>
        </w:rPr>
        <w:t xml:space="preserve">Sredstva za </w:t>
      </w:r>
      <w:r w:rsidR="00CD1846" w:rsidRPr="00DD4E31">
        <w:rPr>
          <w:rFonts w:eastAsia="Times New Roman" w:cs="Arial"/>
          <w:iCs/>
          <w:szCs w:val="20"/>
        </w:rPr>
        <w:t xml:space="preserve">izvajanje ukrepa bodo Borzen zagotovljena iz sredstev ukrepa, ki ga za vsako leto določi vlada. </w:t>
      </w:r>
    </w:p>
    <w:p w14:paraId="3F44F145" w14:textId="784B2CCD" w:rsidR="007E7CBC" w:rsidRPr="00DD4E31" w:rsidRDefault="007E7CBC" w:rsidP="001853FC">
      <w:pPr>
        <w:suppressAutoHyphens/>
        <w:overflowPunct w:val="0"/>
        <w:autoSpaceDE w:val="0"/>
        <w:autoSpaceDN w:val="0"/>
        <w:adjustRightInd w:val="0"/>
        <w:spacing w:after="0" w:line="260" w:lineRule="exact"/>
        <w:textAlignment w:val="baseline"/>
        <w:rPr>
          <w:rFonts w:eastAsia="Times New Roman" w:cs="Arial"/>
          <w:iCs/>
          <w:szCs w:val="20"/>
        </w:rPr>
      </w:pPr>
      <w:r w:rsidRPr="00DD4E31">
        <w:rPr>
          <w:rFonts w:eastAsia="Times New Roman" w:cs="Arial"/>
          <w:iCs/>
          <w:szCs w:val="20"/>
        </w:rPr>
        <w:t>Sredstva za obremenitev z upravnimi in nadzornimi stroški pristojnih organov se bodo zagotovila v že sprejetih proračunih s prerazporeditvami znotraj proračunskih postavk posameznih proračunskih uporabnikov.</w:t>
      </w:r>
    </w:p>
    <w:p w14:paraId="11797167" w14:textId="77777777" w:rsidR="001853FC" w:rsidRDefault="001853FC" w:rsidP="001853FC">
      <w:pPr>
        <w:suppressAutoHyphens/>
        <w:overflowPunct w:val="0"/>
        <w:autoSpaceDE w:val="0"/>
        <w:autoSpaceDN w:val="0"/>
        <w:adjustRightInd w:val="0"/>
        <w:spacing w:after="0" w:line="260" w:lineRule="exact"/>
        <w:textAlignment w:val="baseline"/>
        <w:rPr>
          <w:rFonts w:eastAsia="Times New Roman" w:cs="Arial"/>
          <w:iCs/>
          <w:szCs w:val="20"/>
        </w:rPr>
      </w:pPr>
    </w:p>
    <w:p w14:paraId="3EEC92F6" w14:textId="661E0FA3"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5. PRIKAZ UREDITVE V DRUGIH PRAVNIH SISTEMIH IN PRILAGOJENOSTI PREDLAGANE UREDITVE PRAVU EVROPSKE UNIJE</w:t>
      </w:r>
    </w:p>
    <w:p w14:paraId="398F980D" w14:textId="77777777" w:rsidR="00FB27C4" w:rsidRPr="00620790" w:rsidRDefault="00FB27C4" w:rsidP="00FB27C4">
      <w:pPr>
        <w:rPr>
          <w:rFonts w:cs="Arial"/>
          <w:szCs w:val="20"/>
          <w:lang w:eastAsia="sl-SI"/>
        </w:rPr>
      </w:pPr>
    </w:p>
    <w:p w14:paraId="3AD03908" w14:textId="741418C9" w:rsidR="009B6A89" w:rsidRPr="002C1EE7" w:rsidRDefault="001D0FA6" w:rsidP="009B6A89">
      <w:pPr>
        <w:rPr>
          <w:rFonts w:cs="Arial"/>
          <w:szCs w:val="20"/>
          <w:lang w:eastAsia="sl-SI"/>
        </w:rPr>
      </w:pPr>
      <w:r w:rsidRPr="002C1EE7">
        <w:rPr>
          <w:rFonts w:cs="Arial"/>
          <w:szCs w:val="20"/>
          <w:lang w:eastAsia="sl-SI"/>
        </w:rPr>
        <w:t>V nadaljevanju se predstavlja aktualna ureditev v treh državah članicah E</w:t>
      </w:r>
      <w:r w:rsidR="000A49D9">
        <w:rPr>
          <w:rFonts w:cs="Arial"/>
          <w:szCs w:val="20"/>
          <w:lang w:eastAsia="sl-SI"/>
        </w:rPr>
        <w:t xml:space="preserve">vropske </w:t>
      </w:r>
      <w:r w:rsidRPr="002C1EE7">
        <w:rPr>
          <w:rFonts w:cs="Arial"/>
          <w:szCs w:val="20"/>
          <w:lang w:eastAsia="sl-SI"/>
        </w:rPr>
        <w:t>U</w:t>
      </w:r>
      <w:r w:rsidR="000A49D9">
        <w:rPr>
          <w:rFonts w:cs="Arial"/>
          <w:szCs w:val="20"/>
          <w:lang w:eastAsia="sl-SI"/>
        </w:rPr>
        <w:t>nije</w:t>
      </w:r>
      <w:r w:rsidR="008C061C">
        <w:rPr>
          <w:rStyle w:val="Sprotnaopomba-sklic"/>
          <w:rFonts w:cs="Arial"/>
          <w:szCs w:val="20"/>
          <w:lang w:eastAsia="sl-SI"/>
        </w:rPr>
        <w:footnoteReference w:id="1"/>
      </w:r>
      <w:r w:rsidR="003071CF" w:rsidRPr="002C1EE7">
        <w:rPr>
          <w:rFonts w:cs="Arial"/>
          <w:szCs w:val="20"/>
          <w:lang w:eastAsia="sl-SI"/>
        </w:rPr>
        <w:t>.</w:t>
      </w:r>
      <w:r w:rsidRPr="002C1EE7">
        <w:rPr>
          <w:rFonts w:cs="Arial"/>
          <w:szCs w:val="20"/>
          <w:lang w:eastAsia="sl-SI"/>
        </w:rPr>
        <w:t xml:space="preserve"> </w:t>
      </w:r>
    </w:p>
    <w:p w14:paraId="2E6536AB" w14:textId="77777777" w:rsidR="001F1CE7" w:rsidRPr="001F1CE7" w:rsidRDefault="001F1CE7" w:rsidP="001F1CE7">
      <w:pPr>
        <w:rPr>
          <w:rFonts w:cs="Arial"/>
          <w:szCs w:val="20"/>
          <w:lang w:eastAsia="en-GB"/>
        </w:rPr>
      </w:pPr>
      <w:r w:rsidRPr="001F1CE7">
        <w:rPr>
          <w:rFonts w:cs="Arial"/>
          <w:szCs w:val="20"/>
          <w:lang w:eastAsia="en-GB"/>
        </w:rPr>
        <w:t>Evropske države so se na energetsko krizo odzvale z različnimi ukrepi, prilagojenimi svojim fiskalnim zmožnostim, strukturi dodane vrednosti gospodarstva in političnim prioritetam. Med najbolj sistematične in celovite pristope sodi ukrepanje Francije, ki že od leta 2022 ohranja kombinacijo reguliranih cen, davčnih olajšav in ciljnih subvencij, pri čemer nadaljuje z usmeritvijo v zeleni prehod.</w:t>
      </w:r>
    </w:p>
    <w:p w14:paraId="7BEF0CDE" w14:textId="0BB8F032" w:rsidR="001F1CE7" w:rsidRPr="001F1CE7" w:rsidRDefault="00FF6A8A" w:rsidP="001F1CE7">
      <w:pPr>
        <w:pStyle w:val="Naslov2"/>
        <w:keepLines w:val="0"/>
        <w:numPr>
          <w:ilvl w:val="1"/>
          <w:numId w:val="0"/>
        </w:numPr>
        <w:spacing w:before="240" w:line="240" w:lineRule="auto"/>
        <w:ind w:left="567" w:hanging="567"/>
        <w:jc w:val="left"/>
        <w:rPr>
          <w:rFonts w:cs="Arial"/>
          <w:szCs w:val="20"/>
        </w:rPr>
      </w:pPr>
      <w:bookmarkStart w:id="2" w:name="_Toc201714251"/>
      <w:bookmarkStart w:id="3" w:name="_Toc211241066"/>
      <w:r w:rsidRPr="001F1CE7">
        <w:rPr>
          <w:rFonts w:cs="Arial"/>
          <w:szCs w:val="20"/>
        </w:rPr>
        <w:t>FRANCIJA</w:t>
      </w:r>
      <w:bookmarkEnd w:id="2"/>
      <w:bookmarkEnd w:id="3"/>
    </w:p>
    <w:p w14:paraId="1CCD9D2F" w14:textId="77777777" w:rsidR="001F1CE7" w:rsidRPr="001F1CE7" w:rsidRDefault="001F1CE7" w:rsidP="001F1CE7">
      <w:pPr>
        <w:outlineLvl w:val="3"/>
        <w:rPr>
          <w:rFonts w:cs="Arial"/>
          <w:szCs w:val="20"/>
          <w:lang w:eastAsia="en-GB"/>
        </w:rPr>
      </w:pPr>
      <w:r w:rsidRPr="001F1CE7">
        <w:rPr>
          <w:rFonts w:cs="Arial"/>
          <w:szCs w:val="20"/>
          <w:lang w:eastAsia="en-GB"/>
        </w:rPr>
        <w:t>Francija je med letoma 2022 in 2024 uvedla obsežen nabor ukrepov za zamejitev rasti cen energije in zaščito podjetij, zlasti malih in srednje velikih (MSP) podjetij ter energetsko intenzivnih sektorjev. Leta 2025 je večina ključnih ukrepov ostala v veljavi, nekateri so bili prenovljeni ali ciljno omejeni, hkrati pa se nadaljujejo strateške investicije v razogljičenje industrije v okviru nacionalnega načrta France 2030 (Ministère de la Transition Énergétique, 2025; ADEME, 2025).</w:t>
      </w:r>
    </w:p>
    <w:p w14:paraId="1713C35B" w14:textId="77777777" w:rsidR="001F1CE7" w:rsidRPr="001F1CE7" w:rsidRDefault="001F1CE7" w:rsidP="001F1CE7">
      <w:pPr>
        <w:outlineLvl w:val="3"/>
        <w:rPr>
          <w:rFonts w:cs="Arial"/>
          <w:szCs w:val="20"/>
          <w:lang w:eastAsia="en-GB"/>
        </w:rPr>
      </w:pPr>
    </w:p>
    <w:p w14:paraId="6C3A4522" w14:textId="77777777" w:rsidR="001F1CE7" w:rsidRPr="001F1CE7" w:rsidRDefault="001F1CE7" w:rsidP="001F1CE7">
      <w:pPr>
        <w:pStyle w:val="Naslov3"/>
        <w:keepLines w:val="0"/>
        <w:numPr>
          <w:ilvl w:val="2"/>
          <w:numId w:val="0"/>
        </w:numPr>
        <w:spacing w:before="240" w:after="240" w:line="240" w:lineRule="auto"/>
        <w:ind w:left="720" w:hanging="720"/>
        <w:jc w:val="left"/>
        <w:rPr>
          <w:rFonts w:ascii="Arial" w:hAnsi="Arial" w:cs="Arial"/>
          <w:sz w:val="20"/>
          <w:szCs w:val="20"/>
        </w:rPr>
      </w:pPr>
      <w:bookmarkStart w:id="4" w:name="_Toc211241067"/>
      <w:r w:rsidRPr="001F1CE7">
        <w:rPr>
          <w:rFonts w:ascii="Arial" w:hAnsi="Arial" w:cs="Arial"/>
          <w:sz w:val="20"/>
          <w:szCs w:val="20"/>
        </w:rPr>
        <w:lastRenderedPageBreak/>
        <w:t>Mehanizem ARENH</w:t>
      </w:r>
      <w:bookmarkEnd w:id="4"/>
    </w:p>
    <w:p w14:paraId="127B29B5" w14:textId="77777777" w:rsidR="001F1CE7" w:rsidRPr="001F1CE7" w:rsidRDefault="001F1CE7" w:rsidP="001F1CE7">
      <w:pPr>
        <w:rPr>
          <w:rFonts w:cs="Arial"/>
          <w:szCs w:val="20"/>
          <w:lang w:eastAsia="en-GB"/>
        </w:rPr>
      </w:pPr>
      <w:r w:rsidRPr="001F1CE7">
        <w:rPr>
          <w:rFonts w:cs="Arial"/>
          <w:szCs w:val="20"/>
          <w:lang w:eastAsia="en-GB"/>
        </w:rPr>
        <w:t>Francija je v zadnjih petnajstih letih razvila specifičen sistem za zniževanje stroškov električne energije za industrijske odjemalce, ki temelji na posebnem položaju države kot največje evropske jedrske velesile (proizvajalke jedrske energije). Približno 70 % francoske električne energije nastane iz jedrskih elektrarn, kar pomeni, da so proizvodni stroški razmeroma nizki in stabilni. Kljub temu so morali francoski industrijski odjemalci pogosto kupovati električno energijo po cenah, ki so bile vezane na evropske veleprodajne trge, kjer so cene močno nihale zaradi nihanja cen zemeljskega plina in drugih dejavnikov (nizki vodostaji rek ob sušnih mesecih ipd.). Da bi zaščitila gospodarstvo in omogočila, da se prednosti nizke proizvodne cene jedrske energije na domačem trgu prenesejo na podjetja, je francoska vlada uvedla več posebnih mehanizmov. Najpomembnejši med njimi je bil sistem ARENH, ki je bil v veljavi od leta 2011 do konca leta 2025.</w:t>
      </w:r>
    </w:p>
    <w:p w14:paraId="19FBBE14" w14:textId="77777777" w:rsidR="001F1CE7" w:rsidRPr="001F1CE7" w:rsidRDefault="001F1CE7" w:rsidP="001F1CE7">
      <w:pPr>
        <w:rPr>
          <w:rFonts w:cs="Arial"/>
          <w:szCs w:val="20"/>
          <w:lang w:eastAsia="en-GB"/>
        </w:rPr>
      </w:pPr>
    </w:p>
    <w:p w14:paraId="69B7B704" w14:textId="77777777" w:rsidR="001F1CE7" w:rsidRPr="001F1CE7" w:rsidRDefault="001F1CE7" w:rsidP="001F1CE7">
      <w:pPr>
        <w:rPr>
          <w:rFonts w:cs="Arial"/>
          <w:szCs w:val="20"/>
          <w:lang w:eastAsia="en-GB"/>
        </w:rPr>
      </w:pPr>
      <w:r w:rsidRPr="001F1CE7">
        <w:rPr>
          <w:rFonts w:cs="Arial"/>
          <w:szCs w:val="20"/>
          <w:lang w:eastAsia="en-GB"/>
        </w:rPr>
        <w:t xml:space="preserve">Mehanizem </w:t>
      </w:r>
      <w:r w:rsidRPr="001F1CE7">
        <w:rPr>
          <w:rFonts w:cs="Arial"/>
          <w:b/>
          <w:bCs/>
          <w:szCs w:val="20"/>
          <w:lang w:eastAsia="en-GB"/>
        </w:rPr>
        <w:t xml:space="preserve">ARENH </w:t>
      </w:r>
      <w:r w:rsidRPr="001F1CE7">
        <w:rPr>
          <w:rFonts w:cs="Arial"/>
          <w:szCs w:val="20"/>
          <w:lang w:eastAsia="en-GB"/>
        </w:rPr>
        <w:t>(Accès Régulé à l’Électricité Nucléaire Historique) je industrijskim odjemalcem omogočil posreden dostop do »jedrske dividende«. Deloval je tako, da so vsi alternativni ponudniki električne energije v Franciji lahko od državnega energetskega podjetja EDF odkupili del njegove jedrske proizvodnje po vnaprej določeni fiksni ceni, ki jo je določil regulator CRE. Ta cena je znašala 42 evrov/MWh in se od leta 2012 do ukinitve ni spreminjala. Skupna količina elektrike, ki je bila na voljo prek sistema ARENH, je bila omejena na 100 TWh na leto. Če je skupno povpraševanje preseglo ta prag, se je razpoložljiva količina razdelila sorazmerno med ponudnike. Sistem se je tako uporabljal kot kanal, prek katerega so končni industrijski odjemalci lahko kupovali električno energijo po bistveno nižji ceni od tiste na prostem trgu. V praksi so tržne cene v kriznih letih nihale med 80 in celo 500 evri/MWh, zato je bila razlika za podjetja zelo občutna. ARENH je sicer omogočal pomembne prihranke, a je hkrati finančno obremenjeval EDF, saj je moral del svoje proizvodnje v jedrskih kapacitetah prodajati pod tržno vrednostjo. To je bil tudi eden ključnih razlogov, da se je Francija odločila za ukinitev mehanizma s 1. januarjem 2026.</w:t>
      </w:r>
    </w:p>
    <w:p w14:paraId="47F505AB" w14:textId="77777777" w:rsidR="001F1CE7" w:rsidRPr="001F1CE7" w:rsidRDefault="001F1CE7" w:rsidP="001F1CE7">
      <w:pPr>
        <w:rPr>
          <w:rFonts w:cs="Arial"/>
          <w:szCs w:val="20"/>
          <w:lang w:eastAsia="en-GB"/>
        </w:rPr>
      </w:pPr>
    </w:p>
    <w:p w14:paraId="1DE75C92" w14:textId="77777777" w:rsidR="001F1CE7" w:rsidRPr="001F1CE7" w:rsidRDefault="001F1CE7" w:rsidP="001F1CE7">
      <w:pPr>
        <w:rPr>
          <w:rFonts w:cs="Arial"/>
          <w:szCs w:val="20"/>
          <w:lang w:eastAsia="en-GB"/>
        </w:rPr>
      </w:pPr>
      <w:r w:rsidRPr="001F1CE7">
        <w:rPr>
          <w:rFonts w:cs="Arial"/>
          <w:szCs w:val="20"/>
          <w:lang w:eastAsia="en-GB"/>
        </w:rPr>
        <w:t>Namesto ARENH-a bo od leta 2026 dalje uveden nov sistem, ki temelji na načelu »delitve vrednosti« oziroma na pogodbah o razliki v ceni (</w:t>
      </w:r>
      <w:r w:rsidRPr="001F1CE7">
        <w:rPr>
          <w:rFonts w:cs="Arial"/>
          <w:b/>
          <w:bCs/>
          <w:szCs w:val="20"/>
          <w:lang w:eastAsia="en-GB"/>
        </w:rPr>
        <w:t>Contracts for Difference – CfD</w:t>
      </w:r>
      <w:r w:rsidRPr="001F1CE7">
        <w:rPr>
          <w:rFonts w:cs="Arial"/>
          <w:szCs w:val="20"/>
          <w:lang w:eastAsia="en-GB"/>
        </w:rPr>
        <w:t>). V tem modelu se je vlada z EDF dogovorila za referenčno ceno celotne jedrske proizvodnje, ki bo okvirno v razponu med 60 in 70 evrov/MWh.</w:t>
      </w:r>
      <w:r w:rsidRPr="001F1CE7">
        <w:rPr>
          <w:rStyle w:val="Sprotnaopomba-sklic"/>
          <w:rFonts w:cs="Arial"/>
          <w:szCs w:val="20"/>
          <w:lang w:eastAsia="en-GB"/>
        </w:rPr>
        <w:footnoteReference w:id="2"/>
      </w:r>
      <w:r w:rsidRPr="001F1CE7">
        <w:rPr>
          <w:rFonts w:cs="Arial"/>
          <w:szCs w:val="20"/>
          <w:lang w:eastAsia="en-GB"/>
        </w:rPr>
        <w:t xml:space="preserve"> Ko bo tržna cena električne energije presegla referenčno ceno, bo razlika vračunana v korist odjemalcev – država bo poskrbela, da bodo industrijski in gospodinjski uporabniki dobili nadomestilo, ki bo znižalo njihove račune. Če pa bo tržna cena padla pod referenčno, bodo odjemalci razliko vračali državi. Novi mehanizem naj bi bil tržno bolj usklajen, hkrati pa bo industriji še vedno zagotavljal cenovno stabilnost, EDF pa zaščitil pred sistematičnimi izgubami, ki jih je povzročal ARENH.</w:t>
      </w:r>
    </w:p>
    <w:p w14:paraId="4FD712A6" w14:textId="77777777" w:rsidR="001F1CE7" w:rsidRPr="001F1CE7" w:rsidRDefault="001F1CE7" w:rsidP="001F1CE7">
      <w:pPr>
        <w:rPr>
          <w:rFonts w:cs="Arial"/>
          <w:szCs w:val="20"/>
          <w:lang w:eastAsia="en-GB"/>
        </w:rPr>
      </w:pPr>
    </w:p>
    <w:p w14:paraId="08F33A55" w14:textId="77777777" w:rsidR="001F1CE7" w:rsidRPr="001F1CE7" w:rsidRDefault="001F1CE7" w:rsidP="001F1CE7">
      <w:pPr>
        <w:rPr>
          <w:rFonts w:cs="Arial"/>
          <w:szCs w:val="20"/>
          <w:lang w:eastAsia="en-GB"/>
        </w:rPr>
      </w:pPr>
      <w:r w:rsidRPr="001F1CE7">
        <w:rPr>
          <w:rFonts w:cs="Arial"/>
          <w:szCs w:val="20"/>
          <w:lang w:eastAsia="en-GB"/>
        </w:rPr>
        <w:t>Skupaj gledano francoski model pomeni, da so industrijski odjemalci v zadnjem desetletju uživali neposredne koristi nizkocenovne jedrske proizvodnje. V obdobju 2011–2025 je to omogočal sistem ARENH s fiksno zajamčeno ceno 42 evrov/MWh, od leta 2026 naprej pa bo ta vloga prenesena na nov CfD-model z referenčno ceno v območju 60–70 evrov/MWh. Tako se bo ohranil cilj – cenovna stabilnost za gospodarstvo – vendar v bolj trajnostni obliki, ki obenem zmanjšuje finančno breme za EDF. Začasni ukrepi v letih energetske krize pa so dodatno zagotovili, da podjetja niso izgubila konkurenčnosti in da ni prišlo do obsežnih zaprtij proizvodnje.</w:t>
      </w:r>
    </w:p>
    <w:p w14:paraId="7611820D" w14:textId="77777777" w:rsidR="001F1CE7" w:rsidRPr="001F1CE7" w:rsidRDefault="001F1CE7" w:rsidP="001F1CE7">
      <w:pPr>
        <w:rPr>
          <w:rFonts w:cs="Arial"/>
          <w:szCs w:val="20"/>
          <w:lang w:eastAsia="en-GB"/>
        </w:rPr>
      </w:pPr>
    </w:p>
    <w:p w14:paraId="18B72F40" w14:textId="77777777" w:rsidR="001F1CE7" w:rsidRPr="001F1CE7" w:rsidRDefault="001F1CE7" w:rsidP="001F1CE7">
      <w:pPr>
        <w:pStyle w:val="Naslov3"/>
        <w:keepLines w:val="0"/>
        <w:numPr>
          <w:ilvl w:val="2"/>
          <w:numId w:val="0"/>
        </w:numPr>
        <w:spacing w:before="240" w:after="240" w:line="240" w:lineRule="auto"/>
        <w:ind w:left="720" w:hanging="720"/>
        <w:jc w:val="left"/>
        <w:rPr>
          <w:rFonts w:ascii="Arial" w:hAnsi="Arial" w:cs="Arial"/>
          <w:sz w:val="20"/>
          <w:szCs w:val="20"/>
        </w:rPr>
      </w:pPr>
      <w:bookmarkStart w:id="5" w:name="_Toc201714252"/>
      <w:bookmarkStart w:id="6" w:name="_Toc211241068"/>
      <w:r w:rsidRPr="001F1CE7">
        <w:rPr>
          <w:rFonts w:ascii="Arial" w:hAnsi="Arial" w:cs="Arial"/>
          <w:sz w:val="20"/>
          <w:szCs w:val="20"/>
        </w:rPr>
        <w:lastRenderedPageBreak/>
        <w:t>Drugi mehanizmi cenovne regulacij</w:t>
      </w:r>
      <w:bookmarkEnd w:id="5"/>
      <w:r w:rsidRPr="001F1CE7">
        <w:rPr>
          <w:rFonts w:ascii="Arial" w:hAnsi="Arial" w:cs="Arial"/>
          <w:sz w:val="20"/>
          <w:szCs w:val="20"/>
        </w:rPr>
        <w:t>e</w:t>
      </w:r>
      <w:bookmarkEnd w:id="6"/>
    </w:p>
    <w:p w14:paraId="469C6DE9" w14:textId="77777777" w:rsidR="001F1CE7" w:rsidRPr="001F1CE7" w:rsidRDefault="001F1CE7" w:rsidP="001F1CE7">
      <w:pPr>
        <w:rPr>
          <w:rFonts w:cs="Arial"/>
          <w:b/>
          <w:bCs/>
          <w:szCs w:val="20"/>
          <w:lang w:eastAsia="en-GB"/>
        </w:rPr>
      </w:pPr>
      <w:r w:rsidRPr="001F1CE7">
        <w:rPr>
          <w:rFonts w:cs="Arial"/>
          <w:szCs w:val="20"/>
          <w:lang w:eastAsia="en-GB"/>
        </w:rPr>
        <w:t>Poleg teh sistemskih rešitev je francoska vlada v času energetske krize v letih 2022 in 2023 sprejela tudi vrsto začasnih ukrepov za podjetja. Med najpomembnejšimi je bil tako imenovani »amortisseur électricité« oziroma blažilnik cene električne energije, ki je bil namenjen predvsem malim in srednje velikim podjetjem. Omogočal je, da je država pokrivala del stroškov nad določeno mejo in tako omejila letno povprečno ceno za ta podjetja</w:t>
      </w:r>
    </w:p>
    <w:p w14:paraId="7A315E4E" w14:textId="77777777" w:rsidR="001F1CE7" w:rsidRPr="001F1CE7" w:rsidRDefault="001F1CE7" w:rsidP="001F1CE7">
      <w:pPr>
        <w:rPr>
          <w:rFonts w:cs="Arial"/>
          <w:szCs w:val="20"/>
          <w:lang w:eastAsia="en-GB"/>
        </w:rPr>
      </w:pPr>
    </w:p>
    <w:p w14:paraId="52FBCE4C" w14:textId="77777777" w:rsidR="001F1CE7" w:rsidRPr="001F1CE7" w:rsidRDefault="001F1CE7" w:rsidP="001F1CE7">
      <w:pPr>
        <w:rPr>
          <w:rFonts w:cs="Arial"/>
          <w:szCs w:val="20"/>
          <w:lang w:eastAsia="en-GB"/>
        </w:rPr>
      </w:pPr>
      <w:r w:rsidRPr="001F1CE7">
        <w:rPr>
          <w:rFonts w:cs="Arial"/>
          <w:szCs w:val="20"/>
          <w:lang w:eastAsia="en-GB"/>
        </w:rPr>
        <w:t>Med letoma 2022 in 2024 je Francija izvajala tudi ukrep t.i. »tarifnega ščita« (</w:t>
      </w:r>
      <w:r w:rsidRPr="001F1CE7">
        <w:rPr>
          <w:rFonts w:cs="Arial"/>
          <w:i/>
          <w:iCs/>
          <w:szCs w:val="20"/>
          <w:lang w:eastAsia="en-GB"/>
        </w:rPr>
        <w:t>bouclier tarifaire</w:t>
      </w:r>
      <w:r w:rsidRPr="001F1CE7">
        <w:rPr>
          <w:rFonts w:cs="Arial"/>
          <w:szCs w:val="20"/>
          <w:lang w:eastAsia="en-GB"/>
        </w:rPr>
        <w:t>), ki je omejeval letno rast cen električne energije za gospodinjstva in mala ter srednja podjetja (MSP), in sicer na največ 15 %. Ukrep, financiran s strani države in operativno izvajan prek državnega podjetja EDF, je predstavljal enega izmed ključnih mehanizmov za zamejevanje cenovnih pritiskov v času energetske krize (Reuters, 2024). V letu 2025 je bil ukrep prenovljen in podaljšan, vendar v ožjem obsegu - nanaša se le še na posebej izpostavljena MSP.</w:t>
      </w:r>
    </w:p>
    <w:p w14:paraId="21260C1C" w14:textId="77777777" w:rsidR="001F1CE7" w:rsidRPr="001F1CE7" w:rsidRDefault="001F1CE7" w:rsidP="001F1CE7">
      <w:pPr>
        <w:rPr>
          <w:rFonts w:cs="Arial"/>
          <w:szCs w:val="20"/>
          <w:lang w:eastAsia="en-GB"/>
        </w:rPr>
      </w:pPr>
    </w:p>
    <w:p w14:paraId="4BAB411F" w14:textId="77777777" w:rsidR="001F1CE7" w:rsidRPr="001F1CE7" w:rsidRDefault="001F1CE7" w:rsidP="001F1CE7">
      <w:pPr>
        <w:rPr>
          <w:rFonts w:cs="Arial"/>
          <w:szCs w:val="20"/>
          <w:lang w:eastAsia="en-GB"/>
        </w:rPr>
      </w:pPr>
      <w:r w:rsidRPr="001F1CE7">
        <w:rPr>
          <w:rFonts w:cs="Arial"/>
          <w:szCs w:val="20"/>
          <w:lang w:eastAsia="en-GB"/>
        </w:rPr>
        <w:t>Vzporedno s tem je Francija v letu 2025 uvedla tudi znižano regulirano prodajno tarifo električne energije (TRVE) za MSP in gospodinjstva, ki predstavlja osrednji mehanizem za nadzor stroškov električne energije po umiku tarifnega ščita. Na podlagi odločitve Komisije za regulacijo energije (CRE) je bila ta tarifa od 1. februarja 2025 znižana za 15 %, s ciljem omiliti učinke prehoda na tržno oblikovane cene (CRE, 2025; Service-public.fr, 2025). Gre za prilagojeno obliko cenovne regulacije, ki ohranja zaščitni učinek za ranljive odjemalce brez neposrednega posega v cene za celoten trg.</w:t>
      </w:r>
    </w:p>
    <w:p w14:paraId="03EE2FE3" w14:textId="77777777" w:rsidR="001F1CE7" w:rsidRPr="001F1CE7" w:rsidRDefault="001F1CE7" w:rsidP="001F1CE7">
      <w:pPr>
        <w:rPr>
          <w:rFonts w:cs="Arial"/>
          <w:szCs w:val="20"/>
          <w:lang w:eastAsia="en-GB"/>
        </w:rPr>
      </w:pPr>
    </w:p>
    <w:p w14:paraId="63AFC0F9" w14:textId="77777777" w:rsidR="001F1CE7" w:rsidRPr="001F1CE7" w:rsidRDefault="001F1CE7" w:rsidP="001F1CE7">
      <w:pPr>
        <w:rPr>
          <w:rFonts w:cs="Arial"/>
          <w:szCs w:val="20"/>
          <w:lang w:eastAsia="en-GB"/>
        </w:rPr>
      </w:pPr>
      <w:r w:rsidRPr="001F1CE7">
        <w:rPr>
          <w:rFonts w:cs="Arial"/>
          <w:szCs w:val="20"/>
          <w:lang w:eastAsia="en-GB"/>
        </w:rPr>
        <w:t>Dodatno olajšavo za industrijske odjemalce predstavlja prilagojena trošarina na električno energijo (TICFE), ki se v letu 2025 še naprej uporablja kot oblika davčne razbremenitve. Za MSP s priključno močjo pod 250 kW znaša TICFE 26,23 €/MWh, kar presega začasno znižano raven iz preteklih let (20,50 €/MWh), vendar ostaja pod predkriznimi vrednostmi (CRE, 2025). Ohranitev znižane obremenitve celotne cene električne energije (z omrežnino in dajatvami) je ključen element francoske politike za zaščito industrijske konkurenčnosti.</w:t>
      </w:r>
    </w:p>
    <w:p w14:paraId="688B026C" w14:textId="77777777" w:rsidR="001F1CE7" w:rsidRPr="001F1CE7" w:rsidRDefault="001F1CE7" w:rsidP="001F1CE7">
      <w:pPr>
        <w:rPr>
          <w:rFonts w:cs="Arial"/>
          <w:szCs w:val="20"/>
          <w:lang w:eastAsia="en-GB"/>
        </w:rPr>
      </w:pPr>
    </w:p>
    <w:p w14:paraId="37E8CDA4" w14:textId="77777777" w:rsidR="001F1CE7" w:rsidRPr="001F1CE7" w:rsidRDefault="001F1CE7" w:rsidP="001F1CE7">
      <w:pPr>
        <w:rPr>
          <w:rFonts w:cs="Arial"/>
          <w:szCs w:val="20"/>
          <w:lang w:eastAsia="en-GB"/>
        </w:rPr>
      </w:pPr>
      <w:r w:rsidRPr="001F1CE7">
        <w:rPr>
          <w:rFonts w:cs="Arial"/>
          <w:szCs w:val="20"/>
          <w:lang w:eastAsia="en-GB"/>
        </w:rPr>
        <w:t>Pomemben del ukrepov vključuje tudi začasno ustavitev rasti tarif za uporabo električnega omrežja (TURPE), ki jih določa CRE. Ta odločitev, veljavna do februarja 2025, je bila usklajena z načrtovano reformo mehanizma reguliranega dostopa do zgodovinske jedrske energije (ARENH) (EnergyNews.pro, 2024). Novi model, predstavljen v okviru državnega proračuna za leto 2025, predvideva prerazporeditev prihodkov iz jedrske proizvodnje z namenom, da bi se del koristi neposredno prenesel na končne industrijske odjemalce (Enerdata.net, 2024).</w:t>
      </w:r>
    </w:p>
    <w:p w14:paraId="7925CF56" w14:textId="77777777" w:rsidR="001F1CE7" w:rsidRPr="001F1CE7" w:rsidRDefault="001F1CE7" w:rsidP="001F1CE7">
      <w:pPr>
        <w:rPr>
          <w:rFonts w:cs="Arial"/>
          <w:szCs w:val="20"/>
          <w:lang w:eastAsia="en-GB"/>
        </w:rPr>
      </w:pPr>
    </w:p>
    <w:p w14:paraId="3A901060" w14:textId="77777777" w:rsidR="001F1CE7" w:rsidRPr="001F1CE7" w:rsidRDefault="001F1CE7" w:rsidP="001F1CE7">
      <w:pPr>
        <w:rPr>
          <w:rFonts w:cs="Arial"/>
          <w:szCs w:val="20"/>
          <w:lang w:eastAsia="en-GB"/>
        </w:rPr>
      </w:pPr>
      <w:r w:rsidRPr="001F1CE7">
        <w:rPr>
          <w:rFonts w:cs="Arial"/>
          <w:szCs w:val="20"/>
          <w:lang w:eastAsia="en-GB"/>
        </w:rPr>
        <w:t xml:space="preserve">Poleg tega </w:t>
      </w:r>
      <w:r w:rsidRPr="001F1CE7">
        <w:rPr>
          <w:rFonts w:cs="Arial"/>
          <w:b/>
          <w:bCs/>
          <w:szCs w:val="20"/>
          <w:lang w:eastAsia="en-GB"/>
        </w:rPr>
        <w:t>za energetsko intenzivne panoge, kot so jeklarska in kemična industrija, obstajajo še posebne sheme, ki vključujejo znižane dajatve in trošarine (npr. TICFE/CSPE) ter možnost dolgoročnih pogodb z EDF po ugodnejših cenah.</w:t>
      </w:r>
    </w:p>
    <w:p w14:paraId="43D10FB6" w14:textId="77777777" w:rsidR="001F1CE7" w:rsidRPr="001F1CE7" w:rsidRDefault="001F1CE7" w:rsidP="001F1CE7">
      <w:pPr>
        <w:rPr>
          <w:rFonts w:cs="Arial"/>
          <w:szCs w:val="20"/>
          <w:lang w:eastAsia="en-GB"/>
        </w:rPr>
      </w:pPr>
    </w:p>
    <w:p w14:paraId="465494FB" w14:textId="77777777" w:rsidR="001F1CE7" w:rsidRPr="001F1CE7" w:rsidRDefault="001F1CE7" w:rsidP="001F1CE7">
      <w:pPr>
        <w:rPr>
          <w:rFonts w:cs="Arial"/>
          <w:szCs w:val="20"/>
          <w:lang w:eastAsia="en-GB"/>
        </w:rPr>
      </w:pPr>
      <w:r w:rsidRPr="001F1CE7">
        <w:rPr>
          <w:rFonts w:cs="Arial"/>
          <w:szCs w:val="20"/>
          <w:lang w:eastAsia="en-GB"/>
        </w:rPr>
        <w:t>Kumulativni učinek navedenih ukrepov potrjuje, da Francija tudi v letu 2025 nadaljuje s strateškim povezovanjem cenovne zaščite industrije z dolgoročnim reformnim okvirjem energetskega trga. S tem pristopom vlada ohranja konkurenčnost energetsko intenzivnih sektorjev in MSP ob hkratni fiskalni vzdržnosti in tržni usmerjenosti.</w:t>
      </w:r>
    </w:p>
    <w:p w14:paraId="35E42F2F" w14:textId="77777777" w:rsidR="001F1CE7" w:rsidRPr="001F1CE7" w:rsidRDefault="001F1CE7" w:rsidP="001F1CE7">
      <w:pPr>
        <w:pStyle w:val="Naslov3"/>
        <w:keepLines w:val="0"/>
        <w:numPr>
          <w:ilvl w:val="2"/>
          <w:numId w:val="0"/>
        </w:numPr>
        <w:spacing w:before="240" w:after="240" w:line="240" w:lineRule="auto"/>
        <w:ind w:left="720" w:hanging="720"/>
        <w:jc w:val="left"/>
        <w:rPr>
          <w:rFonts w:ascii="Arial" w:hAnsi="Arial" w:cs="Arial"/>
          <w:sz w:val="20"/>
          <w:szCs w:val="20"/>
        </w:rPr>
      </w:pPr>
      <w:bookmarkStart w:id="7" w:name="_Toc201714253"/>
      <w:bookmarkStart w:id="8" w:name="_Toc211241069"/>
      <w:r w:rsidRPr="001F1CE7">
        <w:rPr>
          <w:rFonts w:ascii="Arial" w:hAnsi="Arial" w:cs="Arial"/>
          <w:sz w:val="20"/>
          <w:szCs w:val="20"/>
        </w:rPr>
        <w:t>Davčne olajšave</w:t>
      </w:r>
      <w:bookmarkEnd w:id="7"/>
      <w:r w:rsidRPr="001F1CE7">
        <w:rPr>
          <w:rFonts w:ascii="Arial" w:hAnsi="Arial" w:cs="Arial"/>
          <w:sz w:val="20"/>
          <w:szCs w:val="20"/>
        </w:rPr>
        <w:t xml:space="preserve"> na porabljeno količino električne energije</w:t>
      </w:r>
      <w:bookmarkEnd w:id="8"/>
    </w:p>
    <w:p w14:paraId="0DF2FB4A" w14:textId="59C2DBE0" w:rsidR="001F1CE7" w:rsidRPr="001F1CE7" w:rsidRDefault="001F1CE7" w:rsidP="001F1CE7">
      <w:pPr>
        <w:rPr>
          <w:rFonts w:cs="Arial"/>
          <w:szCs w:val="20"/>
          <w:lang w:eastAsia="en-GB"/>
        </w:rPr>
      </w:pPr>
      <w:r w:rsidRPr="001F1CE7">
        <w:rPr>
          <w:rFonts w:cs="Arial"/>
          <w:szCs w:val="20"/>
          <w:lang w:eastAsia="en-GB"/>
        </w:rPr>
        <w:t xml:space="preserve">Pomemben ukrep na področju razbremenitve cen električne energije je bilo znižanje TICFE prispevka (Contribution tarifaire d’électricité), kar je bistveno zmanjšalo obremenitev končnih porabnikov elektrike. Prispevek je bil med letoma 2022 in 2024 skoraj v celoti odpravljen, kar velja tudi v letu 2025. Gre za </w:t>
      </w:r>
      <w:r w:rsidRPr="001F1CE7">
        <w:rPr>
          <w:rFonts w:cs="Arial"/>
          <w:szCs w:val="20"/>
          <w:lang w:eastAsia="en-GB"/>
        </w:rPr>
        <w:lastRenderedPageBreak/>
        <w:t>nadaljevanje brez sprememb, ki ima pomembne učinke na konkurenčnost podjetij (Tax Foundation, 2024).</w:t>
      </w:r>
    </w:p>
    <w:p w14:paraId="3D9EF7DC" w14:textId="77777777" w:rsidR="001F1CE7" w:rsidRPr="001F1CE7" w:rsidRDefault="001F1CE7" w:rsidP="001F1CE7">
      <w:pPr>
        <w:pStyle w:val="Naslov3"/>
        <w:keepLines w:val="0"/>
        <w:numPr>
          <w:ilvl w:val="2"/>
          <w:numId w:val="0"/>
        </w:numPr>
        <w:spacing w:before="240" w:after="240" w:line="240" w:lineRule="auto"/>
        <w:ind w:left="720" w:hanging="720"/>
        <w:jc w:val="left"/>
        <w:rPr>
          <w:rFonts w:ascii="Arial" w:hAnsi="Arial" w:cs="Arial"/>
          <w:sz w:val="20"/>
          <w:szCs w:val="20"/>
        </w:rPr>
      </w:pPr>
      <w:bookmarkStart w:id="9" w:name="_Toc201714254"/>
      <w:bookmarkStart w:id="10" w:name="_Toc211241070"/>
      <w:r w:rsidRPr="001F1CE7">
        <w:rPr>
          <w:rFonts w:ascii="Arial" w:hAnsi="Arial" w:cs="Arial"/>
          <w:sz w:val="20"/>
          <w:szCs w:val="20"/>
        </w:rPr>
        <w:t>Neposredna finančna pomoč</w:t>
      </w:r>
      <w:bookmarkEnd w:id="9"/>
      <w:bookmarkEnd w:id="10"/>
    </w:p>
    <w:p w14:paraId="169792AF" w14:textId="77777777" w:rsidR="001F1CE7" w:rsidRPr="001F1CE7" w:rsidRDefault="001F1CE7" w:rsidP="001F1CE7">
      <w:pPr>
        <w:rPr>
          <w:rFonts w:cs="Arial"/>
          <w:szCs w:val="20"/>
          <w:lang w:eastAsia="en-GB"/>
        </w:rPr>
      </w:pPr>
      <w:r w:rsidRPr="001F1CE7">
        <w:rPr>
          <w:rFonts w:cs="Arial"/>
          <w:szCs w:val="20"/>
          <w:lang w:eastAsia="en-GB"/>
        </w:rPr>
        <w:t>V odziv na visoke cene energije je Francija od leta 2022 dalje uvedla sistem energetskih bonov in subvencij, ki so bili namenjeni podjetjem, ki izkazujejo visoko energetsko intenzivnost ali tveganje za likvidnostno krizo. Do leta 2024 so bila sredstva dodeljevana na podlagi kriterijev porabe električne energije v razmerju do prihodkov in kazalnikov EBITDA.</w:t>
      </w:r>
    </w:p>
    <w:p w14:paraId="4FE2FC4B" w14:textId="77777777" w:rsidR="001F1CE7" w:rsidRPr="001F1CE7" w:rsidRDefault="001F1CE7" w:rsidP="001F1CE7">
      <w:pPr>
        <w:rPr>
          <w:rFonts w:cs="Arial"/>
          <w:szCs w:val="20"/>
          <w:lang w:eastAsia="en-GB"/>
        </w:rPr>
      </w:pPr>
    </w:p>
    <w:p w14:paraId="51F5B657" w14:textId="77777777" w:rsidR="001F1CE7" w:rsidRPr="001F1CE7" w:rsidRDefault="001F1CE7" w:rsidP="001F1CE7">
      <w:pPr>
        <w:rPr>
          <w:rFonts w:cs="Arial"/>
          <w:szCs w:val="20"/>
          <w:lang w:eastAsia="en-GB"/>
        </w:rPr>
      </w:pPr>
      <w:r w:rsidRPr="001F1CE7">
        <w:rPr>
          <w:rFonts w:cs="Arial"/>
          <w:szCs w:val="20"/>
          <w:lang w:eastAsia="en-GB"/>
        </w:rPr>
        <w:t>V letu 2025 se ti programi nadaljujejo z določenimi prilagoditvami, pri čemer so pogoji za upravičenost nekoliko zaostreni in bolj ciljno usmerjeni k podjetjem v težki industriji. Gre za prenovljen ukrep, ki ostaja skladen s smernicami EU o začasni pomoči (Evropska komisija, 2023).</w:t>
      </w:r>
    </w:p>
    <w:p w14:paraId="5A61136D" w14:textId="77777777" w:rsidR="001F1CE7" w:rsidRPr="001F1CE7" w:rsidRDefault="001F1CE7" w:rsidP="001F1CE7">
      <w:pPr>
        <w:pStyle w:val="Naslov3"/>
        <w:keepLines w:val="0"/>
        <w:numPr>
          <w:ilvl w:val="2"/>
          <w:numId w:val="0"/>
        </w:numPr>
        <w:spacing w:before="240" w:after="240" w:line="240" w:lineRule="auto"/>
        <w:ind w:left="720" w:hanging="720"/>
        <w:jc w:val="left"/>
        <w:rPr>
          <w:rFonts w:ascii="Arial" w:hAnsi="Arial" w:cs="Arial"/>
          <w:sz w:val="20"/>
          <w:szCs w:val="20"/>
        </w:rPr>
      </w:pPr>
      <w:bookmarkStart w:id="11" w:name="_Toc201714255"/>
      <w:bookmarkStart w:id="12" w:name="_Toc211241071"/>
      <w:r w:rsidRPr="001F1CE7">
        <w:rPr>
          <w:rFonts w:ascii="Arial" w:hAnsi="Arial" w:cs="Arial"/>
          <w:sz w:val="20"/>
          <w:szCs w:val="20"/>
        </w:rPr>
        <w:t>Investicije v industrijsko razogljičenje (France 2030)</w:t>
      </w:r>
      <w:bookmarkEnd w:id="11"/>
      <w:bookmarkEnd w:id="12"/>
    </w:p>
    <w:p w14:paraId="5933250C" w14:textId="77777777" w:rsidR="001F1CE7" w:rsidRPr="001F1CE7" w:rsidRDefault="001F1CE7" w:rsidP="001F1CE7">
      <w:pPr>
        <w:rPr>
          <w:rFonts w:cs="Arial"/>
          <w:szCs w:val="20"/>
          <w:lang w:eastAsia="en-GB"/>
        </w:rPr>
      </w:pPr>
      <w:r w:rsidRPr="001F1CE7">
        <w:rPr>
          <w:rFonts w:cs="Arial"/>
          <w:szCs w:val="20"/>
          <w:lang w:eastAsia="en-GB"/>
        </w:rPr>
        <w:t>Ključni strateški ukrep, ki presega kratkoročne sheme pomoči, je vključen v program France 2030, ki se je začel izvajati leta 2023 in se nadaljuje z dodatnimi razpisi tudi v letu 2025 (ADEME, 2025). Gre za nacionalni investicijski okvir, namenjen prehodu industrije na nizkoogljične tehnologije.</w:t>
      </w:r>
    </w:p>
    <w:p w14:paraId="1A211F25" w14:textId="77777777" w:rsidR="001F1CE7" w:rsidRPr="001F1CE7" w:rsidRDefault="001F1CE7" w:rsidP="001F1CE7">
      <w:pPr>
        <w:rPr>
          <w:rFonts w:cs="Arial"/>
          <w:szCs w:val="20"/>
          <w:lang w:eastAsia="en-GB"/>
        </w:rPr>
      </w:pPr>
    </w:p>
    <w:p w14:paraId="03B4837F" w14:textId="77777777" w:rsidR="001F1CE7" w:rsidRPr="001F1CE7" w:rsidRDefault="001F1CE7" w:rsidP="001F1CE7">
      <w:pPr>
        <w:rPr>
          <w:rFonts w:cs="Arial"/>
          <w:szCs w:val="20"/>
          <w:lang w:eastAsia="en-GB"/>
        </w:rPr>
      </w:pPr>
      <w:r w:rsidRPr="001F1CE7">
        <w:rPr>
          <w:rFonts w:cs="Arial"/>
          <w:szCs w:val="20"/>
          <w:lang w:eastAsia="en-GB"/>
        </w:rPr>
        <w:t>Program omogoča nepovratna sredstva za elektrifikacijo proizvodnje, zajem odvečne toplote, uvajanje zelenega vodika ter digitalizacijo energetsko intenzivnih procesov. Prednost imajo panoge, kot so kovinsko-predelovalna industrija, kemična industrija, steklarstvo in cementna proizvodnja. Ta instrument predstavlja nadaljevanje z novimi razpisi, kar pomeni, da se ukrep nadgrajuje, vendar v okviru že vzpostavljene strateške sheme.</w:t>
      </w:r>
    </w:p>
    <w:p w14:paraId="3F254354" w14:textId="77777777" w:rsidR="001F1CE7" w:rsidRPr="001F1CE7" w:rsidRDefault="001F1CE7" w:rsidP="001F1CE7">
      <w:pPr>
        <w:rPr>
          <w:rFonts w:cs="Arial"/>
          <w:szCs w:val="20"/>
          <w:lang w:eastAsia="en-GB"/>
        </w:rPr>
      </w:pPr>
    </w:p>
    <w:p w14:paraId="1394BD18" w14:textId="52A0FC50" w:rsidR="001F1CE7" w:rsidRPr="006E1C7B" w:rsidRDefault="001F1CE7" w:rsidP="001F1CE7">
      <w:pPr>
        <w:pStyle w:val="Napis"/>
        <w:jc w:val="center"/>
        <w:rPr>
          <w:rFonts w:asciiTheme="minorHAnsi" w:hAnsiTheme="minorHAnsi" w:cstheme="minorHAnsi"/>
          <w:color w:val="000000" w:themeColor="text1"/>
          <w:sz w:val="24"/>
          <w:szCs w:val="22"/>
          <w:lang w:eastAsia="en-GB"/>
        </w:rPr>
      </w:pPr>
      <w:bookmarkStart w:id="13" w:name="_Toc127362616"/>
      <w:bookmarkStart w:id="14" w:name="_Toc201714286"/>
      <w:bookmarkStart w:id="15" w:name="_Toc211241122"/>
      <w:r w:rsidRPr="006E1C7B">
        <w:rPr>
          <w:rFonts w:asciiTheme="minorHAnsi" w:hAnsiTheme="minorHAnsi" w:cstheme="minorHAnsi"/>
          <w:color w:val="000000" w:themeColor="text1"/>
          <w:sz w:val="24"/>
          <w:szCs w:val="22"/>
          <w:lang w:eastAsia="en-GB"/>
        </w:rPr>
        <w:t xml:space="preserve">Tabela </w:t>
      </w:r>
      <w:r w:rsidRPr="006E1C7B">
        <w:rPr>
          <w:rFonts w:asciiTheme="minorHAnsi" w:hAnsiTheme="minorHAnsi" w:cstheme="minorHAnsi"/>
          <w:color w:val="000000" w:themeColor="text1"/>
          <w:sz w:val="24"/>
          <w:szCs w:val="22"/>
          <w:lang w:eastAsia="en-GB"/>
        </w:rPr>
        <w:fldChar w:fldCharType="begin"/>
      </w:r>
      <w:r w:rsidRPr="006E1C7B">
        <w:rPr>
          <w:rFonts w:asciiTheme="minorHAnsi" w:hAnsiTheme="minorHAnsi" w:cstheme="minorHAnsi"/>
          <w:color w:val="000000" w:themeColor="text1"/>
          <w:sz w:val="24"/>
          <w:szCs w:val="22"/>
          <w:lang w:eastAsia="en-GB"/>
        </w:rPr>
        <w:instrText xml:space="preserve"> SEQ Table \* ARABIC </w:instrText>
      </w:r>
      <w:r w:rsidRPr="006E1C7B">
        <w:rPr>
          <w:rFonts w:asciiTheme="minorHAnsi" w:hAnsiTheme="minorHAnsi" w:cstheme="minorHAnsi"/>
          <w:color w:val="000000" w:themeColor="text1"/>
          <w:sz w:val="24"/>
          <w:szCs w:val="22"/>
          <w:lang w:eastAsia="en-GB"/>
        </w:rPr>
        <w:fldChar w:fldCharType="separate"/>
      </w:r>
      <w:r w:rsidR="00E3675E">
        <w:rPr>
          <w:rFonts w:asciiTheme="minorHAnsi" w:hAnsiTheme="minorHAnsi" w:cstheme="minorHAnsi"/>
          <w:noProof/>
          <w:color w:val="000000" w:themeColor="text1"/>
          <w:sz w:val="24"/>
          <w:szCs w:val="22"/>
          <w:lang w:eastAsia="en-GB"/>
        </w:rPr>
        <w:t>1</w:t>
      </w:r>
      <w:r w:rsidRPr="006E1C7B">
        <w:rPr>
          <w:rFonts w:asciiTheme="minorHAnsi" w:hAnsiTheme="minorHAnsi" w:cstheme="minorHAnsi"/>
          <w:color w:val="000000" w:themeColor="text1"/>
          <w:sz w:val="24"/>
          <w:szCs w:val="22"/>
          <w:lang w:eastAsia="en-GB"/>
        </w:rPr>
        <w:fldChar w:fldCharType="end"/>
      </w:r>
      <w:r w:rsidRPr="006E1C7B">
        <w:rPr>
          <w:rFonts w:asciiTheme="minorHAnsi" w:hAnsiTheme="minorHAnsi" w:cstheme="minorHAnsi"/>
          <w:color w:val="000000" w:themeColor="text1"/>
          <w:sz w:val="24"/>
          <w:szCs w:val="22"/>
          <w:lang w:eastAsia="en-GB"/>
        </w:rPr>
        <w:t xml:space="preserve">: </w:t>
      </w:r>
      <w:bookmarkEnd w:id="13"/>
      <w:r w:rsidRPr="006E1C7B">
        <w:rPr>
          <w:rFonts w:asciiTheme="minorHAnsi" w:hAnsiTheme="minorHAnsi" w:cstheme="minorHAnsi"/>
          <w:color w:val="000000" w:themeColor="text1"/>
          <w:sz w:val="24"/>
          <w:szCs w:val="22"/>
          <w:lang w:eastAsia="en-GB"/>
        </w:rPr>
        <w:t>Ukrepi Francije na področju regulacije cen električne energije, veljavi v letu 2025</w:t>
      </w:r>
      <w:bookmarkEnd w:id="14"/>
      <w:bookmarkEnd w:id="15"/>
    </w:p>
    <w:tbl>
      <w:tblPr>
        <w:tblStyle w:val="GridTable5Dark-Accent11"/>
        <w:tblW w:w="0" w:type="auto"/>
        <w:tblLook w:val="04A0" w:firstRow="1" w:lastRow="0" w:firstColumn="1" w:lastColumn="0" w:noHBand="0" w:noVBand="1"/>
      </w:tblPr>
      <w:tblGrid>
        <w:gridCol w:w="1568"/>
        <w:gridCol w:w="1664"/>
        <w:gridCol w:w="2960"/>
        <w:gridCol w:w="1444"/>
        <w:gridCol w:w="1426"/>
      </w:tblGrid>
      <w:tr w:rsidR="001F1CE7" w:rsidRPr="006E1C7B" w14:paraId="2F809AF9" w14:textId="77777777" w:rsidTr="00F6712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C26F173" w14:textId="77777777" w:rsidR="001F1CE7" w:rsidRPr="006E1C7B" w:rsidRDefault="001F1CE7" w:rsidP="00F67126">
            <w:pPr>
              <w:rPr>
                <w:rFonts w:asciiTheme="minorHAnsi" w:hAnsiTheme="minorHAnsi" w:cstheme="minorHAnsi"/>
                <w:b w:val="0"/>
                <w:bCs w:val="0"/>
                <w:sz w:val="22"/>
              </w:rPr>
            </w:pPr>
            <w:r w:rsidRPr="006E1C7B">
              <w:rPr>
                <w:rStyle w:val="Krepko"/>
                <w:rFonts w:asciiTheme="minorHAnsi" w:hAnsiTheme="minorHAnsi" w:cstheme="minorHAnsi"/>
                <w:sz w:val="22"/>
              </w:rPr>
              <w:t>Tematsko področje</w:t>
            </w:r>
          </w:p>
        </w:tc>
        <w:tc>
          <w:tcPr>
            <w:tcW w:w="0" w:type="auto"/>
            <w:vAlign w:val="center"/>
            <w:hideMark/>
          </w:tcPr>
          <w:p w14:paraId="0D09974E" w14:textId="77777777" w:rsidR="001F1CE7" w:rsidRPr="006E1C7B" w:rsidRDefault="001F1CE7" w:rsidP="00F67126">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sz w:val="22"/>
              </w:rPr>
            </w:pPr>
            <w:r w:rsidRPr="006E1C7B">
              <w:rPr>
                <w:rStyle w:val="Krepko"/>
                <w:rFonts w:asciiTheme="minorHAnsi" w:hAnsiTheme="minorHAnsi" w:cstheme="minorHAnsi"/>
                <w:sz w:val="22"/>
              </w:rPr>
              <w:t>Naziv ukrepa / mehanizma</w:t>
            </w:r>
          </w:p>
        </w:tc>
        <w:tc>
          <w:tcPr>
            <w:tcW w:w="0" w:type="auto"/>
            <w:vAlign w:val="center"/>
            <w:hideMark/>
          </w:tcPr>
          <w:p w14:paraId="43FE4C99" w14:textId="77777777" w:rsidR="001F1CE7" w:rsidRPr="006E1C7B" w:rsidRDefault="001F1CE7" w:rsidP="00F67126">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sz w:val="22"/>
              </w:rPr>
            </w:pPr>
            <w:r w:rsidRPr="006E1C7B">
              <w:rPr>
                <w:rStyle w:val="Krepko"/>
                <w:rFonts w:asciiTheme="minorHAnsi" w:hAnsiTheme="minorHAnsi" w:cstheme="minorHAnsi"/>
                <w:sz w:val="22"/>
              </w:rPr>
              <w:t>Opis ukrepa</w:t>
            </w:r>
          </w:p>
        </w:tc>
        <w:tc>
          <w:tcPr>
            <w:tcW w:w="0" w:type="auto"/>
            <w:vAlign w:val="center"/>
            <w:hideMark/>
          </w:tcPr>
          <w:p w14:paraId="0DCD6B71" w14:textId="77777777" w:rsidR="001F1CE7" w:rsidRPr="006E1C7B" w:rsidRDefault="001F1CE7" w:rsidP="00F67126">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sz w:val="22"/>
              </w:rPr>
            </w:pPr>
            <w:r w:rsidRPr="006E1C7B">
              <w:rPr>
                <w:rStyle w:val="Krepko"/>
                <w:rFonts w:asciiTheme="minorHAnsi" w:hAnsiTheme="minorHAnsi" w:cstheme="minorHAnsi"/>
                <w:sz w:val="22"/>
              </w:rPr>
              <w:t>Obdobje veljavnosti</w:t>
            </w:r>
          </w:p>
        </w:tc>
        <w:tc>
          <w:tcPr>
            <w:tcW w:w="0" w:type="auto"/>
            <w:vAlign w:val="center"/>
            <w:hideMark/>
          </w:tcPr>
          <w:p w14:paraId="1C9F8A12" w14:textId="77777777" w:rsidR="001F1CE7" w:rsidRPr="006E1C7B" w:rsidRDefault="001F1CE7" w:rsidP="00F67126">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sz w:val="22"/>
              </w:rPr>
            </w:pPr>
            <w:r w:rsidRPr="006E1C7B">
              <w:rPr>
                <w:rStyle w:val="Krepko"/>
                <w:rFonts w:asciiTheme="minorHAnsi" w:hAnsiTheme="minorHAnsi" w:cstheme="minorHAnsi"/>
                <w:sz w:val="22"/>
              </w:rPr>
              <w:t>Status v letu 2025</w:t>
            </w:r>
          </w:p>
        </w:tc>
      </w:tr>
      <w:tr w:rsidR="001F1CE7" w:rsidRPr="006E1C7B" w14:paraId="4212181F" w14:textId="77777777" w:rsidTr="00F671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3C61267" w14:textId="77777777" w:rsidR="001F1CE7" w:rsidRPr="006E1C7B" w:rsidRDefault="001F1CE7" w:rsidP="00F67126">
            <w:pPr>
              <w:rPr>
                <w:rFonts w:asciiTheme="minorHAnsi" w:hAnsiTheme="minorHAnsi" w:cstheme="minorHAnsi"/>
                <w:b w:val="0"/>
                <w:bCs w:val="0"/>
                <w:sz w:val="22"/>
              </w:rPr>
            </w:pPr>
            <w:r w:rsidRPr="006E1C7B">
              <w:rPr>
                <w:rFonts w:asciiTheme="minorHAnsi" w:hAnsiTheme="minorHAnsi" w:cstheme="minorHAnsi"/>
                <w:sz w:val="22"/>
              </w:rPr>
              <w:t>Cenovna regulacija</w:t>
            </w:r>
          </w:p>
        </w:tc>
        <w:tc>
          <w:tcPr>
            <w:tcW w:w="0" w:type="auto"/>
            <w:vAlign w:val="center"/>
            <w:hideMark/>
          </w:tcPr>
          <w:p w14:paraId="10BCF25B"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rPr>
            </w:pPr>
            <w:r w:rsidRPr="006E1C7B">
              <w:rPr>
                <w:rFonts w:asciiTheme="minorHAnsi" w:hAnsiTheme="minorHAnsi" w:cstheme="minorHAnsi"/>
                <w:szCs w:val="20"/>
              </w:rPr>
              <w:t>Tarifni ščit (</w:t>
            </w:r>
            <w:r w:rsidRPr="006E1C7B">
              <w:rPr>
                <w:rStyle w:val="Poudarek"/>
                <w:rFonts w:asciiTheme="minorHAnsi" w:hAnsiTheme="minorHAnsi" w:cstheme="minorHAnsi"/>
                <w:szCs w:val="20"/>
              </w:rPr>
              <w:t>bouclier tarifaire</w:t>
            </w:r>
            <w:r w:rsidRPr="006E1C7B">
              <w:rPr>
                <w:rFonts w:asciiTheme="minorHAnsi" w:hAnsiTheme="minorHAnsi" w:cstheme="minorHAnsi"/>
                <w:szCs w:val="20"/>
              </w:rPr>
              <w:t>) za MSP</w:t>
            </w:r>
          </w:p>
        </w:tc>
        <w:tc>
          <w:tcPr>
            <w:tcW w:w="0" w:type="auto"/>
            <w:vAlign w:val="center"/>
            <w:hideMark/>
          </w:tcPr>
          <w:p w14:paraId="3BAA4721"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rPr>
            </w:pPr>
            <w:r w:rsidRPr="006E1C7B">
              <w:rPr>
                <w:rFonts w:asciiTheme="minorHAnsi" w:hAnsiTheme="minorHAnsi" w:cstheme="minorHAnsi"/>
                <w:szCs w:val="20"/>
              </w:rPr>
              <w:t>Omejitev rasti cen elektrike na max. 15 % letno; v letu 2025 veljaven le za posebej izpostavljena MSP</w:t>
            </w:r>
          </w:p>
        </w:tc>
        <w:tc>
          <w:tcPr>
            <w:tcW w:w="0" w:type="auto"/>
            <w:vAlign w:val="center"/>
            <w:hideMark/>
          </w:tcPr>
          <w:p w14:paraId="0E778E10"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rPr>
            </w:pPr>
            <w:r w:rsidRPr="006E1C7B">
              <w:rPr>
                <w:rFonts w:asciiTheme="minorHAnsi" w:hAnsiTheme="minorHAnsi" w:cstheme="minorHAnsi"/>
                <w:szCs w:val="20"/>
              </w:rPr>
              <w:t>2022 - 2025</w:t>
            </w:r>
          </w:p>
        </w:tc>
        <w:tc>
          <w:tcPr>
            <w:tcW w:w="0" w:type="auto"/>
            <w:vAlign w:val="center"/>
            <w:hideMark/>
          </w:tcPr>
          <w:p w14:paraId="1B91C3D2"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rPr>
            </w:pPr>
            <w:r w:rsidRPr="006E1C7B">
              <w:rPr>
                <w:rFonts w:asciiTheme="minorHAnsi" w:hAnsiTheme="minorHAnsi" w:cstheme="minorHAnsi"/>
                <w:szCs w:val="20"/>
              </w:rPr>
              <w:t>Prenovljen in omejen</w:t>
            </w:r>
          </w:p>
        </w:tc>
      </w:tr>
      <w:tr w:rsidR="001F1CE7" w:rsidRPr="006E1C7B" w14:paraId="67C27968" w14:textId="77777777" w:rsidTr="00F67126">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B342604" w14:textId="77777777" w:rsidR="001F1CE7" w:rsidRPr="006E1C7B" w:rsidRDefault="001F1CE7" w:rsidP="00F67126">
            <w:pPr>
              <w:rPr>
                <w:rFonts w:asciiTheme="minorHAnsi" w:hAnsiTheme="minorHAnsi" w:cstheme="minorHAnsi"/>
                <w:b w:val="0"/>
                <w:bCs w:val="0"/>
                <w:sz w:val="22"/>
              </w:rPr>
            </w:pPr>
            <w:r w:rsidRPr="006E1C7B">
              <w:rPr>
                <w:rFonts w:asciiTheme="minorHAnsi" w:hAnsiTheme="minorHAnsi" w:cstheme="minorHAnsi"/>
                <w:sz w:val="22"/>
              </w:rPr>
              <w:t>Cenovna regulacija</w:t>
            </w:r>
          </w:p>
        </w:tc>
        <w:tc>
          <w:tcPr>
            <w:tcW w:w="0" w:type="auto"/>
            <w:vAlign w:val="center"/>
            <w:hideMark/>
          </w:tcPr>
          <w:p w14:paraId="2AA34F9B"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rPr>
            </w:pPr>
            <w:r w:rsidRPr="006E1C7B">
              <w:rPr>
                <w:rFonts w:asciiTheme="minorHAnsi" w:hAnsiTheme="minorHAnsi" w:cstheme="minorHAnsi"/>
                <w:szCs w:val="20"/>
              </w:rPr>
              <w:t>Znižana regulirana prodajna tarifa (TRVE)</w:t>
            </w:r>
          </w:p>
        </w:tc>
        <w:tc>
          <w:tcPr>
            <w:tcW w:w="0" w:type="auto"/>
            <w:vAlign w:val="center"/>
            <w:hideMark/>
          </w:tcPr>
          <w:p w14:paraId="5631B337"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rPr>
            </w:pPr>
            <w:r w:rsidRPr="006E1C7B">
              <w:rPr>
                <w:rFonts w:asciiTheme="minorHAnsi" w:hAnsiTheme="minorHAnsi" w:cstheme="minorHAnsi"/>
                <w:szCs w:val="20"/>
              </w:rPr>
              <w:t>Od 1. 2. 2025 znižanje za 15 % za MSP in gospodinjstva kot nadomestilo za ukinitev tarifnega ščita (CRE, 2025)</w:t>
            </w:r>
          </w:p>
        </w:tc>
        <w:tc>
          <w:tcPr>
            <w:tcW w:w="0" w:type="auto"/>
            <w:vAlign w:val="center"/>
            <w:hideMark/>
          </w:tcPr>
          <w:p w14:paraId="4BB530E0"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rPr>
            </w:pPr>
            <w:r w:rsidRPr="006E1C7B">
              <w:rPr>
                <w:rFonts w:asciiTheme="minorHAnsi" w:hAnsiTheme="minorHAnsi" w:cstheme="minorHAnsi"/>
                <w:szCs w:val="20"/>
              </w:rPr>
              <w:t>Od 2025 dalje</w:t>
            </w:r>
          </w:p>
        </w:tc>
        <w:tc>
          <w:tcPr>
            <w:tcW w:w="0" w:type="auto"/>
            <w:vAlign w:val="center"/>
            <w:hideMark/>
          </w:tcPr>
          <w:p w14:paraId="0120F0CC"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rPr>
            </w:pPr>
            <w:r w:rsidRPr="006E1C7B">
              <w:rPr>
                <w:rFonts w:asciiTheme="minorHAnsi" w:hAnsiTheme="minorHAnsi" w:cstheme="minorHAnsi"/>
                <w:szCs w:val="20"/>
              </w:rPr>
              <w:t>Nov ukrep</w:t>
            </w:r>
          </w:p>
        </w:tc>
      </w:tr>
      <w:tr w:rsidR="001F1CE7" w:rsidRPr="006E1C7B" w14:paraId="678B633A" w14:textId="77777777" w:rsidTr="00F671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AB86692" w14:textId="77777777" w:rsidR="001F1CE7" w:rsidRPr="006E1C7B" w:rsidRDefault="001F1CE7" w:rsidP="00F67126">
            <w:pPr>
              <w:rPr>
                <w:rFonts w:asciiTheme="minorHAnsi" w:hAnsiTheme="minorHAnsi" w:cstheme="minorHAnsi"/>
                <w:b w:val="0"/>
                <w:bCs w:val="0"/>
                <w:sz w:val="22"/>
              </w:rPr>
            </w:pPr>
            <w:r w:rsidRPr="006E1C7B">
              <w:rPr>
                <w:rFonts w:asciiTheme="minorHAnsi" w:hAnsiTheme="minorHAnsi" w:cstheme="minorHAnsi"/>
                <w:sz w:val="22"/>
              </w:rPr>
              <w:t>Davčne olajšave</w:t>
            </w:r>
          </w:p>
        </w:tc>
        <w:tc>
          <w:tcPr>
            <w:tcW w:w="0" w:type="auto"/>
            <w:vAlign w:val="center"/>
            <w:hideMark/>
          </w:tcPr>
          <w:p w14:paraId="7F43C188"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rPr>
            </w:pPr>
            <w:r w:rsidRPr="006E1C7B">
              <w:rPr>
                <w:rFonts w:asciiTheme="minorHAnsi" w:hAnsiTheme="minorHAnsi" w:cstheme="minorHAnsi"/>
                <w:szCs w:val="20"/>
              </w:rPr>
              <w:t>TICFE – znižana trošarina na elektriko</w:t>
            </w:r>
          </w:p>
        </w:tc>
        <w:tc>
          <w:tcPr>
            <w:tcW w:w="0" w:type="auto"/>
            <w:vAlign w:val="center"/>
            <w:hideMark/>
          </w:tcPr>
          <w:p w14:paraId="65647E15"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rPr>
            </w:pPr>
            <w:r w:rsidRPr="006E1C7B">
              <w:rPr>
                <w:rFonts w:asciiTheme="minorHAnsi" w:hAnsiTheme="minorHAnsi" w:cstheme="minorHAnsi"/>
                <w:szCs w:val="20"/>
              </w:rPr>
              <w:t>Trošarina 26,23 €/MWh za MSP s priključno močjo &lt;250 kVA, kar ostaja pod predkrizno ravnijo</w:t>
            </w:r>
          </w:p>
        </w:tc>
        <w:tc>
          <w:tcPr>
            <w:tcW w:w="0" w:type="auto"/>
            <w:vAlign w:val="center"/>
            <w:hideMark/>
          </w:tcPr>
          <w:p w14:paraId="5B45D93F"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rPr>
            </w:pPr>
            <w:r w:rsidRPr="006E1C7B">
              <w:rPr>
                <w:rFonts w:asciiTheme="minorHAnsi" w:hAnsiTheme="minorHAnsi" w:cstheme="minorHAnsi"/>
                <w:szCs w:val="20"/>
              </w:rPr>
              <w:t>2022 - 2025</w:t>
            </w:r>
          </w:p>
        </w:tc>
        <w:tc>
          <w:tcPr>
            <w:tcW w:w="0" w:type="auto"/>
            <w:vAlign w:val="center"/>
            <w:hideMark/>
          </w:tcPr>
          <w:p w14:paraId="21AC3C20"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rPr>
            </w:pPr>
            <w:r w:rsidRPr="006E1C7B">
              <w:rPr>
                <w:rFonts w:asciiTheme="minorHAnsi" w:hAnsiTheme="minorHAnsi" w:cstheme="minorHAnsi"/>
                <w:szCs w:val="20"/>
              </w:rPr>
              <w:t xml:space="preserve">Se nadaljuje </w:t>
            </w:r>
          </w:p>
        </w:tc>
      </w:tr>
      <w:tr w:rsidR="001F1CE7" w:rsidRPr="006E1C7B" w14:paraId="02110F78" w14:textId="77777777" w:rsidTr="00F67126">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96A8C79" w14:textId="77777777" w:rsidR="001F1CE7" w:rsidRPr="006E1C7B" w:rsidRDefault="001F1CE7" w:rsidP="00F67126">
            <w:pPr>
              <w:rPr>
                <w:rFonts w:asciiTheme="minorHAnsi" w:hAnsiTheme="minorHAnsi" w:cstheme="minorHAnsi"/>
                <w:b w:val="0"/>
                <w:bCs w:val="0"/>
                <w:sz w:val="22"/>
              </w:rPr>
            </w:pPr>
            <w:r w:rsidRPr="006E1C7B">
              <w:rPr>
                <w:rFonts w:asciiTheme="minorHAnsi" w:hAnsiTheme="minorHAnsi" w:cstheme="minorHAnsi"/>
                <w:sz w:val="22"/>
              </w:rPr>
              <w:t>Cenovna regulacija / omrežnine</w:t>
            </w:r>
          </w:p>
        </w:tc>
        <w:tc>
          <w:tcPr>
            <w:tcW w:w="0" w:type="auto"/>
            <w:vAlign w:val="center"/>
            <w:hideMark/>
          </w:tcPr>
          <w:p w14:paraId="379BE715"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rPr>
            </w:pPr>
            <w:r w:rsidRPr="006E1C7B">
              <w:rPr>
                <w:rFonts w:asciiTheme="minorHAnsi" w:hAnsiTheme="minorHAnsi" w:cstheme="minorHAnsi"/>
                <w:szCs w:val="20"/>
              </w:rPr>
              <w:t>Odlog zvišanja tarif za uporabo omrežja (TURPE)</w:t>
            </w:r>
          </w:p>
        </w:tc>
        <w:tc>
          <w:tcPr>
            <w:tcW w:w="0" w:type="auto"/>
            <w:vAlign w:val="center"/>
            <w:hideMark/>
          </w:tcPr>
          <w:p w14:paraId="72FCE465"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rPr>
            </w:pPr>
            <w:r w:rsidRPr="006E1C7B">
              <w:rPr>
                <w:rFonts w:asciiTheme="minorHAnsi" w:hAnsiTheme="minorHAnsi" w:cstheme="minorHAnsi"/>
                <w:szCs w:val="20"/>
              </w:rPr>
              <w:t>CRE je preložila zvišanje tarif za omrežje, da bi omilila pritisk na cene za industrijo (EnergyNews.pro, 2024)</w:t>
            </w:r>
          </w:p>
        </w:tc>
        <w:tc>
          <w:tcPr>
            <w:tcW w:w="0" w:type="auto"/>
            <w:vAlign w:val="center"/>
            <w:hideMark/>
          </w:tcPr>
          <w:p w14:paraId="6AD2F9BD"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rPr>
            </w:pPr>
            <w:r w:rsidRPr="006E1C7B">
              <w:rPr>
                <w:rFonts w:asciiTheme="minorHAnsi" w:hAnsiTheme="minorHAnsi" w:cstheme="minorHAnsi"/>
                <w:szCs w:val="20"/>
              </w:rPr>
              <w:t>01/2025 - 02/2025</w:t>
            </w:r>
          </w:p>
        </w:tc>
        <w:tc>
          <w:tcPr>
            <w:tcW w:w="0" w:type="auto"/>
            <w:vAlign w:val="center"/>
            <w:hideMark/>
          </w:tcPr>
          <w:p w14:paraId="3AC3BC06"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rPr>
            </w:pPr>
            <w:r w:rsidRPr="006E1C7B">
              <w:rPr>
                <w:rFonts w:asciiTheme="minorHAnsi" w:hAnsiTheme="minorHAnsi" w:cstheme="minorHAnsi"/>
                <w:szCs w:val="20"/>
              </w:rPr>
              <w:t>Nov ukrep (izveden, trenutno neaktiven)</w:t>
            </w:r>
            <w:r w:rsidRPr="006E1C7B">
              <w:rPr>
                <w:rStyle w:val="Sprotnaopomba-sklic"/>
                <w:rFonts w:asciiTheme="minorHAnsi" w:hAnsiTheme="minorHAnsi" w:cstheme="minorHAnsi"/>
                <w:szCs w:val="20"/>
              </w:rPr>
              <w:footnoteReference w:id="3"/>
            </w:r>
          </w:p>
        </w:tc>
      </w:tr>
      <w:tr w:rsidR="001F1CE7" w:rsidRPr="006E1C7B" w14:paraId="746243D9" w14:textId="77777777" w:rsidTr="00F671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38B278A" w14:textId="77777777" w:rsidR="001F1CE7" w:rsidRPr="006E1C7B" w:rsidRDefault="001F1CE7" w:rsidP="00F67126">
            <w:pPr>
              <w:rPr>
                <w:rFonts w:asciiTheme="minorHAnsi" w:hAnsiTheme="minorHAnsi" w:cstheme="minorHAnsi"/>
                <w:b w:val="0"/>
                <w:bCs w:val="0"/>
                <w:sz w:val="22"/>
              </w:rPr>
            </w:pPr>
            <w:r w:rsidRPr="006E1C7B">
              <w:rPr>
                <w:rFonts w:asciiTheme="minorHAnsi" w:hAnsiTheme="minorHAnsi" w:cstheme="minorHAnsi"/>
                <w:sz w:val="22"/>
              </w:rPr>
              <w:lastRenderedPageBreak/>
              <w:t>Cenovna regulacija</w:t>
            </w:r>
          </w:p>
        </w:tc>
        <w:tc>
          <w:tcPr>
            <w:tcW w:w="0" w:type="auto"/>
            <w:vAlign w:val="center"/>
            <w:hideMark/>
          </w:tcPr>
          <w:p w14:paraId="6C78B4C5"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rPr>
            </w:pPr>
            <w:r w:rsidRPr="006E1C7B">
              <w:rPr>
                <w:rFonts w:asciiTheme="minorHAnsi" w:hAnsiTheme="minorHAnsi" w:cstheme="minorHAnsi"/>
                <w:szCs w:val="20"/>
              </w:rPr>
              <w:t>Reforma mehanizma ARENH</w:t>
            </w:r>
          </w:p>
        </w:tc>
        <w:tc>
          <w:tcPr>
            <w:tcW w:w="0" w:type="auto"/>
            <w:vAlign w:val="center"/>
            <w:hideMark/>
          </w:tcPr>
          <w:p w14:paraId="6DBBE007"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rPr>
            </w:pPr>
            <w:r w:rsidRPr="006E1C7B">
              <w:rPr>
                <w:rFonts w:asciiTheme="minorHAnsi" w:hAnsiTheme="minorHAnsi" w:cstheme="minorHAnsi"/>
                <w:szCs w:val="20"/>
              </w:rPr>
              <w:t>Novi model zamejitve cen elektrike iz jedrske energije prek modela CfD z namenom znižanja stroškov elektrike za industrijo</w:t>
            </w:r>
          </w:p>
        </w:tc>
        <w:tc>
          <w:tcPr>
            <w:tcW w:w="0" w:type="auto"/>
            <w:vAlign w:val="center"/>
            <w:hideMark/>
          </w:tcPr>
          <w:p w14:paraId="5B8E4D20"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rPr>
            </w:pPr>
            <w:r w:rsidRPr="006E1C7B">
              <w:rPr>
                <w:rFonts w:asciiTheme="minorHAnsi" w:hAnsiTheme="minorHAnsi" w:cstheme="minorHAnsi"/>
                <w:szCs w:val="20"/>
              </w:rPr>
              <w:t>Od 2025 dalje</w:t>
            </w:r>
          </w:p>
        </w:tc>
        <w:tc>
          <w:tcPr>
            <w:tcW w:w="0" w:type="auto"/>
            <w:vAlign w:val="center"/>
            <w:hideMark/>
          </w:tcPr>
          <w:p w14:paraId="7D31A3B5"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rPr>
            </w:pPr>
            <w:r w:rsidRPr="006E1C7B">
              <w:rPr>
                <w:rFonts w:asciiTheme="minorHAnsi" w:hAnsiTheme="minorHAnsi" w:cstheme="minorHAnsi"/>
                <w:szCs w:val="20"/>
              </w:rPr>
              <w:t>Nov sistemski ukrep</w:t>
            </w:r>
          </w:p>
        </w:tc>
      </w:tr>
      <w:tr w:rsidR="001F1CE7" w:rsidRPr="006E1C7B" w14:paraId="499F565B" w14:textId="77777777" w:rsidTr="00F67126">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8D1C7A7" w14:textId="77777777" w:rsidR="001F1CE7" w:rsidRPr="006E1C7B" w:rsidRDefault="001F1CE7" w:rsidP="00F67126">
            <w:pPr>
              <w:rPr>
                <w:rFonts w:asciiTheme="minorHAnsi" w:hAnsiTheme="minorHAnsi" w:cstheme="minorHAnsi"/>
                <w:b w:val="0"/>
                <w:bCs w:val="0"/>
                <w:sz w:val="22"/>
              </w:rPr>
            </w:pPr>
            <w:r w:rsidRPr="006E1C7B">
              <w:rPr>
                <w:rFonts w:asciiTheme="minorHAnsi" w:hAnsiTheme="minorHAnsi" w:cstheme="minorHAnsi"/>
                <w:sz w:val="22"/>
              </w:rPr>
              <w:t>Neposredna pomoč</w:t>
            </w:r>
          </w:p>
        </w:tc>
        <w:tc>
          <w:tcPr>
            <w:tcW w:w="0" w:type="auto"/>
            <w:vAlign w:val="center"/>
            <w:hideMark/>
          </w:tcPr>
          <w:p w14:paraId="22E53A32"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rPr>
            </w:pPr>
            <w:r w:rsidRPr="006E1C7B">
              <w:rPr>
                <w:rFonts w:asciiTheme="minorHAnsi" w:hAnsiTheme="minorHAnsi" w:cstheme="minorHAnsi"/>
                <w:szCs w:val="20"/>
              </w:rPr>
              <w:t>Subvencije za energetsko intenzivne sektorje</w:t>
            </w:r>
          </w:p>
        </w:tc>
        <w:tc>
          <w:tcPr>
            <w:tcW w:w="0" w:type="auto"/>
            <w:vAlign w:val="center"/>
            <w:hideMark/>
          </w:tcPr>
          <w:p w14:paraId="4EF652A0"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rPr>
            </w:pPr>
            <w:r w:rsidRPr="006E1C7B">
              <w:rPr>
                <w:rFonts w:asciiTheme="minorHAnsi" w:hAnsiTheme="minorHAnsi" w:cstheme="minorHAnsi"/>
                <w:szCs w:val="20"/>
              </w:rPr>
              <w:t>Finančna pomoč vezana na stroške in EBITDA; nadgrajena z elementi energetske transformacije (Ministère de la Transition Énergétique, 2025)</w:t>
            </w:r>
          </w:p>
        </w:tc>
        <w:tc>
          <w:tcPr>
            <w:tcW w:w="0" w:type="auto"/>
            <w:vAlign w:val="center"/>
            <w:hideMark/>
          </w:tcPr>
          <w:p w14:paraId="5ACCA262"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rPr>
            </w:pPr>
            <w:r w:rsidRPr="006E1C7B">
              <w:rPr>
                <w:rFonts w:asciiTheme="minorHAnsi" w:hAnsiTheme="minorHAnsi" w:cstheme="minorHAnsi"/>
                <w:szCs w:val="20"/>
              </w:rPr>
              <w:t>2022 - 2025</w:t>
            </w:r>
          </w:p>
        </w:tc>
        <w:tc>
          <w:tcPr>
            <w:tcW w:w="0" w:type="auto"/>
            <w:vAlign w:val="center"/>
            <w:hideMark/>
          </w:tcPr>
          <w:p w14:paraId="777E76C5"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rPr>
            </w:pPr>
            <w:r w:rsidRPr="006E1C7B">
              <w:rPr>
                <w:rFonts w:asciiTheme="minorHAnsi" w:hAnsiTheme="minorHAnsi" w:cstheme="minorHAnsi"/>
                <w:szCs w:val="20"/>
              </w:rPr>
              <w:t>Prenovljen</w:t>
            </w:r>
          </w:p>
        </w:tc>
      </w:tr>
      <w:tr w:rsidR="001F1CE7" w:rsidRPr="006E1C7B" w14:paraId="63EF77C2" w14:textId="77777777" w:rsidTr="00F671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0C0C564" w14:textId="77777777" w:rsidR="001F1CE7" w:rsidRPr="006E1C7B" w:rsidRDefault="001F1CE7" w:rsidP="00F67126">
            <w:pPr>
              <w:rPr>
                <w:rFonts w:asciiTheme="minorHAnsi" w:hAnsiTheme="minorHAnsi" w:cstheme="minorHAnsi"/>
                <w:b w:val="0"/>
                <w:bCs w:val="0"/>
                <w:sz w:val="22"/>
              </w:rPr>
            </w:pPr>
            <w:r w:rsidRPr="006E1C7B">
              <w:rPr>
                <w:rFonts w:asciiTheme="minorHAnsi" w:hAnsiTheme="minorHAnsi" w:cstheme="minorHAnsi"/>
                <w:sz w:val="22"/>
              </w:rPr>
              <w:t>Investicije v razogljičenje</w:t>
            </w:r>
          </w:p>
        </w:tc>
        <w:tc>
          <w:tcPr>
            <w:tcW w:w="0" w:type="auto"/>
            <w:vAlign w:val="center"/>
            <w:hideMark/>
          </w:tcPr>
          <w:p w14:paraId="7E61491E"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rPr>
            </w:pPr>
            <w:r w:rsidRPr="006E1C7B">
              <w:rPr>
                <w:rStyle w:val="Poudarek"/>
                <w:rFonts w:asciiTheme="minorHAnsi" w:hAnsiTheme="minorHAnsi" w:cstheme="minorHAnsi"/>
                <w:szCs w:val="20"/>
              </w:rPr>
              <w:t>France 2030</w:t>
            </w:r>
            <w:r w:rsidRPr="006E1C7B">
              <w:rPr>
                <w:rFonts w:asciiTheme="minorHAnsi" w:hAnsiTheme="minorHAnsi" w:cstheme="minorHAnsi"/>
                <w:szCs w:val="20"/>
              </w:rPr>
              <w:t xml:space="preserve"> – industrijski razogljičitveni ukrepi</w:t>
            </w:r>
          </w:p>
        </w:tc>
        <w:tc>
          <w:tcPr>
            <w:tcW w:w="0" w:type="auto"/>
            <w:vAlign w:val="center"/>
            <w:hideMark/>
          </w:tcPr>
          <w:p w14:paraId="753F0227"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rPr>
            </w:pPr>
            <w:r w:rsidRPr="006E1C7B">
              <w:rPr>
                <w:rFonts w:asciiTheme="minorHAnsi" w:hAnsiTheme="minorHAnsi" w:cstheme="minorHAnsi"/>
                <w:szCs w:val="20"/>
              </w:rPr>
              <w:t>Sredstva za elektrifikacijo, rabo vodika, zajem toplote, zajem CO</w:t>
            </w:r>
            <w:r w:rsidRPr="006E1C7B">
              <w:rPr>
                <w:rFonts w:asciiTheme="minorHAnsi" w:hAnsiTheme="minorHAnsi" w:cstheme="minorHAnsi"/>
                <w:szCs w:val="20"/>
                <w:vertAlign w:val="subscript"/>
              </w:rPr>
              <w:t>2</w:t>
            </w:r>
            <w:r w:rsidRPr="006E1C7B">
              <w:rPr>
                <w:rFonts w:asciiTheme="minorHAnsi" w:hAnsiTheme="minorHAnsi" w:cstheme="minorHAnsi"/>
                <w:szCs w:val="20"/>
              </w:rPr>
              <w:t xml:space="preserve"> (CCUS), in digitalizacijo v industriji (ADEME, 2025)</w:t>
            </w:r>
          </w:p>
        </w:tc>
        <w:tc>
          <w:tcPr>
            <w:tcW w:w="0" w:type="auto"/>
            <w:vAlign w:val="center"/>
            <w:hideMark/>
          </w:tcPr>
          <w:p w14:paraId="0D427A19"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rPr>
            </w:pPr>
            <w:r w:rsidRPr="006E1C7B">
              <w:rPr>
                <w:rFonts w:asciiTheme="minorHAnsi" w:hAnsiTheme="minorHAnsi" w:cstheme="minorHAnsi"/>
                <w:szCs w:val="20"/>
              </w:rPr>
              <w:t>Od 2023 dalje</w:t>
            </w:r>
          </w:p>
        </w:tc>
        <w:tc>
          <w:tcPr>
            <w:tcW w:w="0" w:type="auto"/>
            <w:vAlign w:val="center"/>
            <w:hideMark/>
          </w:tcPr>
          <w:p w14:paraId="4A52C229"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rPr>
            </w:pPr>
            <w:r w:rsidRPr="006E1C7B">
              <w:rPr>
                <w:rFonts w:asciiTheme="minorHAnsi" w:hAnsiTheme="minorHAnsi" w:cstheme="minorHAnsi"/>
                <w:szCs w:val="20"/>
              </w:rPr>
              <w:t>Nadaljuje se z razpisi</w:t>
            </w:r>
          </w:p>
        </w:tc>
      </w:tr>
      <w:tr w:rsidR="001F1CE7" w:rsidRPr="006E1C7B" w14:paraId="49ECD099" w14:textId="77777777" w:rsidTr="00F67126">
        <w:tc>
          <w:tcPr>
            <w:cnfStyle w:val="001000000000" w:firstRow="0" w:lastRow="0" w:firstColumn="1" w:lastColumn="0" w:oddVBand="0" w:evenVBand="0" w:oddHBand="0" w:evenHBand="0" w:firstRowFirstColumn="0" w:firstRowLastColumn="0" w:lastRowFirstColumn="0" w:lastRowLastColumn="0"/>
            <w:tcW w:w="0" w:type="auto"/>
          </w:tcPr>
          <w:p w14:paraId="74D237A6" w14:textId="77777777" w:rsidR="001F1CE7" w:rsidRPr="006E1C7B" w:rsidRDefault="001F1CE7" w:rsidP="00F67126">
            <w:pPr>
              <w:rPr>
                <w:rFonts w:asciiTheme="minorHAnsi" w:hAnsiTheme="minorHAnsi" w:cstheme="minorHAnsi"/>
                <w:b w:val="0"/>
                <w:bCs w:val="0"/>
                <w:sz w:val="22"/>
                <w:lang w:eastAsia="en-GB"/>
              </w:rPr>
            </w:pPr>
            <w:r w:rsidRPr="006E1C7B">
              <w:rPr>
                <w:rFonts w:asciiTheme="minorHAnsi" w:hAnsiTheme="minorHAnsi" w:cstheme="minorHAnsi"/>
                <w:sz w:val="22"/>
              </w:rPr>
              <w:t>Tržne cene in referenčne tarife</w:t>
            </w:r>
          </w:p>
        </w:tc>
        <w:tc>
          <w:tcPr>
            <w:tcW w:w="0" w:type="auto"/>
          </w:tcPr>
          <w:p w14:paraId="3FADC3E8"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Style w:val="Poudarek"/>
                <w:rFonts w:asciiTheme="minorHAnsi" w:hAnsiTheme="minorHAnsi" w:cstheme="minorHAnsi"/>
                <w:i w:val="0"/>
                <w:iCs w:val="0"/>
                <w:szCs w:val="20"/>
                <w:lang w:eastAsia="en-GB"/>
              </w:rPr>
            </w:pPr>
            <w:r w:rsidRPr="006E1C7B">
              <w:rPr>
                <w:rFonts w:asciiTheme="minorHAnsi" w:hAnsiTheme="minorHAnsi" w:cstheme="minorHAnsi"/>
                <w:szCs w:val="20"/>
              </w:rPr>
              <w:t>Stabilizacija industrijskih cen elektrike</w:t>
            </w:r>
          </w:p>
        </w:tc>
        <w:tc>
          <w:tcPr>
            <w:tcW w:w="0" w:type="auto"/>
          </w:tcPr>
          <w:p w14:paraId="084164A4"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lang w:eastAsia="en-GB"/>
              </w:rPr>
            </w:pPr>
            <w:r w:rsidRPr="006E1C7B">
              <w:rPr>
                <w:rFonts w:asciiTheme="minorHAnsi" w:hAnsiTheme="minorHAnsi" w:cstheme="minorHAnsi"/>
                <w:szCs w:val="20"/>
              </w:rPr>
              <w:t>Tržne cene stabilizirane med 60–70 €/MWh; povprečna industrijska cena ~50 €/MWh; referenčna cena jedrske energije: 70 €/MWh (Le Monde, 2024; CRE)</w:t>
            </w:r>
          </w:p>
        </w:tc>
        <w:tc>
          <w:tcPr>
            <w:tcW w:w="0" w:type="auto"/>
          </w:tcPr>
          <w:p w14:paraId="4FBE9462"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lang w:eastAsia="en-GB"/>
              </w:rPr>
            </w:pPr>
            <w:r w:rsidRPr="006E1C7B">
              <w:rPr>
                <w:rFonts w:asciiTheme="minorHAnsi" w:hAnsiTheme="minorHAnsi" w:cstheme="minorHAnsi"/>
                <w:szCs w:val="20"/>
              </w:rPr>
              <w:t>2025 (in naprej za referenčno leto 2026)</w:t>
            </w:r>
          </w:p>
        </w:tc>
        <w:tc>
          <w:tcPr>
            <w:tcW w:w="0" w:type="auto"/>
          </w:tcPr>
          <w:p w14:paraId="5D4F6544"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lang w:eastAsia="en-GB"/>
              </w:rPr>
            </w:pPr>
            <w:r w:rsidRPr="006E1C7B">
              <w:rPr>
                <w:rFonts w:asciiTheme="minorHAnsi" w:hAnsiTheme="minorHAnsi" w:cstheme="minorHAnsi"/>
                <w:szCs w:val="20"/>
              </w:rPr>
              <w:t>Indikativni učinek ukrepov / Napoved</w:t>
            </w:r>
          </w:p>
        </w:tc>
      </w:tr>
    </w:tbl>
    <w:p w14:paraId="1D0B50D4" w14:textId="77777777" w:rsidR="001F1CE7" w:rsidRPr="006E1C7B" w:rsidRDefault="001F1CE7" w:rsidP="001F1CE7">
      <w:pPr>
        <w:rPr>
          <w:rFonts w:asciiTheme="minorHAnsi" w:hAnsiTheme="minorHAnsi" w:cstheme="minorHAnsi"/>
          <w:lang w:eastAsia="en-GB"/>
        </w:rPr>
      </w:pPr>
    </w:p>
    <w:p w14:paraId="5628A749" w14:textId="77777777" w:rsidR="001F1CE7" w:rsidRPr="001F1CE7" w:rsidRDefault="001F1CE7" w:rsidP="001F1CE7">
      <w:pPr>
        <w:pStyle w:val="Naslov2"/>
        <w:keepLines w:val="0"/>
        <w:numPr>
          <w:ilvl w:val="1"/>
          <w:numId w:val="0"/>
        </w:numPr>
        <w:spacing w:before="240" w:line="240" w:lineRule="auto"/>
        <w:ind w:left="567" w:hanging="567"/>
        <w:jc w:val="left"/>
        <w:rPr>
          <w:rFonts w:cs="Arial"/>
          <w:szCs w:val="20"/>
        </w:rPr>
      </w:pPr>
      <w:bookmarkStart w:id="16" w:name="_Toc201714271"/>
      <w:bookmarkStart w:id="17" w:name="_Toc211241072"/>
      <w:r w:rsidRPr="001F1CE7">
        <w:rPr>
          <w:rFonts w:cs="Arial"/>
          <w:szCs w:val="20"/>
        </w:rPr>
        <w:t>ITALIJA</w:t>
      </w:r>
      <w:bookmarkEnd w:id="16"/>
      <w:bookmarkEnd w:id="17"/>
    </w:p>
    <w:p w14:paraId="70A6864A" w14:textId="77777777" w:rsidR="001F1CE7" w:rsidRPr="001F1CE7" w:rsidRDefault="001F1CE7" w:rsidP="001F1CE7">
      <w:pPr>
        <w:rPr>
          <w:rFonts w:cs="Arial"/>
          <w:szCs w:val="20"/>
        </w:rPr>
      </w:pPr>
      <w:r w:rsidRPr="001F1CE7">
        <w:rPr>
          <w:rFonts w:cs="Arial"/>
          <w:szCs w:val="20"/>
        </w:rPr>
        <w:t>Italija je ob energetski krizi izbrala strategijo podpore industriji prek posrednih ukrepov za stabilizacijo cen električne energije, brez neposredne administrativne regulacije. To pomeni, da za energetsko intenzivne dejavnosti (EID) ni določala cenovnih kapic ali reguliranih tarif kot npr. Francija, temveč je uvedla ciljno usmerjene sheme in mehanizme, ki omogočajo dostop do električne energije pod ugodnejšimi in bolj predvidljivimi pogoji.</w:t>
      </w:r>
    </w:p>
    <w:p w14:paraId="3F7ABEDE" w14:textId="77777777" w:rsidR="001F1CE7" w:rsidRPr="001F1CE7" w:rsidRDefault="001F1CE7" w:rsidP="001F1CE7">
      <w:pPr>
        <w:rPr>
          <w:rFonts w:cs="Arial"/>
          <w:szCs w:val="20"/>
        </w:rPr>
      </w:pPr>
    </w:p>
    <w:p w14:paraId="62F91965" w14:textId="77777777" w:rsidR="001F1CE7" w:rsidRPr="001F1CE7" w:rsidRDefault="001F1CE7" w:rsidP="001F1CE7">
      <w:pPr>
        <w:pStyle w:val="Naslov3"/>
        <w:keepLines w:val="0"/>
        <w:numPr>
          <w:ilvl w:val="2"/>
          <w:numId w:val="0"/>
        </w:numPr>
        <w:spacing w:before="240" w:after="240" w:line="240" w:lineRule="auto"/>
        <w:ind w:left="720" w:hanging="720"/>
        <w:jc w:val="left"/>
        <w:rPr>
          <w:rFonts w:ascii="Arial" w:hAnsi="Arial" w:cs="Arial"/>
          <w:sz w:val="20"/>
          <w:szCs w:val="20"/>
        </w:rPr>
      </w:pPr>
      <w:bookmarkStart w:id="18" w:name="_Toc211241073"/>
      <w:r w:rsidRPr="001F1CE7">
        <w:rPr>
          <w:rFonts w:ascii="Arial" w:hAnsi="Arial" w:cs="Arial"/>
          <w:sz w:val="20"/>
          <w:szCs w:val="20"/>
        </w:rPr>
        <w:t>Energy Release 2.0</w:t>
      </w:r>
      <w:bookmarkEnd w:id="18"/>
    </w:p>
    <w:p w14:paraId="0950343A" w14:textId="77777777" w:rsidR="001F1CE7" w:rsidRPr="001F1CE7" w:rsidRDefault="001F1CE7" w:rsidP="001F1CE7">
      <w:pPr>
        <w:rPr>
          <w:rFonts w:cs="Arial"/>
          <w:szCs w:val="20"/>
        </w:rPr>
      </w:pPr>
      <w:r w:rsidRPr="001F1CE7">
        <w:rPr>
          <w:rFonts w:cs="Arial"/>
          <w:szCs w:val="20"/>
        </w:rPr>
        <w:t xml:space="preserve">V letu 2024 je Italija uvedla nadgradnjo obstoječega mehanizma z imenom </w:t>
      </w:r>
      <w:r w:rsidRPr="001F1CE7">
        <w:rPr>
          <w:rFonts w:cs="Arial"/>
          <w:b/>
          <w:bCs/>
          <w:szCs w:val="20"/>
        </w:rPr>
        <w:t>Energy Release 2.0</w:t>
      </w:r>
      <w:r w:rsidRPr="001F1CE7">
        <w:rPr>
          <w:rFonts w:cs="Arial"/>
          <w:szCs w:val="20"/>
        </w:rPr>
        <w:t>.</w:t>
      </w:r>
      <w:r w:rsidRPr="001F1CE7">
        <w:rPr>
          <w:rStyle w:val="Sprotnaopomba-sklic"/>
          <w:rFonts w:cs="Arial"/>
          <w:szCs w:val="20"/>
        </w:rPr>
        <w:footnoteReference w:id="4"/>
      </w:r>
      <w:r w:rsidRPr="001F1CE7">
        <w:rPr>
          <w:rFonts w:cs="Arial"/>
          <w:szCs w:val="20"/>
        </w:rPr>
        <w:t xml:space="preserve"> Gre za model, po katerem državni ali para-javni proizvajalci električne energije (zlasti GSE – Gestore dei Servizi Energetici) prodajajo električno energijo določenim industrijskim odjemalcem po vnaprej določenih cenah, ki so praviloma nižje od tržnih in dolgoročno stabilnejše, hkrati pa se kupci zavežejo vrniti dobavljeno energijo po enakih cenah na podlagi naložb v lastne energetske vire.</w:t>
      </w:r>
    </w:p>
    <w:p w14:paraId="64F04433" w14:textId="77777777" w:rsidR="001F1CE7" w:rsidRPr="001F1CE7" w:rsidRDefault="001F1CE7" w:rsidP="001F1CE7">
      <w:pPr>
        <w:rPr>
          <w:rFonts w:cs="Arial"/>
          <w:szCs w:val="20"/>
        </w:rPr>
      </w:pPr>
    </w:p>
    <w:p w14:paraId="70753C08" w14:textId="77777777" w:rsidR="001F1CE7" w:rsidRPr="001F1CE7" w:rsidRDefault="001F1CE7" w:rsidP="001F1CE7">
      <w:pPr>
        <w:rPr>
          <w:rFonts w:cs="Arial"/>
          <w:szCs w:val="20"/>
        </w:rPr>
      </w:pPr>
      <w:r w:rsidRPr="001F1CE7">
        <w:rPr>
          <w:rFonts w:cs="Arial"/>
          <w:szCs w:val="20"/>
        </w:rPr>
        <w:t>Energy Release 2.0 je v veljavi od julija 2024, z objavo na institucionalni spletni strani Ministrstva za okolje in energetsko varnost (MASE). Ta dekret ureja mehanizem odkupa električne energije iz razpoložljivih virov družbe GSE in njenega kasnejšega vračila družbi GSE, skupaj z ustreznimi jamstvi o izvoru energije. Cilj tega podpornega ukrepa je spodbuditi namestitev novih proizvodnih enot za proizvodnjo energije iz obnovljivih virov in energetsko intenzivnim podjetjem ponuditi možnost nakupa električne energije po znižanih cenah.</w:t>
      </w:r>
    </w:p>
    <w:p w14:paraId="5C8CE123" w14:textId="77777777" w:rsidR="001F1CE7" w:rsidRPr="001F1CE7" w:rsidRDefault="001F1CE7" w:rsidP="001F1CE7">
      <w:pPr>
        <w:rPr>
          <w:rFonts w:cs="Arial"/>
          <w:szCs w:val="20"/>
        </w:rPr>
      </w:pPr>
    </w:p>
    <w:p w14:paraId="23A5DAA7" w14:textId="77777777" w:rsidR="001F1CE7" w:rsidRPr="001F1CE7" w:rsidRDefault="001F1CE7" w:rsidP="001F1CE7">
      <w:pPr>
        <w:rPr>
          <w:rFonts w:cs="Arial"/>
          <w:b/>
          <w:bCs/>
          <w:szCs w:val="20"/>
        </w:rPr>
      </w:pPr>
      <w:r w:rsidRPr="001F1CE7">
        <w:rPr>
          <w:rFonts w:cs="Arial"/>
          <w:b/>
          <w:bCs/>
          <w:szCs w:val="20"/>
        </w:rPr>
        <w:t>Opis mehanizma</w:t>
      </w:r>
    </w:p>
    <w:p w14:paraId="2CC1F177" w14:textId="77777777" w:rsidR="001F1CE7" w:rsidRPr="001F1CE7" w:rsidRDefault="001F1CE7" w:rsidP="001F1CE7">
      <w:pPr>
        <w:rPr>
          <w:rFonts w:cs="Arial"/>
          <w:szCs w:val="20"/>
        </w:rPr>
      </w:pPr>
    </w:p>
    <w:p w14:paraId="27592FEF" w14:textId="77777777" w:rsidR="001F1CE7" w:rsidRPr="001F1CE7" w:rsidRDefault="001F1CE7" w:rsidP="001F1CE7">
      <w:pPr>
        <w:rPr>
          <w:rFonts w:cs="Arial"/>
          <w:szCs w:val="20"/>
        </w:rPr>
      </w:pPr>
      <w:r w:rsidRPr="001F1CE7">
        <w:rPr>
          <w:rFonts w:cs="Arial"/>
          <w:szCs w:val="20"/>
        </w:rPr>
        <w:t>Program Energy Release 2.0 je namenjen izključno določenim upravičencem – predvsem energetsko intenzivnim industrijam, ki izpolnjujejo kriterije glede porabe električne energije, udeležbe v sistemu EU ETS in izkazanih težav pri stroških elektrike. Podjetja se morajo prijaviti in skleniti pogodbo z GSE ali drugim zavezanim dobaviteljem, cene pa so določene z uredbo vlade.</w:t>
      </w:r>
    </w:p>
    <w:p w14:paraId="2390A52A" w14:textId="77777777" w:rsidR="001F1CE7" w:rsidRPr="001F1CE7" w:rsidRDefault="001F1CE7" w:rsidP="001F1CE7">
      <w:pPr>
        <w:rPr>
          <w:rFonts w:cs="Arial"/>
          <w:szCs w:val="20"/>
        </w:rPr>
      </w:pPr>
    </w:p>
    <w:p w14:paraId="7F1CFEB7" w14:textId="77777777" w:rsidR="001F1CE7" w:rsidRPr="001F1CE7" w:rsidRDefault="001F1CE7" w:rsidP="001F1CE7">
      <w:pPr>
        <w:rPr>
          <w:rFonts w:cs="Arial"/>
          <w:szCs w:val="20"/>
        </w:rPr>
      </w:pPr>
      <w:r w:rsidRPr="001F1CE7">
        <w:rPr>
          <w:rFonts w:cs="Arial"/>
          <w:szCs w:val="20"/>
        </w:rPr>
        <w:t xml:space="preserve">Energetsko intenzivna podjetja – torej podjetja, registrirana pri </w:t>
      </w:r>
      <w:r w:rsidRPr="001F1CE7">
        <w:rPr>
          <w:rFonts w:cs="Arial"/>
          <w:i/>
          <w:iCs/>
          <w:szCs w:val="20"/>
        </w:rPr>
        <w:t>Cassa per i servizi energetici e ambientali</w:t>
      </w:r>
      <w:r w:rsidRPr="001F1CE7">
        <w:rPr>
          <w:rFonts w:cs="Arial"/>
          <w:szCs w:val="20"/>
        </w:rPr>
        <w:t xml:space="preserve"> (CSEA, Sklad za energetske in okoljske storitve) – imajo možnost, da najprej prejmejo električno energijo in pripadajoča jamstva o izvoru energije od GSE, bodisi posamično bodisi v združeni obliki, po zamejeni ceni 65 €/MWh (za obdobje 36 mesecev). Nato v obdobju 20 let družbi GSE povrnejo enako količino električne energije in vrednost pripadajočih jamstev o izvoru, prav tako po ceni 65 €/MWh, tako da se sami ali prek tretjih oseb zavežejo k gradnji novih elektrarn za proizvodnjo električne energije iz obnovljivih virov (fotovoltaika, vetrna ali hidro energija).</w:t>
      </w:r>
    </w:p>
    <w:p w14:paraId="1664B71B" w14:textId="77777777" w:rsidR="001F1CE7" w:rsidRPr="001F1CE7" w:rsidRDefault="001F1CE7" w:rsidP="001F1CE7">
      <w:pPr>
        <w:rPr>
          <w:rFonts w:cs="Arial"/>
          <w:szCs w:val="20"/>
        </w:rPr>
      </w:pPr>
    </w:p>
    <w:p w14:paraId="30D14DC4" w14:textId="77777777" w:rsidR="001F1CE7" w:rsidRPr="001F1CE7" w:rsidRDefault="001F1CE7" w:rsidP="001F1CE7">
      <w:pPr>
        <w:rPr>
          <w:rFonts w:cs="Arial"/>
          <w:szCs w:val="20"/>
        </w:rPr>
      </w:pPr>
      <w:r w:rsidRPr="001F1CE7">
        <w:rPr>
          <w:rFonts w:cs="Arial"/>
          <w:szCs w:val="20"/>
        </w:rPr>
        <w:t>Energetsko intenzivna podjetja so imela možnost izraziti interes za sodelovanje v razpisu, neposredno ali preko agregatorja, prek portala GSE do 3. marca 2025, pri čemer so morala vnaprej navesti želeno količino električne energije (ne več kot trenutno letno porabo). Po podatkih GSE je bilo oddanih 559 izjav o interesu, večinoma neposredno s strani energetsko intenzivnih podjetij in ne – kot je bilo pričakovano – preko agregatorjev. Skupna zahtevana količina električne energije naj bi presegala 70 TWh (kar je skoraj trikrat več od količine energije, ki jo ima GSE na voljo, to je 24 TWh/leto). Objava rezultatov razpisa, ki je bila predvidena za začetek aprila 2025, ob zaključku te analize še ni bila na voljo. Vpletene strani zato čakajo na rezultate, da bodo lahko izvedle naslednje korake in podpisale pogodbe z GSE (pogodbe o predplačilu in povračilu energije za dodeljene količine).</w:t>
      </w:r>
    </w:p>
    <w:p w14:paraId="68A13291" w14:textId="77777777" w:rsidR="001F1CE7" w:rsidRPr="001F1CE7" w:rsidRDefault="001F1CE7" w:rsidP="001F1CE7">
      <w:pPr>
        <w:rPr>
          <w:rFonts w:cs="Arial"/>
          <w:szCs w:val="20"/>
        </w:rPr>
      </w:pPr>
    </w:p>
    <w:p w14:paraId="0B1DC0C4" w14:textId="77777777" w:rsidR="001F1CE7" w:rsidRPr="001F1CE7" w:rsidRDefault="001F1CE7" w:rsidP="001F1CE7">
      <w:pPr>
        <w:rPr>
          <w:rFonts w:cs="Arial"/>
          <w:szCs w:val="20"/>
        </w:rPr>
      </w:pPr>
      <w:r w:rsidRPr="001F1CE7">
        <w:rPr>
          <w:rFonts w:cs="Arial"/>
          <w:szCs w:val="20"/>
        </w:rPr>
        <w:t>Prednosti tega modela so, da država:</w:t>
      </w:r>
    </w:p>
    <w:p w14:paraId="0F78DBC0" w14:textId="77777777" w:rsidR="001F1CE7" w:rsidRPr="001F1CE7" w:rsidRDefault="001F1CE7" w:rsidP="001F1CE7">
      <w:pPr>
        <w:numPr>
          <w:ilvl w:val="0"/>
          <w:numId w:val="64"/>
        </w:numPr>
        <w:tabs>
          <w:tab w:val="num" w:pos="720"/>
        </w:tabs>
        <w:spacing w:after="0" w:line="240" w:lineRule="auto"/>
        <w:rPr>
          <w:rFonts w:cs="Arial"/>
          <w:szCs w:val="20"/>
        </w:rPr>
      </w:pPr>
      <w:r w:rsidRPr="001F1CE7">
        <w:rPr>
          <w:rFonts w:cs="Arial"/>
          <w:b/>
          <w:bCs/>
          <w:szCs w:val="20"/>
        </w:rPr>
        <w:t xml:space="preserve">uporablja prihodke iz preteklih izrednih davkov </w:t>
      </w:r>
      <w:r w:rsidRPr="001F1CE7">
        <w:rPr>
          <w:rFonts w:cs="Arial"/>
          <w:szCs w:val="20"/>
        </w:rPr>
        <w:t>(npr. davek na presežne dobičke) in presežkov iz proizvodnje OVE za podporo izbranim podjetjem,</w:t>
      </w:r>
    </w:p>
    <w:p w14:paraId="2A92FF3C" w14:textId="77777777" w:rsidR="001F1CE7" w:rsidRPr="001F1CE7" w:rsidRDefault="001F1CE7" w:rsidP="001F1CE7">
      <w:pPr>
        <w:numPr>
          <w:ilvl w:val="0"/>
          <w:numId w:val="64"/>
        </w:numPr>
        <w:tabs>
          <w:tab w:val="num" w:pos="720"/>
        </w:tabs>
        <w:spacing w:after="0" w:line="240" w:lineRule="auto"/>
        <w:rPr>
          <w:rFonts w:cs="Arial"/>
          <w:szCs w:val="20"/>
        </w:rPr>
      </w:pPr>
      <w:r w:rsidRPr="001F1CE7">
        <w:rPr>
          <w:rFonts w:cs="Arial"/>
          <w:b/>
          <w:bCs/>
          <w:szCs w:val="20"/>
        </w:rPr>
        <w:t>zmanjšuje spremenljivost oz. nihanja tržnih cen</w:t>
      </w:r>
      <w:r w:rsidRPr="001F1CE7">
        <w:rPr>
          <w:rFonts w:cs="Arial"/>
          <w:szCs w:val="20"/>
        </w:rPr>
        <w:t xml:space="preserve"> za EID podjetja, ki so sicer zaradi svoje energetske intenzivnosti posebej ranljiva,</w:t>
      </w:r>
    </w:p>
    <w:p w14:paraId="64567A42" w14:textId="77777777" w:rsidR="001F1CE7" w:rsidRPr="001F1CE7" w:rsidRDefault="001F1CE7" w:rsidP="001F1CE7">
      <w:pPr>
        <w:numPr>
          <w:ilvl w:val="0"/>
          <w:numId w:val="64"/>
        </w:numPr>
        <w:tabs>
          <w:tab w:val="num" w:pos="720"/>
        </w:tabs>
        <w:spacing w:after="0" w:line="240" w:lineRule="auto"/>
        <w:rPr>
          <w:rFonts w:cs="Arial"/>
          <w:szCs w:val="20"/>
        </w:rPr>
      </w:pPr>
      <w:r w:rsidRPr="001F1CE7">
        <w:rPr>
          <w:rFonts w:cs="Arial"/>
          <w:szCs w:val="20"/>
        </w:rPr>
        <w:t xml:space="preserve">hkrati </w:t>
      </w:r>
      <w:r w:rsidRPr="001F1CE7">
        <w:rPr>
          <w:rFonts w:cs="Arial"/>
          <w:b/>
          <w:bCs/>
          <w:szCs w:val="20"/>
        </w:rPr>
        <w:t>ne moti delovanja energetskih trgov</w:t>
      </w:r>
      <w:r w:rsidRPr="001F1CE7">
        <w:rPr>
          <w:rFonts w:cs="Arial"/>
          <w:szCs w:val="20"/>
        </w:rPr>
        <w:t xml:space="preserve"> v klasičnem smislu, saj so pogodbe sklenjene prostovoljno in so določene količine električne energije posebej namenjene temu programu</w:t>
      </w:r>
    </w:p>
    <w:p w14:paraId="649D3188" w14:textId="77777777" w:rsidR="001F1CE7" w:rsidRPr="001F1CE7" w:rsidRDefault="001F1CE7" w:rsidP="001F1CE7">
      <w:pPr>
        <w:numPr>
          <w:ilvl w:val="0"/>
          <w:numId w:val="64"/>
        </w:numPr>
        <w:tabs>
          <w:tab w:val="num" w:pos="720"/>
        </w:tabs>
        <w:spacing w:after="0" w:line="240" w:lineRule="auto"/>
        <w:rPr>
          <w:rFonts w:cs="Arial"/>
          <w:szCs w:val="20"/>
        </w:rPr>
      </w:pPr>
      <w:r w:rsidRPr="001F1CE7">
        <w:rPr>
          <w:rFonts w:cs="Arial"/>
          <w:b/>
          <w:bCs/>
          <w:szCs w:val="20"/>
        </w:rPr>
        <w:t>spodbuja naložbe</w:t>
      </w:r>
      <w:r w:rsidRPr="001F1CE7">
        <w:rPr>
          <w:rFonts w:cs="Arial"/>
          <w:szCs w:val="20"/>
        </w:rPr>
        <w:t xml:space="preserve"> podjetij v EID v obnovljive vire energije.</w:t>
      </w:r>
    </w:p>
    <w:p w14:paraId="7D821C66" w14:textId="77777777" w:rsidR="001F1CE7" w:rsidRPr="001F1CE7" w:rsidRDefault="001F1CE7" w:rsidP="001F1CE7">
      <w:pPr>
        <w:rPr>
          <w:rFonts w:cs="Arial"/>
          <w:b/>
          <w:bCs/>
          <w:szCs w:val="20"/>
        </w:rPr>
      </w:pPr>
    </w:p>
    <w:p w14:paraId="038867C6" w14:textId="77777777" w:rsidR="001F1CE7" w:rsidRPr="001F1CE7" w:rsidRDefault="001F1CE7" w:rsidP="001F1CE7">
      <w:pPr>
        <w:rPr>
          <w:rFonts w:cs="Arial"/>
          <w:szCs w:val="20"/>
        </w:rPr>
      </w:pPr>
      <w:r w:rsidRPr="001F1CE7">
        <w:rPr>
          <w:rFonts w:cs="Arial"/>
          <w:szCs w:val="20"/>
        </w:rPr>
        <w:t xml:space="preserve">Ta mehanizem je v določenem delu primerljiv z dolgoročnimi PPA pogodbami (Power Purchase Agreements), a zlasti zato, ker v njem nastopa država kot posrednik in subjekt, ki omogoča prodajo. Italija s tem ubira </w:t>
      </w:r>
      <w:r w:rsidRPr="001F1CE7">
        <w:rPr>
          <w:rFonts w:cs="Arial"/>
          <w:b/>
          <w:bCs/>
          <w:szCs w:val="20"/>
        </w:rPr>
        <w:t>posebno pot med popolno tržno liberalizacijo in neposredno regulacijo</w:t>
      </w:r>
      <w:r w:rsidRPr="001F1CE7">
        <w:rPr>
          <w:rFonts w:cs="Arial"/>
          <w:szCs w:val="20"/>
        </w:rPr>
        <w:t xml:space="preserve"> ter s tem preprečuje izpad proizvodnje v ključnih industrijah (npr. aluminij, cement, papir, jeklo).</w:t>
      </w:r>
    </w:p>
    <w:p w14:paraId="2301CE01" w14:textId="77777777" w:rsidR="001F1CE7" w:rsidRPr="001F1CE7" w:rsidRDefault="001F1CE7" w:rsidP="001F1CE7">
      <w:pPr>
        <w:rPr>
          <w:rFonts w:cs="Arial"/>
          <w:szCs w:val="20"/>
        </w:rPr>
      </w:pPr>
    </w:p>
    <w:p w14:paraId="1748C340" w14:textId="77777777" w:rsidR="001F1CE7" w:rsidRPr="001F1CE7" w:rsidRDefault="001F1CE7" w:rsidP="001F1CE7">
      <w:pPr>
        <w:rPr>
          <w:rFonts w:cs="Arial"/>
          <w:szCs w:val="20"/>
        </w:rPr>
      </w:pPr>
      <w:r w:rsidRPr="001F1CE7">
        <w:rPr>
          <w:rFonts w:cs="Arial"/>
          <w:szCs w:val="20"/>
        </w:rPr>
        <w:t xml:space="preserve">Italijanski pristop je zanimiv primer, kako lahko država s ciljanimi in strukturiranimi ukrepi zaščiti strateške industrije pred negativnimi posledicami energetske krize, brez posredovanja na celoten trg električne energije, hkrati pa spodbuja podjetja v naložbe v energetske obrate za proizvodnjo električne energije. Model Energy Release 2.0 je v svojem vsebinskem smislu podoben novim evropskim smernicam </w:t>
      </w:r>
      <w:r w:rsidRPr="001F1CE7">
        <w:rPr>
          <w:rFonts w:cs="Arial"/>
          <w:b/>
          <w:bCs/>
          <w:szCs w:val="20"/>
        </w:rPr>
        <w:t xml:space="preserve">CISAF (Clean Industrial Deal State Aid Framework) </w:t>
      </w:r>
      <w:r w:rsidRPr="001F1CE7">
        <w:rPr>
          <w:rFonts w:cs="Arial"/>
          <w:szCs w:val="20"/>
        </w:rPr>
        <w:t>iz junija 2025</w:t>
      </w:r>
      <w:r w:rsidRPr="001F1CE7">
        <w:rPr>
          <w:rFonts w:cs="Arial"/>
          <w:b/>
          <w:bCs/>
          <w:szCs w:val="20"/>
        </w:rPr>
        <w:t xml:space="preserve"> </w:t>
      </w:r>
      <w:r w:rsidRPr="001F1CE7">
        <w:rPr>
          <w:rFonts w:cs="Arial"/>
          <w:szCs w:val="20"/>
        </w:rPr>
        <w:t>glede poenostavljenih postopkov za dodelitev državne pomoči. V skladu s CISAF lahko državna pomoč krije do 50 % povprečne veleprodajne cene električne energije, vendar največ za polovico letne porabe podjetja, pri čemer mora znižana cena znašati najmanj 50 EUR/MWh. Upravičenci morajo najmanj polovico prejete pomoči obvezno investirati v nove ali posodobljene energetske zmogljivosti, kot so obnovljivi viri, ukrepi energetske učinkovitosti, fleksibilnost ali proizvodnja zelenega vodika. Pomoč je omejena na največ tri leta in je namenjena podjetjem iz sektorjev navedenih v Prilogi 1 k Smernicam o državni pomoči za podnebje, varstvo okolja in energijo ter drugim sektorjem, ki izpolnjujejo pogoje v skladu s CISAF (več o CISAF v naslednjem poglavju).</w:t>
      </w:r>
    </w:p>
    <w:p w14:paraId="5D771B48" w14:textId="77777777" w:rsidR="001F1CE7" w:rsidRPr="001F1CE7" w:rsidRDefault="001F1CE7" w:rsidP="001F1CE7">
      <w:pPr>
        <w:rPr>
          <w:rFonts w:cs="Arial"/>
          <w:szCs w:val="20"/>
        </w:rPr>
      </w:pPr>
    </w:p>
    <w:p w14:paraId="3D5E795D" w14:textId="77777777" w:rsidR="001F1CE7" w:rsidRPr="001F1CE7" w:rsidRDefault="001F1CE7" w:rsidP="001F1CE7">
      <w:pPr>
        <w:rPr>
          <w:rFonts w:cs="Arial"/>
          <w:szCs w:val="20"/>
        </w:rPr>
      </w:pPr>
      <w:r w:rsidRPr="001F1CE7">
        <w:rPr>
          <w:rFonts w:cs="Arial"/>
          <w:szCs w:val="20"/>
        </w:rPr>
        <w:t xml:space="preserve">Model Energy Release 2.0 in smernice CISAF sta zelo relevantna mehanizma, saj omogočata </w:t>
      </w:r>
      <w:r w:rsidRPr="001F1CE7">
        <w:rPr>
          <w:rFonts w:cs="Arial"/>
          <w:b/>
          <w:bCs/>
          <w:szCs w:val="20"/>
        </w:rPr>
        <w:t>stabilizacijo cen in ohranitev konkurenčnosti industrije</w:t>
      </w:r>
      <w:r w:rsidRPr="001F1CE7">
        <w:rPr>
          <w:rFonts w:cs="Arial"/>
          <w:szCs w:val="20"/>
        </w:rPr>
        <w:t>, ne da bi to pomenilo celovito spremembo regulacije trga, hkrati pa podjetja spodbujata k naložbam v nizkoogljične energetske obrate za proizvodnjo električne energije.</w:t>
      </w:r>
    </w:p>
    <w:p w14:paraId="248542CC" w14:textId="01FF223F" w:rsidR="001F1CE7" w:rsidRPr="001F1CE7" w:rsidRDefault="00FF6A8A" w:rsidP="001F1CE7">
      <w:pPr>
        <w:pStyle w:val="Naslov2"/>
        <w:keepLines w:val="0"/>
        <w:numPr>
          <w:ilvl w:val="1"/>
          <w:numId w:val="0"/>
        </w:numPr>
        <w:spacing w:before="240" w:line="240" w:lineRule="auto"/>
        <w:ind w:left="567" w:hanging="567"/>
        <w:jc w:val="left"/>
        <w:rPr>
          <w:rFonts w:cs="Arial"/>
          <w:szCs w:val="20"/>
        </w:rPr>
      </w:pPr>
      <w:bookmarkStart w:id="19" w:name="_Toc201714256"/>
      <w:bookmarkStart w:id="20" w:name="_Toc211241074"/>
      <w:r w:rsidRPr="001F1CE7">
        <w:rPr>
          <w:rFonts w:cs="Arial"/>
          <w:szCs w:val="20"/>
        </w:rPr>
        <w:t>NEMČIJA</w:t>
      </w:r>
      <w:bookmarkEnd w:id="19"/>
      <w:bookmarkEnd w:id="20"/>
    </w:p>
    <w:p w14:paraId="276053F8" w14:textId="77777777" w:rsidR="001F1CE7" w:rsidRPr="001F1CE7" w:rsidRDefault="001F1CE7" w:rsidP="001F1CE7">
      <w:pPr>
        <w:rPr>
          <w:rStyle w:val="Krepko"/>
          <w:rFonts w:cs="Arial"/>
          <w:b w:val="0"/>
          <w:bCs w:val="0"/>
          <w:szCs w:val="20"/>
        </w:rPr>
      </w:pPr>
      <w:r w:rsidRPr="001F1CE7">
        <w:rPr>
          <w:rFonts w:cs="Arial"/>
          <w:szCs w:val="20"/>
        </w:rPr>
        <w:t xml:space="preserve">Nemčija je že od leta 2022 dalje vzpostavila obsežen okvir za blažitev vpliva visokih cen električne energije na gospodarstvo, znan kot </w:t>
      </w:r>
      <w:r w:rsidRPr="001F1CE7">
        <w:rPr>
          <w:rFonts w:cs="Arial"/>
          <w:i/>
          <w:iCs/>
          <w:szCs w:val="20"/>
        </w:rPr>
        <w:t>Abwehrschirm</w:t>
      </w:r>
      <w:r w:rsidRPr="001F1CE7">
        <w:rPr>
          <w:rFonts w:cs="Arial"/>
          <w:szCs w:val="20"/>
        </w:rPr>
        <w:t xml:space="preserve"> (gospodarski obrambni ščit), vreden približno 200 milijard evrov. Ukrepi so vključevali cenovne omejitve, davčne razbremenitve, neposredno pomoč energetsko intenzivnim podjetjem in sistemsko podporo za industrijsko razogljičenje. Leta 2025 Nemčija večino ukrepov nadaljuje, hkrati pa je uvedla nove mehanizme in okrepila že obstoječe programe (Bruegel, 2024; BMWK, 2025; Reuters, 2025).</w:t>
      </w:r>
    </w:p>
    <w:p w14:paraId="35820BFD" w14:textId="77777777" w:rsidR="001F1CE7" w:rsidRPr="001F1CE7" w:rsidRDefault="001F1CE7" w:rsidP="001F1CE7">
      <w:pPr>
        <w:pStyle w:val="Naslov3"/>
        <w:keepLines w:val="0"/>
        <w:numPr>
          <w:ilvl w:val="2"/>
          <w:numId w:val="0"/>
        </w:numPr>
        <w:spacing w:before="240" w:after="240" w:line="240" w:lineRule="auto"/>
        <w:ind w:left="720" w:hanging="720"/>
        <w:jc w:val="left"/>
        <w:rPr>
          <w:rFonts w:ascii="Arial" w:hAnsi="Arial" w:cs="Arial"/>
          <w:sz w:val="20"/>
          <w:szCs w:val="20"/>
        </w:rPr>
      </w:pPr>
      <w:bookmarkStart w:id="21" w:name="_Toc201714257"/>
      <w:bookmarkStart w:id="22" w:name="_Toc211241075"/>
      <w:r w:rsidRPr="001F1CE7">
        <w:rPr>
          <w:rFonts w:ascii="Arial" w:hAnsi="Arial" w:cs="Arial"/>
          <w:sz w:val="20"/>
          <w:szCs w:val="20"/>
        </w:rPr>
        <w:t>Cenovne omejitve električne energije za industrijo</w:t>
      </w:r>
      <w:bookmarkEnd w:id="21"/>
      <w:bookmarkEnd w:id="22"/>
    </w:p>
    <w:p w14:paraId="5912B9E8" w14:textId="77777777" w:rsidR="001F1CE7" w:rsidRPr="001F1CE7" w:rsidRDefault="001F1CE7" w:rsidP="001F1CE7">
      <w:pPr>
        <w:rPr>
          <w:rStyle w:val="Krepko"/>
          <w:rFonts w:cs="Arial"/>
          <w:b w:val="0"/>
          <w:bCs w:val="0"/>
          <w:szCs w:val="20"/>
        </w:rPr>
      </w:pPr>
      <w:r w:rsidRPr="001F1CE7">
        <w:rPr>
          <w:rStyle w:val="Krepko"/>
          <w:rFonts w:cs="Arial"/>
          <w:szCs w:val="20"/>
        </w:rPr>
        <w:t xml:space="preserve">V letih 2023–2024 je Nemčija vzpostavila </w:t>
      </w:r>
      <w:r w:rsidRPr="001F1CE7">
        <w:rPr>
          <w:rStyle w:val="Krepko"/>
          <w:rFonts w:cs="Arial"/>
          <w:i/>
          <w:iCs/>
          <w:szCs w:val="20"/>
        </w:rPr>
        <w:t>Strompreisbremse</w:t>
      </w:r>
      <w:r w:rsidRPr="001F1CE7">
        <w:rPr>
          <w:rStyle w:val="Krepko"/>
          <w:rFonts w:cs="Arial"/>
          <w:szCs w:val="20"/>
        </w:rPr>
        <w:t xml:space="preserve">, mehanizem za omejitev cene električne energije, s katerim je bilo 70 % porabe upravičenih podjetij subvencionirano do 130 evrov/MWh za osnovno oskrbo. Ta ukrep je bil del nemškega energetskega zaščitnega ščita v vrednosti 200 milijard evrov, namenjenega ublažitvi posledic energetske krize. Shema je začela veljati marca 2023. </w:t>
      </w:r>
    </w:p>
    <w:p w14:paraId="3E72E0AF" w14:textId="77777777" w:rsidR="001F1CE7" w:rsidRPr="001F1CE7" w:rsidRDefault="001F1CE7" w:rsidP="001F1CE7">
      <w:pPr>
        <w:rPr>
          <w:rStyle w:val="Krepko"/>
          <w:rFonts w:cs="Arial"/>
          <w:b w:val="0"/>
          <w:bCs w:val="0"/>
          <w:szCs w:val="20"/>
        </w:rPr>
      </w:pPr>
    </w:p>
    <w:p w14:paraId="58226686" w14:textId="77777777" w:rsidR="001F1CE7" w:rsidRPr="001F1CE7" w:rsidRDefault="001F1CE7" w:rsidP="001F1CE7">
      <w:pPr>
        <w:rPr>
          <w:rStyle w:val="Krepko"/>
          <w:rFonts w:cs="Arial"/>
          <w:b w:val="0"/>
          <w:bCs w:val="0"/>
          <w:szCs w:val="20"/>
        </w:rPr>
      </w:pPr>
      <w:r w:rsidRPr="001F1CE7">
        <w:rPr>
          <w:rStyle w:val="Krepko"/>
          <w:rFonts w:cs="Arial"/>
          <w:szCs w:val="20"/>
        </w:rPr>
        <w:t>Za gospodinjstva in mala podjetja (z letno porabo do 30.000 kWh) je bila cena električne energije omejena na 400 evrov/MWh (bruto) za 80 % njihove porabe v preteklem letu. Ta ukrep je bil prav tako del zgoraj omenjenega energetskega zaščitnega ščita.</w:t>
      </w:r>
    </w:p>
    <w:p w14:paraId="3AC4116D" w14:textId="77777777" w:rsidR="001F1CE7" w:rsidRPr="001F1CE7" w:rsidRDefault="001F1CE7" w:rsidP="001F1CE7">
      <w:pPr>
        <w:rPr>
          <w:rStyle w:val="Krepko"/>
          <w:rFonts w:cs="Arial"/>
          <w:b w:val="0"/>
          <w:bCs w:val="0"/>
          <w:szCs w:val="20"/>
        </w:rPr>
      </w:pPr>
    </w:p>
    <w:p w14:paraId="0EDD47E9" w14:textId="77777777" w:rsidR="001F1CE7" w:rsidRPr="001F1CE7" w:rsidRDefault="001F1CE7" w:rsidP="001F1CE7">
      <w:pPr>
        <w:rPr>
          <w:rStyle w:val="Krepko"/>
          <w:rFonts w:cs="Arial"/>
          <w:b w:val="0"/>
          <w:bCs w:val="0"/>
          <w:szCs w:val="20"/>
        </w:rPr>
      </w:pPr>
      <w:r w:rsidRPr="001F1CE7">
        <w:rPr>
          <w:rStyle w:val="Krepko"/>
          <w:rFonts w:cs="Arial"/>
          <w:szCs w:val="20"/>
        </w:rPr>
        <w:t>Poleg teh ukrepov je nemško Ministrstvo za gospodarstvo in podnebne ukrepe (BMWK) maja 2023 predstavilo predlog za uvedbo t.i. "industrijske cene elektrike" (</w:t>
      </w:r>
      <w:r w:rsidRPr="001F1CE7">
        <w:rPr>
          <w:rStyle w:val="Krepko"/>
          <w:rFonts w:cs="Arial"/>
          <w:i/>
          <w:iCs/>
          <w:szCs w:val="20"/>
        </w:rPr>
        <w:t>Industriestrompreis</w:t>
      </w:r>
      <w:r w:rsidRPr="001F1CE7">
        <w:rPr>
          <w:rStyle w:val="Krepko"/>
          <w:rFonts w:cs="Arial"/>
          <w:szCs w:val="20"/>
        </w:rPr>
        <w:t>), ki bi za energetsko intenzivne industrije omejila ceno električne energije na 60 evrov /MWh za 80 % porabe do leta 2030. Čeprav je bil predlog deležen podpore industrijskih združenj, ga zvezna vlada in parlament še nista odobrila.</w:t>
      </w:r>
    </w:p>
    <w:p w14:paraId="5A1C69CB" w14:textId="77777777" w:rsidR="001F1CE7" w:rsidRPr="001F1CE7" w:rsidRDefault="001F1CE7" w:rsidP="001F1CE7">
      <w:pPr>
        <w:rPr>
          <w:rStyle w:val="Krepko"/>
          <w:rFonts w:cs="Arial"/>
          <w:b w:val="0"/>
          <w:bCs w:val="0"/>
          <w:szCs w:val="20"/>
        </w:rPr>
      </w:pPr>
    </w:p>
    <w:p w14:paraId="0F137AC6" w14:textId="77777777" w:rsidR="001F1CE7" w:rsidRPr="001F1CE7" w:rsidRDefault="001F1CE7" w:rsidP="001F1CE7">
      <w:pPr>
        <w:pStyle w:val="Naslov3"/>
        <w:keepLines w:val="0"/>
        <w:numPr>
          <w:ilvl w:val="2"/>
          <w:numId w:val="0"/>
        </w:numPr>
        <w:spacing w:before="240" w:after="240" w:line="240" w:lineRule="auto"/>
        <w:ind w:left="720" w:hanging="720"/>
        <w:jc w:val="left"/>
        <w:rPr>
          <w:rFonts w:ascii="Arial" w:hAnsi="Arial" w:cs="Arial"/>
          <w:sz w:val="20"/>
          <w:szCs w:val="20"/>
        </w:rPr>
      </w:pPr>
      <w:bookmarkStart w:id="23" w:name="_Toc201714258"/>
      <w:bookmarkStart w:id="24" w:name="_Toc211241076"/>
      <w:r w:rsidRPr="001F1CE7">
        <w:rPr>
          <w:rFonts w:ascii="Arial" w:hAnsi="Arial" w:cs="Arial"/>
          <w:sz w:val="20"/>
          <w:szCs w:val="20"/>
        </w:rPr>
        <w:t>Davčne olajšave: odprava EEG dajatve</w:t>
      </w:r>
      <w:bookmarkEnd w:id="23"/>
      <w:bookmarkEnd w:id="24"/>
    </w:p>
    <w:p w14:paraId="7959B23A" w14:textId="77777777" w:rsidR="001F1CE7" w:rsidRPr="001F1CE7" w:rsidRDefault="001F1CE7" w:rsidP="001F1CE7">
      <w:pPr>
        <w:rPr>
          <w:rStyle w:val="Krepko"/>
          <w:rFonts w:cs="Arial"/>
          <w:b w:val="0"/>
          <w:bCs w:val="0"/>
          <w:szCs w:val="20"/>
        </w:rPr>
      </w:pPr>
      <w:r w:rsidRPr="001F1CE7">
        <w:rPr>
          <w:rStyle w:val="Krepko"/>
          <w:rFonts w:cs="Arial"/>
          <w:szCs w:val="20"/>
        </w:rPr>
        <w:t>Med ključne strukturne razbremenitve spada odprava dajatve za obnovljive vire energije (EEG-Umlage), ki je bila v letu 2022 ukinjena za vse končne uporabnike, vključno z industrijo. Ukrep velja tudi v letu 2025 in predstavlja neprekinjeno veljavno politiko davčne razbremenitve. Stroške OVE prispevka od takrat naprej krije državni proračun, kar prispeva k stabilnosti in konkurenčnosti industrijskih tarif (Bruegel, 2024).</w:t>
      </w:r>
    </w:p>
    <w:p w14:paraId="01175309" w14:textId="77777777" w:rsidR="001F1CE7" w:rsidRPr="001F1CE7" w:rsidRDefault="001F1CE7" w:rsidP="001F1CE7">
      <w:pPr>
        <w:pStyle w:val="Naslov3"/>
        <w:keepLines w:val="0"/>
        <w:numPr>
          <w:ilvl w:val="2"/>
          <w:numId w:val="0"/>
        </w:numPr>
        <w:spacing w:before="240" w:after="240" w:line="240" w:lineRule="auto"/>
        <w:ind w:left="720" w:hanging="720"/>
        <w:jc w:val="left"/>
        <w:rPr>
          <w:rFonts w:ascii="Arial" w:hAnsi="Arial" w:cs="Arial"/>
          <w:sz w:val="20"/>
          <w:szCs w:val="20"/>
        </w:rPr>
      </w:pPr>
      <w:bookmarkStart w:id="25" w:name="_Toc201714259"/>
      <w:bookmarkStart w:id="26" w:name="_Toc211241077"/>
      <w:r w:rsidRPr="001F1CE7">
        <w:rPr>
          <w:rFonts w:ascii="Arial" w:hAnsi="Arial" w:cs="Arial"/>
          <w:sz w:val="20"/>
          <w:szCs w:val="20"/>
        </w:rPr>
        <w:t>Subvencije in posojila za energetsko intenzivne panoge</w:t>
      </w:r>
      <w:bookmarkEnd w:id="25"/>
      <w:bookmarkEnd w:id="26"/>
    </w:p>
    <w:p w14:paraId="76D92C66" w14:textId="77777777" w:rsidR="001F1CE7" w:rsidRPr="001F1CE7" w:rsidRDefault="001F1CE7" w:rsidP="001F1CE7">
      <w:pPr>
        <w:rPr>
          <w:rFonts w:cs="Arial"/>
          <w:szCs w:val="20"/>
        </w:rPr>
      </w:pPr>
      <w:r w:rsidRPr="001F1CE7">
        <w:rPr>
          <w:rFonts w:cs="Arial"/>
          <w:szCs w:val="20"/>
        </w:rPr>
        <w:t>V obdobju 2022 - 2024 so bila podjetja, katerih stroški energije so predstavljali velik delež dodane vrednosti, upravičena do ciljne krizne pomoči v okviru Temporary Crisis and Transition Framework Evropske komisije. Pomoč je zajemala subvencioniranje dodatnih stroškov, nastalih po letu 2021, ter dostop do kreditnih linij prek razvojne banke KfW (Evropska komisija, 2023).</w:t>
      </w:r>
    </w:p>
    <w:p w14:paraId="048944BD" w14:textId="77777777" w:rsidR="001F1CE7" w:rsidRPr="001F1CE7" w:rsidRDefault="001F1CE7" w:rsidP="001F1CE7">
      <w:pPr>
        <w:rPr>
          <w:rFonts w:cs="Arial"/>
          <w:szCs w:val="20"/>
        </w:rPr>
      </w:pPr>
    </w:p>
    <w:p w14:paraId="211EB318" w14:textId="77777777" w:rsidR="001F1CE7" w:rsidRPr="001F1CE7" w:rsidRDefault="001F1CE7" w:rsidP="001F1CE7">
      <w:pPr>
        <w:rPr>
          <w:rFonts w:cs="Arial"/>
          <w:szCs w:val="20"/>
        </w:rPr>
      </w:pPr>
      <w:r w:rsidRPr="001F1CE7">
        <w:rPr>
          <w:rFonts w:cs="Arial"/>
          <w:szCs w:val="20"/>
        </w:rPr>
        <w:t xml:space="preserve">V letu 2025 se ti instrumenti nadaljujejo, vendar v spremenjeni obliki: nadomestilo je zdaj financirano iz nacionalnih virov in delno iz kohezijskih skladov EU, pogoji za upravičenost pa vključujejo podrobna energetska poročila in načrte razogljičenja. Do 80 % dodatnih stroškov energije je mogoče </w:t>
      </w:r>
      <w:r w:rsidRPr="001F1CE7">
        <w:rPr>
          <w:rFonts w:cs="Arial"/>
          <w:szCs w:val="20"/>
        </w:rPr>
        <w:lastRenderedPageBreak/>
        <w:t>subvencionirati, če podjetje izkaže pomembno poslabšanje konkurenčnega položaja. Ukrep torej pomeni razširitev prejšnje sheme s poudarkom na transformacijskih načrtih (BMWK, 2025).</w:t>
      </w:r>
    </w:p>
    <w:p w14:paraId="31C96E8B" w14:textId="77777777" w:rsidR="001F1CE7" w:rsidRPr="001F1CE7" w:rsidRDefault="001F1CE7" w:rsidP="001F1CE7">
      <w:pPr>
        <w:pStyle w:val="Naslov3"/>
        <w:keepLines w:val="0"/>
        <w:numPr>
          <w:ilvl w:val="2"/>
          <w:numId w:val="0"/>
        </w:numPr>
        <w:spacing w:before="240" w:after="240" w:line="240" w:lineRule="auto"/>
        <w:ind w:left="720" w:hanging="720"/>
        <w:jc w:val="left"/>
        <w:rPr>
          <w:rFonts w:ascii="Arial" w:hAnsi="Arial" w:cs="Arial"/>
          <w:sz w:val="20"/>
          <w:szCs w:val="20"/>
        </w:rPr>
      </w:pPr>
      <w:bookmarkStart w:id="27" w:name="_Toc201714260"/>
      <w:bookmarkStart w:id="28" w:name="_Toc211241078"/>
      <w:r w:rsidRPr="001F1CE7">
        <w:rPr>
          <w:rFonts w:ascii="Arial" w:hAnsi="Arial" w:cs="Arial"/>
          <w:sz w:val="20"/>
          <w:szCs w:val="20"/>
        </w:rPr>
        <w:t>Investicije in industrijska transformacija (KTF)</w:t>
      </w:r>
      <w:bookmarkEnd w:id="27"/>
      <w:bookmarkEnd w:id="28"/>
    </w:p>
    <w:p w14:paraId="17A2A7A2" w14:textId="77777777" w:rsidR="001F1CE7" w:rsidRPr="001F1CE7" w:rsidRDefault="001F1CE7" w:rsidP="001F1CE7">
      <w:pPr>
        <w:rPr>
          <w:rFonts w:cs="Arial"/>
          <w:szCs w:val="20"/>
        </w:rPr>
      </w:pPr>
      <w:r w:rsidRPr="001F1CE7">
        <w:rPr>
          <w:rFonts w:cs="Arial"/>
          <w:szCs w:val="20"/>
        </w:rPr>
        <w:t>Že leta 2021 ustanovljen Industrijski podnebni in transformacijski sklad (Klima- und Transformationsfonds – KTF) je ključni instrument za prehod energetsko intenzivne industrije v podnebno nevtralnost. V letih 2022 - 2024 so bila sofinancirana vlaganja v obnovljive vire, vodikove tehnologije, elektrifikacijo proizvodnje in digitalizacijo energetske rabe.</w:t>
      </w:r>
    </w:p>
    <w:p w14:paraId="5605C339" w14:textId="77777777" w:rsidR="001F1CE7" w:rsidRPr="001F1CE7" w:rsidRDefault="001F1CE7" w:rsidP="001F1CE7">
      <w:pPr>
        <w:rPr>
          <w:rFonts w:cs="Arial"/>
          <w:szCs w:val="20"/>
        </w:rPr>
      </w:pPr>
    </w:p>
    <w:p w14:paraId="361F4596" w14:textId="77777777" w:rsidR="001F1CE7" w:rsidRPr="001F1CE7" w:rsidRDefault="001F1CE7" w:rsidP="001F1CE7">
      <w:pPr>
        <w:rPr>
          <w:rFonts w:cs="Arial"/>
          <w:szCs w:val="20"/>
        </w:rPr>
      </w:pPr>
      <w:r w:rsidRPr="001F1CE7">
        <w:rPr>
          <w:rFonts w:cs="Arial"/>
          <w:szCs w:val="20"/>
        </w:rPr>
        <w:t>Leta 2025 Nemčija nadaljuje z izvajanjem KTF, vendar uvaja nove prednostne naloge, vključno s spodbudami za:</w:t>
      </w:r>
    </w:p>
    <w:p w14:paraId="68BD6A33" w14:textId="77777777" w:rsidR="001F1CE7" w:rsidRPr="001F1CE7" w:rsidRDefault="001F1CE7" w:rsidP="001F1CE7">
      <w:pPr>
        <w:pStyle w:val="Odstavekseznama"/>
        <w:numPr>
          <w:ilvl w:val="0"/>
          <w:numId w:val="63"/>
        </w:numPr>
        <w:spacing w:after="0" w:line="240" w:lineRule="auto"/>
        <w:contextualSpacing/>
        <w:rPr>
          <w:rFonts w:cs="Arial"/>
          <w:szCs w:val="20"/>
        </w:rPr>
      </w:pPr>
      <w:r w:rsidRPr="001F1CE7">
        <w:rPr>
          <w:rFonts w:cs="Arial"/>
          <w:szCs w:val="20"/>
        </w:rPr>
        <w:t>zamenjavo fosilne procesne toplote z električnimi rešitvami (npr. indukcijske ali uporovne peči),</w:t>
      </w:r>
    </w:p>
    <w:p w14:paraId="45A01725" w14:textId="77777777" w:rsidR="001F1CE7" w:rsidRPr="001F1CE7" w:rsidRDefault="001F1CE7" w:rsidP="001F1CE7">
      <w:pPr>
        <w:pStyle w:val="Odstavekseznama"/>
        <w:numPr>
          <w:ilvl w:val="0"/>
          <w:numId w:val="63"/>
        </w:numPr>
        <w:spacing w:after="0" w:line="240" w:lineRule="auto"/>
        <w:contextualSpacing/>
        <w:rPr>
          <w:rFonts w:cs="Arial"/>
          <w:szCs w:val="20"/>
        </w:rPr>
      </w:pPr>
      <w:r w:rsidRPr="001F1CE7">
        <w:rPr>
          <w:rFonts w:cs="Arial"/>
          <w:szCs w:val="20"/>
        </w:rPr>
        <w:t>uvedbo sistemov za digitalno optimizacijo rabe energije v realnem času,</w:t>
      </w:r>
    </w:p>
    <w:p w14:paraId="29A4C082" w14:textId="77777777" w:rsidR="001F1CE7" w:rsidRPr="001F1CE7" w:rsidRDefault="001F1CE7" w:rsidP="001F1CE7">
      <w:pPr>
        <w:pStyle w:val="Odstavekseznama"/>
        <w:numPr>
          <w:ilvl w:val="0"/>
          <w:numId w:val="63"/>
        </w:numPr>
        <w:spacing w:after="0" w:line="240" w:lineRule="auto"/>
        <w:contextualSpacing/>
        <w:rPr>
          <w:rFonts w:cs="Arial"/>
          <w:szCs w:val="20"/>
        </w:rPr>
      </w:pPr>
      <w:r w:rsidRPr="001F1CE7">
        <w:rPr>
          <w:rFonts w:cs="Arial"/>
          <w:szCs w:val="20"/>
        </w:rPr>
        <w:t>razvoj infrastrukture za zeleni vodik.</w:t>
      </w:r>
    </w:p>
    <w:p w14:paraId="3079FB71" w14:textId="77777777" w:rsidR="001F1CE7" w:rsidRPr="001F1CE7" w:rsidRDefault="001F1CE7" w:rsidP="001F1CE7">
      <w:pPr>
        <w:rPr>
          <w:rFonts w:cs="Arial"/>
          <w:szCs w:val="20"/>
        </w:rPr>
      </w:pPr>
    </w:p>
    <w:p w14:paraId="52AFEB14" w14:textId="77777777" w:rsidR="001F1CE7" w:rsidRPr="001F1CE7" w:rsidRDefault="001F1CE7" w:rsidP="001F1CE7">
      <w:pPr>
        <w:rPr>
          <w:rFonts w:cs="Arial"/>
          <w:szCs w:val="20"/>
        </w:rPr>
      </w:pPr>
      <w:r w:rsidRPr="001F1CE7">
        <w:rPr>
          <w:rFonts w:cs="Arial"/>
          <w:szCs w:val="20"/>
        </w:rPr>
        <w:t>Podpora znaša med 30 % in 60 % upravičenih stroškov, glede na sektor in stopnjo dekarbonizacijskega učinka (BMWK, 2025). Ti ukrepi predstavljajo nadaljevanje že obstoječega sklada s pomembno vsebinsko nadgradnjo.</w:t>
      </w:r>
    </w:p>
    <w:p w14:paraId="41DA2D9D" w14:textId="77777777" w:rsidR="001F1CE7" w:rsidRPr="006E1C7B" w:rsidRDefault="001F1CE7" w:rsidP="001F1CE7">
      <w:pPr>
        <w:jc w:val="center"/>
        <w:rPr>
          <w:rFonts w:asciiTheme="minorHAnsi" w:hAnsiTheme="minorHAnsi" w:cstheme="minorHAnsi"/>
          <w:lang w:eastAsia="en-GB"/>
        </w:rPr>
      </w:pPr>
    </w:p>
    <w:p w14:paraId="6A14C795" w14:textId="11BFCF33" w:rsidR="001F1CE7" w:rsidRPr="006E1C7B" w:rsidRDefault="001F1CE7" w:rsidP="001F1CE7">
      <w:pPr>
        <w:pStyle w:val="Napis"/>
        <w:jc w:val="center"/>
        <w:rPr>
          <w:rFonts w:asciiTheme="minorHAnsi" w:hAnsiTheme="minorHAnsi" w:cstheme="minorHAnsi"/>
          <w:color w:val="000000" w:themeColor="text1"/>
          <w:sz w:val="24"/>
          <w:szCs w:val="22"/>
        </w:rPr>
      </w:pPr>
      <w:bookmarkStart w:id="29" w:name="_Toc201714287"/>
      <w:bookmarkStart w:id="30" w:name="_Toc211241123"/>
      <w:r w:rsidRPr="006E1C7B">
        <w:rPr>
          <w:rFonts w:asciiTheme="minorHAnsi" w:hAnsiTheme="minorHAnsi" w:cstheme="minorHAnsi"/>
          <w:color w:val="000000" w:themeColor="text1"/>
          <w:sz w:val="24"/>
          <w:szCs w:val="22"/>
          <w:lang w:eastAsia="en-GB"/>
        </w:rPr>
        <w:t xml:space="preserve">Tabela </w:t>
      </w:r>
      <w:r w:rsidRPr="006E1C7B">
        <w:rPr>
          <w:rFonts w:asciiTheme="minorHAnsi" w:hAnsiTheme="minorHAnsi" w:cstheme="minorHAnsi"/>
          <w:color w:val="000000" w:themeColor="text1"/>
          <w:sz w:val="24"/>
          <w:szCs w:val="22"/>
          <w:lang w:eastAsia="en-GB"/>
        </w:rPr>
        <w:fldChar w:fldCharType="begin"/>
      </w:r>
      <w:r w:rsidRPr="006E1C7B">
        <w:rPr>
          <w:rFonts w:asciiTheme="minorHAnsi" w:hAnsiTheme="minorHAnsi" w:cstheme="minorHAnsi"/>
          <w:color w:val="000000" w:themeColor="text1"/>
          <w:sz w:val="24"/>
          <w:szCs w:val="22"/>
          <w:lang w:eastAsia="en-GB"/>
        </w:rPr>
        <w:instrText xml:space="preserve"> SEQ Table \* ARABIC </w:instrText>
      </w:r>
      <w:r w:rsidRPr="006E1C7B">
        <w:rPr>
          <w:rFonts w:asciiTheme="minorHAnsi" w:hAnsiTheme="minorHAnsi" w:cstheme="minorHAnsi"/>
          <w:color w:val="000000" w:themeColor="text1"/>
          <w:sz w:val="24"/>
          <w:szCs w:val="22"/>
          <w:lang w:eastAsia="en-GB"/>
        </w:rPr>
        <w:fldChar w:fldCharType="separate"/>
      </w:r>
      <w:r w:rsidR="00E3675E">
        <w:rPr>
          <w:rFonts w:asciiTheme="minorHAnsi" w:hAnsiTheme="minorHAnsi" w:cstheme="minorHAnsi"/>
          <w:noProof/>
          <w:color w:val="000000" w:themeColor="text1"/>
          <w:sz w:val="24"/>
          <w:szCs w:val="22"/>
          <w:lang w:eastAsia="en-GB"/>
        </w:rPr>
        <w:t>2</w:t>
      </w:r>
      <w:r w:rsidRPr="006E1C7B">
        <w:rPr>
          <w:rFonts w:asciiTheme="minorHAnsi" w:hAnsiTheme="minorHAnsi" w:cstheme="minorHAnsi"/>
          <w:color w:val="000000" w:themeColor="text1"/>
          <w:sz w:val="24"/>
          <w:szCs w:val="22"/>
          <w:lang w:eastAsia="en-GB"/>
        </w:rPr>
        <w:fldChar w:fldCharType="end"/>
      </w:r>
      <w:r w:rsidRPr="006E1C7B">
        <w:rPr>
          <w:rFonts w:asciiTheme="minorHAnsi" w:hAnsiTheme="minorHAnsi" w:cstheme="minorHAnsi"/>
          <w:color w:val="000000" w:themeColor="text1"/>
          <w:sz w:val="24"/>
          <w:szCs w:val="22"/>
          <w:lang w:eastAsia="en-GB"/>
        </w:rPr>
        <w:t xml:space="preserve">: </w:t>
      </w:r>
      <w:r w:rsidRPr="006E1C7B">
        <w:rPr>
          <w:rFonts w:asciiTheme="minorHAnsi" w:hAnsiTheme="minorHAnsi" w:cstheme="minorHAnsi"/>
          <w:color w:val="000000" w:themeColor="text1"/>
          <w:sz w:val="24"/>
          <w:szCs w:val="22"/>
        </w:rPr>
        <w:t>Ukrepi Nemčije na področju zamejevanja cen električne energije za leto 2025</w:t>
      </w:r>
      <w:bookmarkEnd w:id="29"/>
      <w:bookmarkEnd w:id="30"/>
    </w:p>
    <w:tbl>
      <w:tblPr>
        <w:tblStyle w:val="GridTable5Dark-Accent11"/>
        <w:tblW w:w="0" w:type="auto"/>
        <w:tblLook w:val="04A0" w:firstRow="1" w:lastRow="0" w:firstColumn="1" w:lastColumn="0" w:noHBand="0" w:noVBand="1"/>
      </w:tblPr>
      <w:tblGrid>
        <w:gridCol w:w="1664"/>
        <w:gridCol w:w="2190"/>
        <w:gridCol w:w="2595"/>
        <w:gridCol w:w="1286"/>
        <w:gridCol w:w="1327"/>
      </w:tblGrid>
      <w:tr w:rsidR="001F1CE7" w:rsidRPr="006E1C7B" w14:paraId="6C148B75" w14:textId="77777777" w:rsidTr="00F6712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A39A062" w14:textId="77777777" w:rsidR="001F1CE7" w:rsidRPr="006E1C7B" w:rsidRDefault="001F1CE7" w:rsidP="00F67126">
            <w:pPr>
              <w:rPr>
                <w:rFonts w:asciiTheme="minorHAnsi" w:hAnsiTheme="minorHAnsi" w:cstheme="minorHAnsi"/>
                <w:b w:val="0"/>
                <w:bCs w:val="0"/>
                <w:sz w:val="22"/>
              </w:rPr>
            </w:pPr>
            <w:r w:rsidRPr="006E1C7B">
              <w:rPr>
                <w:rFonts w:asciiTheme="minorHAnsi" w:hAnsiTheme="minorHAnsi" w:cstheme="minorHAnsi"/>
                <w:sz w:val="22"/>
              </w:rPr>
              <w:t>Tematsko področje</w:t>
            </w:r>
          </w:p>
        </w:tc>
        <w:tc>
          <w:tcPr>
            <w:tcW w:w="0" w:type="auto"/>
            <w:vAlign w:val="center"/>
            <w:hideMark/>
          </w:tcPr>
          <w:p w14:paraId="4FCA8FBD" w14:textId="77777777" w:rsidR="001F1CE7" w:rsidRPr="006E1C7B" w:rsidRDefault="001F1CE7" w:rsidP="00F67126">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sz w:val="22"/>
              </w:rPr>
            </w:pPr>
            <w:r w:rsidRPr="006E1C7B">
              <w:rPr>
                <w:rFonts w:asciiTheme="minorHAnsi" w:hAnsiTheme="minorHAnsi" w:cstheme="minorHAnsi"/>
                <w:sz w:val="22"/>
              </w:rPr>
              <w:t>Naziv ukrepa / mehanizma</w:t>
            </w:r>
          </w:p>
        </w:tc>
        <w:tc>
          <w:tcPr>
            <w:tcW w:w="0" w:type="auto"/>
            <w:vAlign w:val="center"/>
            <w:hideMark/>
          </w:tcPr>
          <w:p w14:paraId="28F93215" w14:textId="77777777" w:rsidR="001F1CE7" w:rsidRPr="006E1C7B" w:rsidRDefault="001F1CE7" w:rsidP="00F67126">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sz w:val="22"/>
              </w:rPr>
            </w:pPr>
            <w:r w:rsidRPr="006E1C7B">
              <w:rPr>
                <w:rFonts w:asciiTheme="minorHAnsi" w:hAnsiTheme="minorHAnsi" w:cstheme="minorHAnsi"/>
                <w:sz w:val="22"/>
              </w:rPr>
              <w:t>Opis ukrepa</w:t>
            </w:r>
          </w:p>
        </w:tc>
        <w:tc>
          <w:tcPr>
            <w:tcW w:w="0" w:type="auto"/>
            <w:vAlign w:val="center"/>
            <w:hideMark/>
          </w:tcPr>
          <w:p w14:paraId="7B032319" w14:textId="77777777" w:rsidR="001F1CE7" w:rsidRPr="006E1C7B" w:rsidRDefault="001F1CE7" w:rsidP="00F67126">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sz w:val="22"/>
              </w:rPr>
            </w:pPr>
            <w:r w:rsidRPr="006E1C7B">
              <w:rPr>
                <w:rFonts w:asciiTheme="minorHAnsi" w:hAnsiTheme="minorHAnsi" w:cstheme="minorHAnsi"/>
                <w:sz w:val="22"/>
              </w:rPr>
              <w:t>Obdobje veljavnosti</w:t>
            </w:r>
          </w:p>
        </w:tc>
        <w:tc>
          <w:tcPr>
            <w:tcW w:w="0" w:type="auto"/>
            <w:vAlign w:val="center"/>
            <w:hideMark/>
          </w:tcPr>
          <w:p w14:paraId="42665D42" w14:textId="77777777" w:rsidR="001F1CE7" w:rsidRPr="006E1C7B" w:rsidRDefault="001F1CE7" w:rsidP="00F67126">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sz w:val="22"/>
              </w:rPr>
            </w:pPr>
            <w:r w:rsidRPr="006E1C7B">
              <w:rPr>
                <w:rFonts w:asciiTheme="minorHAnsi" w:hAnsiTheme="minorHAnsi" w:cstheme="minorHAnsi"/>
                <w:sz w:val="22"/>
              </w:rPr>
              <w:t>Status v letu 2025</w:t>
            </w:r>
          </w:p>
        </w:tc>
      </w:tr>
      <w:tr w:rsidR="001F1CE7" w:rsidRPr="006E1C7B" w14:paraId="5045DC6F" w14:textId="77777777" w:rsidTr="00F671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B370994" w14:textId="77777777" w:rsidR="001F1CE7" w:rsidRPr="006E1C7B" w:rsidRDefault="001F1CE7" w:rsidP="00F67126">
            <w:pPr>
              <w:rPr>
                <w:rFonts w:asciiTheme="minorHAnsi" w:hAnsiTheme="minorHAnsi" w:cstheme="minorHAnsi"/>
                <w:b w:val="0"/>
                <w:bCs w:val="0"/>
                <w:sz w:val="22"/>
              </w:rPr>
            </w:pPr>
            <w:r w:rsidRPr="006E1C7B">
              <w:rPr>
                <w:rFonts w:asciiTheme="minorHAnsi" w:hAnsiTheme="minorHAnsi" w:cstheme="minorHAnsi"/>
                <w:sz w:val="22"/>
              </w:rPr>
              <w:t>Cenovna regulacija</w:t>
            </w:r>
          </w:p>
        </w:tc>
        <w:tc>
          <w:tcPr>
            <w:tcW w:w="0" w:type="auto"/>
            <w:vAlign w:val="center"/>
            <w:hideMark/>
          </w:tcPr>
          <w:p w14:paraId="39775931"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rPr>
            </w:pPr>
            <w:r w:rsidRPr="006E1C7B">
              <w:rPr>
                <w:rFonts w:asciiTheme="minorHAnsi" w:hAnsiTheme="minorHAnsi" w:cstheme="minorHAnsi"/>
                <w:sz w:val="22"/>
              </w:rPr>
              <w:t>Cenovna kapica za elektriko (0,40 €/kWh za 70 % porabe) za gospodinjstva in MSP</w:t>
            </w:r>
          </w:p>
        </w:tc>
        <w:tc>
          <w:tcPr>
            <w:tcW w:w="0" w:type="auto"/>
            <w:vAlign w:val="center"/>
            <w:hideMark/>
          </w:tcPr>
          <w:p w14:paraId="32A59254"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rPr>
            </w:pPr>
            <w:r w:rsidRPr="006E1C7B">
              <w:rPr>
                <w:rFonts w:asciiTheme="minorHAnsi" w:hAnsiTheme="minorHAnsi" w:cstheme="minorHAnsi"/>
                <w:sz w:val="22"/>
              </w:rPr>
              <w:t>70 % porabe elektrike industrijskih podjetij je omejeno na 0,40 €/kWh; ostalo po tržni ceni.</w:t>
            </w:r>
          </w:p>
        </w:tc>
        <w:tc>
          <w:tcPr>
            <w:tcW w:w="0" w:type="auto"/>
            <w:vAlign w:val="center"/>
            <w:hideMark/>
          </w:tcPr>
          <w:p w14:paraId="14EB7F14"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rPr>
            </w:pPr>
            <w:r w:rsidRPr="006E1C7B">
              <w:rPr>
                <w:rFonts w:asciiTheme="minorHAnsi" w:hAnsiTheme="minorHAnsi" w:cstheme="minorHAnsi"/>
                <w:sz w:val="22"/>
              </w:rPr>
              <w:t>2023 - 2025</w:t>
            </w:r>
          </w:p>
        </w:tc>
        <w:tc>
          <w:tcPr>
            <w:tcW w:w="0" w:type="auto"/>
            <w:vAlign w:val="center"/>
            <w:hideMark/>
          </w:tcPr>
          <w:p w14:paraId="2976DE96"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rPr>
            </w:pPr>
            <w:r w:rsidRPr="006E1C7B">
              <w:rPr>
                <w:rFonts w:asciiTheme="minorHAnsi" w:hAnsiTheme="minorHAnsi" w:cstheme="minorHAnsi"/>
                <w:sz w:val="22"/>
              </w:rPr>
              <w:t>Prenovljen ukrep</w:t>
            </w:r>
          </w:p>
        </w:tc>
      </w:tr>
      <w:tr w:rsidR="001F1CE7" w:rsidRPr="006E1C7B" w14:paraId="52DF0CEB" w14:textId="77777777" w:rsidTr="00F67126">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3267427" w14:textId="77777777" w:rsidR="001F1CE7" w:rsidRPr="006E1C7B" w:rsidRDefault="001F1CE7" w:rsidP="00F67126">
            <w:pPr>
              <w:rPr>
                <w:rFonts w:asciiTheme="minorHAnsi" w:hAnsiTheme="minorHAnsi" w:cstheme="minorHAnsi"/>
                <w:b w:val="0"/>
                <w:bCs w:val="0"/>
                <w:sz w:val="22"/>
              </w:rPr>
            </w:pPr>
            <w:r w:rsidRPr="006E1C7B">
              <w:rPr>
                <w:rFonts w:asciiTheme="minorHAnsi" w:hAnsiTheme="minorHAnsi" w:cstheme="minorHAnsi"/>
                <w:sz w:val="22"/>
              </w:rPr>
              <w:t>Davčne olajšave</w:t>
            </w:r>
          </w:p>
        </w:tc>
        <w:tc>
          <w:tcPr>
            <w:tcW w:w="0" w:type="auto"/>
            <w:vAlign w:val="center"/>
            <w:hideMark/>
          </w:tcPr>
          <w:p w14:paraId="1542D03E"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rPr>
            </w:pPr>
            <w:r w:rsidRPr="006E1C7B">
              <w:rPr>
                <w:rFonts w:asciiTheme="minorHAnsi" w:hAnsiTheme="minorHAnsi" w:cstheme="minorHAnsi"/>
                <w:sz w:val="22"/>
              </w:rPr>
              <w:t>Odprava EEG dajatve (EEG-Umlage)</w:t>
            </w:r>
          </w:p>
        </w:tc>
        <w:tc>
          <w:tcPr>
            <w:tcW w:w="0" w:type="auto"/>
            <w:vAlign w:val="center"/>
            <w:hideMark/>
          </w:tcPr>
          <w:p w14:paraId="3F3B865B"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rPr>
            </w:pPr>
            <w:r w:rsidRPr="006E1C7B">
              <w:rPr>
                <w:rFonts w:asciiTheme="minorHAnsi" w:hAnsiTheme="minorHAnsi" w:cstheme="minorHAnsi"/>
                <w:sz w:val="22"/>
              </w:rPr>
              <w:t>EEG prispevek ukinjen 2022; še vedno v veljavi v 2025.</w:t>
            </w:r>
          </w:p>
        </w:tc>
        <w:tc>
          <w:tcPr>
            <w:tcW w:w="0" w:type="auto"/>
            <w:vAlign w:val="center"/>
            <w:hideMark/>
          </w:tcPr>
          <w:p w14:paraId="699E34DC"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rPr>
            </w:pPr>
            <w:r w:rsidRPr="006E1C7B">
              <w:rPr>
                <w:rFonts w:asciiTheme="minorHAnsi" w:hAnsiTheme="minorHAnsi" w:cstheme="minorHAnsi"/>
                <w:sz w:val="22"/>
              </w:rPr>
              <w:t>od 2022 dalje</w:t>
            </w:r>
          </w:p>
        </w:tc>
        <w:tc>
          <w:tcPr>
            <w:tcW w:w="0" w:type="auto"/>
            <w:vAlign w:val="center"/>
            <w:hideMark/>
          </w:tcPr>
          <w:p w14:paraId="755EDA06"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rPr>
            </w:pPr>
            <w:r w:rsidRPr="006E1C7B">
              <w:rPr>
                <w:rFonts w:asciiTheme="minorHAnsi" w:hAnsiTheme="minorHAnsi" w:cstheme="minorHAnsi"/>
                <w:sz w:val="22"/>
              </w:rPr>
              <w:t>Nadaljuje se brez sprememb</w:t>
            </w:r>
          </w:p>
        </w:tc>
      </w:tr>
      <w:tr w:rsidR="001F1CE7" w:rsidRPr="006E1C7B" w14:paraId="4BBBB7FF" w14:textId="77777777" w:rsidTr="00F671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1FF6D36" w14:textId="77777777" w:rsidR="001F1CE7" w:rsidRPr="006E1C7B" w:rsidRDefault="001F1CE7" w:rsidP="00F67126">
            <w:pPr>
              <w:rPr>
                <w:rFonts w:asciiTheme="minorHAnsi" w:hAnsiTheme="minorHAnsi" w:cstheme="minorHAnsi"/>
                <w:b w:val="0"/>
                <w:bCs w:val="0"/>
                <w:sz w:val="22"/>
              </w:rPr>
            </w:pPr>
            <w:r w:rsidRPr="006E1C7B">
              <w:rPr>
                <w:rFonts w:asciiTheme="minorHAnsi" w:hAnsiTheme="minorHAnsi" w:cstheme="minorHAnsi"/>
                <w:sz w:val="22"/>
              </w:rPr>
              <w:t>Subvencije za industrijo</w:t>
            </w:r>
          </w:p>
        </w:tc>
        <w:tc>
          <w:tcPr>
            <w:tcW w:w="0" w:type="auto"/>
            <w:vAlign w:val="center"/>
            <w:hideMark/>
          </w:tcPr>
          <w:p w14:paraId="4F0D824A"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rPr>
            </w:pPr>
            <w:r w:rsidRPr="006E1C7B">
              <w:rPr>
                <w:rFonts w:asciiTheme="minorHAnsi" w:hAnsiTheme="minorHAnsi" w:cstheme="minorHAnsi"/>
                <w:sz w:val="22"/>
              </w:rPr>
              <w:t>Subvencije in posojila za energetsko intenzivne panoge</w:t>
            </w:r>
          </w:p>
        </w:tc>
        <w:tc>
          <w:tcPr>
            <w:tcW w:w="0" w:type="auto"/>
            <w:vAlign w:val="center"/>
            <w:hideMark/>
          </w:tcPr>
          <w:p w14:paraId="544C2A45"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rPr>
            </w:pPr>
            <w:r w:rsidRPr="006E1C7B">
              <w:rPr>
                <w:rFonts w:asciiTheme="minorHAnsi" w:hAnsiTheme="minorHAnsi" w:cstheme="minorHAnsi"/>
                <w:sz w:val="22"/>
              </w:rPr>
              <w:t>Subvencioniranje do 80 % dodatnih stroškov energije; sofinaciranje CCS tehnologij (Capex, Opex in pogodbe za razliko).</w:t>
            </w:r>
          </w:p>
        </w:tc>
        <w:tc>
          <w:tcPr>
            <w:tcW w:w="0" w:type="auto"/>
            <w:vAlign w:val="center"/>
            <w:hideMark/>
          </w:tcPr>
          <w:p w14:paraId="08FE8DA9"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rPr>
            </w:pPr>
            <w:r w:rsidRPr="006E1C7B">
              <w:rPr>
                <w:rFonts w:asciiTheme="minorHAnsi" w:hAnsiTheme="minorHAnsi" w:cstheme="minorHAnsi"/>
                <w:sz w:val="22"/>
              </w:rPr>
              <w:t>2022 - 2025</w:t>
            </w:r>
          </w:p>
        </w:tc>
        <w:tc>
          <w:tcPr>
            <w:tcW w:w="0" w:type="auto"/>
            <w:vAlign w:val="center"/>
            <w:hideMark/>
          </w:tcPr>
          <w:p w14:paraId="288D31C9"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rPr>
            </w:pPr>
            <w:r w:rsidRPr="006E1C7B">
              <w:rPr>
                <w:rFonts w:asciiTheme="minorHAnsi" w:hAnsiTheme="minorHAnsi" w:cstheme="minorHAnsi"/>
                <w:sz w:val="22"/>
              </w:rPr>
              <w:t>Prenovljen ukrep</w:t>
            </w:r>
          </w:p>
        </w:tc>
      </w:tr>
      <w:tr w:rsidR="001F1CE7" w:rsidRPr="006E1C7B" w14:paraId="4B393E28" w14:textId="77777777" w:rsidTr="00F67126">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B8E9284" w14:textId="77777777" w:rsidR="001F1CE7" w:rsidRPr="006E1C7B" w:rsidRDefault="001F1CE7" w:rsidP="00F67126">
            <w:pPr>
              <w:rPr>
                <w:rFonts w:asciiTheme="minorHAnsi" w:hAnsiTheme="minorHAnsi" w:cstheme="minorHAnsi"/>
                <w:b w:val="0"/>
                <w:bCs w:val="0"/>
                <w:sz w:val="22"/>
              </w:rPr>
            </w:pPr>
            <w:r w:rsidRPr="006E1C7B">
              <w:rPr>
                <w:rFonts w:asciiTheme="minorHAnsi" w:hAnsiTheme="minorHAnsi" w:cstheme="minorHAnsi"/>
                <w:sz w:val="22"/>
              </w:rPr>
              <w:t>Investicije v transformacijo</w:t>
            </w:r>
          </w:p>
        </w:tc>
        <w:tc>
          <w:tcPr>
            <w:tcW w:w="0" w:type="auto"/>
            <w:vAlign w:val="center"/>
            <w:hideMark/>
          </w:tcPr>
          <w:p w14:paraId="2797CCD6"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rPr>
            </w:pPr>
            <w:r w:rsidRPr="006E1C7B">
              <w:rPr>
                <w:rFonts w:asciiTheme="minorHAnsi" w:hAnsiTheme="minorHAnsi" w:cstheme="minorHAnsi"/>
                <w:sz w:val="22"/>
              </w:rPr>
              <w:t>Industrijski podnebni in transformacijski sklad (KTF)</w:t>
            </w:r>
          </w:p>
        </w:tc>
        <w:tc>
          <w:tcPr>
            <w:tcW w:w="0" w:type="auto"/>
            <w:vAlign w:val="center"/>
            <w:hideMark/>
          </w:tcPr>
          <w:p w14:paraId="059A0364"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rPr>
            </w:pPr>
            <w:r w:rsidRPr="006E1C7B">
              <w:rPr>
                <w:rFonts w:asciiTheme="minorHAnsi" w:hAnsiTheme="minorHAnsi" w:cstheme="minorHAnsi"/>
                <w:sz w:val="22"/>
              </w:rPr>
              <w:t>Sofinanciranje projektov elektrifikacije, vodika, digitalizacije industrije.</w:t>
            </w:r>
          </w:p>
        </w:tc>
        <w:tc>
          <w:tcPr>
            <w:tcW w:w="0" w:type="auto"/>
            <w:vAlign w:val="center"/>
            <w:hideMark/>
          </w:tcPr>
          <w:p w14:paraId="0080B80C"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rPr>
            </w:pPr>
            <w:r w:rsidRPr="006E1C7B">
              <w:rPr>
                <w:rFonts w:asciiTheme="minorHAnsi" w:hAnsiTheme="minorHAnsi" w:cstheme="minorHAnsi"/>
                <w:sz w:val="22"/>
              </w:rPr>
              <w:t>od 2021 dalje</w:t>
            </w:r>
          </w:p>
        </w:tc>
        <w:tc>
          <w:tcPr>
            <w:tcW w:w="0" w:type="auto"/>
            <w:vAlign w:val="center"/>
            <w:hideMark/>
          </w:tcPr>
          <w:p w14:paraId="652157FC"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rPr>
            </w:pPr>
            <w:r w:rsidRPr="006E1C7B">
              <w:rPr>
                <w:rFonts w:asciiTheme="minorHAnsi" w:hAnsiTheme="minorHAnsi" w:cstheme="minorHAnsi"/>
                <w:sz w:val="22"/>
              </w:rPr>
              <w:t>Nadaljuje se z novimi razpisi</w:t>
            </w:r>
          </w:p>
        </w:tc>
      </w:tr>
      <w:tr w:rsidR="001F1CE7" w:rsidRPr="006E1C7B" w14:paraId="7F5112B1" w14:textId="77777777" w:rsidTr="00F671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E126124" w14:textId="77777777" w:rsidR="001F1CE7" w:rsidRPr="006E1C7B" w:rsidRDefault="001F1CE7" w:rsidP="00F67126">
            <w:pPr>
              <w:rPr>
                <w:rFonts w:asciiTheme="minorHAnsi" w:hAnsiTheme="minorHAnsi" w:cstheme="minorHAnsi"/>
                <w:b w:val="0"/>
                <w:bCs w:val="0"/>
                <w:sz w:val="22"/>
              </w:rPr>
            </w:pPr>
            <w:r w:rsidRPr="006E1C7B">
              <w:rPr>
                <w:rFonts w:asciiTheme="minorHAnsi" w:hAnsiTheme="minorHAnsi" w:cstheme="minorHAnsi"/>
                <w:sz w:val="22"/>
              </w:rPr>
              <w:t>Investicije v digitalizacijo</w:t>
            </w:r>
          </w:p>
        </w:tc>
        <w:tc>
          <w:tcPr>
            <w:tcW w:w="0" w:type="auto"/>
            <w:vAlign w:val="center"/>
            <w:hideMark/>
          </w:tcPr>
          <w:p w14:paraId="52258F66"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rPr>
            </w:pPr>
            <w:r w:rsidRPr="006E1C7B">
              <w:rPr>
                <w:rFonts w:asciiTheme="minorHAnsi" w:hAnsiTheme="minorHAnsi" w:cstheme="minorHAnsi"/>
                <w:sz w:val="22"/>
              </w:rPr>
              <w:t>Digitalna optimizacija porabe energije v realnem času</w:t>
            </w:r>
          </w:p>
        </w:tc>
        <w:tc>
          <w:tcPr>
            <w:tcW w:w="0" w:type="auto"/>
            <w:vAlign w:val="center"/>
            <w:hideMark/>
          </w:tcPr>
          <w:p w14:paraId="05FB167F"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rPr>
            </w:pPr>
            <w:r w:rsidRPr="006E1C7B">
              <w:rPr>
                <w:rFonts w:asciiTheme="minorHAnsi" w:hAnsiTheme="minorHAnsi" w:cstheme="minorHAnsi"/>
                <w:sz w:val="22"/>
              </w:rPr>
              <w:t>Novi razpisi za uvedbo digitalnih sistemov za upravljanje porabe v industriji.</w:t>
            </w:r>
          </w:p>
        </w:tc>
        <w:tc>
          <w:tcPr>
            <w:tcW w:w="0" w:type="auto"/>
            <w:vAlign w:val="center"/>
            <w:hideMark/>
          </w:tcPr>
          <w:p w14:paraId="0C9AC2D5"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rPr>
            </w:pPr>
            <w:r w:rsidRPr="006E1C7B">
              <w:rPr>
                <w:rFonts w:asciiTheme="minorHAnsi" w:hAnsiTheme="minorHAnsi" w:cstheme="minorHAnsi"/>
                <w:sz w:val="22"/>
              </w:rPr>
              <w:t>od 2025</w:t>
            </w:r>
          </w:p>
        </w:tc>
        <w:tc>
          <w:tcPr>
            <w:tcW w:w="0" w:type="auto"/>
            <w:vAlign w:val="center"/>
            <w:hideMark/>
          </w:tcPr>
          <w:p w14:paraId="28311DCD"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rPr>
            </w:pPr>
            <w:r w:rsidRPr="006E1C7B">
              <w:rPr>
                <w:rFonts w:asciiTheme="minorHAnsi" w:hAnsiTheme="minorHAnsi" w:cstheme="minorHAnsi"/>
                <w:sz w:val="22"/>
              </w:rPr>
              <w:t>Nov ukrep</w:t>
            </w:r>
          </w:p>
        </w:tc>
      </w:tr>
      <w:tr w:rsidR="001F1CE7" w:rsidRPr="006E1C7B" w14:paraId="2DD11889" w14:textId="77777777" w:rsidTr="00F67126">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4470C9B" w14:textId="77777777" w:rsidR="001F1CE7" w:rsidRPr="006E1C7B" w:rsidRDefault="001F1CE7" w:rsidP="00F67126">
            <w:pPr>
              <w:rPr>
                <w:rFonts w:asciiTheme="minorHAnsi" w:hAnsiTheme="minorHAnsi" w:cstheme="minorHAnsi"/>
                <w:b w:val="0"/>
                <w:bCs w:val="0"/>
                <w:sz w:val="22"/>
              </w:rPr>
            </w:pPr>
            <w:r w:rsidRPr="006E1C7B">
              <w:rPr>
                <w:rFonts w:asciiTheme="minorHAnsi" w:hAnsiTheme="minorHAnsi" w:cstheme="minorHAnsi"/>
                <w:sz w:val="22"/>
              </w:rPr>
              <w:t>Uporaba zelenega vodika</w:t>
            </w:r>
          </w:p>
        </w:tc>
        <w:tc>
          <w:tcPr>
            <w:tcW w:w="0" w:type="auto"/>
            <w:vAlign w:val="center"/>
            <w:hideMark/>
          </w:tcPr>
          <w:p w14:paraId="14BB7D57"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rPr>
            </w:pPr>
            <w:r w:rsidRPr="006E1C7B">
              <w:rPr>
                <w:rFonts w:asciiTheme="minorHAnsi" w:hAnsiTheme="minorHAnsi" w:cstheme="minorHAnsi"/>
                <w:sz w:val="22"/>
              </w:rPr>
              <w:t>Spodbude za razvoj infrastrukture za zeleni vodik</w:t>
            </w:r>
          </w:p>
        </w:tc>
        <w:tc>
          <w:tcPr>
            <w:tcW w:w="0" w:type="auto"/>
            <w:vAlign w:val="center"/>
            <w:hideMark/>
          </w:tcPr>
          <w:p w14:paraId="77C41CB6"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rPr>
            </w:pPr>
            <w:r w:rsidRPr="006E1C7B">
              <w:rPr>
                <w:rFonts w:asciiTheme="minorHAnsi" w:hAnsiTheme="minorHAnsi" w:cstheme="minorHAnsi"/>
                <w:sz w:val="22"/>
              </w:rPr>
              <w:t>Podpora za vodikovo infrastrukturo in uporabo v energetsko intenzivni industriji.</w:t>
            </w:r>
          </w:p>
        </w:tc>
        <w:tc>
          <w:tcPr>
            <w:tcW w:w="0" w:type="auto"/>
            <w:vAlign w:val="center"/>
            <w:hideMark/>
          </w:tcPr>
          <w:p w14:paraId="398E7578"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rPr>
            </w:pPr>
            <w:r w:rsidRPr="006E1C7B">
              <w:rPr>
                <w:rFonts w:asciiTheme="minorHAnsi" w:hAnsiTheme="minorHAnsi" w:cstheme="minorHAnsi"/>
                <w:sz w:val="22"/>
              </w:rPr>
              <w:t>od 2025</w:t>
            </w:r>
          </w:p>
        </w:tc>
        <w:tc>
          <w:tcPr>
            <w:tcW w:w="0" w:type="auto"/>
            <w:vAlign w:val="center"/>
            <w:hideMark/>
          </w:tcPr>
          <w:p w14:paraId="293D401B"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rPr>
            </w:pPr>
            <w:r w:rsidRPr="006E1C7B">
              <w:rPr>
                <w:rFonts w:asciiTheme="minorHAnsi" w:hAnsiTheme="minorHAnsi" w:cstheme="minorHAnsi"/>
                <w:sz w:val="22"/>
              </w:rPr>
              <w:t>Nov ukrep</w:t>
            </w:r>
          </w:p>
        </w:tc>
      </w:tr>
    </w:tbl>
    <w:p w14:paraId="49A7199C" w14:textId="77777777" w:rsidR="001F1CE7" w:rsidRPr="006E1C7B" w:rsidRDefault="001F1CE7" w:rsidP="001F1CE7">
      <w:pPr>
        <w:rPr>
          <w:rFonts w:asciiTheme="minorHAnsi" w:hAnsiTheme="minorHAnsi" w:cstheme="minorHAnsi"/>
          <w:lang w:eastAsia="en-GB"/>
        </w:rPr>
      </w:pPr>
    </w:p>
    <w:p w14:paraId="2A8E4758" w14:textId="0D5FEBC8" w:rsidR="001F1CE7" w:rsidRPr="001F1CE7" w:rsidRDefault="00FF6A8A" w:rsidP="001F1CE7">
      <w:pPr>
        <w:pStyle w:val="Naslov2"/>
        <w:keepLines w:val="0"/>
        <w:numPr>
          <w:ilvl w:val="1"/>
          <w:numId w:val="0"/>
        </w:numPr>
        <w:spacing w:before="240" w:line="240" w:lineRule="auto"/>
        <w:ind w:left="567" w:hanging="567"/>
        <w:jc w:val="left"/>
        <w:rPr>
          <w:rFonts w:cs="Arial"/>
          <w:szCs w:val="20"/>
        </w:rPr>
      </w:pPr>
      <w:bookmarkStart w:id="31" w:name="_Toc201714261"/>
      <w:bookmarkStart w:id="32" w:name="_Toc211241079"/>
      <w:r w:rsidRPr="001F1CE7">
        <w:rPr>
          <w:rFonts w:cs="Arial"/>
          <w:szCs w:val="20"/>
        </w:rPr>
        <w:t>ČEŠKA</w:t>
      </w:r>
      <w:bookmarkEnd w:id="31"/>
      <w:bookmarkEnd w:id="32"/>
    </w:p>
    <w:p w14:paraId="2F53D45C" w14:textId="77777777" w:rsidR="001F1CE7" w:rsidRPr="001F1CE7" w:rsidRDefault="001F1CE7" w:rsidP="001F1CE7">
      <w:pPr>
        <w:rPr>
          <w:rStyle w:val="Krepko"/>
          <w:rFonts w:cs="Arial"/>
          <w:b w:val="0"/>
          <w:bCs w:val="0"/>
          <w:szCs w:val="20"/>
          <w:lang w:eastAsia="en-GB"/>
        </w:rPr>
      </w:pPr>
      <w:r w:rsidRPr="001F1CE7">
        <w:rPr>
          <w:rFonts w:cs="Arial"/>
          <w:szCs w:val="20"/>
          <w:lang w:eastAsia="en-GB"/>
        </w:rPr>
        <w:t>Češka je med letoma 2022 in 2024 sprejela širok nabor ukrepov za ublažitev učinkov energetske krize na češke družbe, pri čemer je v letu 2025 nadaljevala le z izbranimi instrumenti, ki so osredotočeni na podjetja z visoko porabo električne energije. Nacionalni pristop kombinira cenovno regulacijo, davčne olajšave, neposredne subvencije in investicije v povečanje energetske neodvisnosti industrije (Bruegel, 2024; MPO, 2025).</w:t>
      </w:r>
    </w:p>
    <w:p w14:paraId="3E069BA6" w14:textId="77777777" w:rsidR="001F1CE7" w:rsidRPr="001F1CE7" w:rsidRDefault="001F1CE7" w:rsidP="001F1CE7">
      <w:pPr>
        <w:pStyle w:val="Naslov3"/>
        <w:keepLines w:val="0"/>
        <w:numPr>
          <w:ilvl w:val="2"/>
          <w:numId w:val="0"/>
        </w:numPr>
        <w:spacing w:before="240" w:after="240" w:line="240" w:lineRule="auto"/>
        <w:ind w:left="720" w:hanging="720"/>
        <w:jc w:val="left"/>
        <w:rPr>
          <w:rFonts w:ascii="Arial" w:hAnsi="Arial" w:cs="Arial"/>
          <w:sz w:val="20"/>
          <w:szCs w:val="20"/>
        </w:rPr>
      </w:pPr>
      <w:bookmarkStart w:id="33" w:name="_Toc201714262"/>
      <w:bookmarkStart w:id="34" w:name="_Toc211241080"/>
      <w:r w:rsidRPr="001F1CE7">
        <w:rPr>
          <w:rFonts w:ascii="Arial" w:hAnsi="Arial" w:cs="Arial"/>
          <w:sz w:val="20"/>
          <w:szCs w:val="20"/>
        </w:rPr>
        <w:t>Cenovna regulacija</w:t>
      </w:r>
      <w:bookmarkEnd w:id="33"/>
      <w:bookmarkEnd w:id="34"/>
    </w:p>
    <w:p w14:paraId="1E8DFB0F" w14:textId="77777777" w:rsidR="001F1CE7" w:rsidRPr="001F1CE7" w:rsidRDefault="001F1CE7" w:rsidP="001F1CE7">
      <w:pPr>
        <w:rPr>
          <w:rFonts w:cs="Arial"/>
          <w:szCs w:val="20"/>
          <w:lang w:eastAsia="en-GB"/>
        </w:rPr>
      </w:pPr>
      <w:r w:rsidRPr="001F1CE7">
        <w:rPr>
          <w:rFonts w:cs="Arial"/>
          <w:szCs w:val="20"/>
          <w:lang w:eastAsia="en-GB"/>
        </w:rPr>
        <w:t>V obdobju 2022–2024 je bila uvedena cenovna kapica za elektriko (240 evrov/MWh) in plin (120 evrov/MWh) za podjetja in gospodinjstva. Leta 2023 je vlada vzpostavila še cenovni vavčerski sistem, ki je pokrival del stroškov podjetij glede na referenčno porabo (Bruegel, 2024).</w:t>
      </w:r>
    </w:p>
    <w:p w14:paraId="47E53A6D" w14:textId="77777777" w:rsidR="001F1CE7" w:rsidRPr="001F1CE7" w:rsidRDefault="001F1CE7" w:rsidP="001F1CE7">
      <w:pPr>
        <w:rPr>
          <w:rFonts w:cs="Arial"/>
          <w:szCs w:val="20"/>
          <w:lang w:eastAsia="en-GB"/>
        </w:rPr>
      </w:pPr>
    </w:p>
    <w:p w14:paraId="3FFF487B" w14:textId="77777777" w:rsidR="001F1CE7" w:rsidRPr="001F1CE7" w:rsidRDefault="001F1CE7" w:rsidP="001F1CE7">
      <w:pPr>
        <w:rPr>
          <w:rFonts w:cs="Arial"/>
          <w:szCs w:val="20"/>
          <w:lang w:eastAsia="en-GB"/>
        </w:rPr>
      </w:pPr>
      <w:r w:rsidRPr="001F1CE7">
        <w:rPr>
          <w:rFonts w:cs="Arial"/>
          <w:szCs w:val="20"/>
          <w:lang w:eastAsia="en-GB"/>
        </w:rPr>
        <w:t>V letu 2025 se neposredna regulacija cen nadomešča z bolj ciljno usmerjenim sistemom pomoči, kjer podjetja – predvsem mala in srednje velika (MSP) ter energetsko intenzivna – lahko pridobijo vavčer za subvencionirano ceno električne energije ali plina, če njihova letna poraba presega 2 GWh. Gre za prenovljen in ožji model prejšnjih cenovnih kapic, ki je usmerjen v bolj učinkovito alokacijo državne pomoči.</w:t>
      </w:r>
    </w:p>
    <w:p w14:paraId="3F8C6B34" w14:textId="77777777" w:rsidR="001F1CE7" w:rsidRPr="001F1CE7" w:rsidRDefault="001F1CE7" w:rsidP="001F1CE7">
      <w:pPr>
        <w:pStyle w:val="Naslov3"/>
        <w:keepLines w:val="0"/>
        <w:numPr>
          <w:ilvl w:val="2"/>
          <w:numId w:val="0"/>
        </w:numPr>
        <w:spacing w:before="240" w:after="240" w:line="240" w:lineRule="auto"/>
        <w:ind w:left="720" w:hanging="720"/>
        <w:jc w:val="left"/>
        <w:rPr>
          <w:rFonts w:ascii="Arial" w:hAnsi="Arial" w:cs="Arial"/>
          <w:sz w:val="20"/>
          <w:szCs w:val="20"/>
        </w:rPr>
      </w:pPr>
      <w:bookmarkStart w:id="35" w:name="_Toc201714263"/>
      <w:bookmarkStart w:id="36" w:name="_Toc211241081"/>
      <w:r w:rsidRPr="001F1CE7">
        <w:rPr>
          <w:rFonts w:ascii="Arial" w:hAnsi="Arial" w:cs="Arial"/>
          <w:sz w:val="20"/>
          <w:szCs w:val="20"/>
        </w:rPr>
        <w:t>Davčne olajšave in oprostitve</w:t>
      </w:r>
      <w:bookmarkEnd w:id="35"/>
      <w:bookmarkEnd w:id="36"/>
    </w:p>
    <w:p w14:paraId="08F97F8A" w14:textId="77777777" w:rsidR="001F1CE7" w:rsidRPr="001F1CE7" w:rsidRDefault="001F1CE7" w:rsidP="001F1CE7">
      <w:pPr>
        <w:rPr>
          <w:rFonts w:cs="Arial"/>
          <w:szCs w:val="20"/>
          <w:lang w:eastAsia="en-GB"/>
        </w:rPr>
      </w:pPr>
      <w:r w:rsidRPr="001F1CE7">
        <w:rPr>
          <w:rFonts w:cs="Arial"/>
          <w:szCs w:val="20"/>
          <w:lang w:eastAsia="en-GB"/>
        </w:rPr>
        <w:t>Od leta 2022 dalje Češka uporablja 0-% stopnjo DDV za elektriko in plin za poslovne uporabnike, kar predstavlja davčno olajšavo, ki se uporablja neposredno ob izdaji računa in ne zahteva posebnega postopka. Ukrep ostaja nespremenjen tudi v letu 2025 in velja za vsa podjetja, kar pomeni nadaljevanje brez sprememb (Tax Foundation, 2024).</w:t>
      </w:r>
    </w:p>
    <w:p w14:paraId="669E75D8" w14:textId="77777777" w:rsidR="001F1CE7" w:rsidRPr="001F1CE7" w:rsidRDefault="001F1CE7" w:rsidP="001F1CE7">
      <w:pPr>
        <w:rPr>
          <w:rFonts w:cs="Arial"/>
          <w:szCs w:val="20"/>
          <w:lang w:eastAsia="en-GB"/>
        </w:rPr>
      </w:pPr>
    </w:p>
    <w:p w14:paraId="681BDFD2" w14:textId="77777777" w:rsidR="001F1CE7" w:rsidRPr="001F1CE7" w:rsidRDefault="001F1CE7" w:rsidP="001F1CE7">
      <w:pPr>
        <w:rPr>
          <w:rFonts w:cs="Arial"/>
          <w:szCs w:val="20"/>
          <w:lang w:eastAsia="en-GB"/>
        </w:rPr>
      </w:pPr>
      <w:r w:rsidRPr="001F1CE7">
        <w:rPr>
          <w:rFonts w:cs="Arial"/>
          <w:szCs w:val="20"/>
          <w:lang w:eastAsia="en-GB"/>
        </w:rPr>
        <w:t>Dodatno lahko podjetja, ki izkažejo energetsko intenzivnost nad 4 % bruto dodane vrednosti, uveljavljajo oprostitve plačila prispevkov za obnovljive vire energije, skladno z Zakonom št. 165/2012 Sb. (MPO, 2025). Tudi ta ukrep velja neprekinjeno in se v letu 2025 nadaljuje brez bistvenih sprememb.</w:t>
      </w:r>
    </w:p>
    <w:p w14:paraId="10665AE7" w14:textId="77777777" w:rsidR="001F1CE7" w:rsidRPr="001F1CE7" w:rsidRDefault="001F1CE7" w:rsidP="001F1CE7">
      <w:pPr>
        <w:pStyle w:val="Naslov3"/>
        <w:keepLines w:val="0"/>
        <w:numPr>
          <w:ilvl w:val="2"/>
          <w:numId w:val="0"/>
        </w:numPr>
        <w:spacing w:before="240" w:after="240" w:line="240" w:lineRule="auto"/>
        <w:ind w:left="720" w:hanging="720"/>
        <w:jc w:val="left"/>
        <w:rPr>
          <w:rFonts w:ascii="Arial" w:hAnsi="Arial" w:cs="Arial"/>
          <w:sz w:val="20"/>
          <w:szCs w:val="20"/>
        </w:rPr>
      </w:pPr>
      <w:bookmarkStart w:id="37" w:name="_Toc201714264"/>
      <w:bookmarkStart w:id="38" w:name="_Toc211241082"/>
      <w:r w:rsidRPr="001F1CE7">
        <w:rPr>
          <w:rFonts w:ascii="Arial" w:hAnsi="Arial" w:cs="Arial"/>
          <w:sz w:val="20"/>
          <w:szCs w:val="20"/>
        </w:rPr>
        <w:t>Neposredne subvencije za energetsko intenzivne panoge</w:t>
      </w:r>
      <w:bookmarkEnd w:id="37"/>
      <w:bookmarkEnd w:id="38"/>
    </w:p>
    <w:p w14:paraId="41B9FAB4" w14:textId="77777777" w:rsidR="001F1CE7" w:rsidRPr="001F1CE7" w:rsidRDefault="001F1CE7" w:rsidP="001F1CE7">
      <w:pPr>
        <w:rPr>
          <w:rFonts w:cs="Arial"/>
          <w:szCs w:val="20"/>
          <w:lang w:eastAsia="en-GB"/>
        </w:rPr>
      </w:pPr>
      <w:r w:rsidRPr="001F1CE7">
        <w:rPr>
          <w:rFonts w:cs="Arial"/>
          <w:szCs w:val="20"/>
          <w:lang w:eastAsia="en-GB"/>
        </w:rPr>
        <w:t xml:space="preserve">Med letoma 2022 in 2024 je Češka izvajala program izplačil za podjetja, ki so se soočila z izrazitim porastom cen energije in katerih stroški energije so presegli 30 % vseh operativnih stroškov. Višina pomoči je bila omejena na 2 milijona EUR, z možnostjo dodatne odobritve prek sheme </w:t>
      </w:r>
      <w:r w:rsidRPr="001F1CE7">
        <w:rPr>
          <w:rFonts w:cs="Arial"/>
          <w:i/>
          <w:iCs/>
          <w:szCs w:val="20"/>
          <w:lang w:eastAsia="en-GB"/>
        </w:rPr>
        <w:t>Temporary Crisis and Transition Framework</w:t>
      </w:r>
      <w:r w:rsidRPr="001F1CE7">
        <w:rPr>
          <w:rFonts w:cs="Arial"/>
          <w:szCs w:val="20"/>
          <w:lang w:eastAsia="en-GB"/>
        </w:rPr>
        <w:t xml:space="preserve"> Evropske komisije (Evropska komisija, 2023).</w:t>
      </w:r>
    </w:p>
    <w:p w14:paraId="16D39A5E" w14:textId="77777777" w:rsidR="001F1CE7" w:rsidRPr="001F1CE7" w:rsidRDefault="001F1CE7" w:rsidP="001F1CE7">
      <w:pPr>
        <w:rPr>
          <w:rFonts w:cs="Arial"/>
          <w:szCs w:val="20"/>
          <w:lang w:eastAsia="en-GB"/>
        </w:rPr>
      </w:pPr>
    </w:p>
    <w:p w14:paraId="4ED5CCDB" w14:textId="77777777" w:rsidR="001F1CE7" w:rsidRPr="001F1CE7" w:rsidRDefault="001F1CE7" w:rsidP="001F1CE7">
      <w:pPr>
        <w:rPr>
          <w:rFonts w:cs="Arial"/>
          <w:szCs w:val="20"/>
          <w:lang w:eastAsia="en-GB"/>
        </w:rPr>
      </w:pPr>
      <w:r w:rsidRPr="001F1CE7">
        <w:rPr>
          <w:rFonts w:cs="Arial"/>
          <w:szCs w:val="20"/>
          <w:lang w:eastAsia="en-GB"/>
        </w:rPr>
        <w:t>V letu 2025 se ta mehanizem ohranja v podobni obliki - upravičenost temelji na kazalnikih energetske intenzivnosti, padcu EBITDA ter revizorsko potrjenih bilancah. Gre torej za podaljšanje obstoječega programa, vendar z strožjimi pogoji za oceno učinkovitosti.</w:t>
      </w:r>
    </w:p>
    <w:p w14:paraId="7B20DD0C" w14:textId="77777777" w:rsidR="001F1CE7" w:rsidRPr="001F1CE7" w:rsidRDefault="001F1CE7" w:rsidP="001F1CE7">
      <w:pPr>
        <w:pStyle w:val="Naslov3"/>
        <w:keepLines w:val="0"/>
        <w:numPr>
          <w:ilvl w:val="2"/>
          <w:numId w:val="0"/>
        </w:numPr>
        <w:spacing w:before="240" w:after="240" w:line="240" w:lineRule="auto"/>
        <w:ind w:left="720" w:hanging="720"/>
        <w:jc w:val="left"/>
        <w:rPr>
          <w:rFonts w:ascii="Arial" w:hAnsi="Arial" w:cs="Arial"/>
          <w:sz w:val="20"/>
          <w:szCs w:val="20"/>
        </w:rPr>
      </w:pPr>
      <w:bookmarkStart w:id="39" w:name="_Toc201714265"/>
      <w:bookmarkStart w:id="40" w:name="_Toc211241083"/>
      <w:r w:rsidRPr="001F1CE7">
        <w:rPr>
          <w:rFonts w:ascii="Arial" w:hAnsi="Arial" w:cs="Arial"/>
          <w:sz w:val="20"/>
          <w:szCs w:val="20"/>
        </w:rPr>
        <w:t>Investicije v energetsko učinkovitost in diverzifikacijo</w:t>
      </w:r>
      <w:bookmarkEnd w:id="39"/>
      <w:bookmarkEnd w:id="40"/>
    </w:p>
    <w:p w14:paraId="36CD205A" w14:textId="77777777" w:rsidR="001F1CE7" w:rsidRPr="001F1CE7" w:rsidRDefault="001F1CE7" w:rsidP="001F1CE7">
      <w:pPr>
        <w:rPr>
          <w:rFonts w:cs="Arial"/>
          <w:szCs w:val="20"/>
          <w:lang w:eastAsia="en-GB"/>
        </w:rPr>
      </w:pPr>
      <w:r w:rsidRPr="001F1CE7">
        <w:rPr>
          <w:rFonts w:cs="Arial"/>
          <w:szCs w:val="20"/>
          <w:lang w:eastAsia="en-GB"/>
        </w:rPr>
        <w:t xml:space="preserve">Program </w:t>
      </w:r>
      <w:r w:rsidRPr="001F1CE7">
        <w:rPr>
          <w:rFonts w:cs="Arial"/>
          <w:i/>
          <w:iCs/>
          <w:szCs w:val="20"/>
          <w:lang w:eastAsia="en-GB"/>
        </w:rPr>
        <w:t>OP TAK</w:t>
      </w:r>
      <w:r w:rsidRPr="001F1CE7">
        <w:rPr>
          <w:rFonts w:cs="Arial"/>
          <w:szCs w:val="20"/>
          <w:lang w:eastAsia="en-GB"/>
        </w:rPr>
        <w:t xml:space="preserve"> (</w:t>
      </w:r>
      <w:r w:rsidRPr="001F1CE7">
        <w:rPr>
          <w:rFonts w:cs="Arial"/>
          <w:i/>
          <w:iCs/>
          <w:szCs w:val="20"/>
          <w:lang w:eastAsia="en-GB"/>
        </w:rPr>
        <w:t>Operational Programme Technologies and Applications for Competitiveness</w:t>
      </w:r>
      <w:r w:rsidRPr="001F1CE7">
        <w:rPr>
          <w:rFonts w:cs="Arial"/>
          <w:szCs w:val="20"/>
          <w:lang w:eastAsia="en-GB"/>
        </w:rPr>
        <w:t>), ki se izvaja v sodelovanju z evropskimi kohezijskimi skladi, v letu 2025 predstavlja enega ključnih novih ukrepov. Namenjen je povečanju energetske učinkovitosti in neodvisnosti industrije, predvsem v sektorjih, kot so steklarstvo, kovinska industrija, papirništvo in prehrambna proizvodnja (MPO, 2025).</w:t>
      </w:r>
    </w:p>
    <w:p w14:paraId="765EF46F" w14:textId="77777777" w:rsidR="001F1CE7" w:rsidRPr="001F1CE7" w:rsidRDefault="001F1CE7" w:rsidP="001F1CE7">
      <w:pPr>
        <w:rPr>
          <w:rFonts w:cs="Arial"/>
          <w:szCs w:val="20"/>
          <w:lang w:eastAsia="en-GB"/>
        </w:rPr>
      </w:pPr>
    </w:p>
    <w:p w14:paraId="33D43B10" w14:textId="77777777" w:rsidR="001F1CE7" w:rsidRPr="001F1CE7" w:rsidRDefault="001F1CE7" w:rsidP="001F1CE7">
      <w:pPr>
        <w:rPr>
          <w:rFonts w:cs="Arial"/>
          <w:szCs w:val="20"/>
          <w:lang w:eastAsia="en-GB"/>
        </w:rPr>
      </w:pPr>
      <w:r w:rsidRPr="001F1CE7">
        <w:rPr>
          <w:rFonts w:cs="Arial"/>
          <w:szCs w:val="20"/>
          <w:lang w:eastAsia="en-GB"/>
        </w:rPr>
        <w:t>Ukrep vključuje nepovratna sredstva za:</w:t>
      </w:r>
    </w:p>
    <w:p w14:paraId="6FEAAEA6" w14:textId="77777777" w:rsidR="001F1CE7" w:rsidRPr="001F1CE7" w:rsidRDefault="001F1CE7" w:rsidP="001F1CE7">
      <w:pPr>
        <w:numPr>
          <w:ilvl w:val="0"/>
          <w:numId w:val="62"/>
        </w:numPr>
        <w:spacing w:after="0" w:line="240" w:lineRule="auto"/>
        <w:rPr>
          <w:rFonts w:cs="Arial"/>
          <w:szCs w:val="20"/>
          <w:lang w:eastAsia="en-GB"/>
        </w:rPr>
      </w:pPr>
      <w:r w:rsidRPr="001F1CE7">
        <w:rPr>
          <w:rFonts w:cs="Arial"/>
          <w:szCs w:val="20"/>
          <w:lang w:eastAsia="en-GB"/>
        </w:rPr>
        <w:lastRenderedPageBreak/>
        <w:t>lastno proizvodnjo elektrike iz OVE (npr. fotonapetostne elektrarne, bioplinarne),</w:t>
      </w:r>
    </w:p>
    <w:p w14:paraId="193B0E58" w14:textId="77777777" w:rsidR="001F1CE7" w:rsidRPr="001F1CE7" w:rsidRDefault="001F1CE7" w:rsidP="001F1CE7">
      <w:pPr>
        <w:numPr>
          <w:ilvl w:val="0"/>
          <w:numId w:val="62"/>
        </w:numPr>
        <w:spacing w:after="0" w:line="240" w:lineRule="auto"/>
        <w:rPr>
          <w:rFonts w:cs="Arial"/>
          <w:szCs w:val="20"/>
          <w:lang w:eastAsia="en-GB"/>
        </w:rPr>
      </w:pPr>
      <w:r w:rsidRPr="001F1CE7">
        <w:rPr>
          <w:rFonts w:cs="Arial"/>
          <w:szCs w:val="20"/>
          <w:lang w:eastAsia="en-GB"/>
        </w:rPr>
        <w:t>zajem in ponovno uporabo odvečne toplote,</w:t>
      </w:r>
    </w:p>
    <w:p w14:paraId="09A1F926" w14:textId="77777777" w:rsidR="001F1CE7" w:rsidRPr="001F1CE7" w:rsidRDefault="001F1CE7" w:rsidP="001F1CE7">
      <w:pPr>
        <w:numPr>
          <w:ilvl w:val="0"/>
          <w:numId w:val="62"/>
        </w:numPr>
        <w:spacing w:after="0" w:line="240" w:lineRule="auto"/>
        <w:rPr>
          <w:rFonts w:cs="Arial"/>
          <w:szCs w:val="20"/>
          <w:lang w:eastAsia="en-GB"/>
        </w:rPr>
      </w:pPr>
      <w:r w:rsidRPr="001F1CE7">
        <w:rPr>
          <w:rFonts w:cs="Arial"/>
          <w:szCs w:val="20"/>
          <w:lang w:eastAsia="en-GB"/>
        </w:rPr>
        <w:t>izboljšanje toplotne izolacije in digitalne sisteme za upravljanje porabe.</w:t>
      </w:r>
    </w:p>
    <w:p w14:paraId="25DFDC9B" w14:textId="77777777" w:rsidR="001F1CE7" w:rsidRPr="001F1CE7" w:rsidRDefault="001F1CE7" w:rsidP="001F1CE7">
      <w:pPr>
        <w:rPr>
          <w:rFonts w:cs="Arial"/>
          <w:szCs w:val="20"/>
          <w:lang w:eastAsia="en-GB"/>
        </w:rPr>
      </w:pPr>
    </w:p>
    <w:p w14:paraId="181EE9D2" w14:textId="77777777" w:rsidR="001F1CE7" w:rsidRPr="001F1CE7" w:rsidRDefault="001F1CE7" w:rsidP="001F1CE7">
      <w:pPr>
        <w:rPr>
          <w:rFonts w:cs="Arial"/>
          <w:szCs w:val="20"/>
          <w:lang w:eastAsia="en-GB"/>
        </w:rPr>
      </w:pPr>
      <w:r w:rsidRPr="001F1CE7">
        <w:rPr>
          <w:rFonts w:cs="Arial"/>
          <w:szCs w:val="20"/>
          <w:lang w:eastAsia="en-GB"/>
        </w:rPr>
        <w:t>Celoten razpis za leto 2025 je vreden približno 16 milijard CZK (cca. 650 milijonov EUR), kar pomeni nov ali okrepljen investicijski program, usmerjen v trajno zmanjšanje energetske odvisnosti industrije.</w:t>
      </w:r>
    </w:p>
    <w:p w14:paraId="74FCEA03" w14:textId="77777777" w:rsidR="001F1CE7" w:rsidRPr="006E1C7B" w:rsidRDefault="001F1CE7" w:rsidP="001F1CE7">
      <w:pPr>
        <w:jc w:val="center"/>
        <w:rPr>
          <w:rFonts w:asciiTheme="minorHAnsi" w:hAnsiTheme="minorHAnsi" w:cstheme="minorHAnsi"/>
          <w:lang w:eastAsia="en-GB"/>
        </w:rPr>
      </w:pPr>
    </w:p>
    <w:p w14:paraId="25AA754B" w14:textId="35423FA7" w:rsidR="001F1CE7" w:rsidRPr="006E1C7B" w:rsidRDefault="001F1CE7" w:rsidP="001F1CE7">
      <w:pPr>
        <w:pStyle w:val="Napis"/>
        <w:jc w:val="center"/>
        <w:rPr>
          <w:rFonts w:asciiTheme="minorHAnsi" w:hAnsiTheme="minorHAnsi" w:cstheme="minorHAnsi"/>
          <w:color w:val="000000" w:themeColor="text1"/>
          <w:sz w:val="24"/>
          <w:szCs w:val="22"/>
        </w:rPr>
      </w:pPr>
      <w:bookmarkStart w:id="41" w:name="_Toc201714288"/>
      <w:bookmarkStart w:id="42" w:name="_Toc211241124"/>
      <w:r w:rsidRPr="006E1C7B">
        <w:rPr>
          <w:rFonts w:asciiTheme="minorHAnsi" w:hAnsiTheme="minorHAnsi" w:cstheme="minorHAnsi"/>
          <w:color w:val="000000" w:themeColor="text1"/>
          <w:sz w:val="24"/>
          <w:szCs w:val="22"/>
          <w:lang w:eastAsia="en-GB"/>
        </w:rPr>
        <w:t xml:space="preserve">Tabela </w:t>
      </w:r>
      <w:r w:rsidRPr="006E1C7B">
        <w:rPr>
          <w:rFonts w:asciiTheme="minorHAnsi" w:hAnsiTheme="minorHAnsi" w:cstheme="minorHAnsi"/>
          <w:color w:val="000000" w:themeColor="text1"/>
          <w:sz w:val="24"/>
          <w:szCs w:val="22"/>
          <w:lang w:eastAsia="en-GB"/>
        </w:rPr>
        <w:fldChar w:fldCharType="begin"/>
      </w:r>
      <w:r w:rsidRPr="006E1C7B">
        <w:rPr>
          <w:rFonts w:asciiTheme="minorHAnsi" w:hAnsiTheme="minorHAnsi" w:cstheme="minorHAnsi"/>
          <w:color w:val="000000" w:themeColor="text1"/>
          <w:sz w:val="24"/>
          <w:szCs w:val="22"/>
          <w:lang w:eastAsia="en-GB"/>
        </w:rPr>
        <w:instrText xml:space="preserve"> SEQ Table \* ARABIC </w:instrText>
      </w:r>
      <w:r w:rsidRPr="006E1C7B">
        <w:rPr>
          <w:rFonts w:asciiTheme="minorHAnsi" w:hAnsiTheme="minorHAnsi" w:cstheme="minorHAnsi"/>
          <w:color w:val="000000" w:themeColor="text1"/>
          <w:sz w:val="24"/>
          <w:szCs w:val="22"/>
          <w:lang w:eastAsia="en-GB"/>
        </w:rPr>
        <w:fldChar w:fldCharType="separate"/>
      </w:r>
      <w:r w:rsidR="00E3675E">
        <w:rPr>
          <w:rFonts w:asciiTheme="minorHAnsi" w:hAnsiTheme="minorHAnsi" w:cstheme="minorHAnsi"/>
          <w:noProof/>
          <w:color w:val="000000" w:themeColor="text1"/>
          <w:sz w:val="24"/>
          <w:szCs w:val="22"/>
          <w:lang w:eastAsia="en-GB"/>
        </w:rPr>
        <w:t>3</w:t>
      </w:r>
      <w:r w:rsidRPr="006E1C7B">
        <w:rPr>
          <w:rFonts w:asciiTheme="minorHAnsi" w:hAnsiTheme="minorHAnsi" w:cstheme="minorHAnsi"/>
          <w:color w:val="000000" w:themeColor="text1"/>
          <w:sz w:val="24"/>
          <w:szCs w:val="22"/>
          <w:lang w:eastAsia="en-GB"/>
        </w:rPr>
        <w:fldChar w:fldCharType="end"/>
      </w:r>
      <w:r w:rsidRPr="006E1C7B">
        <w:rPr>
          <w:rFonts w:asciiTheme="minorHAnsi" w:hAnsiTheme="minorHAnsi" w:cstheme="minorHAnsi"/>
          <w:color w:val="000000" w:themeColor="text1"/>
          <w:sz w:val="24"/>
          <w:szCs w:val="22"/>
          <w:lang w:eastAsia="en-GB"/>
        </w:rPr>
        <w:t xml:space="preserve">: </w:t>
      </w:r>
      <w:r w:rsidRPr="006E1C7B">
        <w:rPr>
          <w:rFonts w:asciiTheme="minorHAnsi" w:hAnsiTheme="minorHAnsi" w:cstheme="minorHAnsi"/>
          <w:color w:val="000000" w:themeColor="text1"/>
          <w:sz w:val="24"/>
          <w:szCs w:val="22"/>
        </w:rPr>
        <w:t>Ukrepi Češke na področju zamejitve cen električne energije za leto 2025</w:t>
      </w:r>
      <w:bookmarkEnd w:id="41"/>
      <w:bookmarkEnd w:id="42"/>
    </w:p>
    <w:tbl>
      <w:tblPr>
        <w:tblStyle w:val="GridTable5Dark-Accent11"/>
        <w:tblW w:w="0" w:type="auto"/>
        <w:tblLook w:val="04A0" w:firstRow="1" w:lastRow="0" w:firstColumn="1" w:lastColumn="0" w:noHBand="0" w:noVBand="1"/>
      </w:tblPr>
      <w:tblGrid>
        <w:gridCol w:w="1594"/>
        <w:gridCol w:w="2203"/>
        <w:gridCol w:w="2527"/>
        <w:gridCol w:w="1329"/>
        <w:gridCol w:w="1409"/>
      </w:tblGrid>
      <w:tr w:rsidR="001F1CE7" w:rsidRPr="006E1C7B" w14:paraId="5522AF7A" w14:textId="77777777" w:rsidTr="00F6712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7628FFF" w14:textId="77777777" w:rsidR="001F1CE7" w:rsidRPr="006E1C7B" w:rsidRDefault="001F1CE7" w:rsidP="00F67126">
            <w:pPr>
              <w:rPr>
                <w:rFonts w:asciiTheme="minorHAnsi" w:hAnsiTheme="minorHAnsi" w:cstheme="minorHAnsi"/>
                <w:b w:val="0"/>
                <w:bCs w:val="0"/>
                <w:sz w:val="22"/>
                <w:lang w:eastAsia="en-GB"/>
              </w:rPr>
            </w:pPr>
            <w:r w:rsidRPr="006E1C7B">
              <w:rPr>
                <w:rFonts w:asciiTheme="minorHAnsi" w:hAnsiTheme="minorHAnsi" w:cstheme="minorHAnsi"/>
                <w:sz w:val="22"/>
                <w:lang w:eastAsia="en-GB"/>
              </w:rPr>
              <w:t>Tematsko področje</w:t>
            </w:r>
          </w:p>
        </w:tc>
        <w:tc>
          <w:tcPr>
            <w:tcW w:w="0" w:type="auto"/>
            <w:vAlign w:val="center"/>
            <w:hideMark/>
          </w:tcPr>
          <w:p w14:paraId="3B3AE3A2" w14:textId="77777777" w:rsidR="001F1CE7" w:rsidRPr="006E1C7B" w:rsidRDefault="001F1CE7" w:rsidP="00F67126">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sz w:val="22"/>
                <w:lang w:eastAsia="en-GB"/>
              </w:rPr>
            </w:pPr>
            <w:r w:rsidRPr="006E1C7B">
              <w:rPr>
                <w:rFonts w:asciiTheme="minorHAnsi" w:hAnsiTheme="minorHAnsi" w:cstheme="minorHAnsi"/>
                <w:sz w:val="22"/>
                <w:lang w:eastAsia="en-GB"/>
              </w:rPr>
              <w:t>Naziv ukrepa / mehanizma</w:t>
            </w:r>
          </w:p>
        </w:tc>
        <w:tc>
          <w:tcPr>
            <w:tcW w:w="0" w:type="auto"/>
            <w:vAlign w:val="center"/>
            <w:hideMark/>
          </w:tcPr>
          <w:p w14:paraId="5D3B87F4" w14:textId="77777777" w:rsidR="001F1CE7" w:rsidRPr="006E1C7B" w:rsidRDefault="001F1CE7" w:rsidP="00F67126">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sz w:val="22"/>
                <w:lang w:eastAsia="en-GB"/>
              </w:rPr>
            </w:pPr>
            <w:r w:rsidRPr="006E1C7B">
              <w:rPr>
                <w:rFonts w:asciiTheme="minorHAnsi" w:hAnsiTheme="minorHAnsi" w:cstheme="minorHAnsi"/>
                <w:sz w:val="22"/>
                <w:lang w:eastAsia="en-GB"/>
              </w:rPr>
              <w:t>Opis ukrepa</w:t>
            </w:r>
          </w:p>
        </w:tc>
        <w:tc>
          <w:tcPr>
            <w:tcW w:w="0" w:type="auto"/>
            <w:vAlign w:val="center"/>
            <w:hideMark/>
          </w:tcPr>
          <w:p w14:paraId="4FDB8E21" w14:textId="77777777" w:rsidR="001F1CE7" w:rsidRPr="006E1C7B" w:rsidRDefault="001F1CE7" w:rsidP="00F67126">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sz w:val="22"/>
                <w:lang w:eastAsia="en-GB"/>
              </w:rPr>
            </w:pPr>
            <w:r w:rsidRPr="006E1C7B">
              <w:rPr>
                <w:rFonts w:asciiTheme="minorHAnsi" w:hAnsiTheme="minorHAnsi" w:cstheme="minorHAnsi"/>
                <w:sz w:val="22"/>
                <w:lang w:eastAsia="en-GB"/>
              </w:rPr>
              <w:t>Obdobje veljavnosti</w:t>
            </w:r>
          </w:p>
        </w:tc>
        <w:tc>
          <w:tcPr>
            <w:tcW w:w="0" w:type="auto"/>
            <w:vAlign w:val="center"/>
            <w:hideMark/>
          </w:tcPr>
          <w:p w14:paraId="34E876CF" w14:textId="77777777" w:rsidR="001F1CE7" w:rsidRPr="006E1C7B" w:rsidRDefault="001F1CE7" w:rsidP="00F67126">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sz w:val="22"/>
                <w:lang w:eastAsia="en-GB"/>
              </w:rPr>
            </w:pPr>
            <w:r w:rsidRPr="006E1C7B">
              <w:rPr>
                <w:rFonts w:asciiTheme="minorHAnsi" w:hAnsiTheme="minorHAnsi" w:cstheme="minorHAnsi"/>
                <w:sz w:val="22"/>
                <w:lang w:eastAsia="en-GB"/>
              </w:rPr>
              <w:t>Status v letu 2025</w:t>
            </w:r>
          </w:p>
        </w:tc>
      </w:tr>
      <w:tr w:rsidR="001F1CE7" w:rsidRPr="006E1C7B" w14:paraId="5E55C244" w14:textId="77777777" w:rsidTr="00F671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EB2B1B7" w14:textId="77777777" w:rsidR="001F1CE7" w:rsidRPr="006E1C7B" w:rsidRDefault="001F1CE7" w:rsidP="00F67126">
            <w:pPr>
              <w:rPr>
                <w:rFonts w:asciiTheme="minorHAnsi" w:hAnsiTheme="minorHAnsi" w:cstheme="minorHAnsi"/>
                <w:sz w:val="22"/>
                <w:lang w:eastAsia="en-GB"/>
              </w:rPr>
            </w:pPr>
            <w:r w:rsidRPr="006E1C7B">
              <w:rPr>
                <w:rFonts w:asciiTheme="minorHAnsi" w:hAnsiTheme="minorHAnsi" w:cstheme="minorHAnsi"/>
                <w:sz w:val="22"/>
                <w:lang w:eastAsia="en-GB"/>
              </w:rPr>
              <w:t>Cenovna regulacija</w:t>
            </w:r>
          </w:p>
        </w:tc>
        <w:tc>
          <w:tcPr>
            <w:tcW w:w="0" w:type="auto"/>
            <w:vAlign w:val="center"/>
            <w:hideMark/>
          </w:tcPr>
          <w:p w14:paraId="18587D85"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lang w:eastAsia="en-GB"/>
              </w:rPr>
            </w:pPr>
            <w:r w:rsidRPr="006E1C7B">
              <w:rPr>
                <w:rFonts w:asciiTheme="minorHAnsi" w:hAnsiTheme="minorHAnsi" w:cstheme="minorHAnsi"/>
                <w:szCs w:val="20"/>
                <w:lang w:eastAsia="en-GB"/>
              </w:rPr>
              <w:t>Cenovni vavčerski sistem za MSP in energetsko intenzivna podjetja</w:t>
            </w:r>
          </w:p>
        </w:tc>
        <w:tc>
          <w:tcPr>
            <w:tcW w:w="0" w:type="auto"/>
            <w:vAlign w:val="center"/>
            <w:hideMark/>
          </w:tcPr>
          <w:p w14:paraId="15D40819"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lang w:eastAsia="en-GB"/>
              </w:rPr>
            </w:pPr>
            <w:r w:rsidRPr="006E1C7B">
              <w:rPr>
                <w:rFonts w:asciiTheme="minorHAnsi" w:hAnsiTheme="minorHAnsi" w:cstheme="minorHAnsi"/>
                <w:szCs w:val="20"/>
                <w:lang w:eastAsia="en-GB"/>
              </w:rPr>
              <w:t>Ciljno usmerjena podpora za podjetja z &gt;2 GWh letne porabe; nadomestilo za ukinjene cenovne kapice iz 2022–24.</w:t>
            </w:r>
          </w:p>
        </w:tc>
        <w:tc>
          <w:tcPr>
            <w:tcW w:w="0" w:type="auto"/>
            <w:vAlign w:val="center"/>
            <w:hideMark/>
          </w:tcPr>
          <w:p w14:paraId="02476414"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lang w:eastAsia="en-GB"/>
              </w:rPr>
            </w:pPr>
            <w:r w:rsidRPr="006E1C7B">
              <w:rPr>
                <w:rFonts w:asciiTheme="minorHAnsi" w:hAnsiTheme="minorHAnsi" w:cstheme="minorHAnsi"/>
                <w:szCs w:val="20"/>
                <w:lang w:eastAsia="en-GB"/>
              </w:rPr>
              <w:t>2023 - 2025</w:t>
            </w:r>
          </w:p>
        </w:tc>
        <w:tc>
          <w:tcPr>
            <w:tcW w:w="0" w:type="auto"/>
            <w:vAlign w:val="center"/>
            <w:hideMark/>
          </w:tcPr>
          <w:p w14:paraId="07D70133"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lang w:eastAsia="en-GB"/>
              </w:rPr>
            </w:pPr>
            <w:r w:rsidRPr="006E1C7B">
              <w:rPr>
                <w:rFonts w:asciiTheme="minorHAnsi" w:hAnsiTheme="minorHAnsi" w:cstheme="minorHAnsi"/>
                <w:szCs w:val="20"/>
                <w:lang w:eastAsia="en-GB"/>
              </w:rPr>
              <w:t>Prenovljen ukrep</w:t>
            </w:r>
          </w:p>
        </w:tc>
      </w:tr>
      <w:tr w:rsidR="001F1CE7" w:rsidRPr="006E1C7B" w14:paraId="7CF1500B" w14:textId="77777777" w:rsidTr="00F67126">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B0A9924" w14:textId="77777777" w:rsidR="001F1CE7" w:rsidRPr="006E1C7B" w:rsidRDefault="001F1CE7" w:rsidP="00F67126">
            <w:pPr>
              <w:rPr>
                <w:rFonts w:asciiTheme="minorHAnsi" w:hAnsiTheme="minorHAnsi" w:cstheme="minorHAnsi"/>
                <w:sz w:val="22"/>
                <w:lang w:eastAsia="en-GB"/>
              </w:rPr>
            </w:pPr>
            <w:r w:rsidRPr="006E1C7B">
              <w:rPr>
                <w:rFonts w:asciiTheme="minorHAnsi" w:hAnsiTheme="minorHAnsi" w:cstheme="minorHAnsi"/>
                <w:sz w:val="22"/>
                <w:lang w:eastAsia="en-GB"/>
              </w:rPr>
              <w:t>Davčne olajšave</w:t>
            </w:r>
          </w:p>
        </w:tc>
        <w:tc>
          <w:tcPr>
            <w:tcW w:w="0" w:type="auto"/>
            <w:vAlign w:val="center"/>
            <w:hideMark/>
          </w:tcPr>
          <w:p w14:paraId="00A1BA98"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lang w:eastAsia="en-GB"/>
              </w:rPr>
            </w:pPr>
            <w:r w:rsidRPr="006E1C7B">
              <w:rPr>
                <w:rFonts w:asciiTheme="minorHAnsi" w:hAnsiTheme="minorHAnsi" w:cstheme="minorHAnsi"/>
                <w:szCs w:val="20"/>
                <w:lang w:eastAsia="en-GB"/>
              </w:rPr>
              <w:t>0 % DDV na elektriko in plin za podjetja</w:t>
            </w:r>
          </w:p>
        </w:tc>
        <w:tc>
          <w:tcPr>
            <w:tcW w:w="0" w:type="auto"/>
            <w:vAlign w:val="center"/>
            <w:hideMark/>
          </w:tcPr>
          <w:p w14:paraId="57801BC1"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lang w:eastAsia="en-GB"/>
              </w:rPr>
            </w:pPr>
            <w:r w:rsidRPr="006E1C7B">
              <w:rPr>
                <w:rFonts w:asciiTheme="minorHAnsi" w:hAnsiTheme="minorHAnsi" w:cstheme="minorHAnsi"/>
                <w:szCs w:val="20"/>
                <w:lang w:eastAsia="en-GB"/>
              </w:rPr>
              <w:t>Davčna oprostitev, ki se samodejno uveljavlja na računu, velja za vse poslovne odjemalce.</w:t>
            </w:r>
          </w:p>
        </w:tc>
        <w:tc>
          <w:tcPr>
            <w:tcW w:w="0" w:type="auto"/>
            <w:vAlign w:val="center"/>
            <w:hideMark/>
          </w:tcPr>
          <w:p w14:paraId="68B5A057"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lang w:eastAsia="en-GB"/>
              </w:rPr>
            </w:pPr>
            <w:r w:rsidRPr="006E1C7B">
              <w:rPr>
                <w:rFonts w:asciiTheme="minorHAnsi" w:hAnsiTheme="minorHAnsi" w:cstheme="minorHAnsi"/>
                <w:szCs w:val="20"/>
                <w:lang w:eastAsia="en-GB"/>
              </w:rPr>
              <w:t>2022 - 2025</w:t>
            </w:r>
          </w:p>
        </w:tc>
        <w:tc>
          <w:tcPr>
            <w:tcW w:w="0" w:type="auto"/>
            <w:vAlign w:val="center"/>
            <w:hideMark/>
          </w:tcPr>
          <w:p w14:paraId="1AD51E1F"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lang w:eastAsia="en-GB"/>
              </w:rPr>
            </w:pPr>
            <w:r w:rsidRPr="006E1C7B">
              <w:rPr>
                <w:rFonts w:asciiTheme="minorHAnsi" w:hAnsiTheme="minorHAnsi" w:cstheme="minorHAnsi"/>
                <w:szCs w:val="20"/>
                <w:lang w:eastAsia="en-GB"/>
              </w:rPr>
              <w:t>Nadaljuje se brez sprememb</w:t>
            </w:r>
          </w:p>
        </w:tc>
      </w:tr>
      <w:tr w:rsidR="001F1CE7" w:rsidRPr="006E1C7B" w14:paraId="2CE6F3C1" w14:textId="77777777" w:rsidTr="00F671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098AC75" w14:textId="77777777" w:rsidR="001F1CE7" w:rsidRPr="006E1C7B" w:rsidRDefault="001F1CE7" w:rsidP="00F67126">
            <w:pPr>
              <w:rPr>
                <w:rFonts w:asciiTheme="minorHAnsi" w:hAnsiTheme="minorHAnsi" w:cstheme="minorHAnsi"/>
                <w:sz w:val="22"/>
                <w:lang w:eastAsia="en-GB"/>
              </w:rPr>
            </w:pPr>
            <w:r w:rsidRPr="006E1C7B">
              <w:rPr>
                <w:rFonts w:asciiTheme="minorHAnsi" w:hAnsiTheme="minorHAnsi" w:cstheme="minorHAnsi"/>
                <w:sz w:val="22"/>
                <w:lang w:eastAsia="en-GB"/>
              </w:rPr>
              <w:t>Davčne oprostitve</w:t>
            </w:r>
          </w:p>
        </w:tc>
        <w:tc>
          <w:tcPr>
            <w:tcW w:w="0" w:type="auto"/>
            <w:vAlign w:val="center"/>
            <w:hideMark/>
          </w:tcPr>
          <w:p w14:paraId="0C1CE517"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lang w:eastAsia="en-GB"/>
              </w:rPr>
            </w:pPr>
            <w:r w:rsidRPr="006E1C7B">
              <w:rPr>
                <w:rFonts w:asciiTheme="minorHAnsi" w:hAnsiTheme="minorHAnsi" w:cstheme="minorHAnsi"/>
                <w:szCs w:val="20"/>
                <w:lang w:eastAsia="en-GB"/>
              </w:rPr>
              <w:t>Oprostitev prispevkov za OVE za energetsko intenzivna podjetja</w:t>
            </w:r>
          </w:p>
        </w:tc>
        <w:tc>
          <w:tcPr>
            <w:tcW w:w="0" w:type="auto"/>
            <w:vAlign w:val="center"/>
            <w:hideMark/>
          </w:tcPr>
          <w:p w14:paraId="4B8D5C00"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lang w:eastAsia="en-GB"/>
              </w:rPr>
            </w:pPr>
            <w:r w:rsidRPr="006E1C7B">
              <w:rPr>
                <w:rFonts w:asciiTheme="minorHAnsi" w:hAnsiTheme="minorHAnsi" w:cstheme="minorHAnsi"/>
                <w:szCs w:val="20"/>
                <w:lang w:eastAsia="en-GB"/>
              </w:rPr>
              <w:t>Za podjetja z energetskimi stroški &gt;4 % BDP; določa Zakon št. 165/2012 Sb.</w:t>
            </w:r>
          </w:p>
        </w:tc>
        <w:tc>
          <w:tcPr>
            <w:tcW w:w="0" w:type="auto"/>
            <w:vAlign w:val="center"/>
            <w:hideMark/>
          </w:tcPr>
          <w:p w14:paraId="090F5222"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lang w:eastAsia="en-GB"/>
              </w:rPr>
            </w:pPr>
            <w:r w:rsidRPr="006E1C7B">
              <w:rPr>
                <w:rFonts w:asciiTheme="minorHAnsi" w:hAnsiTheme="minorHAnsi" w:cstheme="minorHAnsi"/>
                <w:szCs w:val="20"/>
                <w:lang w:eastAsia="en-GB"/>
              </w:rPr>
              <w:t>2022 - 2025</w:t>
            </w:r>
          </w:p>
        </w:tc>
        <w:tc>
          <w:tcPr>
            <w:tcW w:w="0" w:type="auto"/>
            <w:vAlign w:val="center"/>
            <w:hideMark/>
          </w:tcPr>
          <w:p w14:paraId="2BCE8592"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lang w:eastAsia="en-GB"/>
              </w:rPr>
            </w:pPr>
            <w:r w:rsidRPr="006E1C7B">
              <w:rPr>
                <w:rFonts w:asciiTheme="minorHAnsi" w:hAnsiTheme="minorHAnsi" w:cstheme="minorHAnsi"/>
                <w:szCs w:val="20"/>
                <w:lang w:eastAsia="en-GB"/>
              </w:rPr>
              <w:t>Nadaljuje se brez sprememb</w:t>
            </w:r>
          </w:p>
        </w:tc>
      </w:tr>
      <w:tr w:rsidR="001F1CE7" w:rsidRPr="006E1C7B" w14:paraId="6FD54F7B" w14:textId="77777777" w:rsidTr="00F67126">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321F20E" w14:textId="77777777" w:rsidR="001F1CE7" w:rsidRPr="006E1C7B" w:rsidRDefault="001F1CE7" w:rsidP="00F67126">
            <w:pPr>
              <w:rPr>
                <w:rFonts w:asciiTheme="minorHAnsi" w:hAnsiTheme="minorHAnsi" w:cstheme="minorHAnsi"/>
                <w:sz w:val="22"/>
                <w:lang w:eastAsia="en-GB"/>
              </w:rPr>
            </w:pPr>
            <w:r w:rsidRPr="006E1C7B">
              <w:rPr>
                <w:rFonts w:asciiTheme="minorHAnsi" w:hAnsiTheme="minorHAnsi" w:cstheme="minorHAnsi"/>
                <w:sz w:val="22"/>
                <w:lang w:eastAsia="en-GB"/>
              </w:rPr>
              <w:t>Neposredna pomoč</w:t>
            </w:r>
          </w:p>
        </w:tc>
        <w:tc>
          <w:tcPr>
            <w:tcW w:w="0" w:type="auto"/>
            <w:vAlign w:val="center"/>
            <w:hideMark/>
          </w:tcPr>
          <w:p w14:paraId="384FCCBE"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lang w:eastAsia="en-GB"/>
              </w:rPr>
            </w:pPr>
            <w:r w:rsidRPr="006E1C7B">
              <w:rPr>
                <w:rFonts w:asciiTheme="minorHAnsi" w:hAnsiTheme="minorHAnsi" w:cstheme="minorHAnsi"/>
                <w:szCs w:val="20"/>
                <w:lang w:eastAsia="en-GB"/>
              </w:rPr>
              <w:t>Subvencije za izjemno visoke stroške energije (EU TCTF)</w:t>
            </w:r>
          </w:p>
        </w:tc>
        <w:tc>
          <w:tcPr>
            <w:tcW w:w="0" w:type="auto"/>
            <w:vAlign w:val="center"/>
            <w:hideMark/>
          </w:tcPr>
          <w:p w14:paraId="686E5DB4"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lang w:eastAsia="en-GB"/>
              </w:rPr>
            </w:pPr>
            <w:r w:rsidRPr="006E1C7B">
              <w:rPr>
                <w:rFonts w:asciiTheme="minorHAnsi" w:hAnsiTheme="minorHAnsi" w:cstheme="minorHAnsi"/>
                <w:szCs w:val="20"/>
                <w:lang w:eastAsia="en-GB"/>
              </w:rPr>
              <w:t>Pomoč do 2 mio EUR oz. več z dovoljenjem EK; zahteva padec EBITDA in revizorsko bilanco.</w:t>
            </w:r>
          </w:p>
        </w:tc>
        <w:tc>
          <w:tcPr>
            <w:tcW w:w="0" w:type="auto"/>
            <w:vAlign w:val="center"/>
            <w:hideMark/>
          </w:tcPr>
          <w:p w14:paraId="6D0DA392"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lang w:eastAsia="en-GB"/>
              </w:rPr>
            </w:pPr>
            <w:r w:rsidRPr="006E1C7B">
              <w:rPr>
                <w:rFonts w:asciiTheme="minorHAnsi" w:hAnsiTheme="minorHAnsi" w:cstheme="minorHAnsi"/>
                <w:szCs w:val="20"/>
                <w:lang w:eastAsia="en-GB"/>
              </w:rPr>
              <w:t>2022 - 2025</w:t>
            </w:r>
          </w:p>
        </w:tc>
        <w:tc>
          <w:tcPr>
            <w:tcW w:w="0" w:type="auto"/>
            <w:vAlign w:val="center"/>
            <w:hideMark/>
          </w:tcPr>
          <w:p w14:paraId="3F49086F" w14:textId="77777777" w:rsidR="001F1CE7" w:rsidRPr="006E1C7B" w:rsidRDefault="001F1CE7" w:rsidP="00F6712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lang w:eastAsia="en-GB"/>
              </w:rPr>
            </w:pPr>
            <w:r w:rsidRPr="006E1C7B">
              <w:rPr>
                <w:rFonts w:asciiTheme="minorHAnsi" w:hAnsiTheme="minorHAnsi" w:cstheme="minorHAnsi"/>
                <w:szCs w:val="20"/>
                <w:lang w:eastAsia="en-GB"/>
              </w:rPr>
              <w:t>Podaljšan program v okviru EU okvirja</w:t>
            </w:r>
          </w:p>
        </w:tc>
      </w:tr>
      <w:tr w:rsidR="001F1CE7" w:rsidRPr="006E1C7B" w14:paraId="55C07474" w14:textId="77777777" w:rsidTr="00F671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557149F" w14:textId="77777777" w:rsidR="001F1CE7" w:rsidRPr="006E1C7B" w:rsidRDefault="001F1CE7" w:rsidP="00F67126">
            <w:pPr>
              <w:rPr>
                <w:rFonts w:asciiTheme="minorHAnsi" w:hAnsiTheme="minorHAnsi" w:cstheme="minorHAnsi"/>
                <w:sz w:val="22"/>
                <w:lang w:eastAsia="en-GB"/>
              </w:rPr>
            </w:pPr>
            <w:r w:rsidRPr="006E1C7B">
              <w:rPr>
                <w:rFonts w:asciiTheme="minorHAnsi" w:hAnsiTheme="minorHAnsi" w:cstheme="minorHAnsi"/>
                <w:sz w:val="22"/>
                <w:lang w:eastAsia="en-GB"/>
              </w:rPr>
              <w:t>Investicije v OVE in učinkovitost</w:t>
            </w:r>
          </w:p>
        </w:tc>
        <w:tc>
          <w:tcPr>
            <w:tcW w:w="0" w:type="auto"/>
            <w:vAlign w:val="center"/>
            <w:hideMark/>
          </w:tcPr>
          <w:p w14:paraId="58BF0A2D"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lang w:eastAsia="en-GB"/>
              </w:rPr>
            </w:pPr>
            <w:r w:rsidRPr="006E1C7B">
              <w:rPr>
                <w:rFonts w:asciiTheme="minorHAnsi" w:hAnsiTheme="minorHAnsi" w:cstheme="minorHAnsi"/>
                <w:szCs w:val="20"/>
                <w:lang w:eastAsia="en-GB"/>
              </w:rPr>
              <w:t>Program OP TAK (Operational Programme for Competitiveness)</w:t>
            </w:r>
          </w:p>
        </w:tc>
        <w:tc>
          <w:tcPr>
            <w:tcW w:w="0" w:type="auto"/>
            <w:vAlign w:val="center"/>
            <w:hideMark/>
          </w:tcPr>
          <w:p w14:paraId="33F64833"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lang w:eastAsia="en-GB"/>
              </w:rPr>
            </w:pPr>
            <w:r w:rsidRPr="006E1C7B">
              <w:rPr>
                <w:rFonts w:asciiTheme="minorHAnsi" w:hAnsiTheme="minorHAnsi" w:cstheme="minorHAnsi"/>
                <w:szCs w:val="20"/>
                <w:lang w:eastAsia="en-GB"/>
              </w:rPr>
              <w:t>Nepovratna sredstva za fotovoltaiko, bioplinarne, toplotno optimizacijo in pametne sisteme; poudarek na težki industriji.</w:t>
            </w:r>
          </w:p>
        </w:tc>
        <w:tc>
          <w:tcPr>
            <w:tcW w:w="0" w:type="auto"/>
            <w:vAlign w:val="center"/>
            <w:hideMark/>
          </w:tcPr>
          <w:p w14:paraId="0A3C9CEE"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lang w:eastAsia="en-GB"/>
              </w:rPr>
            </w:pPr>
            <w:r w:rsidRPr="006E1C7B">
              <w:rPr>
                <w:rFonts w:asciiTheme="minorHAnsi" w:hAnsiTheme="minorHAnsi" w:cstheme="minorHAnsi"/>
                <w:szCs w:val="20"/>
                <w:lang w:eastAsia="en-GB"/>
              </w:rPr>
              <w:t>2025</w:t>
            </w:r>
          </w:p>
        </w:tc>
        <w:tc>
          <w:tcPr>
            <w:tcW w:w="0" w:type="auto"/>
            <w:vAlign w:val="center"/>
            <w:hideMark/>
          </w:tcPr>
          <w:p w14:paraId="525D061D" w14:textId="77777777" w:rsidR="001F1CE7" w:rsidRPr="006E1C7B" w:rsidRDefault="001F1CE7" w:rsidP="00F6712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lang w:eastAsia="en-GB"/>
              </w:rPr>
            </w:pPr>
            <w:r w:rsidRPr="006E1C7B">
              <w:rPr>
                <w:rFonts w:asciiTheme="minorHAnsi" w:hAnsiTheme="minorHAnsi" w:cstheme="minorHAnsi"/>
                <w:szCs w:val="20"/>
                <w:lang w:eastAsia="en-GB"/>
              </w:rPr>
              <w:t>Nov oz. razširjen ukrep</w:t>
            </w:r>
          </w:p>
        </w:tc>
      </w:tr>
    </w:tbl>
    <w:p w14:paraId="2C82FF12" w14:textId="4C3674C5" w:rsidR="00620790" w:rsidRDefault="00620790" w:rsidP="002A0B05">
      <w:pPr>
        <w:rPr>
          <w:rFonts w:cs="Arial"/>
          <w:szCs w:val="20"/>
          <w:lang w:eastAsia="sl-SI"/>
        </w:rPr>
      </w:pPr>
    </w:p>
    <w:p w14:paraId="3E772842" w14:textId="5F423958" w:rsidR="001F1CE7" w:rsidRPr="00620790" w:rsidRDefault="007E7CBC" w:rsidP="002A0B05">
      <w:pPr>
        <w:rPr>
          <w:rFonts w:cs="Arial"/>
          <w:szCs w:val="20"/>
          <w:lang w:eastAsia="sl-SI"/>
        </w:rPr>
      </w:pPr>
      <w:r w:rsidRPr="00DD4E31">
        <w:rPr>
          <w:rFonts w:cs="Arial"/>
          <w:szCs w:val="20"/>
          <w:lang w:eastAsia="sl-SI"/>
        </w:rPr>
        <w:t>Predlog zakona ni predmet usklajevanja s pravom EU.</w:t>
      </w:r>
    </w:p>
    <w:p w14:paraId="28305345" w14:textId="6C83F561" w:rsidR="009F54B1" w:rsidRPr="00620790" w:rsidRDefault="00D051E9" w:rsidP="009F54B1">
      <w:pPr>
        <w:tabs>
          <w:tab w:val="left" w:pos="270"/>
        </w:tabs>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6</w:t>
      </w:r>
      <w:r w:rsidR="009F54B1" w:rsidRPr="00620790">
        <w:rPr>
          <w:rFonts w:eastAsia="Times New Roman" w:cs="Arial"/>
          <w:b/>
          <w:szCs w:val="20"/>
          <w:lang w:eastAsia="sl-SI"/>
        </w:rPr>
        <w:t>. PRESOJA POSLEDIC, KI JIH BO IMEL SPREJEM ZAKONA</w:t>
      </w:r>
    </w:p>
    <w:p w14:paraId="1D698C64" w14:textId="77777777" w:rsidR="00F2090B" w:rsidRPr="00620790" w:rsidRDefault="00F2090B" w:rsidP="00ED6BA3">
      <w:pPr>
        <w:rPr>
          <w:rFonts w:eastAsia="Times New Roman"/>
          <w:lang w:eastAsia="sl-SI"/>
        </w:rPr>
      </w:pPr>
    </w:p>
    <w:p w14:paraId="60F74B64" w14:textId="6A35FCF6"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 xml:space="preserve">6.1 Presoja administrativnih posledic </w:t>
      </w:r>
    </w:p>
    <w:p w14:paraId="70022458" w14:textId="2EB99D13" w:rsidR="008C2A0A" w:rsidRPr="006E6C33" w:rsidRDefault="009F54B1" w:rsidP="008C2A0A">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 xml:space="preserve">a) v </w:t>
      </w:r>
      <w:r w:rsidRPr="006E6C33">
        <w:rPr>
          <w:rFonts w:eastAsia="Times New Roman" w:cs="Arial"/>
          <w:b/>
          <w:szCs w:val="20"/>
          <w:lang w:eastAsia="sl-SI"/>
        </w:rPr>
        <w:t xml:space="preserve">postopkih oziroma poslovanju javne uprave ali pravosodnih organov: </w:t>
      </w:r>
    </w:p>
    <w:p w14:paraId="03CCECBA" w14:textId="3D924638" w:rsidR="008C2764" w:rsidRPr="008C2764" w:rsidRDefault="0037183D" w:rsidP="008C2764">
      <w:pPr>
        <w:overflowPunct w:val="0"/>
        <w:autoSpaceDE w:val="0"/>
        <w:autoSpaceDN w:val="0"/>
        <w:adjustRightInd w:val="0"/>
        <w:spacing w:after="0" w:line="260" w:lineRule="exact"/>
        <w:textAlignment w:val="baseline"/>
        <w:rPr>
          <w:rFonts w:eastAsia="Times New Roman" w:cs="Arial"/>
          <w:szCs w:val="20"/>
          <w:lang w:eastAsia="sl-SI"/>
        </w:rPr>
      </w:pPr>
      <w:r>
        <w:rPr>
          <w:rFonts w:eastAsia="Times New Roman" w:cs="Arial"/>
          <w:szCs w:val="20"/>
          <w:lang w:eastAsia="sl-SI"/>
        </w:rPr>
        <w:t>Predlog z</w:t>
      </w:r>
      <w:r w:rsidR="008C2764" w:rsidRPr="008C2764">
        <w:rPr>
          <w:rFonts w:eastAsia="Times New Roman" w:cs="Arial"/>
          <w:szCs w:val="20"/>
          <w:lang w:eastAsia="sl-SI"/>
        </w:rPr>
        <w:t>akon</w:t>
      </w:r>
      <w:r>
        <w:rPr>
          <w:rFonts w:eastAsia="Times New Roman" w:cs="Arial"/>
          <w:szCs w:val="20"/>
          <w:lang w:eastAsia="sl-SI"/>
        </w:rPr>
        <w:t>a</w:t>
      </w:r>
      <w:r w:rsidR="008C2764" w:rsidRPr="008C2764">
        <w:rPr>
          <w:rFonts w:eastAsia="Times New Roman" w:cs="Arial"/>
          <w:szCs w:val="20"/>
          <w:lang w:eastAsia="sl-SI"/>
        </w:rPr>
        <w:t xml:space="preserve"> bo imel določene posledice za:</w:t>
      </w:r>
    </w:p>
    <w:p w14:paraId="67A23DBC" w14:textId="042F1314" w:rsidR="008C2764" w:rsidRPr="008C2764" w:rsidRDefault="008C2764" w:rsidP="008C2764">
      <w:pPr>
        <w:pStyle w:val="Odstavekseznama"/>
        <w:numPr>
          <w:ilvl w:val="0"/>
          <w:numId w:val="66"/>
        </w:numPr>
        <w:overflowPunct w:val="0"/>
        <w:autoSpaceDE w:val="0"/>
        <w:autoSpaceDN w:val="0"/>
        <w:adjustRightInd w:val="0"/>
        <w:spacing w:after="0" w:line="260" w:lineRule="exact"/>
        <w:textAlignment w:val="baseline"/>
        <w:rPr>
          <w:rFonts w:eastAsia="Times New Roman" w:cs="Arial"/>
          <w:szCs w:val="20"/>
          <w:lang w:eastAsia="sl-SI"/>
        </w:rPr>
      </w:pPr>
      <w:r w:rsidRPr="008C2764">
        <w:rPr>
          <w:rFonts w:eastAsia="Times New Roman" w:cs="Arial"/>
          <w:szCs w:val="20"/>
          <w:lang w:eastAsia="sl-SI"/>
        </w:rPr>
        <w:t>operaterja trga, ki bo izvajal javne pozive, obdeloval vloge, izdajal odločbe, izvajal poračune, vodil evidence in pripravljal poročila,</w:t>
      </w:r>
    </w:p>
    <w:p w14:paraId="56274EE8" w14:textId="1CBFB89F" w:rsidR="008C2764" w:rsidRPr="008C2764" w:rsidRDefault="008C2764" w:rsidP="008C2764">
      <w:pPr>
        <w:pStyle w:val="Odstavekseznama"/>
        <w:numPr>
          <w:ilvl w:val="0"/>
          <w:numId w:val="66"/>
        </w:numPr>
        <w:overflowPunct w:val="0"/>
        <w:autoSpaceDE w:val="0"/>
        <w:autoSpaceDN w:val="0"/>
        <w:adjustRightInd w:val="0"/>
        <w:spacing w:after="0" w:line="260" w:lineRule="exact"/>
        <w:textAlignment w:val="baseline"/>
        <w:rPr>
          <w:rFonts w:eastAsia="Times New Roman" w:cs="Arial"/>
          <w:szCs w:val="20"/>
          <w:lang w:eastAsia="sl-SI"/>
        </w:rPr>
      </w:pPr>
      <w:r w:rsidRPr="008C2764">
        <w:rPr>
          <w:rFonts w:eastAsia="Times New Roman" w:cs="Arial"/>
          <w:szCs w:val="20"/>
          <w:lang w:eastAsia="sl-SI"/>
        </w:rPr>
        <w:t>ministrstvo, pristojno za energijo, in ministrstvo, pristojno za finance, ki bosta sodelovala pri pripravi sklepov vlade, spremljanju izvajanja ukrepa in poročanju,</w:t>
      </w:r>
    </w:p>
    <w:p w14:paraId="3D0AEC8E" w14:textId="50C35000" w:rsidR="008C2764" w:rsidRPr="008C2764" w:rsidRDefault="008C2764" w:rsidP="008C2764">
      <w:pPr>
        <w:pStyle w:val="Odstavekseznama"/>
        <w:numPr>
          <w:ilvl w:val="0"/>
          <w:numId w:val="66"/>
        </w:numPr>
        <w:overflowPunct w:val="0"/>
        <w:autoSpaceDE w:val="0"/>
        <w:autoSpaceDN w:val="0"/>
        <w:adjustRightInd w:val="0"/>
        <w:spacing w:after="0" w:line="260" w:lineRule="exact"/>
        <w:textAlignment w:val="baseline"/>
        <w:rPr>
          <w:rFonts w:eastAsia="Times New Roman" w:cs="Arial"/>
          <w:szCs w:val="20"/>
          <w:lang w:eastAsia="sl-SI"/>
        </w:rPr>
      </w:pPr>
      <w:r w:rsidRPr="008C2764">
        <w:rPr>
          <w:rFonts w:eastAsia="Times New Roman" w:cs="Arial"/>
          <w:szCs w:val="20"/>
          <w:lang w:eastAsia="sl-SI"/>
        </w:rPr>
        <w:t>inšpektorat, pristojen za energijo, ki bo izvajal nadzor nad izpolnjevanjem določb zakona.</w:t>
      </w:r>
    </w:p>
    <w:p w14:paraId="0FFD4886" w14:textId="2F9C9D80" w:rsidR="00BB5F14" w:rsidRDefault="008C2764" w:rsidP="008C2764">
      <w:pPr>
        <w:overflowPunct w:val="0"/>
        <w:autoSpaceDE w:val="0"/>
        <w:autoSpaceDN w:val="0"/>
        <w:adjustRightInd w:val="0"/>
        <w:spacing w:after="0" w:line="260" w:lineRule="exact"/>
        <w:textAlignment w:val="baseline"/>
        <w:rPr>
          <w:rFonts w:eastAsia="Times New Roman" w:cs="Arial"/>
          <w:szCs w:val="20"/>
          <w:lang w:eastAsia="sl-SI"/>
        </w:rPr>
      </w:pPr>
      <w:r w:rsidRPr="008C2764">
        <w:rPr>
          <w:rFonts w:eastAsia="Times New Roman" w:cs="Arial"/>
          <w:szCs w:val="20"/>
          <w:lang w:eastAsia="sl-SI"/>
        </w:rPr>
        <w:t xml:space="preserve">Za te organe se pričakuje zmerno povečanje obsega dela, ki pa je omejeno v času in št. upravičencev. </w:t>
      </w:r>
      <w:r w:rsidR="0037183D">
        <w:rPr>
          <w:rFonts w:eastAsia="Times New Roman" w:cs="Arial"/>
          <w:szCs w:val="20"/>
          <w:lang w:eastAsia="sl-SI"/>
        </w:rPr>
        <w:t>Predlog z</w:t>
      </w:r>
      <w:r w:rsidRPr="008C2764">
        <w:rPr>
          <w:rFonts w:eastAsia="Times New Roman" w:cs="Arial"/>
          <w:szCs w:val="20"/>
          <w:lang w:eastAsia="sl-SI"/>
        </w:rPr>
        <w:t>akon</w:t>
      </w:r>
      <w:r w:rsidR="0037183D">
        <w:rPr>
          <w:rFonts w:eastAsia="Times New Roman" w:cs="Arial"/>
          <w:szCs w:val="20"/>
          <w:lang w:eastAsia="sl-SI"/>
        </w:rPr>
        <w:t>a</w:t>
      </w:r>
      <w:r w:rsidRPr="008C2764">
        <w:rPr>
          <w:rFonts w:eastAsia="Times New Roman" w:cs="Arial"/>
          <w:szCs w:val="20"/>
          <w:lang w:eastAsia="sl-SI"/>
        </w:rPr>
        <w:t xml:space="preserve"> predvideva tudi namensko nadomestilo operaterju trga za stroške izvajanja ukrepa.</w:t>
      </w:r>
    </w:p>
    <w:p w14:paraId="1B379799" w14:textId="77777777" w:rsidR="00BB5F14" w:rsidRDefault="00BB5F14" w:rsidP="008C2764">
      <w:pPr>
        <w:overflowPunct w:val="0"/>
        <w:autoSpaceDE w:val="0"/>
        <w:autoSpaceDN w:val="0"/>
        <w:adjustRightInd w:val="0"/>
        <w:spacing w:after="0" w:line="260" w:lineRule="exact"/>
        <w:textAlignment w:val="baseline"/>
        <w:rPr>
          <w:rFonts w:eastAsia="Times New Roman" w:cs="Arial"/>
          <w:szCs w:val="20"/>
          <w:lang w:eastAsia="sl-SI"/>
        </w:rPr>
      </w:pPr>
    </w:p>
    <w:p w14:paraId="138912CF" w14:textId="02D407B0" w:rsidR="008C2A0A" w:rsidRPr="00620790" w:rsidRDefault="009F54B1" w:rsidP="008C2764">
      <w:pPr>
        <w:overflowPunct w:val="0"/>
        <w:autoSpaceDE w:val="0"/>
        <w:autoSpaceDN w:val="0"/>
        <w:adjustRightInd w:val="0"/>
        <w:spacing w:after="0" w:line="260" w:lineRule="exact"/>
        <w:textAlignment w:val="baseline"/>
        <w:rPr>
          <w:rFonts w:eastAsia="Times New Roman" w:cs="Arial"/>
          <w:b/>
          <w:szCs w:val="20"/>
          <w:lang w:eastAsia="sl-SI"/>
        </w:rPr>
      </w:pPr>
      <w:r w:rsidRPr="00620790">
        <w:rPr>
          <w:rFonts w:eastAsia="Times New Roman" w:cs="Arial"/>
          <w:b/>
          <w:szCs w:val="20"/>
          <w:lang w:eastAsia="sl-SI"/>
        </w:rPr>
        <w:t xml:space="preserve">b) pri obveznostih strank do javne </w:t>
      </w:r>
      <w:r w:rsidR="008C2A0A" w:rsidRPr="00620790">
        <w:rPr>
          <w:rFonts w:eastAsia="Times New Roman" w:cs="Arial"/>
          <w:b/>
          <w:szCs w:val="20"/>
          <w:lang w:eastAsia="sl-SI"/>
        </w:rPr>
        <w:t>uprave ali pravosodnih organov:</w:t>
      </w:r>
    </w:p>
    <w:p w14:paraId="6709CBDA" w14:textId="2D7B246B" w:rsidR="00D9263E" w:rsidRPr="00D9263E" w:rsidRDefault="00D9263E" w:rsidP="008C2A0A">
      <w:pPr>
        <w:overflowPunct w:val="0"/>
        <w:autoSpaceDE w:val="0"/>
        <w:autoSpaceDN w:val="0"/>
        <w:adjustRightInd w:val="0"/>
        <w:spacing w:after="0" w:line="260" w:lineRule="exact"/>
        <w:textAlignment w:val="baseline"/>
        <w:rPr>
          <w:rFonts w:eastAsia="Times New Roman" w:cs="Arial"/>
          <w:bCs/>
          <w:szCs w:val="20"/>
          <w:lang w:eastAsia="sl-SI"/>
        </w:rPr>
      </w:pPr>
      <w:r w:rsidRPr="00D9263E">
        <w:rPr>
          <w:rFonts w:eastAsia="Times New Roman" w:cs="Arial"/>
          <w:bCs/>
          <w:szCs w:val="20"/>
          <w:lang w:eastAsia="sl-SI"/>
        </w:rPr>
        <w:lastRenderedPageBreak/>
        <w:t xml:space="preserve">Predlog zakona nima administrativnih posledic pri obveznostih strank do javne uprave ali pravosodnih organov. </w:t>
      </w:r>
    </w:p>
    <w:p w14:paraId="7A05702B" w14:textId="142D8227" w:rsidR="00D038BC" w:rsidRPr="00620790" w:rsidRDefault="00D038BC" w:rsidP="008C2A0A">
      <w:pPr>
        <w:overflowPunct w:val="0"/>
        <w:autoSpaceDE w:val="0"/>
        <w:autoSpaceDN w:val="0"/>
        <w:adjustRightInd w:val="0"/>
        <w:spacing w:after="0" w:line="260" w:lineRule="exact"/>
        <w:textAlignment w:val="baseline"/>
        <w:rPr>
          <w:rFonts w:eastAsia="Times New Roman" w:cs="Arial"/>
          <w:b/>
          <w:szCs w:val="20"/>
          <w:lang w:eastAsia="sl-SI"/>
        </w:rPr>
      </w:pPr>
    </w:p>
    <w:p w14:paraId="33E11169" w14:textId="3367A8B5"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6.2 Presoja posledic za okolje, vključno s prostorskimi in varstvenimi vidiki, in sicer za:</w:t>
      </w:r>
    </w:p>
    <w:p w14:paraId="5C3B5589" w14:textId="77777777" w:rsidR="00BB5F14" w:rsidRPr="00BB5F14" w:rsidRDefault="00BB5F14" w:rsidP="00BB5F14">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BB5F14">
        <w:rPr>
          <w:rFonts w:eastAsia="Times New Roman" w:cs="Arial"/>
          <w:szCs w:val="20"/>
          <w:lang w:eastAsia="sl-SI"/>
        </w:rPr>
        <w:t>Zaradi obveznosti, da upravičenci najmanj 50 % prejetih spodbud investirajo v naložbe v razogljičenje, se pričakuje pozitiven okoljski učinek, zlasti:</w:t>
      </w:r>
    </w:p>
    <w:p w14:paraId="6B4D4873" w14:textId="43002157" w:rsidR="00BB5F14" w:rsidRPr="00BB5F14" w:rsidRDefault="00BB5F14" w:rsidP="00BB5F14">
      <w:pPr>
        <w:pStyle w:val="Odstavekseznama"/>
        <w:numPr>
          <w:ilvl w:val="0"/>
          <w:numId w:val="67"/>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BB5F14">
        <w:rPr>
          <w:rFonts w:eastAsia="Times New Roman" w:cs="Arial"/>
          <w:szCs w:val="20"/>
          <w:lang w:eastAsia="sl-SI"/>
        </w:rPr>
        <w:t>povečanje proizvodnje električne energije iz obnovljivih virov za lastne potrebe upravičencev,</w:t>
      </w:r>
    </w:p>
    <w:p w14:paraId="0EE16242" w14:textId="7C212DBA" w:rsidR="00BB5F14" w:rsidRPr="00BB5F14" w:rsidRDefault="00BB5F14" w:rsidP="00BB5F14">
      <w:pPr>
        <w:pStyle w:val="Odstavekseznama"/>
        <w:numPr>
          <w:ilvl w:val="0"/>
          <w:numId w:val="67"/>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BB5F14">
        <w:rPr>
          <w:rFonts w:eastAsia="Times New Roman" w:cs="Arial"/>
          <w:szCs w:val="20"/>
          <w:lang w:eastAsia="sl-SI"/>
        </w:rPr>
        <w:t>povečanje energetske učinkovitosti in s tem zmanjšanje porabe električne energije,</w:t>
      </w:r>
    </w:p>
    <w:p w14:paraId="778348D4" w14:textId="770D1CD8" w:rsidR="00BB5F14" w:rsidRPr="00BB5F14" w:rsidRDefault="00BB5F14" w:rsidP="00BB5F14">
      <w:pPr>
        <w:pStyle w:val="Odstavekseznama"/>
        <w:numPr>
          <w:ilvl w:val="0"/>
          <w:numId w:val="67"/>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BB5F14">
        <w:rPr>
          <w:rFonts w:eastAsia="Times New Roman" w:cs="Arial"/>
          <w:szCs w:val="20"/>
          <w:lang w:eastAsia="sl-SI"/>
        </w:rPr>
        <w:t>zamenjava fosilnih goriv z elektrifikacijo procesov,</w:t>
      </w:r>
    </w:p>
    <w:p w14:paraId="028DD878" w14:textId="07DD9DFC" w:rsidR="00BB5F14" w:rsidRPr="00BB5F14" w:rsidRDefault="00BB5F14" w:rsidP="00BB5F14">
      <w:pPr>
        <w:pStyle w:val="Odstavekseznama"/>
        <w:numPr>
          <w:ilvl w:val="0"/>
          <w:numId w:val="67"/>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BB5F14">
        <w:rPr>
          <w:rFonts w:eastAsia="Times New Roman" w:cs="Arial"/>
          <w:szCs w:val="20"/>
          <w:lang w:eastAsia="sl-SI"/>
        </w:rPr>
        <w:t>razvoj in uporaba obnovljivega ali nizkoogljičnega vodika,</w:t>
      </w:r>
    </w:p>
    <w:p w14:paraId="16B612FE" w14:textId="05266CB1" w:rsidR="00BB5F14" w:rsidRPr="00BB5F14" w:rsidRDefault="00BB5F14" w:rsidP="00BB5F14">
      <w:pPr>
        <w:pStyle w:val="Odstavekseznama"/>
        <w:numPr>
          <w:ilvl w:val="0"/>
          <w:numId w:val="67"/>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BB5F14">
        <w:rPr>
          <w:rFonts w:eastAsia="Times New Roman" w:cs="Arial"/>
          <w:szCs w:val="20"/>
          <w:lang w:eastAsia="sl-SI"/>
        </w:rPr>
        <w:t>zmanjšanje emisij toplogrednih plinov in drugih onesnaževal.</w:t>
      </w:r>
    </w:p>
    <w:p w14:paraId="0D93504C" w14:textId="24200A03" w:rsidR="00784DDE" w:rsidRPr="00620790" w:rsidRDefault="0037183D" w:rsidP="00BB5F14">
      <w:pPr>
        <w:suppressAutoHyphens/>
        <w:overflowPunct w:val="0"/>
        <w:autoSpaceDE w:val="0"/>
        <w:autoSpaceDN w:val="0"/>
        <w:adjustRightInd w:val="0"/>
        <w:spacing w:after="0" w:line="260" w:lineRule="exact"/>
        <w:textAlignment w:val="baseline"/>
        <w:rPr>
          <w:rFonts w:eastAsia="Times New Roman" w:cs="Arial"/>
          <w:szCs w:val="20"/>
          <w:lang w:eastAsia="sl-SI"/>
        </w:rPr>
      </w:pPr>
      <w:r>
        <w:rPr>
          <w:rFonts w:eastAsia="Times New Roman" w:cs="Arial"/>
          <w:szCs w:val="20"/>
          <w:lang w:eastAsia="sl-SI"/>
        </w:rPr>
        <w:t>Predlog z</w:t>
      </w:r>
      <w:r w:rsidR="00BB5F14" w:rsidRPr="00BB5F14">
        <w:rPr>
          <w:rFonts w:eastAsia="Times New Roman" w:cs="Arial"/>
          <w:szCs w:val="20"/>
          <w:lang w:eastAsia="sl-SI"/>
        </w:rPr>
        <w:t>akon</w:t>
      </w:r>
      <w:r>
        <w:rPr>
          <w:rFonts w:eastAsia="Times New Roman" w:cs="Arial"/>
          <w:szCs w:val="20"/>
          <w:lang w:eastAsia="sl-SI"/>
        </w:rPr>
        <w:t>a</w:t>
      </w:r>
      <w:r w:rsidR="00BB5F14" w:rsidRPr="00BB5F14">
        <w:rPr>
          <w:rFonts w:eastAsia="Times New Roman" w:cs="Arial"/>
          <w:szCs w:val="20"/>
          <w:lang w:eastAsia="sl-SI"/>
        </w:rPr>
        <w:t xml:space="preserve"> je tako usmerjen ne le v kratkoročno blaženje stroškov, temveč tudi v dolgoročno zmanjševanje odvisnosti od fosilnih goriv in prispevek k ciljem podnebne politike Republike Slovenije in Evropske unije.</w:t>
      </w:r>
    </w:p>
    <w:p w14:paraId="07A547EE" w14:textId="77777777" w:rsidR="00FC0C5C" w:rsidRDefault="00FC0C5C"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
    <w:p w14:paraId="47212D47" w14:textId="4688C2C8"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6.3 Presoja posledic za gospodarstvo, in sicer za:</w:t>
      </w:r>
    </w:p>
    <w:p w14:paraId="09B593FE" w14:textId="7C2CEDF4" w:rsidR="00FC0C5C" w:rsidRPr="00FC0C5C" w:rsidRDefault="0037183D" w:rsidP="00FC0C5C">
      <w:pPr>
        <w:suppressAutoHyphens/>
        <w:overflowPunct w:val="0"/>
        <w:autoSpaceDE w:val="0"/>
        <w:autoSpaceDN w:val="0"/>
        <w:adjustRightInd w:val="0"/>
        <w:spacing w:after="0" w:line="260" w:lineRule="exact"/>
        <w:textAlignment w:val="baseline"/>
        <w:rPr>
          <w:rFonts w:eastAsia="Times New Roman" w:cs="Arial"/>
          <w:szCs w:val="20"/>
          <w:lang w:eastAsia="sl-SI"/>
        </w:rPr>
      </w:pPr>
      <w:r>
        <w:rPr>
          <w:rFonts w:eastAsia="Times New Roman" w:cs="Arial"/>
          <w:szCs w:val="20"/>
          <w:lang w:eastAsia="sl-SI"/>
        </w:rPr>
        <w:t>Predlog z</w:t>
      </w:r>
      <w:r w:rsidR="00FC0C5C" w:rsidRPr="00FC0C5C">
        <w:rPr>
          <w:rFonts w:eastAsia="Times New Roman" w:cs="Arial"/>
          <w:szCs w:val="20"/>
          <w:lang w:eastAsia="sl-SI"/>
        </w:rPr>
        <w:t>akon</w:t>
      </w:r>
      <w:r>
        <w:rPr>
          <w:rFonts w:eastAsia="Times New Roman" w:cs="Arial"/>
          <w:szCs w:val="20"/>
          <w:lang w:eastAsia="sl-SI"/>
        </w:rPr>
        <w:t>a</w:t>
      </w:r>
      <w:r w:rsidR="00FC0C5C" w:rsidRPr="00FC0C5C">
        <w:rPr>
          <w:rFonts w:eastAsia="Times New Roman" w:cs="Arial"/>
          <w:szCs w:val="20"/>
          <w:lang w:eastAsia="sl-SI"/>
        </w:rPr>
        <w:t xml:space="preserve"> bo imel pomembne pozitivne gospodarske učinke, zlasti v sektorjih:</w:t>
      </w:r>
    </w:p>
    <w:p w14:paraId="15FB35B1" w14:textId="517C5BF1" w:rsidR="00FC0C5C" w:rsidRPr="00FC0C5C" w:rsidRDefault="00FC0C5C" w:rsidP="00FC0C5C">
      <w:pPr>
        <w:pStyle w:val="Odstavekseznama"/>
        <w:numPr>
          <w:ilvl w:val="0"/>
          <w:numId w:val="68"/>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FC0C5C">
        <w:rPr>
          <w:rFonts w:eastAsia="Times New Roman" w:cs="Arial"/>
          <w:szCs w:val="20"/>
          <w:lang w:eastAsia="sl-SI"/>
        </w:rPr>
        <w:t>z visoko porabo električne energije,</w:t>
      </w:r>
    </w:p>
    <w:p w14:paraId="6147868A" w14:textId="5F535C5F" w:rsidR="00FC0C5C" w:rsidRPr="00FC0C5C" w:rsidRDefault="00FC0C5C" w:rsidP="00FC0C5C">
      <w:pPr>
        <w:pStyle w:val="Odstavekseznama"/>
        <w:numPr>
          <w:ilvl w:val="0"/>
          <w:numId w:val="68"/>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FC0C5C">
        <w:rPr>
          <w:rFonts w:eastAsia="Times New Roman" w:cs="Arial"/>
          <w:szCs w:val="20"/>
          <w:lang w:eastAsia="sl-SI"/>
        </w:rPr>
        <w:t>z velikim deležem izvoza in</w:t>
      </w:r>
    </w:p>
    <w:p w14:paraId="100141AA" w14:textId="435B5E5D" w:rsidR="00FC0C5C" w:rsidRPr="00FC0C5C" w:rsidRDefault="00FC0C5C" w:rsidP="00FC0C5C">
      <w:pPr>
        <w:pStyle w:val="Odstavekseznama"/>
        <w:numPr>
          <w:ilvl w:val="0"/>
          <w:numId w:val="68"/>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FC0C5C">
        <w:rPr>
          <w:rFonts w:eastAsia="Times New Roman" w:cs="Arial"/>
          <w:szCs w:val="20"/>
          <w:lang w:eastAsia="sl-SI"/>
        </w:rPr>
        <w:t>s pomembno vlogo v dobavnih verigah.</w:t>
      </w:r>
    </w:p>
    <w:p w14:paraId="1B40CEF5" w14:textId="77777777" w:rsidR="00FC0C5C" w:rsidRPr="00CA4854" w:rsidRDefault="00FC0C5C" w:rsidP="007A5FA7">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CA4854">
        <w:rPr>
          <w:rFonts w:eastAsia="Times New Roman" w:cs="Arial"/>
          <w:szCs w:val="20"/>
          <w:lang w:eastAsia="sl-SI"/>
        </w:rPr>
        <w:t>Zagotavljanje delnega blaženja stroškov električne energije bo:</w:t>
      </w:r>
    </w:p>
    <w:p w14:paraId="20504953" w14:textId="0C53FEE5" w:rsidR="00FC0C5C" w:rsidRPr="00FC0C5C" w:rsidRDefault="00FC0C5C" w:rsidP="00FC0C5C">
      <w:pPr>
        <w:pStyle w:val="Odstavekseznama"/>
        <w:numPr>
          <w:ilvl w:val="0"/>
          <w:numId w:val="68"/>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FC0C5C">
        <w:rPr>
          <w:rFonts w:eastAsia="Times New Roman" w:cs="Arial"/>
          <w:szCs w:val="20"/>
          <w:lang w:eastAsia="sl-SI"/>
        </w:rPr>
        <w:t>omogočilo ohranjanje proizvodnje in delovnih mest,</w:t>
      </w:r>
    </w:p>
    <w:p w14:paraId="4319B118" w14:textId="579E456A" w:rsidR="00FC0C5C" w:rsidRPr="00FC0C5C" w:rsidRDefault="00FC0C5C" w:rsidP="00FC0C5C">
      <w:pPr>
        <w:pStyle w:val="Odstavekseznama"/>
        <w:numPr>
          <w:ilvl w:val="0"/>
          <w:numId w:val="68"/>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FC0C5C">
        <w:rPr>
          <w:rFonts w:eastAsia="Times New Roman" w:cs="Arial"/>
          <w:szCs w:val="20"/>
          <w:lang w:eastAsia="sl-SI"/>
        </w:rPr>
        <w:t>zmanjšalo tveganje selitve proizvodnje v države z nižjimi stroški energije ali manj strogimi okoljskimi standardi,</w:t>
      </w:r>
    </w:p>
    <w:p w14:paraId="4BABCB8C" w14:textId="43D8D9F7" w:rsidR="00FC0C5C" w:rsidRPr="00FC0C5C" w:rsidRDefault="00FC0C5C" w:rsidP="00FC0C5C">
      <w:pPr>
        <w:pStyle w:val="Odstavekseznama"/>
        <w:numPr>
          <w:ilvl w:val="0"/>
          <w:numId w:val="68"/>
        </w:numPr>
        <w:suppressAutoHyphens/>
        <w:overflowPunct w:val="0"/>
        <w:autoSpaceDE w:val="0"/>
        <w:autoSpaceDN w:val="0"/>
        <w:adjustRightInd w:val="0"/>
        <w:spacing w:after="0" w:line="260" w:lineRule="exact"/>
        <w:textAlignment w:val="baseline"/>
        <w:rPr>
          <w:rFonts w:eastAsia="Times New Roman" w:cs="Arial"/>
          <w:szCs w:val="20"/>
          <w:lang w:eastAsia="sl-SI"/>
        </w:rPr>
      </w:pPr>
      <w:r w:rsidRPr="00FC0C5C">
        <w:rPr>
          <w:rFonts w:eastAsia="Times New Roman" w:cs="Arial"/>
          <w:szCs w:val="20"/>
          <w:lang w:eastAsia="sl-SI"/>
        </w:rPr>
        <w:t>prispevalo k stabilnejšemu investicijskemu okolju za nova vlaganja v proizvodne kapacitete in razogljičenje.</w:t>
      </w:r>
    </w:p>
    <w:p w14:paraId="4FBB64EF" w14:textId="77777777" w:rsidR="003A46D4" w:rsidRPr="00620790" w:rsidRDefault="003A46D4" w:rsidP="00E06ED0">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156011ED" w14:textId="20566007"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6.4 Presoja posledic za socialno področje, in sicer za:</w:t>
      </w:r>
    </w:p>
    <w:p w14:paraId="447AE58C" w14:textId="44AA8EAE" w:rsidR="00F07E0B" w:rsidRPr="00F07E0B" w:rsidRDefault="0037183D" w:rsidP="00F07E0B">
      <w:pPr>
        <w:suppressAutoHyphens/>
        <w:overflowPunct w:val="0"/>
        <w:autoSpaceDE w:val="0"/>
        <w:autoSpaceDN w:val="0"/>
        <w:adjustRightInd w:val="0"/>
        <w:spacing w:after="0" w:line="260" w:lineRule="exact"/>
        <w:textAlignment w:val="baseline"/>
        <w:outlineLvl w:val="3"/>
        <w:rPr>
          <w:rFonts w:eastAsia="Times New Roman" w:cs="Arial"/>
          <w:szCs w:val="20"/>
          <w:lang w:eastAsia="sl-SI"/>
        </w:rPr>
      </w:pPr>
      <w:r>
        <w:rPr>
          <w:rFonts w:eastAsia="Times New Roman" w:cs="Arial"/>
          <w:szCs w:val="20"/>
          <w:lang w:eastAsia="sl-SI"/>
        </w:rPr>
        <w:t>Predlog z</w:t>
      </w:r>
      <w:r w:rsidR="00F07E0B" w:rsidRPr="00F07E0B">
        <w:rPr>
          <w:rFonts w:eastAsia="Times New Roman" w:cs="Arial"/>
          <w:szCs w:val="20"/>
          <w:lang w:eastAsia="sl-SI"/>
        </w:rPr>
        <w:t>akon</w:t>
      </w:r>
      <w:r>
        <w:rPr>
          <w:rFonts w:eastAsia="Times New Roman" w:cs="Arial"/>
          <w:szCs w:val="20"/>
          <w:lang w:eastAsia="sl-SI"/>
        </w:rPr>
        <w:t>a</w:t>
      </w:r>
      <w:r w:rsidR="00F07E0B" w:rsidRPr="00F07E0B">
        <w:rPr>
          <w:rFonts w:eastAsia="Times New Roman" w:cs="Arial"/>
          <w:szCs w:val="20"/>
          <w:lang w:eastAsia="sl-SI"/>
        </w:rPr>
        <w:t xml:space="preserve"> ne posega neposredno v pravice posameznikov, temveč prek gospodarskih učinkov prispeva k stabilnosti zaposlovanja in socialni varnosti.</w:t>
      </w:r>
      <w:r w:rsidR="00F07E0B">
        <w:rPr>
          <w:rFonts w:eastAsia="Times New Roman" w:cs="Arial"/>
          <w:szCs w:val="20"/>
          <w:lang w:eastAsia="sl-SI"/>
        </w:rPr>
        <w:t xml:space="preserve"> </w:t>
      </w:r>
      <w:r w:rsidR="005544E2">
        <w:rPr>
          <w:rFonts w:eastAsia="Times New Roman" w:cs="Arial"/>
          <w:szCs w:val="20"/>
          <w:lang w:eastAsia="sl-SI"/>
        </w:rPr>
        <w:t xml:space="preserve">S spodbujanjem </w:t>
      </w:r>
      <w:r w:rsidR="00F07E0B" w:rsidRPr="00F07E0B">
        <w:rPr>
          <w:rFonts w:eastAsia="Times New Roman" w:cs="Arial"/>
          <w:szCs w:val="20"/>
          <w:lang w:eastAsia="sl-SI"/>
        </w:rPr>
        <w:t>konkurenčnosti elektrointenzivnih podjetij se posredn</w:t>
      </w:r>
      <w:r w:rsidR="00F07E0B">
        <w:rPr>
          <w:rFonts w:eastAsia="Times New Roman" w:cs="Arial"/>
          <w:szCs w:val="20"/>
          <w:lang w:eastAsia="sl-SI"/>
        </w:rPr>
        <w:t xml:space="preserve">o </w:t>
      </w:r>
      <w:r w:rsidR="00F07E0B" w:rsidRPr="00F07E0B">
        <w:rPr>
          <w:rFonts w:eastAsia="Times New Roman" w:cs="Arial"/>
          <w:szCs w:val="20"/>
          <w:lang w:eastAsia="sl-SI"/>
        </w:rPr>
        <w:t>ohranjajo delovna mesta v energetsko intenzivni industriji in povezanih dejavnostih,</w:t>
      </w:r>
      <w:r w:rsidR="00F07E0B">
        <w:rPr>
          <w:rFonts w:eastAsia="Times New Roman" w:cs="Arial"/>
          <w:szCs w:val="20"/>
          <w:lang w:eastAsia="sl-SI"/>
        </w:rPr>
        <w:t xml:space="preserve"> ter </w:t>
      </w:r>
      <w:r w:rsidR="00F07E0B" w:rsidRPr="00F07E0B">
        <w:rPr>
          <w:rFonts w:eastAsia="Times New Roman" w:cs="Arial"/>
          <w:szCs w:val="20"/>
          <w:lang w:eastAsia="sl-SI"/>
        </w:rPr>
        <w:t>zmanjšuje tveganje socialnih in regionalnih negativnih učinkov, povezanih z morebitnim zapiranjem obratov, zlasti v regijah, kjer je industrija ključni del lokalnega gospodarstva.</w:t>
      </w:r>
    </w:p>
    <w:p w14:paraId="78A8D5C7" w14:textId="77777777" w:rsidR="00F07E0B" w:rsidRDefault="00F07E0B" w:rsidP="00F07E0B">
      <w:pPr>
        <w:suppressAutoHyphens/>
        <w:overflowPunct w:val="0"/>
        <w:autoSpaceDE w:val="0"/>
        <w:autoSpaceDN w:val="0"/>
        <w:adjustRightInd w:val="0"/>
        <w:spacing w:after="0" w:line="260" w:lineRule="exact"/>
        <w:textAlignment w:val="baseline"/>
        <w:outlineLvl w:val="3"/>
        <w:rPr>
          <w:rFonts w:eastAsia="Times New Roman" w:cs="Arial"/>
          <w:szCs w:val="20"/>
          <w:lang w:eastAsia="sl-SI"/>
        </w:rPr>
      </w:pPr>
    </w:p>
    <w:p w14:paraId="0B4924DB" w14:textId="188D1D46" w:rsidR="009F54B1" w:rsidRPr="00620790" w:rsidRDefault="009F54B1" w:rsidP="00F07E0B">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6.5 Presoja posledic za dokumente razvojnega načrtovanja, in sicer za:</w:t>
      </w:r>
    </w:p>
    <w:p w14:paraId="3ECD1AA2" w14:textId="1D99A825" w:rsidR="00E06ED0" w:rsidRPr="000403B5" w:rsidRDefault="00013E94" w:rsidP="009F54B1">
      <w:pPr>
        <w:overflowPunct w:val="0"/>
        <w:autoSpaceDE w:val="0"/>
        <w:autoSpaceDN w:val="0"/>
        <w:adjustRightInd w:val="0"/>
        <w:spacing w:line="260" w:lineRule="exact"/>
        <w:textAlignment w:val="baseline"/>
        <w:rPr>
          <w:rFonts w:eastAsia="Times New Roman" w:cs="Arial"/>
          <w:bCs/>
          <w:szCs w:val="20"/>
          <w:lang w:eastAsia="sl-SI"/>
        </w:rPr>
      </w:pPr>
      <w:r>
        <w:rPr>
          <w:rFonts w:eastAsia="Times New Roman" w:cs="Arial"/>
          <w:bCs/>
          <w:szCs w:val="20"/>
          <w:lang w:eastAsia="sl-SI"/>
        </w:rPr>
        <w:t>Predlog z</w:t>
      </w:r>
      <w:r w:rsidR="000403B5">
        <w:rPr>
          <w:rFonts w:eastAsia="Times New Roman" w:cs="Arial"/>
          <w:bCs/>
          <w:szCs w:val="20"/>
          <w:lang w:eastAsia="sl-SI"/>
        </w:rPr>
        <w:t>akon</w:t>
      </w:r>
      <w:r>
        <w:rPr>
          <w:rFonts w:eastAsia="Times New Roman" w:cs="Arial"/>
          <w:bCs/>
          <w:szCs w:val="20"/>
          <w:lang w:eastAsia="sl-SI"/>
        </w:rPr>
        <w:t>a</w:t>
      </w:r>
      <w:r w:rsidR="000403B5">
        <w:rPr>
          <w:rFonts w:eastAsia="Times New Roman" w:cs="Arial"/>
          <w:bCs/>
          <w:szCs w:val="20"/>
          <w:lang w:eastAsia="sl-SI"/>
        </w:rPr>
        <w:t xml:space="preserve"> ne bo imel neposrednih posledic na dokumente razvojnega načrtovanja.</w:t>
      </w:r>
    </w:p>
    <w:p w14:paraId="77AC7987" w14:textId="32FA138F" w:rsidR="009F54B1" w:rsidRPr="00620790" w:rsidRDefault="009F54B1" w:rsidP="009F54B1">
      <w:pPr>
        <w:overflowPunct w:val="0"/>
        <w:autoSpaceDE w:val="0"/>
        <w:autoSpaceDN w:val="0"/>
        <w:adjustRightInd w:val="0"/>
        <w:spacing w:line="260" w:lineRule="exact"/>
        <w:textAlignment w:val="baseline"/>
        <w:rPr>
          <w:rFonts w:eastAsia="Times New Roman" w:cs="Arial"/>
          <w:b/>
          <w:szCs w:val="20"/>
          <w:lang w:eastAsia="sl-SI"/>
        </w:rPr>
      </w:pPr>
      <w:r w:rsidRPr="00620790">
        <w:rPr>
          <w:rFonts w:eastAsia="Times New Roman" w:cs="Arial"/>
          <w:b/>
          <w:szCs w:val="20"/>
          <w:lang w:eastAsia="sl-SI"/>
        </w:rPr>
        <w:t>6.6 Presoja posledic za druga področja</w:t>
      </w:r>
    </w:p>
    <w:p w14:paraId="2EBF3378" w14:textId="2AD46065" w:rsidR="009F54B1" w:rsidRPr="00620790" w:rsidRDefault="00013E94" w:rsidP="009F54B1">
      <w:pPr>
        <w:overflowPunct w:val="0"/>
        <w:autoSpaceDE w:val="0"/>
        <w:autoSpaceDN w:val="0"/>
        <w:adjustRightInd w:val="0"/>
        <w:spacing w:line="260" w:lineRule="exact"/>
        <w:textAlignment w:val="baseline"/>
        <w:rPr>
          <w:rFonts w:eastAsia="Times New Roman" w:cs="Arial"/>
          <w:szCs w:val="20"/>
          <w:lang w:eastAsia="sl-SI"/>
        </w:rPr>
      </w:pPr>
      <w:r>
        <w:rPr>
          <w:rFonts w:eastAsia="Times New Roman" w:cs="Arial"/>
          <w:szCs w:val="20"/>
          <w:lang w:eastAsia="sl-SI"/>
        </w:rPr>
        <w:t>Predlog z</w:t>
      </w:r>
      <w:r w:rsidR="009504CA" w:rsidRPr="00620790">
        <w:rPr>
          <w:rFonts w:eastAsia="Times New Roman" w:cs="Arial"/>
          <w:szCs w:val="20"/>
          <w:lang w:eastAsia="sl-SI"/>
        </w:rPr>
        <w:t>akon</w:t>
      </w:r>
      <w:r>
        <w:rPr>
          <w:rFonts w:eastAsia="Times New Roman" w:cs="Arial"/>
          <w:szCs w:val="20"/>
          <w:lang w:eastAsia="sl-SI"/>
        </w:rPr>
        <w:t>a</w:t>
      </w:r>
      <w:r w:rsidR="009504CA" w:rsidRPr="00620790">
        <w:rPr>
          <w:rFonts w:eastAsia="Times New Roman" w:cs="Arial"/>
          <w:szCs w:val="20"/>
          <w:lang w:eastAsia="sl-SI"/>
        </w:rPr>
        <w:t xml:space="preserve"> ne bo imel posledic na drugih področjih.</w:t>
      </w:r>
    </w:p>
    <w:p w14:paraId="78264CFF" w14:textId="77777777"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6.7 Izvajanje sprejetega predpisa:</w:t>
      </w:r>
    </w:p>
    <w:p w14:paraId="7064BAA2" w14:textId="77777777" w:rsidR="009F54B1" w:rsidRPr="00620790" w:rsidRDefault="009F54B1" w:rsidP="005E0421">
      <w:pPr>
        <w:numPr>
          <w:ilvl w:val="0"/>
          <w:numId w:val="8"/>
        </w:numPr>
        <w:overflowPunct w:val="0"/>
        <w:autoSpaceDE w:val="0"/>
        <w:autoSpaceDN w:val="0"/>
        <w:adjustRightInd w:val="0"/>
        <w:spacing w:line="260" w:lineRule="exact"/>
        <w:textAlignment w:val="baseline"/>
        <w:rPr>
          <w:rFonts w:eastAsia="Times New Roman" w:cs="Arial"/>
          <w:szCs w:val="20"/>
          <w:lang w:eastAsia="sl-SI"/>
        </w:rPr>
      </w:pPr>
      <w:r w:rsidRPr="00620790">
        <w:rPr>
          <w:rFonts w:eastAsia="Times New Roman" w:cs="Arial"/>
          <w:szCs w:val="20"/>
          <w:lang w:eastAsia="sl-SI"/>
        </w:rPr>
        <w:t>Predstavitev sprejetega zakona:</w:t>
      </w:r>
    </w:p>
    <w:p w14:paraId="38A90D47" w14:textId="6CA9C0DE" w:rsidR="00B64152" w:rsidRPr="00620790" w:rsidRDefault="00F5378F" w:rsidP="009F54B1">
      <w:pPr>
        <w:overflowPunct w:val="0"/>
        <w:autoSpaceDE w:val="0"/>
        <w:autoSpaceDN w:val="0"/>
        <w:adjustRightInd w:val="0"/>
        <w:spacing w:line="276" w:lineRule="auto"/>
        <w:ind w:left="720"/>
        <w:textAlignment w:val="baseline"/>
        <w:rPr>
          <w:rFonts w:eastAsia="Times New Roman" w:cs="Arial"/>
          <w:szCs w:val="20"/>
          <w:lang w:eastAsia="sl-SI"/>
        </w:rPr>
      </w:pPr>
      <w:r w:rsidRPr="00620790">
        <w:rPr>
          <w:rFonts w:eastAsia="Times New Roman" w:cs="Arial"/>
          <w:szCs w:val="20"/>
          <w:lang w:eastAsia="sl-SI"/>
        </w:rPr>
        <w:t>Z</w:t>
      </w:r>
      <w:r w:rsidR="009F54B1" w:rsidRPr="00620790">
        <w:rPr>
          <w:rFonts w:eastAsia="Times New Roman" w:cs="Arial"/>
          <w:szCs w:val="20"/>
          <w:lang w:eastAsia="sl-SI"/>
        </w:rPr>
        <w:t>akon bo objavljen na spletni strani M</w:t>
      </w:r>
      <w:r w:rsidR="00A43767" w:rsidRPr="00620790">
        <w:rPr>
          <w:rFonts w:eastAsia="Times New Roman" w:cs="Arial"/>
          <w:szCs w:val="20"/>
          <w:lang w:eastAsia="sl-SI"/>
        </w:rPr>
        <w:t>OPE</w:t>
      </w:r>
      <w:r w:rsidR="009F54B1" w:rsidRPr="00620790">
        <w:rPr>
          <w:rFonts w:eastAsia="Times New Roman" w:cs="Arial"/>
          <w:szCs w:val="20"/>
          <w:lang w:eastAsia="sl-SI"/>
        </w:rPr>
        <w:t>. Posebn</w:t>
      </w:r>
      <w:r w:rsidR="00FF651F">
        <w:rPr>
          <w:rFonts w:eastAsia="Times New Roman" w:cs="Arial"/>
          <w:szCs w:val="20"/>
          <w:lang w:eastAsia="sl-SI"/>
        </w:rPr>
        <w:t xml:space="preserve">i dogodki niso predvideni. </w:t>
      </w:r>
    </w:p>
    <w:p w14:paraId="63383812" w14:textId="77777777" w:rsidR="009F54B1" w:rsidRPr="00620790" w:rsidRDefault="009F54B1" w:rsidP="005E0421">
      <w:pPr>
        <w:numPr>
          <w:ilvl w:val="0"/>
          <w:numId w:val="8"/>
        </w:numPr>
        <w:overflowPunct w:val="0"/>
        <w:autoSpaceDE w:val="0"/>
        <w:autoSpaceDN w:val="0"/>
        <w:adjustRightInd w:val="0"/>
        <w:spacing w:line="260" w:lineRule="exact"/>
        <w:textAlignment w:val="baseline"/>
        <w:rPr>
          <w:rFonts w:eastAsia="Times New Roman" w:cs="Arial"/>
          <w:szCs w:val="20"/>
          <w:lang w:eastAsia="sl-SI"/>
        </w:rPr>
      </w:pPr>
      <w:r w:rsidRPr="00620790">
        <w:rPr>
          <w:rFonts w:eastAsia="Times New Roman" w:cs="Arial"/>
          <w:szCs w:val="20"/>
          <w:lang w:eastAsia="sl-SI"/>
        </w:rPr>
        <w:t>Spremljanje izvajanja sprejetega predpisa:</w:t>
      </w:r>
    </w:p>
    <w:p w14:paraId="7ECC002C" w14:textId="6A87752E" w:rsidR="009F54B1" w:rsidRPr="00620790" w:rsidRDefault="00A862A7" w:rsidP="009F54B1">
      <w:pPr>
        <w:overflowPunct w:val="0"/>
        <w:autoSpaceDE w:val="0"/>
        <w:autoSpaceDN w:val="0"/>
        <w:adjustRightInd w:val="0"/>
        <w:spacing w:line="276" w:lineRule="auto"/>
        <w:ind w:left="360"/>
        <w:textAlignment w:val="baseline"/>
        <w:rPr>
          <w:rFonts w:eastAsia="Times New Roman" w:cs="Arial"/>
          <w:szCs w:val="20"/>
          <w:lang w:eastAsia="sl-SI"/>
        </w:rPr>
      </w:pPr>
      <w:r w:rsidRPr="00620790">
        <w:rPr>
          <w:rFonts w:eastAsia="Times New Roman" w:cs="Arial"/>
          <w:szCs w:val="20"/>
          <w:lang w:eastAsia="sl-SI"/>
        </w:rPr>
        <w:t>I</w:t>
      </w:r>
      <w:r w:rsidR="009F54B1" w:rsidRPr="00620790">
        <w:rPr>
          <w:rFonts w:eastAsia="Times New Roman" w:cs="Arial"/>
          <w:szCs w:val="20"/>
          <w:lang w:eastAsia="sl-SI"/>
        </w:rPr>
        <w:t xml:space="preserve">zvajanje zakona </w:t>
      </w:r>
      <w:r w:rsidRPr="00620790">
        <w:rPr>
          <w:rFonts w:eastAsia="Times New Roman" w:cs="Arial"/>
          <w:szCs w:val="20"/>
          <w:lang w:eastAsia="sl-SI"/>
        </w:rPr>
        <w:t>bo</w:t>
      </w:r>
      <w:r w:rsidR="009B6A89">
        <w:rPr>
          <w:rFonts w:eastAsia="Times New Roman" w:cs="Arial"/>
          <w:szCs w:val="20"/>
          <w:lang w:eastAsia="sl-SI"/>
        </w:rPr>
        <w:t xml:space="preserve"> spremljalo </w:t>
      </w:r>
      <w:r w:rsidRPr="00620790">
        <w:rPr>
          <w:rFonts w:eastAsia="Times New Roman" w:cs="Arial"/>
          <w:szCs w:val="20"/>
          <w:lang w:eastAsia="sl-SI"/>
        </w:rPr>
        <w:t>ministrstv</w:t>
      </w:r>
      <w:r w:rsidR="009B6A89">
        <w:rPr>
          <w:rFonts w:eastAsia="Times New Roman" w:cs="Arial"/>
          <w:szCs w:val="20"/>
          <w:lang w:eastAsia="sl-SI"/>
        </w:rPr>
        <w:t>o</w:t>
      </w:r>
      <w:r w:rsidRPr="00620790">
        <w:rPr>
          <w:rFonts w:eastAsia="Times New Roman" w:cs="Arial"/>
          <w:szCs w:val="20"/>
          <w:lang w:eastAsia="sl-SI"/>
        </w:rPr>
        <w:t>, pristojn</w:t>
      </w:r>
      <w:r w:rsidR="009B6A89">
        <w:rPr>
          <w:rFonts w:eastAsia="Times New Roman" w:cs="Arial"/>
          <w:szCs w:val="20"/>
          <w:lang w:eastAsia="sl-SI"/>
        </w:rPr>
        <w:t>o</w:t>
      </w:r>
      <w:r w:rsidRPr="00620790">
        <w:rPr>
          <w:rFonts w:eastAsia="Times New Roman" w:cs="Arial"/>
          <w:szCs w:val="20"/>
          <w:lang w:eastAsia="sl-SI"/>
        </w:rPr>
        <w:t xml:space="preserve"> za energijo</w:t>
      </w:r>
      <w:r w:rsidR="009B6A89">
        <w:rPr>
          <w:rFonts w:eastAsia="Times New Roman" w:cs="Arial"/>
          <w:szCs w:val="20"/>
          <w:lang w:eastAsia="sl-SI"/>
        </w:rPr>
        <w:t>.</w:t>
      </w:r>
      <w:r w:rsidR="009F54B1" w:rsidRPr="00620790">
        <w:rPr>
          <w:rFonts w:eastAsia="Times New Roman" w:cs="Arial"/>
          <w:szCs w:val="20"/>
          <w:lang w:eastAsia="sl-SI"/>
        </w:rPr>
        <w:t xml:space="preserve"> </w:t>
      </w:r>
    </w:p>
    <w:p w14:paraId="732F9EED" w14:textId="77777777"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6.8 Druge pomembne okoliščine v zvezi z vprašanji, ki jih ureja predlog zakona</w:t>
      </w:r>
    </w:p>
    <w:p w14:paraId="04F0EF8D" w14:textId="0A1043AE" w:rsidR="009F54B1" w:rsidRPr="00620790" w:rsidRDefault="00D9263E" w:rsidP="009F54B1">
      <w:pPr>
        <w:overflowPunct w:val="0"/>
        <w:autoSpaceDE w:val="0"/>
        <w:autoSpaceDN w:val="0"/>
        <w:adjustRightInd w:val="0"/>
        <w:spacing w:line="260" w:lineRule="exact"/>
        <w:ind w:left="709"/>
        <w:textAlignment w:val="baseline"/>
        <w:rPr>
          <w:rFonts w:eastAsia="Times New Roman" w:cs="Arial"/>
          <w:szCs w:val="20"/>
          <w:lang w:eastAsia="sl-SI"/>
        </w:rPr>
      </w:pPr>
      <w:r>
        <w:rPr>
          <w:rFonts w:eastAsia="Times New Roman" w:cs="Arial"/>
          <w:szCs w:val="20"/>
          <w:lang w:eastAsia="sl-SI"/>
        </w:rPr>
        <w:t>V zvezi z vprašanji, ki jih predlog zakona ureja, ni drugih pomembnih vprašanj.</w:t>
      </w:r>
    </w:p>
    <w:p w14:paraId="2A2294AB" w14:textId="60BB5325" w:rsidR="009F54B1" w:rsidRPr="00620790" w:rsidRDefault="009F54B1" w:rsidP="009F54B1">
      <w:pPr>
        <w:tabs>
          <w:tab w:val="left" w:pos="285"/>
        </w:tabs>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7. PRIKAZ SODELOVANJA JAVNOSTI PRI PRIPRAVI PREDLOGA ZAKONA:</w:t>
      </w:r>
    </w:p>
    <w:p w14:paraId="755CD352" w14:textId="50C7CFB0" w:rsidR="00B96395" w:rsidRPr="00B96395" w:rsidRDefault="00B96395" w:rsidP="00B96395">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B96395">
        <w:rPr>
          <w:rFonts w:eastAsia="Times New Roman" w:cs="Arial"/>
          <w:iCs/>
          <w:szCs w:val="20"/>
          <w:lang w:eastAsia="sl-SI"/>
        </w:rPr>
        <w:t xml:space="preserve">Gradivo je bilo v javni obravnavi objavljeno na e-demokraciji od </w:t>
      </w:r>
      <w:r w:rsidR="0045555C">
        <w:rPr>
          <w:rFonts w:eastAsia="Times New Roman" w:cs="Arial"/>
          <w:iCs/>
          <w:szCs w:val="20"/>
          <w:lang w:eastAsia="sl-SI"/>
        </w:rPr>
        <w:t>7</w:t>
      </w:r>
      <w:r w:rsidRPr="00B96395">
        <w:rPr>
          <w:rFonts w:eastAsia="Times New Roman" w:cs="Arial"/>
          <w:iCs/>
          <w:szCs w:val="20"/>
          <w:lang w:eastAsia="sl-SI"/>
        </w:rPr>
        <w:t>. 11. 2025 do 2</w:t>
      </w:r>
      <w:r w:rsidR="0045555C">
        <w:rPr>
          <w:rFonts w:eastAsia="Times New Roman" w:cs="Arial"/>
          <w:iCs/>
          <w:szCs w:val="20"/>
          <w:lang w:eastAsia="sl-SI"/>
        </w:rPr>
        <w:t>2</w:t>
      </w:r>
      <w:r w:rsidRPr="00B96395">
        <w:rPr>
          <w:rFonts w:eastAsia="Times New Roman" w:cs="Arial"/>
          <w:iCs/>
          <w:szCs w:val="20"/>
          <w:lang w:eastAsia="sl-SI"/>
        </w:rPr>
        <w:t>. 11. 2025. Objavljeno je tudi na Portalu energetika.</w:t>
      </w:r>
    </w:p>
    <w:p w14:paraId="0523EE26" w14:textId="77777777" w:rsidR="00B96395" w:rsidRPr="00B96395" w:rsidRDefault="00B96395" w:rsidP="00B96395">
      <w:pPr>
        <w:widowControl w:val="0"/>
        <w:overflowPunct w:val="0"/>
        <w:autoSpaceDE w:val="0"/>
        <w:autoSpaceDN w:val="0"/>
        <w:adjustRightInd w:val="0"/>
        <w:spacing w:after="0" w:line="260" w:lineRule="exact"/>
        <w:textAlignment w:val="baseline"/>
        <w:rPr>
          <w:rFonts w:eastAsia="Times New Roman" w:cs="Arial"/>
          <w:iCs/>
          <w:szCs w:val="20"/>
          <w:lang w:eastAsia="sl-SI"/>
        </w:rPr>
      </w:pPr>
    </w:p>
    <w:p w14:paraId="4E73D6EF" w14:textId="77777777" w:rsidR="00B96395" w:rsidRPr="00B96395" w:rsidRDefault="00B96395" w:rsidP="00B96395">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B96395">
        <w:rPr>
          <w:rFonts w:eastAsia="Times New Roman" w:cs="Arial"/>
          <w:iCs/>
          <w:szCs w:val="20"/>
          <w:lang w:eastAsia="sl-SI"/>
        </w:rPr>
        <w:t xml:space="preserve">V razpravo so bili vključeni: </w:t>
      </w:r>
    </w:p>
    <w:p w14:paraId="4D097254" w14:textId="18DD7A9B" w:rsidR="00B96395" w:rsidRPr="00B96395" w:rsidRDefault="00B96395" w:rsidP="00B96395">
      <w:pPr>
        <w:pStyle w:val="Odstavekseznama"/>
        <w:widowControl w:val="0"/>
        <w:numPr>
          <w:ilvl w:val="0"/>
          <w:numId w:val="69"/>
        </w:numPr>
        <w:overflowPunct w:val="0"/>
        <w:autoSpaceDE w:val="0"/>
        <w:autoSpaceDN w:val="0"/>
        <w:adjustRightInd w:val="0"/>
        <w:spacing w:after="0" w:line="260" w:lineRule="exact"/>
        <w:textAlignment w:val="baseline"/>
        <w:rPr>
          <w:rFonts w:eastAsia="Times New Roman" w:cs="Arial"/>
          <w:iCs/>
          <w:szCs w:val="20"/>
          <w:lang w:eastAsia="sl-SI"/>
        </w:rPr>
      </w:pPr>
      <w:r w:rsidRPr="00B96395">
        <w:rPr>
          <w:rFonts w:eastAsia="Times New Roman" w:cs="Arial"/>
          <w:iCs/>
          <w:szCs w:val="20"/>
          <w:lang w:eastAsia="sl-SI"/>
        </w:rPr>
        <w:t>predstavniki zainteresirane javnosti,</w:t>
      </w:r>
    </w:p>
    <w:p w14:paraId="7E73E2BE" w14:textId="5F4AE66D" w:rsidR="00B96395" w:rsidRPr="00B96395" w:rsidRDefault="00B96395" w:rsidP="00B96395">
      <w:pPr>
        <w:pStyle w:val="Odstavekseznama"/>
        <w:widowControl w:val="0"/>
        <w:numPr>
          <w:ilvl w:val="0"/>
          <w:numId w:val="69"/>
        </w:numPr>
        <w:overflowPunct w:val="0"/>
        <w:autoSpaceDE w:val="0"/>
        <w:autoSpaceDN w:val="0"/>
        <w:adjustRightInd w:val="0"/>
        <w:spacing w:after="0" w:line="260" w:lineRule="exact"/>
        <w:textAlignment w:val="baseline"/>
        <w:rPr>
          <w:rFonts w:eastAsia="Times New Roman" w:cs="Arial"/>
          <w:iCs/>
          <w:szCs w:val="20"/>
          <w:lang w:eastAsia="sl-SI"/>
        </w:rPr>
      </w:pPr>
      <w:r w:rsidRPr="00B96395">
        <w:rPr>
          <w:rFonts w:eastAsia="Times New Roman" w:cs="Arial"/>
          <w:iCs/>
          <w:szCs w:val="20"/>
          <w:lang w:eastAsia="sl-SI"/>
        </w:rPr>
        <w:t>predstavniki strokovne javnosti.</w:t>
      </w:r>
    </w:p>
    <w:p w14:paraId="3ECE983F" w14:textId="77777777" w:rsidR="00B96395" w:rsidRPr="00B96395" w:rsidRDefault="00B96395" w:rsidP="00B96395">
      <w:pPr>
        <w:widowControl w:val="0"/>
        <w:overflowPunct w:val="0"/>
        <w:autoSpaceDE w:val="0"/>
        <w:autoSpaceDN w:val="0"/>
        <w:adjustRightInd w:val="0"/>
        <w:spacing w:after="0" w:line="260" w:lineRule="exact"/>
        <w:textAlignment w:val="baseline"/>
        <w:rPr>
          <w:rFonts w:eastAsia="Times New Roman" w:cs="Arial"/>
          <w:iCs/>
          <w:szCs w:val="20"/>
          <w:lang w:eastAsia="sl-SI"/>
        </w:rPr>
      </w:pPr>
    </w:p>
    <w:p w14:paraId="5E09413B" w14:textId="19614314" w:rsidR="00061E98" w:rsidRPr="00C81738" w:rsidRDefault="00061E98" w:rsidP="00061E98">
      <w:pPr>
        <w:pStyle w:val="Neotevilenodstavek"/>
        <w:widowControl w:val="0"/>
        <w:spacing w:after="0" w:line="260" w:lineRule="exact"/>
        <w:rPr>
          <w:iCs/>
          <w:szCs w:val="20"/>
        </w:rPr>
      </w:pPr>
      <w:r w:rsidRPr="00C81738">
        <w:rPr>
          <w:iCs/>
          <w:szCs w:val="20"/>
        </w:rPr>
        <w:t>V okviru javne obravnave smo prejeli pripombe različnih deležnikov. To so: SIST, Calcit, Valji, Hidria, SIJ Acroni, Resalta, Gospodarska zbornica Slovenije, Papirnica Vevče, Borzen, AquafilSLO, HSE, GEN-energija, Talum</w:t>
      </w:r>
      <w:r w:rsidR="00D21BF6">
        <w:rPr>
          <w:iCs/>
          <w:szCs w:val="20"/>
        </w:rPr>
        <w:t xml:space="preserve">, </w:t>
      </w:r>
      <w:r w:rsidR="00D21BF6" w:rsidRPr="00D21BF6">
        <w:rPr>
          <w:iCs/>
          <w:szCs w:val="20"/>
        </w:rPr>
        <w:t>SIJ Metal Ravne</w:t>
      </w:r>
      <w:r w:rsidR="00D21BF6">
        <w:rPr>
          <w:iCs/>
          <w:szCs w:val="20"/>
        </w:rPr>
        <w:t>.</w:t>
      </w:r>
    </w:p>
    <w:p w14:paraId="24184D60" w14:textId="7E17A471" w:rsidR="00061E98" w:rsidRPr="00C81738" w:rsidRDefault="00061E98" w:rsidP="00061E98">
      <w:pPr>
        <w:pStyle w:val="Neotevilenodstavek"/>
        <w:widowControl w:val="0"/>
        <w:spacing w:after="0" w:line="260" w:lineRule="exact"/>
        <w:rPr>
          <w:iCs/>
          <w:szCs w:val="20"/>
        </w:rPr>
      </w:pPr>
      <w:r w:rsidRPr="00C81738">
        <w:rPr>
          <w:iCs/>
          <w:szCs w:val="20"/>
        </w:rPr>
        <w:t xml:space="preserve">Ministrstvo, pristojno za energijo je pregledalo in obravnavalo vse prejete pripombe in jih v največji možni meri upoštevalo, v kolikor so bile strokovno utemeljene ter niso bile v nasprotju s pravnim redom Republike Slovenije in EU ter sistemskimi rešitvami predloga zakona. </w:t>
      </w:r>
      <w:r>
        <w:rPr>
          <w:iCs/>
          <w:szCs w:val="20"/>
        </w:rPr>
        <w:t>P</w:t>
      </w:r>
      <w:r w:rsidRPr="00C81738">
        <w:rPr>
          <w:iCs/>
          <w:szCs w:val="20"/>
        </w:rPr>
        <w:t>ripomb</w:t>
      </w:r>
      <w:r>
        <w:rPr>
          <w:iCs/>
          <w:szCs w:val="20"/>
        </w:rPr>
        <w:t>e</w:t>
      </w:r>
      <w:r w:rsidR="003A7C85">
        <w:rPr>
          <w:iCs/>
          <w:szCs w:val="20"/>
        </w:rPr>
        <w:t>,</w:t>
      </w:r>
      <w:r w:rsidRPr="00C81738">
        <w:rPr>
          <w:iCs/>
          <w:szCs w:val="20"/>
        </w:rPr>
        <w:t xml:space="preserve"> ki so</w:t>
      </w:r>
      <w:r>
        <w:rPr>
          <w:iCs/>
          <w:szCs w:val="20"/>
        </w:rPr>
        <w:t xml:space="preserve"> bile </w:t>
      </w:r>
      <w:r w:rsidRPr="00C81738">
        <w:rPr>
          <w:iCs/>
          <w:szCs w:val="20"/>
        </w:rPr>
        <w:t>neskladne z veljavnimi pravili državnih pomoči</w:t>
      </w:r>
      <w:r>
        <w:rPr>
          <w:iCs/>
          <w:szCs w:val="20"/>
        </w:rPr>
        <w:t>, niso upoštevane</w:t>
      </w:r>
      <w:r w:rsidRPr="00C81738">
        <w:rPr>
          <w:iCs/>
          <w:szCs w:val="20"/>
        </w:rPr>
        <w:t>.</w:t>
      </w:r>
    </w:p>
    <w:p w14:paraId="535D26A7" w14:textId="77777777" w:rsidR="00061E98" w:rsidRPr="00C81738" w:rsidRDefault="00061E98" w:rsidP="00061E98">
      <w:pPr>
        <w:pStyle w:val="Neotevilenodstavek"/>
        <w:widowControl w:val="0"/>
        <w:spacing w:after="0" w:line="260" w:lineRule="exact"/>
        <w:rPr>
          <w:iCs/>
          <w:szCs w:val="20"/>
        </w:rPr>
      </w:pPr>
    </w:p>
    <w:p w14:paraId="37A0B926" w14:textId="77777777" w:rsidR="00061E98" w:rsidRPr="00C81738" w:rsidRDefault="00061E98" w:rsidP="00061E98">
      <w:pPr>
        <w:pStyle w:val="Neotevilenodstavek"/>
        <w:widowControl w:val="0"/>
        <w:spacing w:after="0" w:line="260" w:lineRule="exact"/>
        <w:rPr>
          <w:iCs/>
          <w:szCs w:val="20"/>
        </w:rPr>
      </w:pPr>
      <w:r w:rsidRPr="00C81738">
        <w:rPr>
          <w:iCs/>
          <w:szCs w:val="20"/>
        </w:rPr>
        <w:t xml:space="preserve">Pripombe se nanašajo predvsem na: </w:t>
      </w:r>
    </w:p>
    <w:p w14:paraId="2BEBB089" w14:textId="77777777" w:rsidR="00061E98" w:rsidRPr="00C81738" w:rsidRDefault="00061E98" w:rsidP="00061E98">
      <w:pPr>
        <w:pStyle w:val="Neotevilenodstavek"/>
        <w:widowControl w:val="0"/>
        <w:spacing w:after="0" w:line="260" w:lineRule="exact"/>
        <w:rPr>
          <w:iCs/>
          <w:szCs w:val="20"/>
        </w:rPr>
      </w:pPr>
      <w:r w:rsidRPr="00C81738">
        <w:rPr>
          <w:iCs/>
          <w:szCs w:val="20"/>
        </w:rPr>
        <w:t>- višine praga letne porabe električne energije za upravičenost do pomoči,</w:t>
      </w:r>
    </w:p>
    <w:p w14:paraId="0BE0476C" w14:textId="77777777" w:rsidR="00061E98" w:rsidRPr="00C81738" w:rsidRDefault="00061E98" w:rsidP="00061E98">
      <w:pPr>
        <w:pStyle w:val="Neotevilenodstavek"/>
        <w:widowControl w:val="0"/>
        <w:spacing w:after="0" w:line="260" w:lineRule="exact"/>
        <w:rPr>
          <w:iCs/>
          <w:szCs w:val="20"/>
        </w:rPr>
      </w:pPr>
      <w:r w:rsidRPr="00C81738">
        <w:rPr>
          <w:iCs/>
          <w:szCs w:val="20"/>
        </w:rPr>
        <w:t>- višino podpore oziroma pomoči,</w:t>
      </w:r>
    </w:p>
    <w:p w14:paraId="3620B0EF" w14:textId="77777777" w:rsidR="00061E98" w:rsidRPr="00C81738" w:rsidRDefault="00061E98" w:rsidP="00061E98">
      <w:pPr>
        <w:pStyle w:val="Neotevilenodstavek"/>
        <w:widowControl w:val="0"/>
        <w:spacing w:after="0" w:line="260" w:lineRule="exact"/>
        <w:rPr>
          <w:iCs/>
          <w:szCs w:val="20"/>
        </w:rPr>
      </w:pPr>
      <w:r w:rsidRPr="00C81738">
        <w:rPr>
          <w:iCs/>
          <w:szCs w:val="20"/>
        </w:rPr>
        <w:t>- načina kumulacije pomoči tega ukrepa z drugimi spodbudami za iste naložbe,</w:t>
      </w:r>
    </w:p>
    <w:p w14:paraId="1F308B3B" w14:textId="77777777" w:rsidR="00061E98" w:rsidRPr="00C81738" w:rsidRDefault="00061E98" w:rsidP="00061E98">
      <w:pPr>
        <w:pStyle w:val="Neotevilenodstavek"/>
        <w:widowControl w:val="0"/>
        <w:spacing w:after="0" w:line="260" w:lineRule="exact"/>
        <w:rPr>
          <w:iCs/>
          <w:szCs w:val="20"/>
        </w:rPr>
      </w:pPr>
      <w:r w:rsidRPr="00C81738">
        <w:rPr>
          <w:iCs/>
          <w:szCs w:val="20"/>
        </w:rPr>
        <w:t>- sistem upravljanja z energijo in</w:t>
      </w:r>
    </w:p>
    <w:p w14:paraId="245A1813" w14:textId="77777777" w:rsidR="00061E98" w:rsidRPr="00C81738" w:rsidRDefault="00061E98" w:rsidP="00061E98">
      <w:pPr>
        <w:pStyle w:val="Neotevilenodstavek"/>
        <w:widowControl w:val="0"/>
        <w:spacing w:after="0" w:line="260" w:lineRule="exact"/>
        <w:rPr>
          <w:iCs/>
          <w:szCs w:val="20"/>
        </w:rPr>
      </w:pPr>
      <w:r w:rsidRPr="00C81738">
        <w:rPr>
          <w:iCs/>
          <w:szCs w:val="20"/>
        </w:rPr>
        <w:t>- načina izvajanja naložb preko pogodbenih modelov energetskih storitev (ESCO).</w:t>
      </w:r>
    </w:p>
    <w:p w14:paraId="2F5A48E0" w14:textId="77777777" w:rsidR="00061E98" w:rsidRPr="00C81738" w:rsidRDefault="00061E98" w:rsidP="00061E98">
      <w:pPr>
        <w:pStyle w:val="Neotevilenodstavek"/>
        <w:widowControl w:val="0"/>
        <w:spacing w:after="0" w:line="260" w:lineRule="exact"/>
        <w:rPr>
          <w:iCs/>
          <w:szCs w:val="20"/>
        </w:rPr>
      </w:pPr>
    </w:p>
    <w:p w14:paraId="35AA8727" w14:textId="77777777" w:rsidR="00061E98" w:rsidRDefault="00061E98" w:rsidP="00061E98">
      <w:pPr>
        <w:pStyle w:val="Neotevilenodstavek"/>
        <w:widowControl w:val="0"/>
        <w:spacing w:after="0" w:line="260" w:lineRule="exact"/>
        <w:rPr>
          <w:iCs/>
          <w:szCs w:val="20"/>
        </w:rPr>
      </w:pPr>
      <w:r w:rsidRPr="00C81738">
        <w:rPr>
          <w:iCs/>
          <w:szCs w:val="20"/>
        </w:rPr>
        <w:t xml:space="preserve">Več pripomb in predlogov se nanaša na definicije oziroma izraze uporabljene v osnutku zakona. Te pripombe </w:t>
      </w:r>
      <w:r>
        <w:rPr>
          <w:iCs/>
          <w:szCs w:val="20"/>
        </w:rPr>
        <w:t>s</w:t>
      </w:r>
      <w:r w:rsidRPr="00C81738">
        <w:rPr>
          <w:iCs/>
          <w:szCs w:val="20"/>
        </w:rPr>
        <w:t>o smiselno upošteva</w:t>
      </w:r>
      <w:r>
        <w:rPr>
          <w:iCs/>
          <w:szCs w:val="20"/>
        </w:rPr>
        <w:t>ne</w:t>
      </w:r>
      <w:r w:rsidRPr="00C81738">
        <w:rPr>
          <w:iCs/>
          <w:szCs w:val="20"/>
        </w:rPr>
        <w:t>.</w:t>
      </w:r>
    </w:p>
    <w:p w14:paraId="007ADDCE" w14:textId="77777777" w:rsidR="00773CD1" w:rsidRDefault="00773CD1" w:rsidP="00E06ED0">
      <w:pPr>
        <w:widowControl w:val="0"/>
        <w:overflowPunct w:val="0"/>
        <w:autoSpaceDE w:val="0"/>
        <w:autoSpaceDN w:val="0"/>
        <w:adjustRightInd w:val="0"/>
        <w:spacing w:after="0" w:line="260" w:lineRule="exact"/>
        <w:textAlignment w:val="baseline"/>
        <w:rPr>
          <w:rFonts w:eastAsia="Times New Roman" w:cs="Arial"/>
          <w:iCs/>
          <w:szCs w:val="20"/>
          <w:lang w:eastAsia="sl-SI"/>
        </w:rPr>
      </w:pPr>
    </w:p>
    <w:p w14:paraId="6BCC477B" w14:textId="3C3D89AC" w:rsidR="009F54B1" w:rsidRDefault="009F54B1" w:rsidP="009F54B1">
      <w:pPr>
        <w:overflowPunct w:val="0"/>
        <w:autoSpaceDE w:val="0"/>
        <w:autoSpaceDN w:val="0"/>
        <w:adjustRightInd w:val="0"/>
        <w:spacing w:line="260" w:lineRule="exact"/>
        <w:textAlignment w:val="baseline"/>
        <w:rPr>
          <w:rFonts w:eastAsia="Times New Roman" w:cs="Arial"/>
          <w:b/>
          <w:szCs w:val="20"/>
          <w:lang w:eastAsia="sl-SI"/>
        </w:rPr>
      </w:pPr>
      <w:r w:rsidRPr="00620790">
        <w:rPr>
          <w:rFonts w:eastAsia="Times New Roman" w:cs="Arial"/>
          <w:b/>
          <w:szCs w:val="20"/>
          <w:lang w:eastAsia="sl-SI"/>
        </w:rPr>
        <w:t>8. PODATEK O ZUNANJEM STROKOVNJAKU OZIROMA PRAVNI OSEBI, KI JE SODELOVALA PRI PRIPRAVI PREDLOGA ZAKONA, IN ZNESKU PLAČILA ZA TA NAMEN:</w:t>
      </w:r>
    </w:p>
    <w:p w14:paraId="78DA1BF0" w14:textId="14B51B14" w:rsidR="00C8753B" w:rsidRPr="00C8753B" w:rsidRDefault="00C8753B" w:rsidP="009F54B1">
      <w:pPr>
        <w:overflowPunct w:val="0"/>
        <w:autoSpaceDE w:val="0"/>
        <w:autoSpaceDN w:val="0"/>
        <w:adjustRightInd w:val="0"/>
        <w:spacing w:line="260" w:lineRule="exact"/>
        <w:textAlignment w:val="baseline"/>
        <w:rPr>
          <w:rFonts w:eastAsia="Times New Roman" w:cs="Arial"/>
          <w:bCs/>
          <w:szCs w:val="20"/>
          <w:lang w:eastAsia="sl-SI"/>
        </w:rPr>
      </w:pPr>
      <w:r w:rsidRPr="00C8753B">
        <w:rPr>
          <w:rFonts w:eastAsia="Times New Roman" w:cs="Arial"/>
          <w:bCs/>
          <w:szCs w:val="20"/>
          <w:lang w:eastAsia="sl-SI"/>
        </w:rPr>
        <w:t>Pri pripravi predloga zakona niso sodelovali zunanji strokovnjaki</w:t>
      </w:r>
      <w:r w:rsidR="00013E94">
        <w:rPr>
          <w:rFonts w:eastAsia="Times New Roman" w:cs="Arial"/>
          <w:bCs/>
          <w:szCs w:val="20"/>
          <w:lang w:eastAsia="sl-SI"/>
        </w:rPr>
        <w:t xml:space="preserve"> oziroma pravne osebe</w:t>
      </w:r>
      <w:r w:rsidRPr="00C8753B">
        <w:rPr>
          <w:rFonts w:eastAsia="Times New Roman" w:cs="Arial"/>
          <w:bCs/>
          <w:szCs w:val="20"/>
          <w:lang w:eastAsia="sl-SI"/>
        </w:rPr>
        <w:t>.</w:t>
      </w:r>
    </w:p>
    <w:p w14:paraId="79672338" w14:textId="77777777" w:rsidR="009F54B1" w:rsidRPr="00620790" w:rsidRDefault="009F54B1" w:rsidP="009F54B1">
      <w:pPr>
        <w:tabs>
          <w:tab w:val="left" w:pos="180"/>
          <w:tab w:val="left" w:pos="345"/>
          <w:tab w:val="left" w:pos="555"/>
        </w:tabs>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9. NAVEDBA, KATERI PREDSTAVNIKI PREDLAGATELJA BODO SODELOVALI PRI DELU DRŽAVNEGA ZBORA IN DELOVNIH TELES</w:t>
      </w:r>
    </w:p>
    <w:p w14:paraId="75854CB5" w14:textId="77777777" w:rsidR="009F54B1" w:rsidRPr="00620790" w:rsidRDefault="009F54B1" w:rsidP="00076155">
      <w:pPr>
        <w:spacing w:after="0"/>
        <w:rPr>
          <w:rFonts w:eastAsia="Times New Roman" w:cs="Arial"/>
          <w:szCs w:val="20"/>
          <w:lang w:eastAsia="sl-SI"/>
        </w:rPr>
      </w:pPr>
    </w:p>
    <w:p w14:paraId="470854A0" w14:textId="77777777" w:rsidR="00CF556E" w:rsidRPr="00FF651F" w:rsidRDefault="00CF556E" w:rsidP="00CF556E">
      <w:pPr>
        <w:pStyle w:val="Neotevilenodstavek"/>
        <w:spacing w:before="0" w:after="0" w:line="240" w:lineRule="auto"/>
        <w:rPr>
          <w:iCs/>
          <w:szCs w:val="20"/>
        </w:rPr>
      </w:pPr>
      <w:r w:rsidRPr="00FF651F">
        <w:rPr>
          <w:iCs/>
          <w:szCs w:val="20"/>
        </w:rPr>
        <w:t>mag. Bojan Kumer, minister</w:t>
      </w:r>
    </w:p>
    <w:p w14:paraId="25A3569E" w14:textId="77777777" w:rsidR="00CF556E" w:rsidRDefault="00CF556E" w:rsidP="00CF556E">
      <w:pPr>
        <w:pStyle w:val="Neotevilenodstavek"/>
        <w:spacing w:before="0" w:after="0" w:line="240" w:lineRule="auto"/>
        <w:rPr>
          <w:iCs/>
          <w:szCs w:val="20"/>
        </w:rPr>
      </w:pPr>
      <w:r w:rsidRPr="00FF651F">
        <w:rPr>
          <w:iCs/>
          <w:szCs w:val="20"/>
        </w:rPr>
        <w:t>mag. Tina Seršen, državna sekretarka</w:t>
      </w:r>
    </w:p>
    <w:p w14:paraId="345EF674" w14:textId="6F426181" w:rsidR="008C152B" w:rsidRPr="00FF651F" w:rsidRDefault="008C152B" w:rsidP="00CF556E">
      <w:pPr>
        <w:pStyle w:val="Neotevilenodstavek"/>
        <w:spacing w:before="0" w:after="0" w:line="240" w:lineRule="auto"/>
        <w:rPr>
          <w:iCs/>
          <w:szCs w:val="20"/>
        </w:rPr>
      </w:pPr>
      <w:r>
        <w:rPr>
          <w:iCs/>
          <w:szCs w:val="20"/>
        </w:rPr>
        <w:t>Uroš Vajgl, državni sekretar</w:t>
      </w:r>
    </w:p>
    <w:p w14:paraId="063EB2BC" w14:textId="77777777" w:rsidR="00CF556E" w:rsidRPr="00FF651F" w:rsidRDefault="00CF556E" w:rsidP="00CF556E">
      <w:pPr>
        <w:pStyle w:val="Neotevilenodstavek"/>
        <w:spacing w:before="0" w:after="0" w:line="240" w:lineRule="auto"/>
        <w:rPr>
          <w:iCs/>
          <w:szCs w:val="20"/>
        </w:rPr>
      </w:pPr>
      <w:r w:rsidRPr="00FF651F">
        <w:rPr>
          <w:iCs/>
          <w:szCs w:val="20"/>
        </w:rPr>
        <w:t>mag. Hinko Šolinc, generalni direktor Direktorata za energijo</w:t>
      </w:r>
    </w:p>
    <w:p w14:paraId="6CE0D7BE" w14:textId="2EE760C8" w:rsidR="00CF556E" w:rsidRPr="00FF651F" w:rsidRDefault="00CF556E" w:rsidP="00CF556E">
      <w:pPr>
        <w:pStyle w:val="Neotevilenodstavek"/>
        <w:spacing w:before="0" w:after="0" w:line="240" w:lineRule="auto"/>
        <w:rPr>
          <w:iCs/>
          <w:szCs w:val="20"/>
        </w:rPr>
      </w:pPr>
      <w:r w:rsidRPr="00FF651F">
        <w:rPr>
          <w:iCs/>
          <w:szCs w:val="20"/>
        </w:rPr>
        <w:t>mag.</w:t>
      </w:r>
      <w:r w:rsidR="00385A8A">
        <w:rPr>
          <w:iCs/>
          <w:szCs w:val="20"/>
        </w:rPr>
        <w:t xml:space="preserve"> </w:t>
      </w:r>
      <w:r w:rsidR="00B41B0A">
        <w:rPr>
          <w:iCs/>
          <w:szCs w:val="20"/>
        </w:rPr>
        <w:t>Silvo Škornik</w:t>
      </w:r>
      <w:r w:rsidRPr="00FF651F">
        <w:rPr>
          <w:iCs/>
          <w:szCs w:val="20"/>
        </w:rPr>
        <w:t xml:space="preserve">, vodja Sektorja za </w:t>
      </w:r>
      <w:r w:rsidR="00B41B0A">
        <w:rPr>
          <w:iCs/>
          <w:szCs w:val="20"/>
        </w:rPr>
        <w:t>oskrbo z</w:t>
      </w:r>
      <w:r w:rsidRPr="00FF651F">
        <w:rPr>
          <w:iCs/>
          <w:szCs w:val="20"/>
        </w:rPr>
        <w:t xml:space="preserve"> energij</w:t>
      </w:r>
      <w:r w:rsidR="00B41B0A">
        <w:rPr>
          <w:iCs/>
          <w:szCs w:val="20"/>
        </w:rPr>
        <w:t>o</w:t>
      </w:r>
      <w:r w:rsidR="00412175">
        <w:rPr>
          <w:iCs/>
          <w:szCs w:val="20"/>
        </w:rPr>
        <w:t xml:space="preserve"> </w:t>
      </w:r>
    </w:p>
    <w:p w14:paraId="463DAC50" w14:textId="1C776656" w:rsidR="00180F70" w:rsidRDefault="00180F70" w:rsidP="00CF556E">
      <w:pPr>
        <w:pStyle w:val="Neotevilenodstavek"/>
        <w:spacing w:before="0" w:after="0" w:line="240" w:lineRule="auto"/>
        <w:rPr>
          <w:iCs/>
          <w:szCs w:val="20"/>
        </w:rPr>
      </w:pPr>
    </w:p>
    <w:p w14:paraId="6102052B" w14:textId="77777777" w:rsidR="00180F70" w:rsidRDefault="00180F70">
      <w:pPr>
        <w:spacing w:after="160"/>
        <w:rPr>
          <w:rFonts w:eastAsia="Times New Roman" w:cs="Arial"/>
          <w:iCs/>
          <w:szCs w:val="20"/>
          <w:lang w:eastAsia="sl-SI"/>
        </w:rPr>
      </w:pPr>
      <w:r>
        <w:rPr>
          <w:iCs/>
          <w:szCs w:val="20"/>
        </w:rPr>
        <w:br w:type="page"/>
      </w:r>
    </w:p>
    <w:p w14:paraId="57C9C729" w14:textId="72EA5FFC" w:rsidR="004F289B" w:rsidRDefault="009F54B1" w:rsidP="004F289B">
      <w:pPr>
        <w:pStyle w:val="Naslov1"/>
        <w:jc w:val="both"/>
        <w:rPr>
          <w:rFonts w:eastAsia="Times New Roman" w:cs="Arial"/>
          <w:szCs w:val="20"/>
          <w:lang w:eastAsia="sl-SI"/>
        </w:rPr>
      </w:pPr>
      <w:r w:rsidRPr="00620790">
        <w:rPr>
          <w:rFonts w:eastAsia="Times New Roman" w:cs="Arial"/>
          <w:szCs w:val="20"/>
          <w:lang w:eastAsia="sl-SI"/>
        </w:rPr>
        <w:lastRenderedPageBreak/>
        <w:t>II. BESEDILO ČLENOV</w:t>
      </w:r>
    </w:p>
    <w:p w14:paraId="17C84E7F" w14:textId="77777777" w:rsidR="00BE5832" w:rsidRPr="00BE5832" w:rsidRDefault="00BE5832" w:rsidP="004F3E5C">
      <w:pPr>
        <w:keepNext/>
        <w:keepLines/>
        <w:spacing w:before="360" w:after="80" w:line="259" w:lineRule="auto"/>
        <w:jc w:val="center"/>
        <w:outlineLvl w:val="0"/>
        <w:rPr>
          <w:rFonts w:eastAsia="Times New Roman" w:cs="Arial"/>
          <w:color w:val="000000"/>
          <w:kern w:val="2"/>
          <w:szCs w:val="20"/>
          <w14:ligatures w14:val="standardContextual"/>
        </w:rPr>
      </w:pPr>
      <w:r w:rsidRPr="00BE5832">
        <w:rPr>
          <w:rFonts w:eastAsia="Times New Roman" w:cs="Arial"/>
          <w:color w:val="000000"/>
          <w:kern w:val="2"/>
          <w:szCs w:val="20"/>
          <w14:ligatures w14:val="standardContextual"/>
        </w:rPr>
        <w:t>I. SPLOŠNE DOLOČBE</w:t>
      </w:r>
    </w:p>
    <w:p w14:paraId="7A781EA6" w14:textId="77777777" w:rsidR="00BE5832" w:rsidRPr="00BE5832" w:rsidRDefault="00BE5832" w:rsidP="00BE5832">
      <w:pPr>
        <w:spacing w:after="160" w:line="259" w:lineRule="auto"/>
        <w:rPr>
          <w:rFonts w:eastAsia="Aptos" w:cs="Arial"/>
          <w:color w:val="000000"/>
          <w:kern w:val="2"/>
          <w:szCs w:val="20"/>
          <w14:ligatures w14:val="standardContextual"/>
        </w:rPr>
      </w:pPr>
    </w:p>
    <w:p w14:paraId="6D3CAF34" w14:textId="77777777" w:rsidR="00BE5832" w:rsidRPr="00BE5832" w:rsidRDefault="00BE5832" w:rsidP="00BE5832">
      <w:pPr>
        <w:keepNext/>
        <w:keepLines/>
        <w:numPr>
          <w:ilvl w:val="0"/>
          <w:numId w:val="70"/>
        </w:numPr>
        <w:spacing w:before="160" w:after="80" w:line="259" w:lineRule="auto"/>
        <w:jc w:val="center"/>
        <w:outlineLvl w:val="1"/>
        <w:rPr>
          <w:rFonts w:eastAsia="Times New Roman" w:cs="Arial"/>
          <w:color w:val="000000"/>
          <w:kern w:val="2"/>
          <w:szCs w:val="20"/>
          <w14:ligatures w14:val="standardContextual"/>
        </w:rPr>
      </w:pPr>
      <w:r w:rsidRPr="00BE5832">
        <w:rPr>
          <w:rFonts w:eastAsia="Times New Roman" w:cs="Arial"/>
          <w:color w:val="000000"/>
          <w:kern w:val="2"/>
          <w:szCs w:val="20"/>
          <w14:ligatures w14:val="standardContextual"/>
        </w:rPr>
        <w:t>člen</w:t>
      </w:r>
    </w:p>
    <w:p w14:paraId="4C1A431E" w14:textId="7A0FA5C5" w:rsidR="00BE5832" w:rsidRPr="00BE5832" w:rsidRDefault="00BE5832" w:rsidP="00BE5832">
      <w:pPr>
        <w:spacing w:after="160" w:line="259" w:lineRule="auto"/>
        <w:ind w:left="720"/>
        <w:contextualSpacing/>
        <w:jc w:val="center"/>
        <w:rPr>
          <w:rFonts w:eastAsia="Aptos" w:cs="Arial"/>
          <w:color w:val="000000"/>
          <w:kern w:val="2"/>
          <w:szCs w:val="20"/>
          <w14:ligatures w14:val="standardContextual"/>
        </w:rPr>
      </w:pPr>
      <w:r w:rsidRPr="00BE5832">
        <w:rPr>
          <w:rFonts w:eastAsia="Aptos" w:cs="Arial"/>
          <w:color w:val="000000"/>
          <w:kern w:val="2"/>
          <w:szCs w:val="20"/>
          <w14:ligatures w14:val="standardContextual"/>
        </w:rPr>
        <w:t>(</w:t>
      </w:r>
      <w:r w:rsidR="004F3E5C">
        <w:rPr>
          <w:rFonts w:eastAsia="Aptos" w:cs="Arial"/>
          <w:color w:val="000000"/>
          <w:kern w:val="2"/>
          <w:szCs w:val="20"/>
          <w14:ligatures w14:val="standardContextual"/>
        </w:rPr>
        <w:t>vsebina</w:t>
      </w:r>
      <w:r w:rsidRPr="00BE5832">
        <w:rPr>
          <w:rFonts w:eastAsia="Aptos" w:cs="Arial"/>
          <w:color w:val="000000"/>
          <w:kern w:val="2"/>
          <w:szCs w:val="20"/>
          <w14:ligatures w14:val="standardContextual"/>
        </w:rPr>
        <w:t xml:space="preserve"> zakona)</w:t>
      </w:r>
    </w:p>
    <w:p w14:paraId="268DBF06" w14:textId="23B01E59" w:rsidR="00BE5832" w:rsidRPr="004F3E5C" w:rsidRDefault="004F3E5C" w:rsidP="004F3E5C">
      <w:pPr>
        <w:spacing w:after="160" w:line="259" w:lineRule="auto"/>
        <w:rPr>
          <w:rFonts w:eastAsia="Aptos" w:cs="Arial"/>
          <w:color w:val="000000"/>
          <w:kern w:val="2"/>
          <w:szCs w:val="20"/>
          <w14:ligatures w14:val="standardContextual"/>
        </w:rPr>
      </w:pPr>
      <w:r w:rsidRPr="004F3E5C">
        <w:rPr>
          <w:rFonts w:eastAsia="Aptos" w:cs="Arial"/>
          <w:color w:val="000000"/>
          <w:kern w:val="2"/>
          <w:szCs w:val="20"/>
          <w14:ligatures w14:val="standardContextual"/>
        </w:rPr>
        <w:t>(1</w:t>
      </w:r>
      <w:r>
        <w:rPr>
          <w:rFonts w:eastAsia="Aptos" w:cs="Arial"/>
          <w:color w:val="000000"/>
          <w:kern w:val="2"/>
          <w:szCs w:val="20"/>
          <w14:ligatures w14:val="standardContextual"/>
        </w:rPr>
        <w:t xml:space="preserve">) </w:t>
      </w:r>
      <w:r w:rsidR="00BE5832" w:rsidRPr="004F3E5C">
        <w:rPr>
          <w:rFonts w:eastAsia="Aptos" w:cs="Arial"/>
          <w:color w:val="000000"/>
          <w:kern w:val="2"/>
          <w:szCs w:val="20"/>
          <w14:ligatures w14:val="standardContextual"/>
        </w:rPr>
        <w:t xml:space="preserve">Ta zakon določa </w:t>
      </w:r>
      <w:r w:rsidR="00D729DE" w:rsidRPr="004F3E5C">
        <w:rPr>
          <w:rFonts w:eastAsia="Aptos" w:cs="Arial"/>
          <w:color w:val="000000"/>
          <w:kern w:val="2"/>
          <w:szCs w:val="20"/>
          <w14:ligatures w14:val="standardContextual"/>
        </w:rPr>
        <w:t>začasni</w:t>
      </w:r>
      <w:r w:rsidR="00BE5832" w:rsidRPr="004F3E5C">
        <w:rPr>
          <w:rFonts w:eastAsia="Aptos" w:cs="Arial"/>
          <w:color w:val="000000"/>
          <w:kern w:val="2"/>
          <w:szCs w:val="20"/>
          <w14:ligatures w14:val="standardContextual"/>
        </w:rPr>
        <w:t xml:space="preserve"> ukrep dodelitve spodbude za pokritje dela stroškov električne energije elektrointenzivn</w:t>
      </w:r>
      <w:r>
        <w:rPr>
          <w:rFonts w:eastAsia="Aptos" w:cs="Arial"/>
          <w:color w:val="000000"/>
          <w:kern w:val="2"/>
          <w:szCs w:val="20"/>
          <w14:ligatures w14:val="standardContextual"/>
        </w:rPr>
        <w:t>im</w:t>
      </w:r>
      <w:r w:rsidR="00BE5832" w:rsidRPr="004F3E5C">
        <w:rPr>
          <w:rFonts w:eastAsia="Aptos" w:cs="Arial"/>
          <w:color w:val="000000"/>
          <w:kern w:val="2"/>
          <w:szCs w:val="20"/>
          <w14:ligatures w14:val="standardContextual"/>
        </w:rPr>
        <w:t xml:space="preserve"> podjetj</w:t>
      </w:r>
      <w:r>
        <w:rPr>
          <w:rFonts w:eastAsia="Aptos" w:cs="Arial"/>
          <w:color w:val="000000"/>
          <w:kern w:val="2"/>
          <w:szCs w:val="20"/>
          <w14:ligatures w14:val="standardContextual"/>
        </w:rPr>
        <w:t>em (v nadaljnjem besedilu: spodbude)</w:t>
      </w:r>
      <w:r w:rsidR="00BE5832" w:rsidRPr="004F3E5C">
        <w:rPr>
          <w:rFonts w:eastAsia="Aptos" w:cs="Arial"/>
          <w:color w:val="000000"/>
          <w:kern w:val="2"/>
          <w:szCs w:val="20"/>
          <w14:ligatures w14:val="standardContextual"/>
        </w:rPr>
        <w:t xml:space="preserve"> s ciljem </w:t>
      </w:r>
      <w:r w:rsidR="00D729DE" w:rsidRPr="004F3E5C">
        <w:rPr>
          <w:rFonts w:eastAsia="Aptos" w:cs="Arial"/>
          <w:color w:val="000000"/>
          <w:kern w:val="2"/>
          <w:szCs w:val="20"/>
          <w14:ligatures w14:val="standardContextual"/>
        </w:rPr>
        <w:t>spodbujanja</w:t>
      </w:r>
      <w:r w:rsidR="00BE5832" w:rsidRPr="004F3E5C">
        <w:rPr>
          <w:rFonts w:eastAsia="Aptos" w:cs="Arial"/>
          <w:color w:val="000000"/>
          <w:kern w:val="2"/>
          <w:szCs w:val="20"/>
          <w14:ligatures w14:val="standardContextual"/>
        </w:rPr>
        <w:t xml:space="preserve"> njihove konkurenčnosti</w:t>
      </w:r>
      <w:r w:rsidR="005544E2">
        <w:rPr>
          <w:rFonts w:eastAsia="Aptos" w:cs="Arial"/>
          <w:color w:val="000000"/>
          <w:kern w:val="2"/>
          <w:szCs w:val="20"/>
          <w14:ligatures w14:val="standardContextual"/>
        </w:rPr>
        <w:t xml:space="preserve"> in razogljičenja</w:t>
      </w:r>
      <w:r>
        <w:rPr>
          <w:rFonts w:eastAsia="Aptos" w:cs="Arial"/>
          <w:color w:val="000000"/>
          <w:kern w:val="2"/>
          <w:szCs w:val="20"/>
          <w14:ligatures w14:val="standardContextual"/>
        </w:rPr>
        <w:t>.</w:t>
      </w:r>
    </w:p>
    <w:p w14:paraId="72017245" w14:textId="77777777" w:rsidR="00BE5832" w:rsidRPr="00BE5832" w:rsidRDefault="00BE5832" w:rsidP="008745D1">
      <w:pPr>
        <w:spacing w:after="160" w:line="259" w:lineRule="auto"/>
        <w:contextualSpacing/>
        <w:rPr>
          <w:rFonts w:eastAsia="Aptos" w:cs="Arial"/>
          <w:color w:val="000000"/>
          <w:kern w:val="2"/>
          <w:szCs w:val="20"/>
          <w14:ligatures w14:val="standardContextual"/>
        </w:rPr>
      </w:pPr>
    </w:p>
    <w:p w14:paraId="7BB6B4D3" w14:textId="5AFDEB25" w:rsidR="00BE5832" w:rsidRPr="00BE5832" w:rsidRDefault="004F3E5C" w:rsidP="00BE5832">
      <w:pPr>
        <w:spacing w:after="160" w:line="259" w:lineRule="auto"/>
        <w:rPr>
          <w:rFonts w:eastAsia="Aptos" w:cs="Arial"/>
          <w:color w:val="000000"/>
          <w:kern w:val="2"/>
          <w:szCs w:val="20"/>
          <w14:ligatures w14:val="standardContextual"/>
        </w:rPr>
      </w:pPr>
      <w:r>
        <w:rPr>
          <w:rFonts w:eastAsia="Aptos" w:cs="Arial"/>
          <w:color w:val="000000"/>
          <w:kern w:val="2"/>
          <w:szCs w:val="20"/>
          <w14:ligatures w14:val="standardContextual"/>
        </w:rPr>
        <w:t>(2) Začasni u</w:t>
      </w:r>
      <w:r w:rsidR="00BE5832" w:rsidRPr="00BE5832">
        <w:rPr>
          <w:rFonts w:eastAsia="Aptos" w:cs="Arial"/>
          <w:color w:val="000000"/>
          <w:kern w:val="2"/>
          <w:szCs w:val="20"/>
          <w14:ligatures w14:val="standardContextual"/>
        </w:rPr>
        <w:t>krep</w:t>
      </w:r>
      <w:r>
        <w:rPr>
          <w:rFonts w:eastAsia="Aptos" w:cs="Arial"/>
          <w:color w:val="000000"/>
          <w:kern w:val="2"/>
          <w:szCs w:val="20"/>
          <w14:ligatures w14:val="standardContextual"/>
        </w:rPr>
        <w:t xml:space="preserve"> iz prejšnjega odstavka</w:t>
      </w:r>
      <w:r w:rsidR="00BE5832" w:rsidRPr="00BE5832">
        <w:rPr>
          <w:rFonts w:eastAsia="Aptos" w:cs="Arial"/>
          <w:color w:val="000000"/>
          <w:kern w:val="2"/>
          <w:szCs w:val="20"/>
          <w14:ligatures w14:val="standardContextual"/>
        </w:rPr>
        <w:t xml:space="preserve"> se izvaja v skladu s Sporočilom Komisije – Okvir za ukrepe državne pomoči v podporo dogovoru o čisti industriji (UL C št.</w:t>
      </w:r>
      <w:r>
        <w:rPr>
          <w:rFonts w:eastAsia="Aptos" w:cs="Arial"/>
          <w:color w:val="000000"/>
          <w:kern w:val="2"/>
          <w:szCs w:val="20"/>
          <w14:ligatures w14:val="standardContextual"/>
        </w:rPr>
        <w:t xml:space="preserve"> C/2025/</w:t>
      </w:r>
      <w:r w:rsidR="00BE5832" w:rsidRPr="00BE5832">
        <w:rPr>
          <w:rFonts w:eastAsia="Aptos" w:cs="Arial"/>
          <w:color w:val="000000"/>
          <w:kern w:val="2"/>
          <w:szCs w:val="20"/>
          <w14:ligatures w14:val="standardContextual"/>
        </w:rPr>
        <w:t>3602 z dne 4. 7. 2025</w:t>
      </w:r>
      <w:r>
        <w:rPr>
          <w:rFonts w:eastAsia="Aptos" w:cs="Arial"/>
          <w:color w:val="000000"/>
          <w:kern w:val="2"/>
          <w:szCs w:val="20"/>
          <w14:ligatures w14:val="standardContextual"/>
        </w:rPr>
        <w:t>; v nadaljnjem besedilu: okvir</w:t>
      </w:r>
      <w:r w:rsidR="00BE5832" w:rsidRPr="00BE5832">
        <w:rPr>
          <w:rFonts w:eastAsia="Aptos" w:cs="Arial"/>
          <w:color w:val="000000"/>
          <w:kern w:val="2"/>
          <w:szCs w:val="20"/>
          <w14:ligatures w14:val="standardContextual"/>
        </w:rPr>
        <w:t>).</w:t>
      </w:r>
    </w:p>
    <w:p w14:paraId="2B43ED5A" w14:textId="77777777" w:rsidR="00BE5832" w:rsidRPr="00BE5832" w:rsidRDefault="00BE5832" w:rsidP="00BE5832">
      <w:pPr>
        <w:spacing w:after="160" w:line="259" w:lineRule="auto"/>
        <w:rPr>
          <w:rFonts w:eastAsia="Aptos" w:cs="Arial"/>
          <w:color w:val="000000"/>
          <w:kern w:val="2"/>
          <w:szCs w:val="20"/>
          <w14:ligatures w14:val="standardContextual"/>
        </w:rPr>
      </w:pPr>
    </w:p>
    <w:p w14:paraId="67F56258" w14:textId="77777777" w:rsidR="00BE5832" w:rsidRPr="00BE5832" w:rsidRDefault="00BE5832" w:rsidP="00BE5832">
      <w:pPr>
        <w:keepNext/>
        <w:keepLines/>
        <w:numPr>
          <w:ilvl w:val="0"/>
          <w:numId w:val="70"/>
        </w:numPr>
        <w:spacing w:before="160" w:after="80" w:line="259" w:lineRule="auto"/>
        <w:jc w:val="center"/>
        <w:outlineLvl w:val="1"/>
        <w:rPr>
          <w:rFonts w:eastAsia="Times New Roman" w:cs="Arial"/>
          <w:color w:val="000000"/>
          <w:kern w:val="2"/>
          <w:szCs w:val="20"/>
          <w14:ligatures w14:val="standardContextual"/>
        </w:rPr>
      </w:pPr>
      <w:r w:rsidRPr="00BE5832">
        <w:rPr>
          <w:rFonts w:eastAsia="Times New Roman" w:cs="Arial"/>
          <w:color w:val="000000"/>
          <w:kern w:val="2"/>
          <w:szCs w:val="20"/>
          <w14:ligatures w14:val="standardContextual"/>
        </w:rPr>
        <w:t>člen</w:t>
      </w:r>
    </w:p>
    <w:p w14:paraId="4BCAC334" w14:textId="77777777" w:rsidR="00BE5832" w:rsidRPr="00BE5832" w:rsidRDefault="00BE5832" w:rsidP="00BE5832">
      <w:pPr>
        <w:spacing w:after="160" w:line="259" w:lineRule="auto"/>
        <w:ind w:left="720"/>
        <w:contextualSpacing/>
        <w:jc w:val="center"/>
        <w:rPr>
          <w:rFonts w:eastAsia="Aptos" w:cs="Arial"/>
          <w:color w:val="000000"/>
          <w:kern w:val="2"/>
          <w:szCs w:val="20"/>
          <w14:ligatures w14:val="standardContextual"/>
        </w:rPr>
      </w:pPr>
      <w:r w:rsidRPr="00BE5832">
        <w:rPr>
          <w:rFonts w:eastAsia="Aptos" w:cs="Arial"/>
          <w:color w:val="000000"/>
          <w:kern w:val="2"/>
          <w:szCs w:val="20"/>
          <w14:ligatures w14:val="standardContextual"/>
        </w:rPr>
        <w:t>(pomen izrazov)</w:t>
      </w:r>
    </w:p>
    <w:p w14:paraId="3CAF77AF" w14:textId="77777777" w:rsidR="00BE5832" w:rsidRPr="00BE5832" w:rsidRDefault="00BE5832" w:rsidP="00BE5832">
      <w:pPr>
        <w:spacing w:after="160" w:line="259" w:lineRule="auto"/>
        <w:rPr>
          <w:rFonts w:eastAsia="Aptos" w:cs="Arial"/>
          <w:color w:val="000000"/>
          <w:kern w:val="2"/>
          <w:szCs w:val="20"/>
          <w14:ligatures w14:val="standardContextual"/>
        </w:rPr>
      </w:pPr>
      <w:r w:rsidRPr="00BE5832">
        <w:rPr>
          <w:rFonts w:eastAsia="Aptos" w:cs="Arial"/>
          <w:color w:val="000000"/>
          <w:kern w:val="2"/>
          <w:szCs w:val="20"/>
          <w14:ligatures w14:val="standardContextual"/>
        </w:rPr>
        <w:t>Izrazi, uporabljeni v tem zakonu, pomenijo:</w:t>
      </w:r>
    </w:p>
    <w:p w14:paraId="328F4D97" w14:textId="00B059D3" w:rsidR="00BE5832" w:rsidRDefault="00BE5832" w:rsidP="00BE5832">
      <w:pPr>
        <w:numPr>
          <w:ilvl w:val="0"/>
          <w:numId w:val="79"/>
        </w:numPr>
        <w:spacing w:after="16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 xml:space="preserve">»elektrointenzivno podjetje« je podjetje, katerega povprečna elektrointenzivnost v zadnjih treh </w:t>
      </w:r>
      <w:r w:rsidR="00863189">
        <w:rPr>
          <w:rFonts w:eastAsia="Aptos" w:cs="Arial"/>
          <w:color w:val="000000"/>
          <w:kern w:val="2"/>
          <w:szCs w:val="20"/>
          <w14:ligatures w14:val="standardContextual"/>
        </w:rPr>
        <w:t xml:space="preserve">zaključenih </w:t>
      </w:r>
      <w:r w:rsidRPr="00BE5832">
        <w:rPr>
          <w:rFonts w:eastAsia="Aptos" w:cs="Arial"/>
          <w:color w:val="000000"/>
          <w:kern w:val="2"/>
          <w:szCs w:val="20"/>
          <w14:ligatures w14:val="standardContextual"/>
        </w:rPr>
        <w:t>letih presega 5 %</w:t>
      </w:r>
      <w:r w:rsidR="0014176E">
        <w:rPr>
          <w:rFonts w:eastAsia="Aptos" w:cs="Arial"/>
          <w:color w:val="000000"/>
          <w:kern w:val="2"/>
          <w:szCs w:val="20"/>
          <w14:ligatures w14:val="standardContextual"/>
        </w:rPr>
        <w:t>;</w:t>
      </w:r>
      <w:r w:rsidRPr="00BE5832">
        <w:rPr>
          <w:rFonts w:eastAsia="Aptos" w:cs="Arial"/>
          <w:color w:val="000000"/>
          <w:kern w:val="2"/>
          <w:szCs w:val="20"/>
          <w14:ligatures w14:val="standardContextual"/>
        </w:rPr>
        <w:t xml:space="preserve"> </w:t>
      </w:r>
    </w:p>
    <w:p w14:paraId="6163DBB7" w14:textId="608C2525" w:rsidR="0014176E" w:rsidRPr="00BE5832" w:rsidRDefault="0014176E" w:rsidP="00BE5832">
      <w:pPr>
        <w:numPr>
          <w:ilvl w:val="0"/>
          <w:numId w:val="79"/>
        </w:numPr>
        <w:spacing w:after="160" w:line="259" w:lineRule="auto"/>
        <w:contextualSpacing/>
        <w:rPr>
          <w:rFonts w:eastAsia="Aptos" w:cs="Arial"/>
          <w:color w:val="000000"/>
          <w:kern w:val="2"/>
          <w:szCs w:val="20"/>
          <w14:ligatures w14:val="standardContextual"/>
        </w:rPr>
      </w:pPr>
      <w:r>
        <w:rPr>
          <w:rFonts w:eastAsia="Aptos" w:cs="Arial"/>
          <w:color w:val="000000"/>
          <w:kern w:val="2"/>
          <w:szCs w:val="20"/>
          <w14:ligatures w14:val="standardContextual"/>
        </w:rPr>
        <w:t xml:space="preserve">»elektrointenzivnost« je </w:t>
      </w:r>
      <w:r w:rsidRPr="00BE5832">
        <w:rPr>
          <w:rFonts w:eastAsia="Aptos" w:cs="Arial"/>
          <w:color w:val="000000"/>
          <w:kern w:val="2"/>
          <w:szCs w:val="20"/>
          <w14:ligatures w14:val="standardContextual"/>
        </w:rPr>
        <w:t xml:space="preserve">odstotni delež povprečja stroškov </w:t>
      </w:r>
      <w:r w:rsidR="00643124">
        <w:rPr>
          <w:rFonts w:eastAsia="Aptos" w:cs="Arial"/>
          <w:color w:val="000000"/>
          <w:kern w:val="2"/>
          <w:szCs w:val="20"/>
          <w14:ligatures w14:val="standardContextual"/>
        </w:rPr>
        <w:t>podjetja</w:t>
      </w:r>
      <w:r w:rsidRPr="00BE5832">
        <w:rPr>
          <w:rFonts w:eastAsia="Aptos" w:cs="Arial"/>
          <w:color w:val="000000"/>
          <w:kern w:val="2"/>
          <w:szCs w:val="20"/>
          <w14:ligatures w14:val="standardContextual"/>
        </w:rPr>
        <w:t xml:space="preserve"> v zadnjih treh</w:t>
      </w:r>
      <w:r>
        <w:rPr>
          <w:rFonts w:eastAsia="Aptos" w:cs="Arial"/>
          <w:color w:val="000000"/>
          <w:kern w:val="2"/>
          <w:szCs w:val="20"/>
          <w14:ligatures w14:val="standardContextual"/>
        </w:rPr>
        <w:t xml:space="preserve"> zaključenih</w:t>
      </w:r>
      <w:r w:rsidRPr="00BE5832">
        <w:rPr>
          <w:rFonts w:eastAsia="Aptos" w:cs="Arial"/>
          <w:color w:val="000000"/>
          <w:kern w:val="2"/>
          <w:szCs w:val="20"/>
          <w14:ligatures w14:val="standardContextual"/>
        </w:rPr>
        <w:t xml:space="preserve"> letih za porabo električne energije, k</w:t>
      </w:r>
      <w:r>
        <w:rPr>
          <w:rFonts w:eastAsia="Aptos" w:cs="Arial"/>
          <w:color w:val="000000"/>
          <w:kern w:val="2"/>
          <w:szCs w:val="20"/>
          <w14:ligatures w14:val="standardContextual"/>
        </w:rPr>
        <w:t>i</w:t>
      </w:r>
      <w:r w:rsidRPr="00BE5832">
        <w:rPr>
          <w:rFonts w:eastAsia="Aptos" w:cs="Arial"/>
          <w:color w:val="000000"/>
          <w:kern w:val="2"/>
          <w:szCs w:val="20"/>
          <w14:ligatures w14:val="standardContextual"/>
        </w:rPr>
        <w:t xml:space="preserve"> </w:t>
      </w:r>
      <w:r w:rsidR="00643124">
        <w:rPr>
          <w:rFonts w:eastAsia="Aptos" w:cs="Arial"/>
          <w:color w:val="000000"/>
          <w:kern w:val="2"/>
          <w:szCs w:val="20"/>
          <w14:ligatures w14:val="standardContextual"/>
        </w:rPr>
        <w:t xml:space="preserve">vključujejo </w:t>
      </w:r>
      <w:r w:rsidRPr="00BE5832">
        <w:rPr>
          <w:rFonts w:eastAsia="Aptos" w:cs="Arial"/>
          <w:color w:val="000000"/>
          <w:kern w:val="2"/>
          <w:szCs w:val="20"/>
          <w14:ligatures w14:val="standardContextual"/>
        </w:rPr>
        <w:t xml:space="preserve">tudi omrežnino, davke in prispevke, na vseh </w:t>
      </w:r>
      <w:r>
        <w:rPr>
          <w:rFonts w:eastAsia="Aptos" w:cs="Arial"/>
          <w:color w:val="000000"/>
          <w:kern w:val="2"/>
          <w:szCs w:val="20"/>
          <w14:ligatures w14:val="standardContextual"/>
        </w:rPr>
        <w:t xml:space="preserve">merilnih </w:t>
      </w:r>
      <w:r w:rsidRPr="00BE5832">
        <w:rPr>
          <w:rFonts w:eastAsia="Aptos" w:cs="Arial"/>
          <w:color w:val="000000"/>
          <w:kern w:val="2"/>
          <w:szCs w:val="20"/>
          <w14:ligatures w14:val="standardContextual"/>
        </w:rPr>
        <w:t>mestih</w:t>
      </w:r>
      <w:r w:rsidR="00B83FB5">
        <w:rPr>
          <w:rFonts w:eastAsia="Aptos" w:cs="Arial"/>
          <w:color w:val="000000"/>
          <w:kern w:val="2"/>
          <w:szCs w:val="20"/>
          <w14:ligatures w14:val="standardContextual"/>
        </w:rPr>
        <w:t xml:space="preserve"> podjetja</w:t>
      </w:r>
      <w:r w:rsidRPr="00BE5832">
        <w:rPr>
          <w:rFonts w:eastAsia="Aptos" w:cs="Arial"/>
          <w:color w:val="000000"/>
          <w:kern w:val="2"/>
          <w:szCs w:val="20"/>
          <w14:ligatures w14:val="standardContextual"/>
        </w:rPr>
        <w:t xml:space="preserve"> od njegovega povprečja bruto dodane vrednosti v zadnjih treh letih;</w:t>
      </w:r>
    </w:p>
    <w:p w14:paraId="3EA06B9A" w14:textId="0FCD4BC8" w:rsidR="00BE5832" w:rsidRPr="00BE5832" w:rsidRDefault="00BE5832" w:rsidP="00BE5832">
      <w:pPr>
        <w:numPr>
          <w:ilvl w:val="0"/>
          <w:numId w:val="79"/>
        </w:numPr>
        <w:spacing w:after="16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w:t>
      </w:r>
      <w:bookmarkStart w:id="43" w:name="_Hlk213325212"/>
      <w:r w:rsidRPr="00BE5832">
        <w:rPr>
          <w:rFonts w:eastAsia="Aptos" w:cs="Arial"/>
          <w:color w:val="000000"/>
          <w:kern w:val="2"/>
          <w:szCs w:val="20"/>
          <w14:ligatures w14:val="standardContextual"/>
        </w:rPr>
        <w:t>referenčna tržna cena pasovne električne energije za posamezno leto</w:t>
      </w:r>
      <w:bookmarkEnd w:id="43"/>
      <w:r w:rsidRPr="00BE5832">
        <w:rPr>
          <w:rFonts w:eastAsia="Aptos" w:cs="Arial"/>
          <w:color w:val="000000"/>
          <w:kern w:val="2"/>
          <w:szCs w:val="20"/>
          <w14:ligatures w14:val="standardContextual"/>
        </w:rPr>
        <w:t xml:space="preserve">« je cena v EUR/MWh, ki se za posamezno koledarsko leto izračuna kot povprečje zaključnih cen vseh trgovalnih dni iz predhodnega koledarskega leta za produkt »EEX-PXE Slovenian Power Base Year Future« </w:t>
      </w:r>
      <w:r w:rsidR="00752801">
        <w:rPr>
          <w:rFonts w:eastAsia="Aptos" w:cs="Arial"/>
          <w:color w:val="000000"/>
          <w:kern w:val="2"/>
          <w:szCs w:val="20"/>
          <w14:ligatures w14:val="standardContextual"/>
        </w:rPr>
        <w:t xml:space="preserve">in </w:t>
      </w:r>
      <w:r w:rsidRPr="00BE5832">
        <w:rPr>
          <w:rFonts w:eastAsia="Aptos" w:cs="Arial"/>
          <w:color w:val="000000"/>
          <w:kern w:val="2"/>
          <w:szCs w:val="20"/>
          <w14:ligatures w14:val="standardContextual"/>
        </w:rPr>
        <w:t>se zaokroži na dve decimalni mesti;</w:t>
      </w:r>
    </w:p>
    <w:p w14:paraId="2B4CD34E" w14:textId="0FD36BDF" w:rsidR="00BE5832" w:rsidRPr="00BE5832" w:rsidRDefault="00BE5832" w:rsidP="00BE5832">
      <w:pPr>
        <w:numPr>
          <w:ilvl w:val="0"/>
          <w:numId w:val="79"/>
        </w:numPr>
        <w:spacing w:after="16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w:t>
      </w:r>
      <w:bookmarkStart w:id="44" w:name="_Hlk214958418"/>
      <w:r w:rsidRPr="00BE5832">
        <w:rPr>
          <w:rFonts w:eastAsia="Aptos" w:cs="Arial"/>
          <w:color w:val="000000"/>
          <w:kern w:val="2"/>
          <w:szCs w:val="20"/>
          <w14:ligatures w14:val="standardContextual"/>
        </w:rPr>
        <w:t>skupna letna poraba električne energije« je vsota električne energije, ki jo upravičenec v koledarskem letu porabi za lastne potrebe na vseh svojih merilnih mestih, ne glede na vir dobave;</w:t>
      </w:r>
      <w:bookmarkEnd w:id="44"/>
    </w:p>
    <w:p w14:paraId="3D532171" w14:textId="650FB98C" w:rsidR="00BE5832" w:rsidRDefault="00BE5832" w:rsidP="00BE5832">
      <w:pPr>
        <w:numPr>
          <w:ilvl w:val="0"/>
          <w:numId w:val="79"/>
        </w:numPr>
        <w:spacing w:after="16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»upravičeni sektor« je sektor iz Priloge 1 Smernic o državni pomoči za podnebje, varstvo okolja in energijo za leto 2022 (UL C št. 80 z dne 18. 2. 2022, str. 1</w:t>
      </w:r>
      <w:r w:rsidR="00752801">
        <w:rPr>
          <w:rFonts w:eastAsia="Aptos" w:cs="Arial"/>
          <w:color w:val="000000"/>
          <w:kern w:val="2"/>
          <w:szCs w:val="20"/>
          <w14:ligatures w14:val="standardContextual"/>
        </w:rPr>
        <w:t>; v nadaljnjem besedilu: smernice</w:t>
      </w:r>
      <w:r w:rsidRPr="00BE5832">
        <w:rPr>
          <w:rFonts w:eastAsia="Aptos" w:cs="Arial"/>
          <w:color w:val="000000"/>
          <w:kern w:val="2"/>
          <w:szCs w:val="20"/>
          <w14:ligatures w14:val="standardContextual"/>
        </w:rPr>
        <w:t xml:space="preserve">) oziroma </w:t>
      </w:r>
      <w:r w:rsidR="0045562B">
        <w:rPr>
          <w:rFonts w:eastAsia="Aptos" w:cs="Arial"/>
          <w:color w:val="000000"/>
          <w:kern w:val="2"/>
          <w:szCs w:val="20"/>
          <w14:ligatures w14:val="standardContextual"/>
        </w:rPr>
        <w:t xml:space="preserve">sektor, ki ga Evropska komisija </w:t>
      </w:r>
      <w:r w:rsidR="00552BD5">
        <w:rPr>
          <w:rFonts w:eastAsia="Aptos" w:cs="Arial"/>
          <w:color w:val="000000"/>
          <w:kern w:val="2"/>
          <w:szCs w:val="20"/>
          <w14:ligatures w14:val="standardContextual"/>
        </w:rPr>
        <w:t>prizna</w:t>
      </w:r>
      <w:r w:rsidR="0045562B">
        <w:rPr>
          <w:rFonts w:eastAsia="Aptos" w:cs="Arial"/>
          <w:color w:val="000000"/>
          <w:kern w:val="2"/>
          <w:szCs w:val="20"/>
          <w14:ligatures w14:val="standardContextual"/>
        </w:rPr>
        <w:t>va</w:t>
      </w:r>
      <w:r w:rsidR="00552BD5">
        <w:rPr>
          <w:rFonts w:eastAsia="Aptos" w:cs="Arial"/>
          <w:color w:val="000000"/>
          <w:kern w:val="2"/>
          <w:szCs w:val="20"/>
          <w14:ligatures w14:val="standardContextual"/>
        </w:rPr>
        <w:t xml:space="preserve"> za upravičenega</w:t>
      </w:r>
      <w:r w:rsidRPr="00BE5832">
        <w:rPr>
          <w:rFonts w:eastAsia="Aptos" w:cs="Arial"/>
          <w:color w:val="000000"/>
          <w:kern w:val="2"/>
          <w:szCs w:val="20"/>
          <w14:ligatures w14:val="standardContextual"/>
        </w:rPr>
        <w:t xml:space="preserve"> na podlagi dokazil o izpolnjevanju meril za upravičenost iz</w:t>
      </w:r>
      <w:r w:rsidR="00B83FB5">
        <w:rPr>
          <w:rFonts w:eastAsia="Aptos" w:cs="Arial"/>
          <w:color w:val="000000"/>
          <w:kern w:val="2"/>
          <w:szCs w:val="20"/>
          <w14:ligatures w14:val="standardContextual"/>
        </w:rPr>
        <w:t xml:space="preserve"> okvira</w:t>
      </w:r>
      <w:r w:rsidRPr="00BE5832">
        <w:rPr>
          <w:rFonts w:eastAsia="Aptos" w:cs="Arial"/>
          <w:color w:val="000000"/>
          <w:kern w:val="2"/>
          <w:szCs w:val="20"/>
          <w14:ligatures w14:val="standardContextual"/>
        </w:rPr>
        <w:t>.</w:t>
      </w:r>
    </w:p>
    <w:p w14:paraId="5972CFBA" w14:textId="77777777" w:rsidR="00E62EC9" w:rsidRPr="00BE5832" w:rsidRDefault="00E62EC9" w:rsidP="00E62EC9">
      <w:pPr>
        <w:spacing w:after="160" w:line="259" w:lineRule="auto"/>
        <w:ind w:left="720"/>
        <w:contextualSpacing/>
        <w:rPr>
          <w:rFonts w:eastAsia="Aptos" w:cs="Arial"/>
          <w:color w:val="000000"/>
          <w:kern w:val="2"/>
          <w:szCs w:val="20"/>
          <w14:ligatures w14:val="standardContextual"/>
        </w:rPr>
      </w:pPr>
    </w:p>
    <w:p w14:paraId="3936B82E" w14:textId="77777777" w:rsidR="00BE5832" w:rsidRPr="00BE5832" w:rsidRDefault="00BE5832" w:rsidP="00752801">
      <w:pPr>
        <w:keepNext/>
        <w:keepLines/>
        <w:spacing w:before="360" w:after="80" w:line="259" w:lineRule="auto"/>
        <w:jc w:val="center"/>
        <w:outlineLvl w:val="0"/>
        <w:rPr>
          <w:rFonts w:eastAsia="Times New Roman" w:cs="Arial"/>
          <w:color w:val="000000"/>
          <w:kern w:val="2"/>
          <w:szCs w:val="20"/>
          <w14:ligatures w14:val="standardContextual"/>
        </w:rPr>
      </w:pPr>
      <w:r w:rsidRPr="00BE5832">
        <w:rPr>
          <w:rFonts w:eastAsia="Times New Roman" w:cs="Arial"/>
          <w:color w:val="000000"/>
          <w:kern w:val="2"/>
          <w:szCs w:val="20"/>
          <w14:ligatures w14:val="standardContextual"/>
        </w:rPr>
        <w:t>II. UPRAVIČENCI IN POGOJI</w:t>
      </w:r>
    </w:p>
    <w:p w14:paraId="0344852C" w14:textId="77777777" w:rsidR="00BE5832" w:rsidRPr="00BE5832" w:rsidRDefault="00BE5832" w:rsidP="00BE5832">
      <w:pPr>
        <w:spacing w:after="160" w:line="259" w:lineRule="auto"/>
        <w:rPr>
          <w:rFonts w:eastAsia="Aptos" w:cs="Arial"/>
          <w:color w:val="000000"/>
          <w:kern w:val="2"/>
          <w:szCs w:val="20"/>
          <w14:ligatures w14:val="standardContextual"/>
        </w:rPr>
      </w:pPr>
    </w:p>
    <w:p w14:paraId="76B58EE5" w14:textId="77777777" w:rsidR="00BE5832" w:rsidRPr="00BE5832" w:rsidRDefault="00BE5832" w:rsidP="00BE5832">
      <w:pPr>
        <w:keepNext/>
        <w:keepLines/>
        <w:numPr>
          <w:ilvl w:val="0"/>
          <w:numId w:val="70"/>
        </w:numPr>
        <w:spacing w:before="160" w:after="80" w:line="259" w:lineRule="auto"/>
        <w:jc w:val="center"/>
        <w:outlineLvl w:val="1"/>
        <w:rPr>
          <w:rFonts w:eastAsia="Times New Roman" w:cs="Arial"/>
          <w:color w:val="000000"/>
          <w:kern w:val="2"/>
          <w:szCs w:val="20"/>
          <w14:ligatures w14:val="standardContextual"/>
        </w:rPr>
      </w:pPr>
      <w:r w:rsidRPr="00BE5832">
        <w:rPr>
          <w:rFonts w:eastAsia="Times New Roman" w:cs="Arial"/>
          <w:color w:val="000000"/>
          <w:kern w:val="2"/>
          <w:szCs w:val="20"/>
          <w14:ligatures w14:val="standardContextual"/>
        </w:rPr>
        <w:t>člen</w:t>
      </w:r>
    </w:p>
    <w:p w14:paraId="2E37E3F3" w14:textId="18B85DA7" w:rsidR="00BE5832" w:rsidRPr="00BE5832" w:rsidRDefault="00BE5832" w:rsidP="00BE5832">
      <w:pPr>
        <w:spacing w:after="160" w:line="259" w:lineRule="auto"/>
        <w:ind w:left="720"/>
        <w:contextualSpacing/>
        <w:jc w:val="center"/>
        <w:rPr>
          <w:rFonts w:eastAsia="Aptos" w:cs="Arial"/>
          <w:color w:val="000000"/>
          <w:kern w:val="2"/>
          <w:szCs w:val="20"/>
          <w14:ligatures w14:val="standardContextual"/>
        </w:rPr>
      </w:pPr>
      <w:r w:rsidRPr="00BE5832">
        <w:rPr>
          <w:rFonts w:eastAsia="Aptos" w:cs="Arial"/>
          <w:color w:val="000000"/>
          <w:kern w:val="2"/>
          <w:szCs w:val="20"/>
          <w14:ligatures w14:val="standardContextual"/>
        </w:rPr>
        <w:t>(upravičen</w:t>
      </w:r>
      <w:r w:rsidR="0031785E">
        <w:rPr>
          <w:rFonts w:eastAsia="Aptos" w:cs="Arial"/>
          <w:color w:val="000000"/>
          <w:kern w:val="2"/>
          <w:szCs w:val="20"/>
          <w14:ligatures w14:val="standardContextual"/>
        </w:rPr>
        <w:t>ec</w:t>
      </w:r>
      <w:r w:rsidRPr="00BE5832">
        <w:rPr>
          <w:rFonts w:eastAsia="Aptos" w:cs="Arial"/>
          <w:color w:val="000000"/>
          <w:kern w:val="2"/>
          <w:szCs w:val="20"/>
          <w14:ligatures w14:val="standardContextual"/>
        </w:rPr>
        <w:t xml:space="preserve"> do spodbude)</w:t>
      </w:r>
    </w:p>
    <w:p w14:paraId="23185147" w14:textId="790DE21C" w:rsidR="00502F5F" w:rsidRPr="00BE5832" w:rsidRDefault="00502F5F" w:rsidP="00502F5F">
      <w:pPr>
        <w:numPr>
          <w:ilvl w:val="0"/>
          <w:numId w:val="89"/>
        </w:numPr>
        <w:spacing w:after="16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 xml:space="preserve">Do spodbude po tem zakonu </w:t>
      </w:r>
      <w:r w:rsidR="0031785E">
        <w:rPr>
          <w:rFonts w:eastAsia="Aptos" w:cs="Arial"/>
          <w:color w:val="000000"/>
          <w:kern w:val="2"/>
          <w:szCs w:val="20"/>
          <w14:ligatures w14:val="standardContextual"/>
        </w:rPr>
        <w:t>je</w:t>
      </w:r>
      <w:r w:rsidRPr="00BE5832">
        <w:rPr>
          <w:rFonts w:eastAsia="Aptos" w:cs="Arial"/>
          <w:color w:val="000000"/>
          <w:kern w:val="2"/>
          <w:szCs w:val="20"/>
          <w14:ligatures w14:val="standardContextual"/>
        </w:rPr>
        <w:t xml:space="preserve"> upravičen</w:t>
      </w:r>
      <w:r w:rsidR="0031785E">
        <w:rPr>
          <w:rFonts w:eastAsia="Aptos" w:cs="Arial"/>
          <w:color w:val="000000"/>
          <w:kern w:val="2"/>
          <w:szCs w:val="20"/>
          <w14:ligatures w14:val="standardContextual"/>
        </w:rPr>
        <w:t>o</w:t>
      </w:r>
      <w:r w:rsidRPr="00BE5832">
        <w:rPr>
          <w:rFonts w:eastAsia="Aptos" w:cs="Arial"/>
          <w:color w:val="000000"/>
          <w:kern w:val="2"/>
          <w:szCs w:val="20"/>
          <w14:ligatures w14:val="standardContextual"/>
        </w:rPr>
        <w:t xml:space="preserve"> elektrointenzivn</w:t>
      </w:r>
      <w:r w:rsidR="0031785E">
        <w:rPr>
          <w:rFonts w:eastAsia="Aptos" w:cs="Arial"/>
          <w:color w:val="000000"/>
          <w:kern w:val="2"/>
          <w:szCs w:val="20"/>
          <w14:ligatures w14:val="standardContextual"/>
        </w:rPr>
        <w:t>o</w:t>
      </w:r>
      <w:r w:rsidRPr="00BE5832">
        <w:rPr>
          <w:rFonts w:eastAsia="Aptos" w:cs="Arial"/>
          <w:color w:val="000000"/>
          <w:kern w:val="2"/>
          <w:szCs w:val="20"/>
          <w14:ligatures w14:val="standardContextual"/>
        </w:rPr>
        <w:t xml:space="preserve"> podjetj</w:t>
      </w:r>
      <w:r w:rsidR="0031785E">
        <w:rPr>
          <w:rFonts w:eastAsia="Aptos" w:cs="Arial"/>
          <w:color w:val="000000"/>
          <w:kern w:val="2"/>
          <w:szCs w:val="20"/>
          <w14:ligatures w14:val="standardContextual"/>
        </w:rPr>
        <w:t>e</w:t>
      </w:r>
      <w:r w:rsidRPr="00BE5832">
        <w:rPr>
          <w:rFonts w:eastAsia="Aptos" w:cs="Arial"/>
          <w:color w:val="000000"/>
          <w:kern w:val="2"/>
          <w:szCs w:val="20"/>
          <w14:ligatures w14:val="standardContextual"/>
        </w:rPr>
        <w:t xml:space="preserve"> iz upravičen</w:t>
      </w:r>
      <w:r w:rsidR="0031785E">
        <w:rPr>
          <w:rFonts w:eastAsia="Aptos" w:cs="Arial"/>
          <w:color w:val="000000"/>
          <w:kern w:val="2"/>
          <w:szCs w:val="20"/>
          <w14:ligatures w14:val="standardContextual"/>
        </w:rPr>
        <w:t>ega</w:t>
      </w:r>
      <w:r w:rsidRPr="00BE5832">
        <w:rPr>
          <w:rFonts w:eastAsia="Aptos" w:cs="Arial"/>
          <w:color w:val="000000"/>
          <w:kern w:val="2"/>
          <w:szCs w:val="20"/>
          <w14:ligatures w14:val="standardContextual"/>
        </w:rPr>
        <w:t xml:space="preserve"> sektorj</w:t>
      </w:r>
      <w:r w:rsidR="0031785E">
        <w:rPr>
          <w:rFonts w:eastAsia="Aptos" w:cs="Arial"/>
          <w:color w:val="000000"/>
          <w:kern w:val="2"/>
          <w:szCs w:val="20"/>
          <w14:ligatures w14:val="standardContextual"/>
        </w:rPr>
        <w:t>a</w:t>
      </w:r>
      <w:r w:rsidRPr="00BE5832">
        <w:rPr>
          <w:rFonts w:eastAsia="Aptos" w:cs="Arial"/>
          <w:color w:val="000000"/>
          <w:kern w:val="2"/>
          <w:szCs w:val="20"/>
          <w14:ligatures w14:val="standardContextual"/>
        </w:rPr>
        <w:t>, ki izpolnjuje naslednje pogoje</w:t>
      </w:r>
      <w:r w:rsidR="00F15442">
        <w:rPr>
          <w:rFonts w:eastAsia="Aptos" w:cs="Arial"/>
          <w:color w:val="000000"/>
          <w:kern w:val="2"/>
          <w:szCs w:val="20"/>
          <w14:ligatures w14:val="standardContextual"/>
        </w:rPr>
        <w:t xml:space="preserve"> (v nadaljnjem besedilu: upravičen</w:t>
      </w:r>
      <w:r w:rsidR="0031785E">
        <w:rPr>
          <w:rFonts w:eastAsia="Aptos" w:cs="Arial"/>
          <w:color w:val="000000"/>
          <w:kern w:val="2"/>
          <w:szCs w:val="20"/>
          <w14:ligatures w14:val="standardContextual"/>
        </w:rPr>
        <w:t>ec</w:t>
      </w:r>
      <w:r w:rsidR="00F15442">
        <w:rPr>
          <w:rFonts w:eastAsia="Aptos" w:cs="Arial"/>
          <w:color w:val="000000"/>
          <w:kern w:val="2"/>
          <w:szCs w:val="20"/>
          <w14:ligatures w14:val="standardContextual"/>
        </w:rPr>
        <w:t>)</w:t>
      </w:r>
      <w:r w:rsidRPr="00BE5832">
        <w:rPr>
          <w:rFonts w:eastAsia="Aptos" w:cs="Arial"/>
          <w:color w:val="000000"/>
          <w:kern w:val="2"/>
          <w:szCs w:val="20"/>
          <w14:ligatures w14:val="standardContextual"/>
        </w:rPr>
        <w:t>:</w:t>
      </w:r>
    </w:p>
    <w:p w14:paraId="76F2CEAE" w14:textId="1F040A1A" w:rsidR="00502F5F" w:rsidRPr="00BE5832" w:rsidRDefault="00502F5F" w:rsidP="00502F5F">
      <w:pPr>
        <w:numPr>
          <w:ilvl w:val="0"/>
          <w:numId w:val="90"/>
        </w:numPr>
        <w:spacing w:after="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 xml:space="preserve">skupna letna poraba električne energije znaša </w:t>
      </w:r>
      <w:r w:rsidR="00684823">
        <w:rPr>
          <w:rFonts w:eastAsia="Aptos" w:cs="Arial"/>
          <w:color w:val="000000"/>
          <w:kern w:val="2"/>
          <w:szCs w:val="20"/>
          <w14:ligatures w14:val="standardContextual"/>
        </w:rPr>
        <w:t>najmanj</w:t>
      </w:r>
      <w:r w:rsidRPr="00BE5832">
        <w:rPr>
          <w:rFonts w:eastAsia="Aptos" w:cs="Arial"/>
          <w:color w:val="000000"/>
          <w:kern w:val="2"/>
          <w:szCs w:val="20"/>
          <w14:ligatures w14:val="standardContextual"/>
        </w:rPr>
        <w:t xml:space="preserve"> 15 GWh in</w:t>
      </w:r>
    </w:p>
    <w:p w14:paraId="5BEFEAC3" w14:textId="04DB1B2A" w:rsidR="00502F5F" w:rsidRDefault="00502F5F" w:rsidP="00502F5F">
      <w:pPr>
        <w:numPr>
          <w:ilvl w:val="0"/>
          <w:numId w:val="90"/>
        </w:numPr>
        <w:spacing w:after="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 xml:space="preserve">ima vzpostavljen sistem upravljanja z energijo (SIST EN ISO 50001) oziroma </w:t>
      </w:r>
      <w:r w:rsidR="00F15442">
        <w:rPr>
          <w:rFonts w:eastAsia="Aptos" w:cs="Arial"/>
          <w:color w:val="000000"/>
          <w:kern w:val="2"/>
          <w:szCs w:val="20"/>
          <w14:ligatures w14:val="standardContextual"/>
        </w:rPr>
        <w:t xml:space="preserve">izvaja </w:t>
      </w:r>
      <w:r w:rsidRPr="00BE5832">
        <w:rPr>
          <w:rFonts w:eastAsia="Aptos" w:cs="Arial"/>
          <w:color w:val="000000"/>
          <w:kern w:val="2"/>
          <w:szCs w:val="20"/>
          <w14:ligatures w14:val="standardContextual"/>
        </w:rPr>
        <w:t>energetsk</w:t>
      </w:r>
      <w:r w:rsidR="00F15442">
        <w:rPr>
          <w:rFonts w:eastAsia="Aptos" w:cs="Arial"/>
          <w:color w:val="000000"/>
          <w:kern w:val="2"/>
          <w:szCs w:val="20"/>
          <w14:ligatures w14:val="standardContextual"/>
        </w:rPr>
        <w:t>e</w:t>
      </w:r>
      <w:r w:rsidRPr="00BE5832">
        <w:rPr>
          <w:rFonts w:eastAsia="Aptos" w:cs="Arial"/>
          <w:color w:val="000000"/>
          <w:kern w:val="2"/>
          <w:szCs w:val="20"/>
          <w14:ligatures w14:val="standardContextual"/>
        </w:rPr>
        <w:t xml:space="preserve"> pregled</w:t>
      </w:r>
      <w:r w:rsidR="00F15442">
        <w:rPr>
          <w:rFonts w:eastAsia="Aptos" w:cs="Arial"/>
          <w:color w:val="000000"/>
          <w:kern w:val="2"/>
          <w:szCs w:val="20"/>
          <w14:ligatures w14:val="standardContextual"/>
        </w:rPr>
        <w:t>e v skladu z</w:t>
      </w:r>
      <w:r w:rsidRPr="00BE5832">
        <w:rPr>
          <w:rFonts w:eastAsia="Aptos" w:cs="Arial"/>
          <w:color w:val="000000"/>
          <w:kern w:val="2"/>
          <w:szCs w:val="20"/>
          <w14:ligatures w14:val="standardContextual"/>
        </w:rPr>
        <w:t xml:space="preserve"> zakon</w:t>
      </w:r>
      <w:r w:rsidR="00F15442">
        <w:rPr>
          <w:rFonts w:eastAsia="Aptos" w:cs="Arial"/>
          <w:color w:val="000000"/>
          <w:kern w:val="2"/>
          <w:szCs w:val="20"/>
          <w14:ligatures w14:val="standardContextual"/>
        </w:rPr>
        <w:t>om</w:t>
      </w:r>
      <w:r w:rsidRPr="00BE5832">
        <w:rPr>
          <w:rFonts w:eastAsia="Aptos" w:cs="Arial"/>
          <w:color w:val="000000"/>
          <w:kern w:val="2"/>
          <w:szCs w:val="20"/>
          <w14:ligatures w14:val="standardContextual"/>
        </w:rPr>
        <w:t>, ki ureja učinkovito rabo energije.</w:t>
      </w:r>
    </w:p>
    <w:p w14:paraId="798E6AD0" w14:textId="77777777" w:rsidR="00502F5F" w:rsidRDefault="00502F5F" w:rsidP="00502F5F">
      <w:pPr>
        <w:spacing w:after="0" w:line="259" w:lineRule="auto"/>
        <w:ind w:left="1068"/>
        <w:contextualSpacing/>
        <w:rPr>
          <w:rFonts w:eastAsia="Aptos" w:cs="Arial"/>
          <w:color w:val="000000"/>
          <w:kern w:val="2"/>
          <w:szCs w:val="20"/>
          <w14:ligatures w14:val="standardContextual"/>
        </w:rPr>
      </w:pPr>
    </w:p>
    <w:p w14:paraId="6BD1AECF" w14:textId="4853E473" w:rsidR="00780B23" w:rsidRPr="00780B23" w:rsidRDefault="00502F5F" w:rsidP="00780B23">
      <w:pPr>
        <w:pStyle w:val="Odstavekseznama"/>
        <w:numPr>
          <w:ilvl w:val="0"/>
          <w:numId w:val="89"/>
        </w:numPr>
        <w:rPr>
          <w:rFonts w:eastAsia="Aptos" w:cs="Arial"/>
          <w:color w:val="000000"/>
          <w:kern w:val="2"/>
          <w:szCs w:val="20"/>
          <w14:ligatures w14:val="standardContextual"/>
        </w:rPr>
      </w:pPr>
      <w:r w:rsidRPr="00502F5F">
        <w:rPr>
          <w:rFonts w:eastAsia="Aptos" w:cs="Arial"/>
          <w:color w:val="000000"/>
          <w:kern w:val="2"/>
          <w:szCs w:val="20"/>
          <w14:ligatures w14:val="standardContextual"/>
        </w:rPr>
        <w:t xml:space="preserve">Elektrointenzivno podjetje, ki izvaja dejavnost v sektorju, ki ni upravičeni sektor iz Priloge 1 </w:t>
      </w:r>
      <w:r w:rsidR="00FA38B1">
        <w:rPr>
          <w:rFonts w:eastAsia="Aptos" w:cs="Arial"/>
          <w:color w:val="000000"/>
          <w:kern w:val="2"/>
          <w:szCs w:val="20"/>
          <w14:ligatures w14:val="standardContextual"/>
        </w:rPr>
        <w:t>s</w:t>
      </w:r>
      <w:r w:rsidRPr="00502F5F">
        <w:rPr>
          <w:rFonts w:eastAsia="Aptos" w:cs="Arial"/>
          <w:color w:val="000000"/>
          <w:kern w:val="2"/>
          <w:szCs w:val="20"/>
          <w14:ligatures w14:val="standardContextual"/>
        </w:rPr>
        <w:t xml:space="preserve">mernic, mora v vlogi s podatki za obdobje </w:t>
      </w:r>
      <w:r w:rsidR="00684823">
        <w:rPr>
          <w:rFonts w:eastAsia="Aptos" w:cs="Arial"/>
          <w:color w:val="000000"/>
          <w:kern w:val="2"/>
          <w:szCs w:val="20"/>
          <w14:ligatures w14:val="standardContextual"/>
        </w:rPr>
        <w:t>najmanj</w:t>
      </w:r>
      <w:r w:rsidRPr="00502F5F">
        <w:rPr>
          <w:rFonts w:eastAsia="Aptos" w:cs="Arial"/>
          <w:color w:val="000000"/>
          <w:kern w:val="2"/>
          <w:szCs w:val="20"/>
          <w14:ligatures w14:val="standardContextual"/>
        </w:rPr>
        <w:t xml:space="preserve"> treh</w:t>
      </w:r>
      <w:r w:rsidR="00C4394E">
        <w:rPr>
          <w:rFonts w:eastAsia="Aptos" w:cs="Arial"/>
          <w:color w:val="000000"/>
          <w:kern w:val="2"/>
          <w:szCs w:val="20"/>
          <w14:ligatures w14:val="standardContextual"/>
        </w:rPr>
        <w:t xml:space="preserve"> zaključenih</w:t>
      </w:r>
      <w:r w:rsidRPr="00502F5F">
        <w:rPr>
          <w:rFonts w:eastAsia="Aptos" w:cs="Arial"/>
          <w:color w:val="000000"/>
          <w:kern w:val="2"/>
          <w:szCs w:val="20"/>
          <w14:ligatures w14:val="standardContextual"/>
        </w:rPr>
        <w:t xml:space="preserve"> let</w:t>
      </w:r>
      <w:r w:rsidR="00C4394E">
        <w:rPr>
          <w:rFonts w:eastAsia="Aptos" w:cs="Arial"/>
          <w:color w:val="000000"/>
          <w:kern w:val="2"/>
          <w:szCs w:val="20"/>
          <w14:ligatures w14:val="standardContextual"/>
        </w:rPr>
        <w:t xml:space="preserve"> pred oddajo vloge</w:t>
      </w:r>
      <w:r w:rsidRPr="00502F5F">
        <w:rPr>
          <w:rFonts w:eastAsia="Aptos" w:cs="Arial"/>
          <w:color w:val="000000"/>
          <w:kern w:val="2"/>
          <w:szCs w:val="20"/>
          <w14:ligatures w14:val="standardContextual"/>
        </w:rPr>
        <w:t xml:space="preserve"> dokazati, da ta sektor ali podsektor na ravni </w:t>
      </w:r>
      <w:r w:rsidR="00FA38B1">
        <w:rPr>
          <w:rFonts w:eastAsia="Aptos" w:cs="Arial"/>
          <w:color w:val="000000"/>
          <w:kern w:val="2"/>
          <w:szCs w:val="20"/>
          <w14:ligatures w14:val="standardContextual"/>
        </w:rPr>
        <w:t xml:space="preserve">Evropske </w:t>
      </w:r>
      <w:r w:rsidR="0031785E">
        <w:rPr>
          <w:rFonts w:eastAsia="Aptos" w:cs="Arial"/>
          <w:color w:val="000000"/>
          <w:kern w:val="2"/>
          <w:szCs w:val="20"/>
          <w14:ligatures w14:val="standardContextual"/>
        </w:rPr>
        <w:t>u</w:t>
      </w:r>
      <w:r w:rsidRPr="00502F5F">
        <w:rPr>
          <w:rFonts w:eastAsia="Aptos" w:cs="Arial"/>
          <w:color w:val="000000"/>
          <w:kern w:val="2"/>
          <w:szCs w:val="20"/>
          <w14:ligatures w14:val="standardContextual"/>
        </w:rPr>
        <w:t>nije izpolnjuje merila za upravičenost, kar preveri in potrdi neodvisni strokovnjak</w:t>
      </w:r>
      <w:r w:rsidR="00780B23" w:rsidRPr="00780B23">
        <w:rPr>
          <w:rFonts w:eastAsia="Aptos" w:cs="Arial"/>
          <w:color w:val="000000"/>
          <w:kern w:val="2"/>
          <w:szCs w:val="20"/>
          <w14:ligatures w14:val="standardContextual"/>
        </w:rPr>
        <w:t>:</w:t>
      </w:r>
    </w:p>
    <w:p w14:paraId="662C272B" w14:textId="36A5AA69" w:rsidR="00780B23" w:rsidRPr="00780B23" w:rsidRDefault="0085499F" w:rsidP="00780B23">
      <w:pPr>
        <w:pStyle w:val="Odstavekseznama"/>
        <w:ind w:left="720"/>
        <w:rPr>
          <w:rFonts w:eastAsia="Aptos" w:cs="Arial"/>
          <w:color w:val="000000"/>
          <w:kern w:val="2"/>
          <w:szCs w:val="20"/>
          <w14:ligatures w14:val="standardContextual"/>
        </w:rPr>
      </w:pPr>
      <w:r>
        <w:rPr>
          <w:rFonts w:eastAsia="Aptos" w:cs="Arial"/>
          <w:color w:val="000000"/>
          <w:szCs w:val="20"/>
        </w:rPr>
        <w:lastRenderedPageBreak/>
        <w:t>–</w:t>
      </w:r>
      <w:r w:rsidR="00780B23" w:rsidRPr="00780B23">
        <w:rPr>
          <w:rFonts w:eastAsia="Aptos" w:cs="Arial"/>
          <w:color w:val="000000"/>
          <w:kern w:val="2"/>
          <w:szCs w:val="20"/>
          <w14:ligatures w14:val="standardContextual"/>
        </w:rPr>
        <w:t xml:space="preserve"> </w:t>
      </w:r>
      <w:r w:rsidR="0031785E">
        <w:rPr>
          <w:rFonts w:eastAsia="Aptos" w:cs="Arial"/>
          <w:color w:val="000000"/>
          <w:kern w:val="2"/>
          <w:szCs w:val="20"/>
          <w14:ligatures w14:val="standardContextual"/>
        </w:rPr>
        <w:t xml:space="preserve">ki </w:t>
      </w:r>
      <w:r w:rsidR="00780B23" w:rsidRPr="00780B23">
        <w:rPr>
          <w:rFonts w:eastAsia="Aptos" w:cs="Arial"/>
          <w:color w:val="000000"/>
          <w:kern w:val="2"/>
          <w:szCs w:val="20"/>
          <w14:ligatures w14:val="standardContextual"/>
        </w:rPr>
        <w:t>ima dokazljive strokovne izkušnje na področju ekonomske in energetske statistike, industrijske ekonomike ali sorodnih disciplin ter izkušnje z obdelavo statističnih podatkov;</w:t>
      </w:r>
    </w:p>
    <w:p w14:paraId="46E79315" w14:textId="6E98BA78" w:rsidR="00780B23" w:rsidRPr="00780B23" w:rsidRDefault="0085499F" w:rsidP="00780B23">
      <w:pPr>
        <w:pStyle w:val="Odstavekseznama"/>
        <w:ind w:left="720"/>
        <w:rPr>
          <w:rFonts w:eastAsia="Aptos" w:cs="Arial"/>
          <w:color w:val="000000"/>
          <w:kern w:val="2"/>
          <w:szCs w:val="20"/>
          <w14:ligatures w14:val="standardContextual"/>
        </w:rPr>
      </w:pPr>
      <w:r>
        <w:rPr>
          <w:rFonts w:eastAsia="Aptos" w:cs="Arial"/>
          <w:color w:val="000000"/>
          <w:szCs w:val="20"/>
        </w:rPr>
        <w:t>–</w:t>
      </w:r>
      <w:r w:rsidR="00780B23" w:rsidRPr="00780B23">
        <w:rPr>
          <w:rFonts w:eastAsia="Aptos" w:cs="Arial"/>
          <w:color w:val="000000"/>
          <w:kern w:val="2"/>
          <w:szCs w:val="20"/>
          <w14:ligatures w14:val="standardContextual"/>
        </w:rPr>
        <w:t xml:space="preserve"> </w:t>
      </w:r>
      <w:r w:rsidR="0031785E">
        <w:rPr>
          <w:rFonts w:eastAsia="Aptos" w:cs="Arial"/>
          <w:color w:val="000000"/>
          <w:kern w:val="2"/>
          <w:szCs w:val="20"/>
          <w14:ligatures w14:val="standardContextual"/>
        </w:rPr>
        <w:t xml:space="preserve">ki </w:t>
      </w:r>
      <w:r w:rsidR="00780B23" w:rsidRPr="00780B23">
        <w:rPr>
          <w:rFonts w:eastAsia="Aptos" w:cs="Arial"/>
          <w:color w:val="000000"/>
          <w:kern w:val="2"/>
          <w:szCs w:val="20"/>
          <w14:ligatures w14:val="standardContextual"/>
        </w:rPr>
        <w:t>je funkcionalno in organizacijsko neodvis</w:t>
      </w:r>
      <w:r w:rsidR="00780B23">
        <w:rPr>
          <w:rFonts w:eastAsia="Aptos" w:cs="Arial"/>
          <w:color w:val="000000"/>
          <w:kern w:val="2"/>
          <w:szCs w:val="20"/>
          <w14:ligatures w14:val="standardContextual"/>
        </w:rPr>
        <w:t>en</w:t>
      </w:r>
      <w:r w:rsidR="00780B23" w:rsidRPr="00780B23">
        <w:rPr>
          <w:rFonts w:eastAsia="Aptos" w:cs="Arial"/>
          <w:color w:val="000000"/>
          <w:kern w:val="2"/>
          <w:szCs w:val="20"/>
          <w14:ligatures w14:val="standardContextual"/>
        </w:rPr>
        <w:t xml:space="preserve"> od organa, ki dodeljuje državno pomoč</w:t>
      </w:r>
      <w:r w:rsidR="0031785E">
        <w:rPr>
          <w:rFonts w:eastAsia="Aptos" w:cs="Arial"/>
          <w:color w:val="000000"/>
          <w:kern w:val="2"/>
          <w:szCs w:val="20"/>
          <w14:ligatures w14:val="standardContextual"/>
        </w:rPr>
        <w:t>,</w:t>
      </w:r>
      <w:r w:rsidR="00780B23" w:rsidRPr="00780B23">
        <w:rPr>
          <w:rFonts w:eastAsia="Aptos" w:cs="Arial"/>
          <w:color w:val="000000"/>
          <w:kern w:val="2"/>
          <w:szCs w:val="20"/>
          <w14:ligatures w14:val="standardContextual"/>
        </w:rPr>
        <w:t xml:space="preserve"> ter od </w:t>
      </w:r>
      <w:r w:rsidR="0031785E">
        <w:rPr>
          <w:rFonts w:eastAsia="Aptos" w:cs="Arial"/>
          <w:color w:val="000000"/>
          <w:kern w:val="2"/>
          <w:szCs w:val="20"/>
          <w14:ligatures w14:val="standardContextual"/>
        </w:rPr>
        <w:t>morebitnih</w:t>
      </w:r>
      <w:r w:rsidR="00780B23" w:rsidRPr="00780B23">
        <w:rPr>
          <w:rFonts w:eastAsia="Aptos" w:cs="Arial"/>
          <w:color w:val="000000"/>
          <w:kern w:val="2"/>
          <w:szCs w:val="20"/>
          <w14:ligatures w14:val="standardContextual"/>
        </w:rPr>
        <w:t xml:space="preserve"> upravičencev in njihovih interesnih združenj;</w:t>
      </w:r>
    </w:p>
    <w:p w14:paraId="3D026D23" w14:textId="149909E2" w:rsidR="00780B23" w:rsidRPr="00780B23" w:rsidRDefault="0085499F" w:rsidP="00780B23">
      <w:pPr>
        <w:pStyle w:val="Odstavekseznama"/>
        <w:ind w:left="720"/>
        <w:rPr>
          <w:rFonts w:eastAsia="Aptos" w:cs="Arial"/>
          <w:color w:val="000000"/>
          <w:kern w:val="2"/>
          <w:szCs w:val="20"/>
          <w14:ligatures w14:val="standardContextual"/>
        </w:rPr>
      </w:pPr>
      <w:r>
        <w:rPr>
          <w:rFonts w:eastAsia="Aptos" w:cs="Arial"/>
          <w:color w:val="000000"/>
          <w:szCs w:val="20"/>
        </w:rPr>
        <w:t>–</w:t>
      </w:r>
      <w:r w:rsidR="00780B23" w:rsidRPr="00780B23">
        <w:rPr>
          <w:rFonts w:eastAsia="Aptos" w:cs="Arial"/>
          <w:color w:val="000000"/>
          <w:kern w:val="2"/>
          <w:szCs w:val="20"/>
          <w14:ligatures w14:val="standardContextual"/>
        </w:rPr>
        <w:t xml:space="preserve"> </w:t>
      </w:r>
      <w:r w:rsidR="0031785E">
        <w:rPr>
          <w:rFonts w:eastAsia="Aptos" w:cs="Arial"/>
          <w:color w:val="000000"/>
          <w:kern w:val="2"/>
          <w:szCs w:val="20"/>
          <w14:ligatures w14:val="standardContextual"/>
        </w:rPr>
        <w:t>pri katerem ne obstaja navzkrižje</w:t>
      </w:r>
      <w:r w:rsidR="00780B23" w:rsidRPr="00780B23">
        <w:rPr>
          <w:rFonts w:eastAsia="Aptos" w:cs="Arial"/>
          <w:color w:val="000000"/>
          <w:kern w:val="2"/>
          <w:szCs w:val="20"/>
          <w14:ligatures w14:val="standardContextual"/>
        </w:rPr>
        <w:t xml:space="preserve"> interesov;</w:t>
      </w:r>
    </w:p>
    <w:p w14:paraId="2121AFC2" w14:textId="58346576" w:rsidR="00780B23" w:rsidRPr="00780B23" w:rsidRDefault="0085499F" w:rsidP="00780B23">
      <w:pPr>
        <w:pStyle w:val="Odstavekseznama"/>
        <w:ind w:left="720"/>
        <w:rPr>
          <w:rFonts w:eastAsia="Aptos" w:cs="Arial"/>
          <w:color w:val="000000"/>
          <w:kern w:val="2"/>
          <w:szCs w:val="20"/>
          <w14:ligatures w14:val="standardContextual"/>
        </w:rPr>
      </w:pPr>
      <w:r>
        <w:rPr>
          <w:rFonts w:eastAsia="Aptos" w:cs="Arial"/>
          <w:color w:val="000000"/>
          <w:szCs w:val="20"/>
        </w:rPr>
        <w:t>–</w:t>
      </w:r>
      <w:r w:rsidR="00780B23" w:rsidRPr="00780B23">
        <w:rPr>
          <w:rFonts w:eastAsia="Aptos" w:cs="Arial"/>
          <w:color w:val="000000"/>
          <w:kern w:val="2"/>
          <w:szCs w:val="20"/>
          <w14:ligatures w14:val="standardContextual"/>
        </w:rPr>
        <w:t xml:space="preserve"> </w:t>
      </w:r>
      <w:r w:rsidR="00A855BD">
        <w:rPr>
          <w:rFonts w:eastAsia="Aptos" w:cs="Arial"/>
          <w:color w:val="000000"/>
          <w:kern w:val="2"/>
          <w:szCs w:val="20"/>
          <w14:ligatures w14:val="standardContextual"/>
        </w:rPr>
        <w:t xml:space="preserve">ki </w:t>
      </w:r>
      <w:r w:rsidR="00780B23" w:rsidRPr="00780B23">
        <w:rPr>
          <w:rFonts w:eastAsia="Aptos" w:cs="Arial"/>
          <w:color w:val="000000"/>
          <w:kern w:val="2"/>
          <w:szCs w:val="20"/>
          <w14:ligatures w14:val="standardContextual"/>
        </w:rPr>
        <w:t xml:space="preserve">je izbran na podlagi </w:t>
      </w:r>
      <w:r w:rsidR="00684823">
        <w:rPr>
          <w:rFonts w:eastAsia="Aptos" w:cs="Arial"/>
          <w:color w:val="000000"/>
          <w:kern w:val="2"/>
          <w:szCs w:val="20"/>
          <w14:ligatures w14:val="standardContextual"/>
        </w:rPr>
        <w:t>preglednih</w:t>
      </w:r>
      <w:r w:rsidR="00780B23" w:rsidRPr="00780B23">
        <w:rPr>
          <w:rFonts w:eastAsia="Aptos" w:cs="Arial"/>
          <w:color w:val="000000"/>
          <w:kern w:val="2"/>
          <w:szCs w:val="20"/>
          <w14:ligatures w14:val="standardContextual"/>
        </w:rPr>
        <w:t xml:space="preserve">, objektivnih in nediskriminatornih </w:t>
      </w:r>
      <w:r w:rsidR="00684823">
        <w:rPr>
          <w:rFonts w:eastAsia="Aptos" w:cs="Arial"/>
          <w:color w:val="000000"/>
          <w:kern w:val="2"/>
          <w:szCs w:val="20"/>
          <w14:ligatures w14:val="standardContextual"/>
        </w:rPr>
        <w:t>meril</w:t>
      </w:r>
      <w:r w:rsidR="00780B23">
        <w:rPr>
          <w:rFonts w:eastAsia="Aptos" w:cs="Arial"/>
          <w:color w:val="000000"/>
          <w:kern w:val="2"/>
          <w:szCs w:val="20"/>
          <w14:ligatures w14:val="standardContextual"/>
        </w:rPr>
        <w:t>.</w:t>
      </w:r>
    </w:p>
    <w:p w14:paraId="6E8A4A01" w14:textId="7328E483" w:rsidR="00BE5832" w:rsidRPr="00863189" w:rsidRDefault="00863189" w:rsidP="00863189">
      <w:pPr>
        <w:pStyle w:val="Odstavekseznama"/>
        <w:numPr>
          <w:ilvl w:val="0"/>
          <w:numId w:val="89"/>
        </w:numPr>
        <w:rPr>
          <w:rFonts w:eastAsia="Aptos" w:cs="Arial"/>
          <w:color w:val="000000"/>
          <w:kern w:val="2"/>
          <w:szCs w:val="20"/>
          <w14:ligatures w14:val="standardContextual"/>
        </w:rPr>
      </w:pPr>
      <w:r w:rsidRPr="00863189">
        <w:rPr>
          <w:rFonts w:eastAsia="Aptos" w:cs="Arial"/>
          <w:color w:val="000000"/>
          <w:kern w:val="2"/>
          <w:szCs w:val="20"/>
          <w14:ligatures w14:val="standardContextual"/>
        </w:rPr>
        <w:t xml:space="preserve">Če je </w:t>
      </w:r>
      <w:r>
        <w:rPr>
          <w:rFonts w:eastAsia="Aptos" w:cs="Arial"/>
          <w:color w:val="000000"/>
          <w:kern w:val="2"/>
          <w:szCs w:val="20"/>
          <w14:ligatures w14:val="standardContextual"/>
        </w:rPr>
        <w:t>elektrointenziv</w:t>
      </w:r>
      <w:r w:rsidR="00A855BD">
        <w:rPr>
          <w:rFonts w:eastAsia="Aptos" w:cs="Arial"/>
          <w:color w:val="000000"/>
          <w:kern w:val="2"/>
          <w:szCs w:val="20"/>
          <w14:ligatures w14:val="standardContextual"/>
        </w:rPr>
        <w:t>n</w:t>
      </w:r>
      <w:r>
        <w:rPr>
          <w:rFonts w:eastAsia="Aptos" w:cs="Arial"/>
          <w:color w:val="000000"/>
          <w:kern w:val="2"/>
          <w:szCs w:val="20"/>
          <w14:ligatures w14:val="standardContextual"/>
        </w:rPr>
        <w:t>o podjetje</w:t>
      </w:r>
      <w:r w:rsidRPr="00863189">
        <w:rPr>
          <w:rFonts w:eastAsia="Aptos" w:cs="Arial"/>
          <w:color w:val="000000"/>
          <w:kern w:val="2"/>
          <w:szCs w:val="20"/>
          <w14:ligatures w14:val="standardContextual"/>
        </w:rPr>
        <w:t xml:space="preserve"> zaradi naložb v zadnjih petih letih</w:t>
      </w:r>
      <w:r w:rsidR="00BB241A">
        <w:rPr>
          <w:rFonts w:eastAsia="Aptos" w:cs="Arial"/>
          <w:color w:val="000000"/>
          <w:kern w:val="2"/>
          <w:szCs w:val="20"/>
          <w14:ligatures w14:val="standardContextual"/>
        </w:rPr>
        <w:t xml:space="preserve"> pred oddajo vloge</w:t>
      </w:r>
      <w:r w:rsidRPr="00863189">
        <w:rPr>
          <w:rFonts w:eastAsia="Aptos" w:cs="Arial"/>
          <w:color w:val="000000"/>
          <w:kern w:val="2"/>
          <w:szCs w:val="20"/>
          <w14:ligatures w14:val="standardContextual"/>
        </w:rPr>
        <w:t xml:space="preserve"> specifično porabo na enoto proizvodnje z</w:t>
      </w:r>
      <w:r w:rsidR="00684823">
        <w:rPr>
          <w:rFonts w:eastAsia="Aptos" w:cs="Arial"/>
          <w:color w:val="000000"/>
          <w:kern w:val="2"/>
          <w:szCs w:val="20"/>
          <w14:ligatures w14:val="standardContextual"/>
        </w:rPr>
        <w:t>manjšalo</w:t>
      </w:r>
      <w:r w:rsidRPr="00863189">
        <w:rPr>
          <w:rFonts w:eastAsia="Aptos" w:cs="Arial"/>
          <w:color w:val="000000"/>
          <w:kern w:val="2"/>
          <w:szCs w:val="20"/>
          <w14:ligatures w14:val="standardContextual"/>
        </w:rPr>
        <w:t xml:space="preserve"> zaradi naložb v trajnostne tehnologije, se za izračun elektrointenzivnosti uporabljajo povprečne vrednosti porabe, do katere bi prišlo brez upoštevanja učinkov </w:t>
      </w:r>
      <w:r w:rsidR="00A855BD">
        <w:rPr>
          <w:rFonts w:eastAsia="Aptos" w:cs="Arial"/>
          <w:color w:val="000000"/>
          <w:kern w:val="2"/>
          <w:szCs w:val="20"/>
          <w14:ligatures w14:val="standardContextual"/>
        </w:rPr>
        <w:t>navedenih</w:t>
      </w:r>
      <w:r w:rsidRPr="00863189">
        <w:rPr>
          <w:rFonts w:eastAsia="Aptos" w:cs="Arial"/>
          <w:color w:val="000000"/>
          <w:kern w:val="2"/>
          <w:szCs w:val="20"/>
          <w14:ligatures w14:val="standardContextual"/>
        </w:rPr>
        <w:t xml:space="preserve"> naložb. Če se </w:t>
      </w:r>
      <w:r w:rsidR="00A855BD">
        <w:rPr>
          <w:rFonts w:eastAsia="Aptos" w:cs="Arial"/>
          <w:color w:val="000000"/>
          <w:kern w:val="2"/>
          <w:szCs w:val="20"/>
          <w14:ligatures w14:val="standardContextual"/>
        </w:rPr>
        <w:t>med</w:t>
      </w:r>
      <w:r w:rsidRPr="00863189">
        <w:rPr>
          <w:rFonts w:eastAsia="Aptos" w:cs="Arial"/>
          <w:color w:val="000000"/>
          <w:kern w:val="2"/>
          <w:szCs w:val="20"/>
          <w14:ligatures w14:val="standardContextual"/>
        </w:rPr>
        <w:t xml:space="preserve"> izvajanj</w:t>
      </w:r>
      <w:r w:rsidR="00A855BD">
        <w:rPr>
          <w:rFonts w:eastAsia="Aptos" w:cs="Arial"/>
          <w:color w:val="000000"/>
          <w:kern w:val="2"/>
          <w:szCs w:val="20"/>
          <w14:ligatures w14:val="standardContextual"/>
        </w:rPr>
        <w:t>em</w:t>
      </w:r>
      <w:r w:rsidRPr="00863189">
        <w:rPr>
          <w:rFonts w:eastAsia="Aptos" w:cs="Arial"/>
          <w:color w:val="000000"/>
          <w:kern w:val="2"/>
          <w:szCs w:val="20"/>
          <w14:ligatures w14:val="standardContextual"/>
        </w:rPr>
        <w:t xml:space="preserve"> ukrepa po tem zakonu upravičencu zaradi izvedenih trajnostnih naložb poraba električne energije t</w:t>
      </w:r>
      <w:r w:rsidR="00684823">
        <w:rPr>
          <w:rFonts w:eastAsia="Aptos" w:cs="Arial"/>
          <w:color w:val="000000"/>
          <w:kern w:val="2"/>
          <w:szCs w:val="20"/>
          <w14:ligatures w14:val="standardContextual"/>
        </w:rPr>
        <w:t>oliko</w:t>
      </w:r>
      <w:r w:rsidRPr="00863189">
        <w:rPr>
          <w:rFonts w:eastAsia="Aptos" w:cs="Arial"/>
          <w:color w:val="000000"/>
          <w:kern w:val="2"/>
          <w:szCs w:val="20"/>
          <w14:ligatures w14:val="standardContextual"/>
        </w:rPr>
        <w:t xml:space="preserve"> z</w:t>
      </w:r>
      <w:r w:rsidR="00684823">
        <w:rPr>
          <w:rFonts w:eastAsia="Aptos" w:cs="Arial"/>
          <w:color w:val="000000"/>
          <w:kern w:val="2"/>
          <w:szCs w:val="20"/>
          <w14:ligatures w14:val="standardContextual"/>
        </w:rPr>
        <w:t>manjša</w:t>
      </w:r>
      <w:r w:rsidRPr="00863189">
        <w:rPr>
          <w:rFonts w:eastAsia="Aptos" w:cs="Arial"/>
          <w:color w:val="000000"/>
          <w:kern w:val="2"/>
          <w:szCs w:val="20"/>
          <w14:ligatures w14:val="standardContextual"/>
        </w:rPr>
        <w:t xml:space="preserve">, da zahtevani pogoj elektrointenzivnosti ni izpolnjen, se za njen izračun uporablja podatek o porabi, do katere bi prišlo brez izvedenih naložb. Če gre za </w:t>
      </w:r>
      <w:r w:rsidR="00A20A63">
        <w:rPr>
          <w:rFonts w:eastAsia="Aptos" w:cs="Arial"/>
          <w:color w:val="000000"/>
          <w:kern w:val="2"/>
          <w:szCs w:val="20"/>
          <w14:ligatures w14:val="standardContextual"/>
        </w:rPr>
        <w:t>elektrointenzivno podjetje</w:t>
      </w:r>
      <w:r w:rsidRPr="00863189">
        <w:rPr>
          <w:rFonts w:eastAsia="Aptos" w:cs="Arial"/>
          <w:color w:val="000000"/>
          <w:kern w:val="2"/>
          <w:szCs w:val="20"/>
          <w14:ligatures w14:val="standardContextual"/>
        </w:rPr>
        <w:t>, ki posluje manj kot eno leto, se v prvem letu poslovanja uporabijo podatk</w:t>
      </w:r>
      <w:r w:rsidR="00684823">
        <w:rPr>
          <w:rFonts w:eastAsia="Aptos" w:cs="Arial"/>
          <w:color w:val="000000"/>
          <w:kern w:val="2"/>
          <w:szCs w:val="20"/>
          <w14:ligatures w14:val="standardContextual"/>
        </w:rPr>
        <w:t>i iz njegove lastne napovedi</w:t>
      </w:r>
      <w:r w:rsidRPr="00863189">
        <w:rPr>
          <w:rFonts w:eastAsia="Aptos" w:cs="Arial"/>
          <w:color w:val="000000"/>
          <w:kern w:val="2"/>
          <w:szCs w:val="20"/>
          <w14:ligatures w14:val="standardContextual"/>
        </w:rPr>
        <w:t>, za drugo leto podatki za pre</w:t>
      </w:r>
      <w:r w:rsidR="00244DAE">
        <w:rPr>
          <w:rFonts w:eastAsia="Aptos" w:cs="Arial"/>
          <w:color w:val="000000"/>
          <w:kern w:val="2"/>
          <w:szCs w:val="20"/>
          <w14:ligatures w14:val="standardContextual"/>
        </w:rPr>
        <w:t>dhodno</w:t>
      </w:r>
      <w:r w:rsidRPr="00863189">
        <w:rPr>
          <w:rFonts w:eastAsia="Aptos" w:cs="Arial"/>
          <w:color w:val="000000"/>
          <w:kern w:val="2"/>
          <w:szCs w:val="20"/>
          <w14:ligatures w14:val="standardContextual"/>
        </w:rPr>
        <w:t xml:space="preserve"> leto poslovanja, za tretje leto pa se uporabi povprečje podatkov za prvo in drugo leto poslovanja</w:t>
      </w:r>
      <w:r w:rsidR="00D9778D">
        <w:rPr>
          <w:rFonts w:eastAsia="Aptos" w:cs="Arial"/>
          <w:color w:val="000000"/>
          <w:kern w:val="2"/>
          <w:szCs w:val="20"/>
          <w14:ligatures w14:val="standardContextual"/>
        </w:rPr>
        <w:t>.</w:t>
      </w:r>
    </w:p>
    <w:p w14:paraId="4BE89DBF" w14:textId="2D4B0C3B" w:rsidR="0030222B" w:rsidRDefault="00BE5832" w:rsidP="0030222B">
      <w:pPr>
        <w:numPr>
          <w:ilvl w:val="0"/>
          <w:numId w:val="89"/>
        </w:numPr>
        <w:spacing w:after="16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 xml:space="preserve">Do spodbude ni upravičeno </w:t>
      </w:r>
      <w:r w:rsidR="00FA38B1">
        <w:rPr>
          <w:rFonts w:eastAsia="Aptos" w:cs="Arial"/>
          <w:color w:val="000000"/>
          <w:kern w:val="2"/>
          <w:szCs w:val="20"/>
          <w14:ligatures w14:val="standardContextual"/>
        </w:rPr>
        <w:t xml:space="preserve">elektrointenzivno </w:t>
      </w:r>
      <w:r w:rsidRPr="00BE5832">
        <w:rPr>
          <w:rFonts w:eastAsia="Aptos" w:cs="Arial"/>
          <w:color w:val="000000"/>
          <w:kern w:val="2"/>
          <w:szCs w:val="20"/>
          <w14:ligatures w14:val="standardContextual"/>
        </w:rPr>
        <w:t>podjetje v težavah v skladu z zakonom, ki ureja reševanje in prestrukturiranje podjetij v težavah</w:t>
      </w:r>
      <w:r w:rsidR="00993032">
        <w:rPr>
          <w:rFonts w:eastAsia="Aptos" w:cs="Arial"/>
          <w:color w:val="000000"/>
          <w:kern w:val="2"/>
          <w:szCs w:val="20"/>
          <w14:ligatures w14:val="standardContextual"/>
        </w:rPr>
        <w:t xml:space="preserve"> (v nadaljnjem besedilu: podjetje v težavah)</w:t>
      </w:r>
      <w:r w:rsidR="000F1332">
        <w:rPr>
          <w:rFonts w:eastAsia="Aptos" w:cs="Arial"/>
          <w:color w:val="000000"/>
          <w:kern w:val="2"/>
          <w:szCs w:val="20"/>
          <w14:ligatures w14:val="standardContextual"/>
        </w:rPr>
        <w:t>, razen če Evropska komisija ugotovi združljivost tovrstne</w:t>
      </w:r>
      <w:r w:rsidR="000F1332" w:rsidRPr="00567C7F">
        <w:rPr>
          <w:rFonts w:eastAsia="Aptos" w:cs="Arial"/>
          <w:color w:val="000000"/>
          <w:kern w:val="2"/>
          <w:szCs w:val="20"/>
          <w14:ligatures w14:val="standardContextual"/>
        </w:rPr>
        <w:t xml:space="preserve"> pomoči z notranjim trgom Evropske </w:t>
      </w:r>
      <w:r w:rsidR="000F1332">
        <w:rPr>
          <w:rFonts w:eastAsia="Aptos" w:cs="Arial"/>
          <w:color w:val="000000"/>
          <w:kern w:val="2"/>
          <w:szCs w:val="20"/>
          <w14:ligatures w14:val="standardContextual"/>
        </w:rPr>
        <w:t>u</w:t>
      </w:r>
      <w:r w:rsidR="000F1332" w:rsidRPr="00567C7F">
        <w:rPr>
          <w:rFonts w:eastAsia="Aptos" w:cs="Arial"/>
          <w:color w:val="000000"/>
          <w:kern w:val="2"/>
          <w:szCs w:val="20"/>
          <w14:ligatures w14:val="standardContextual"/>
        </w:rPr>
        <w:t>nije</w:t>
      </w:r>
      <w:r w:rsidRPr="00BE5832">
        <w:rPr>
          <w:rFonts w:eastAsia="Aptos" w:cs="Arial"/>
          <w:color w:val="000000"/>
          <w:kern w:val="2"/>
          <w:szCs w:val="20"/>
          <w14:ligatures w14:val="standardContextual"/>
        </w:rPr>
        <w:t>.</w:t>
      </w:r>
    </w:p>
    <w:p w14:paraId="56145F3F" w14:textId="77777777" w:rsidR="0013704C" w:rsidRPr="0013704C" w:rsidRDefault="0013704C" w:rsidP="0013704C">
      <w:pPr>
        <w:spacing w:after="160" w:line="259" w:lineRule="auto"/>
        <w:contextualSpacing/>
        <w:rPr>
          <w:rFonts w:eastAsia="Aptos" w:cs="Arial"/>
          <w:color w:val="000000"/>
          <w:kern w:val="2"/>
          <w:szCs w:val="20"/>
          <w14:ligatures w14:val="standardContextual"/>
        </w:rPr>
      </w:pPr>
    </w:p>
    <w:p w14:paraId="74121E94" w14:textId="10B40271" w:rsidR="00D90CDD" w:rsidRPr="00D90CDD" w:rsidRDefault="0030222B" w:rsidP="00D90CDD">
      <w:pPr>
        <w:numPr>
          <w:ilvl w:val="0"/>
          <w:numId w:val="89"/>
        </w:numPr>
        <w:spacing w:after="0" w:line="259" w:lineRule="auto"/>
        <w:contextualSpacing/>
        <w:rPr>
          <w:rFonts w:eastAsia="Aptos" w:cs="Arial"/>
          <w:color w:val="000000"/>
          <w:kern w:val="2"/>
          <w:szCs w:val="20"/>
          <w14:ligatures w14:val="standardContextual"/>
        </w:rPr>
      </w:pPr>
      <w:r w:rsidRPr="0030222B">
        <w:rPr>
          <w:rFonts w:eastAsia="Aptos" w:cs="Arial"/>
          <w:color w:val="000000"/>
          <w:kern w:val="2"/>
          <w:szCs w:val="20"/>
          <w14:ligatures w14:val="standardContextual"/>
        </w:rPr>
        <w:t>Do spodbude ni upravičeno</w:t>
      </w:r>
      <w:r w:rsidR="00FA38B1">
        <w:rPr>
          <w:rFonts w:eastAsia="Aptos" w:cs="Arial"/>
          <w:color w:val="000000"/>
          <w:kern w:val="2"/>
          <w:szCs w:val="20"/>
          <w14:ligatures w14:val="standardContextual"/>
        </w:rPr>
        <w:t xml:space="preserve"> elektrointenzivno</w:t>
      </w:r>
      <w:r w:rsidRPr="0030222B">
        <w:rPr>
          <w:rFonts w:eastAsia="Aptos" w:cs="Arial"/>
          <w:color w:val="000000"/>
          <w:kern w:val="2"/>
          <w:szCs w:val="20"/>
          <w14:ligatures w14:val="standardContextual"/>
        </w:rPr>
        <w:t xml:space="preserve"> podjetje, ki v poslovnih knjigah na zadnji dan leta, ki je pred letom, v katerem prejema spodbudo, izkazuje terjatve iz naslova dolgoročnih ali kratkoročnih finančnih naložb lastnikom gospodarske družbe oziroma lastnikom obvladujoče in odvisnih družb</w:t>
      </w:r>
      <w:r w:rsidR="00D90CDD">
        <w:rPr>
          <w:rFonts w:eastAsia="Aptos" w:cs="Arial"/>
          <w:color w:val="000000"/>
          <w:kern w:val="2"/>
          <w:szCs w:val="20"/>
          <w14:ligatures w14:val="standardContextual"/>
        </w:rPr>
        <w:t xml:space="preserve">, </w:t>
      </w:r>
      <w:r w:rsidR="00D90CDD" w:rsidRPr="00D90CDD">
        <w:rPr>
          <w:rFonts w:eastAsia="Aptos" w:cs="Arial"/>
          <w:color w:val="000000"/>
          <w:kern w:val="2"/>
          <w:szCs w:val="20"/>
          <w14:ligatures w14:val="standardContextual"/>
        </w:rPr>
        <w:t>razen kratkoročnih likvidnostnih aranžmajev po tržnih pogojih</w:t>
      </w:r>
      <w:r w:rsidRPr="0030222B">
        <w:rPr>
          <w:rFonts w:eastAsia="Aptos" w:cs="Arial"/>
          <w:color w:val="000000"/>
          <w:kern w:val="2"/>
          <w:szCs w:val="20"/>
          <w14:ligatures w14:val="standardContextual"/>
        </w:rPr>
        <w:t>. Če gre za skupino družb</w:t>
      </w:r>
      <w:r w:rsidR="00C434A3">
        <w:rPr>
          <w:rFonts w:eastAsia="Aptos" w:cs="Arial"/>
          <w:color w:val="000000"/>
          <w:kern w:val="2"/>
          <w:szCs w:val="20"/>
          <w14:ligatures w14:val="standardContextual"/>
        </w:rPr>
        <w:t>,</w:t>
      </w:r>
      <w:r w:rsidRPr="0030222B">
        <w:rPr>
          <w:rFonts w:eastAsia="Aptos" w:cs="Arial"/>
          <w:color w:val="000000"/>
          <w:kern w:val="2"/>
          <w:szCs w:val="20"/>
          <w14:ligatures w14:val="standardContextual"/>
        </w:rPr>
        <w:t xml:space="preserve"> terjatve iz naslova dolgoročnih in kratkoročnih finančnih naložb</w:t>
      </w:r>
      <w:r w:rsidR="00D90CDD">
        <w:rPr>
          <w:rFonts w:eastAsia="Aptos" w:cs="Arial"/>
          <w:color w:val="000000"/>
          <w:kern w:val="2"/>
          <w:szCs w:val="20"/>
          <w14:ligatures w14:val="standardContextual"/>
        </w:rPr>
        <w:t xml:space="preserve">, </w:t>
      </w:r>
      <w:r w:rsidR="00D90CDD" w:rsidRPr="00D90CDD">
        <w:rPr>
          <w:rFonts w:eastAsia="Aptos" w:cs="Arial"/>
          <w:color w:val="000000"/>
          <w:kern w:val="2"/>
          <w:szCs w:val="20"/>
          <w14:ligatures w14:val="standardContextual"/>
        </w:rPr>
        <w:t>razen kratkoročnih likvidnostnih aranžmajev po tržnih pogojih</w:t>
      </w:r>
      <w:r w:rsidRPr="0030222B">
        <w:rPr>
          <w:rFonts w:eastAsia="Aptos" w:cs="Arial"/>
          <w:color w:val="000000"/>
          <w:kern w:val="2"/>
          <w:szCs w:val="20"/>
          <w14:ligatures w14:val="standardContextual"/>
        </w:rPr>
        <w:t xml:space="preserve"> ne smejo biti izkazane v razmerju do lastnikov katerekoli družbe v skupini.</w:t>
      </w:r>
    </w:p>
    <w:p w14:paraId="79F7E10C" w14:textId="77777777" w:rsidR="00EF5CCC" w:rsidRPr="00EF5CCC" w:rsidRDefault="00EF5CCC" w:rsidP="00EF5CCC">
      <w:pPr>
        <w:spacing w:after="160" w:line="259" w:lineRule="auto"/>
        <w:contextualSpacing/>
        <w:rPr>
          <w:rFonts w:eastAsia="Aptos" w:cs="Arial"/>
          <w:color w:val="000000"/>
          <w:kern w:val="2"/>
          <w:szCs w:val="20"/>
          <w14:ligatures w14:val="standardContextual"/>
        </w:rPr>
      </w:pPr>
    </w:p>
    <w:p w14:paraId="4BB03C1A" w14:textId="1284E174" w:rsidR="00B976E5" w:rsidRPr="00B976E5" w:rsidRDefault="009103BE" w:rsidP="00993032">
      <w:pPr>
        <w:numPr>
          <w:ilvl w:val="0"/>
          <w:numId w:val="89"/>
        </w:numPr>
        <w:spacing w:after="160" w:line="259" w:lineRule="auto"/>
        <w:contextualSpacing/>
        <w:rPr>
          <w:rFonts w:eastAsia="Aptos" w:cs="Arial"/>
          <w:color w:val="000000"/>
          <w:kern w:val="2"/>
          <w:szCs w:val="20"/>
          <w14:ligatures w14:val="standardContextual"/>
        </w:rPr>
      </w:pPr>
      <w:r w:rsidRPr="009103BE">
        <w:rPr>
          <w:rFonts w:eastAsia="Aptos" w:cs="Arial"/>
          <w:color w:val="000000"/>
          <w:kern w:val="2"/>
          <w:szCs w:val="20"/>
          <w14:ligatures w14:val="standardContextual"/>
        </w:rPr>
        <w:t>Do spodbude je upravičeno elektrointenzivno podjetje, ki</w:t>
      </w:r>
      <w:r w:rsidR="00B976E5" w:rsidRPr="00B976E5">
        <w:rPr>
          <w:rFonts w:eastAsia="Aptos" w:cs="Arial"/>
          <w:color w:val="000000"/>
          <w:kern w:val="2"/>
          <w:szCs w:val="20"/>
          <w14:ligatures w14:val="standardContextual"/>
        </w:rPr>
        <w:t>:</w:t>
      </w:r>
    </w:p>
    <w:p w14:paraId="42FE9F5E" w14:textId="571C2C8D" w:rsidR="00B976E5" w:rsidRPr="00B976E5" w:rsidRDefault="0085499F" w:rsidP="00B976E5">
      <w:pPr>
        <w:spacing w:after="160" w:line="259" w:lineRule="auto"/>
        <w:ind w:left="720"/>
        <w:contextualSpacing/>
        <w:rPr>
          <w:rFonts w:eastAsia="Aptos" w:cs="Arial"/>
          <w:color w:val="000000"/>
          <w:kern w:val="2"/>
          <w:szCs w:val="20"/>
          <w14:ligatures w14:val="standardContextual"/>
        </w:rPr>
      </w:pPr>
      <w:r>
        <w:rPr>
          <w:rFonts w:eastAsia="Aptos" w:cs="Arial"/>
          <w:color w:val="000000"/>
          <w:szCs w:val="20"/>
        </w:rPr>
        <w:t>–</w:t>
      </w:r>
      <w:r w:rsidR="00B976E5" w:rsidRPr="00B976E5">
        <w:rPr>
          <w:rFonts w:eastAsia="Aptos" w:cs="Arial"/>
          <w:color w:val="000000"/>
          <w:kern w:val="2"/>
          <w:szCs w:val="20"/>
          <w14:ligatures w14:val="standardContextual"/>
        </w:rPr>
        <w:t xml:space="preserve"> nima zapadlih neporavnanih obveznosti iz naslova obveznih dajatev in drugih denarnih nedavčnih obveznosti v skladu z zakonom, ki ureja finančno upravo</w:t>
      </w:r>
      <w:r w:rsidR="007842D4">
        <w:rPr>
          <w:rFonts w:eastAsia="Aptos" w:cs="Arial"/>
          <w:color w:val="000000"/>
          <w:kern w:val="2"/>
          <w:szCs w:val="20"/>
          <w14:ligatures w14:val="standardContextual"/>
        </w:rPr>
        <w:t>,</w:t>
      </w:r>
      <w:r w:rsidR="00B976E5" w:rsidRPr="00B976E5">
        <w:rPr>
          <w:rFonts w:eastAsia="Aptos" w:cs="Arial"/>
          <w:color w:val="000000"/>
          <w:kern w:val="2"/>
          <w:szCs w:val="20"/>
          <w14:ligatures w14:val="standardContextual"/>
        </w:rPr>
        <w:t xml:space="preserve"> oziroma če vrednost teh neplačanih zapadlih obveznosti na dan oddaje vloge znaša manj kot 50 eurov. Šteje se, da upravičenec ne izpolnjuje obveznosti iz prejšnjega stavka tudi, če na dan oddaje vloge ni imel predloženih vseh obračunov davčnih odtegljajev za dohodke iz delovnega razmerja za obdobje zadnjih petih let do dne</w:t>
      </w:r>
      <w:r w:rsidR="007842D4">
        <w:rPr>
          <w:rFonts w:eastAsia="Aptos" w:cs="Arial"/>
          <w:color w:val="000000"/>
          <w:kern w:val="2"/>
          <w:szCs w:val="20"/>
          <w14:ligatures w14:val="standardContextual"/>
        </w:rPr>
        <w:t>va</w:t>
      </w:r>
      <w:r w:rsidR="00B976E5" w:rsidRPr="00B976E5">
        <w:rPr>
          <w:rFonts w:eastAsia="Aptos" w:cs="Arial"/>
          <w:color w:val="000000"/>
          <w:kern w:val="2"/>
          <w:szCs w:val="20"/>
          <w14:ligatures w14:val="standardContextual"/>
        </w:rPr>
        <w:t xml:space="preserve"> oddaje vloge,</w:t>
      </w:r>
    </w:p>
    <w:p w14:paraId="3D349E88" w14:textId="5ACBC478" w:rsidR="00B976E5" w:rsidRPr="00B976E5" w:rsidRDefault="0085499F" w:rsidP="00B976E5">
      <w:pPr>
        <w:spacing w:after="160" w:line="259" w:lineRule="auto"/>
        <w:ind w:left="720"/>
        <w:contextualSpacing/>
        <w:rPr>
          <w:rFonts w:eastAsia="Aptos" w:cs="Arial"/>
          <w:color w:val="000000"/>
          <w:kern w:val="2"/>
          <w:szCs w:val="20"/>
          <w14:ligatures w14:val="standardContextual"/>
        </w:rPr>
      </w:pPr>
      <w:r>
        <w:rPr>
          <w:rFonts w:eastAsia="Aptos" w:cs="Arial"/>
          <w:color w:val="000000"/>
          <w:szCs w:val="20"/>
        </w:rPr>
        <w:t>–</w:t>
      </w:r>
      <w:r w:rsidR="00B976E5" w:rsidRPr="00B976E5">
        <w:rPr>
          <w:rFonts w:eastAsia="Aptos" w:cs="Arial"/>
          <w:color w:val="000000"/>
          <w:kern w:val="2"/>
          <w:szCs w:val="20"/>
          <w14:ligatures w14:val="standardContextual"/>
        </w:rPr>
        <w:t xml:space="preserve"> nima neporavnanih obveznosti iz naslova odločb o vračilu nezakonito prejete državne pomoči </w:t>
      </w:r>
      <w:r w:rsidR="007842D4">
        <w:rPr>
          <w:rFonts w:eastAsia="Aptos" w:cs="Arial"/>
          <w:color w:val="000000"/>
          <w:kern w:val="2"/>
          <w:szCs w:val="20"/>
          <w14:ligatures w14:val="standardContextual"/>
        </w:rPr>
        <w:t>ter</w:t>
      </w:r>
    </w:p>
    <w:p w14:paraId="2A997288" w14:textId="77777777" w:rsidR="00993032" w:rsidRDefault="0085499F" w:rsidP="00615B0D">
      <w:pPr>
        <w:spacing w:after="160" w:line="259" w:lineRule="auto"/>
        <w:ind w:left="720"/>
        <w:contextualSpacing/>
        <w:rPr>
          <w:rFonts w:eastAsia="Aptos" w:cs="Arial"/>
          <w:color w:val="000000"/>
          <w:kern w:val="2"/>
          <w:szCs w:val="20"/>
          <w14:ligatures w14:val="standardContextual"/>
        </w:rPr>
      </w:pPr>
      <w:r>
        <w:rPr>
          <w:rFonts w:eastAsia="Aptos" w:cs="Arial"/>
          <w:color w:val="000000"/>
          <w:szCs w:val="20"/>
        </w:rPr>
        <w:t>–</w:t>
      </w:r>
      <w:r w:rsidR="00B976E5" w:rsidRPr="00B976E5">
        <w:rPr>
          <w:rFonts w:eastAsia="Aptos" w:cs="Arial"/>
          <w:color w:val="000000"/>
          <w:kern w:val="2"/>
          <w:szCs w:val="20"/>
          <w14:ligatures w14:val="standardContextual"/>
        </w:rPr>
        <w:t xml:space="preserve"> nima zapadlih in neporavnanih obveznosti iz naslova dobave električne energije, plačila omrežnine in obveznih prispevkov</w:t>
      </w:r>
      <w:r w:rsidR="007842D4">
        <w:rPr>
          <w:rFonts w:eastAsia="Aptos" w:cs="Arial"/>
          <w:color w:val="000000"/>
          <w:kern w:val="2"/>
          <w:szCs w:val="20"/>
          <w14:ligatures w14:val="standardContextual"/>
        </w:rPr>
        <w:t xml:space="preserve"> ter</w:t>
      </w:r>
      <w:r w:rsidR="00B976E5" w:rsidRPr="00B976E5">
        <w:rPr>
          <w:rFonts w:eastAsia="Aptos" w:cs="Arial"/>
          <w:color w:val="000000"/>
          <w:kern w:val="2"/>
          <w:szCs w:val="20"/>
          <w14:ligatures w14:val="standardContextual"/>
        </w:rPr>
        <w:t xml:space="preserve"> s tem povezanih poslov.</w:t>
      </w:r>
    </w:p>
    <w:p w14:paraId="6DE9C92D" w14:textId="77777777" w:rsidR="00B976E5" w:rsidRPr="00BE5832" w:rsidRDefault="00B976E5" w:rsidP="00615B0D">
      <w:pPr>
        <w:spacing w:after="160" w:line="259" w:lineRule="auto"/>
        <w:contextualSpacing/>
        <w:rPr>
          <w:rFonts w:eastAsia="Aptos" w:cs="Arial"/>
          <w:color w:val="000000"/>
          <w:kern w:val="2"/>
          <w:szCs w:val="20"/>
          <w14:ligatures w14:val="standardContextual"/>
        </w:rPr>
      </w:pPr>
    </w:p>
    <w:p w14:paraId="66CE682C" w14:textId="60C6D810" w:rsidR="00BE5832" w:rsidRPr="00BE5832" w:rsidRDefault="00BE5832" w:rsidP="00B74E7C">
      <w:pPr>
        <w:spacing w:after="160" w:line="259" w:lineRule="auto"/>
        <w:contextualSpacing/>
        <w:rPr>
          <w:rFonts w:eastAsia="Aptos" w:cs="Arial"/>
          <w:color w:val="000000"/>
          <w:kern w:val="2"/>
          <w:szCs w:val="20"/>
          <w14:ligatures w14:val="standardContextual"/>
        </w:rPr>
      </w:pPr>
    </w:p>
    <w:p w14:paraId="177F545A" w14:textId="6812F2ED" w:rsidR="00BE5832" w:rsidRPr="00BE5832" w:rsidRDefault="00BE5832" w:rsidP="00FA38B1">
      <w:pPr>
        <w:keepNext/>
        <w:keepLines/>
        <w:spacing w:before="360" w:after="80" w:line="259" w:lineRule="auto"/>
        <w:jc w:val="center"/>
        <w:outlineLvl w:val="0"/>
        <w:rPr>
          <w:rFonts w:eastAsia="Times New Roman" w:cs="Arial"/>
          <w:color w:val="000000"/>
          <w:kern w:val="2"/>
          <w:szCs w:val="20"/>
          <w14:ligatures w14:val="standardContextual"/>
        </w:rPr>
      </w:pPr>
      <w:r w:rsidRPr="00BE5832">
        <w:rPr>
          <w:rFonts w:eastAsia="Times New Roman" w:cs="Arial"/>
          <w:color w:val="000000"/>
          <w:kern w:val="2"/>
          <w:szCs w:val="20"/>
          <w14:ligatures w14:val="standardContextual"/>
        </w:rPr>
        <w:t>III. VIŠINA SPODBUDE</w:t>
      </w:r>
    </w:p>
    <w:p w14:paraId="0AD3B78C" w14:textId="77777777" w:rsidR="00BE5832" w:rsidRPr="00BE5832" w:rsidRDefault="00BE5832" w:rsidP="00BE5832">
      <w:pPr>
        <w:spacing w:after="160" w:line="259" w:lineRule="auto"/>
        <w:rPr>
          <w:rFonts w:eastAsia="Aptos" w:cs="Arial"/>
          <w:color w:val="000000"/>
          <w:kern w:val="2"/>
          <w:szCs w:val="20"/>
          <w14:ligatures w14:val="standardContextual"/>
        </w:rPr>
      </w:pPr>
    </w:p>
    <w:p w14:paraId="773527D5" w14:textId="77777777" w:rsidR="00BE5832" w:rsidRPr="00BE5832" w:rsidRDefault="00BE5832" w:rsidP="00BE5832">
      <w:pPr>
        <w:keepNext/>
        <w:keepLines/>
        <w:numPr>
          <w:ilvl w:val="0"/>
          <w:numId w:val="70"/>
        </w:numPr>
        <w:spacing w:before="160" w:after="80" w:line="259" w:lineRule="auto"/>
        <w:jc w:val="center"/>
        <w:outlineLvl w:val="1"/>
        <w:rPr>
          <w:rFonts w:eastAsia="Times New Roman" w:cs="Arial"/>
          <w:color w:val="000000"/>
          <w:kern w:val="2"/>
          <w:szCs w:val="20"/>
          <w14:ligatures w14:val="standardContextual"/>
        </w:rPr>
      </w:pPr>
      <w:r w:rsidRPr="00BE5832">
        <w:rPr>
          <w:rFonts w:eastAsia="Times New Roman" w:cs="Arial"/>
          <w:color w:val="000000"/>
          <w:kern w:val="2"/>
          <w:szCs w:val="20"/>
          <w14:ligatures w14:val="standardContextual"/>
        </w:rPr>
        <w:t>člen</w:t>
      </w:r>
    </w:p>
    <w:p w14:paraId="4D461C80" w14:textId="64CC7302" w:rsidR="00BE5832" w:rsidRPr="00BE5832" w:rsidRDefault="00BE5832" w:rsidP="00BE5832">
      <w:pPr>
        <w:spacing w:after="160" w:line="259" w:lineRule="auto"/>
        <w:ind w:left="720"/>
        <w:contextualSpacing/>
        <w:jc w:val="center"/>
        <w:rPr>
          <w:rFonts w:eastAsia="Aptos" w:cs="Arial"/>
          <w:color w:val="000000"/>
          <w:kern w:val="2"/>
          <w:szCs w:val="20"/>
          <w14:ligatures w14:val="standardContextual"/>
        </w:rPr>
      </w:pPr>
      <w:r w:rsidRPr="00BE5832">
        <w:rPr>
          <w:rFonts w:eastAsia="Aptos" w:cs="Arial"/>
          <w:color w:val="000000"/>
          <w:kern w:val="2"/>
          <w:szCs w:val="20"/>
          <w14:ligatures w14:val="standardContextual"/>
        </w:rPr>
        <w:t>(</w:t>
      </w:r>
      <w:r w:rsidR="00DB1E3F" w:rsidRPr="00DB1E3F">
        <w:rPr>
          <w:rFonts w:eastAsia="Aptos" w:cs="Arial"/>
          <w:color w:val="000000"/>
          <w:kern w:val="2"/>
          <w:szCs w:val="20"/>
          <w14:ligatures w14:val="standardContextual"/>
        </w:rPr>
        <w:t>pravila za določitev višine in dodelitev spodbude</w:t>
      </w:r>
      <w:r w:rsidRPr="00BE5832">
        <w:rPr>
          <w:rFonts w:eastAsia="Aptos" w:cs="Arial"/>
          <w:color w:val="000000"/>
          <w:kern w:val="2"/>
          <w:szCs w:val="20"/>
          <w14:ligatures w14:val="standardContextual"/>
        </w:rPr>
        <w:t>)</w:t>
      </w:r>
    </w:p>
    <w:p w14:paraId="15C039BD" w14:textId="77777777" w:rsidR="00BE5832" w:rsidRPr="00BE5832" w:rsidRDefault="00BE5832" w:rsidP="00BE5832">
      <w:pPr>
        <w:spacing w:after="160" w:line="259" w:lineRule="auto"/>
        <w:ind w:left="720"/>
        <w:contextualSpacing/>
        <w:rPr>
          <w:rFonts w:eastAsia="Aptos" w:cs="Arial"/>
          <w:color w:val="000000"/>
          <w:kern w:val="2"/>
          <w:szCs w:val="20"/>
          <w14:ligatures w14:val="standardContextual"/>
        </w:rPr>
      </w:pPr>
    </w:p>
    <w:p w14:paraId="0A73B5F8" w14:textId="23015AB0" w:rsidR="00BE5832" w:rsidRPr="00BE5832" w:rsidRDefault="00FA38B1" w:rsidP="00FA38B1">
      <w:pPr>
        <w:numPr>
          <w:ilvl w:val="0"/>
          <w:numId w:val="88"/>
        </w:numPr>
        <w:spacing w:after="160" w:line="259" w:lineRule="auto"/>
        <w:contextualSpacing/>
        <w:rPr>
          <w:rFonts w:eastAsia="Aptos" w:cs="Arial"/>
          <w:color w:val="000000"/>
          <w:kern w:val="2"/>
          <w:szCs w:val="20"/>
          <w14:ligatures w14:val="standardContextual"/>
        </w:rPr>
      </w:pPr>
      <w:r>
        <w:rPr>
          <w:rFonts w:eastAsia="Aptos" w:cs="Arial"/>
          <w:color w:val="000000"/>
          <w:kern w:val="2"/>
          <w:szCs w:val="20"/>
          <w14:ligatures w14:val="standardContextual"/>
        </w:rPr>
        <w:t>Upravičencu se lahko dodeli s</w:t>
      </w:r>
      <w:r w:rsidR="00BE5832" w:rsidRPr="00BE5832">
        <w:rPr>
          <w:rFonts w:eastAsia="Aptos" w:cs="Arial"/>
          <w:color w:val="000000"/>
          <w:kern w:val="2"/>
          <w:szCs w:val="20"/>
          <w14:ligatures w14:val="standardContextual"/>
        </w:rPr>
        <w:t>podbuda za 50 % letne porabe električne energije za posamezno</w:t>
      </w:r>
      <w:r w:rsidR="00F31FD4">
        <w:rPr>
          <w:rFonts w:eastAsia="Aptos" w:cs="Arial"/>
          <w:color w:val="000000"/>
          <w:kern w:val="2"/>
          <w:szCs w:val="20"/>
          <w14:ligatures w14:val="standardContextual"/>
        </w:rPr>
        <w:t xml:space="preserve"> koledarsko</w:t>
      </w:r>
      <w:r w:rsidR="00BE5832" w:rsidRPr="00BE5832">
        <w:rPr>
          <w:rFonts w:eastAsia="Aptos" w:cs="Arial"/>
          <w:color w:val="000000"/>
          <w:kern w:val="2"/>
          <w:szCs w:val="20"/>
          <w14:ligatures w14:val="standardContextual"/>
        </w:rPr>
        <w:t xml:space="preserve"> leto.</w:t>
      </w:r>
    </w:p>
    <w:p w14:paraId="1418A850" w14:textId="77777777" w:rsidR="00BE5832" w:rsidRPr="00BE5832" w:rsidRDefault="00BE5832" w:rsidP="00BE5832">
      <w:pPr>
        <w:spacing w:after="160" w:line="259" w:lineRule="auto"/>
        <w:ind w:left="720"/>
        <w:contextualSpacing/>
        <w:rPr>
          <w:rFonts w:eastAsia="Aptos" w:cs="Arial"/>
          <w:color w:val="000000"/>
          <w:kern w:val="2"/>
          <w:szCs w:val="20"/>
          <w14:ligatures w14:val="standardContextual"/>
        </w:rPr>
      </w:pPr>
    </w:p>
    <w:p w14:paraId="10FDC7E7" w14:textId="6D61649A" w:rsidR="00BE5832" w:rsidRPr="00BE5832" w:rsidRDefault="00BE5832" w:rsidP="007F3AA0">
      <w:pPr>
        <w:numPr>
          <w:ilvl w:val="0"/>
          <w:numId w:val="88"/>
        </w:numPr>
        <w:spacing w:after="16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lastRenderedPageBreak/>
        <w:t>Akontacija spodbude za posamezno</w:t>
      </w:r>
      <w:r w:rsidR="00F31FD4">
        <w:rPr>
          <w:rFonts w:eastAsia="Aptos" w:cs="Arial"/>
          <w:color w:val="000000"/>
          <w:kern w:val="2"/>
          <w:szCs w:val="20"/>
          <w14:ligatures w14:val="standardContextual"/>
        </w:rPr>
        <w:t xml:space="preserve"> koledarsko</w:t>
      </w:r>
      <w:r w:rsidRPr="00BE5832">
        <w:rPr>
          <w:rFonts w:eastAsia="Aptos" w:cs="Arial"/>
          <w:color w:val="000000"/>
          <w:kern w:val="2"/>
          <w:szCs w:val="20"/>
          <w14:ligatures w14:val="standardContextual"/>
        </w:rPr>
        <w:t xml:space="preserve"> leto se izračuna na podlagi napovedane letne porabe električne energije.</w:t>
      </w:r>
    </w:p>
    <w:p w14:paraId="2DA11ED0" w14:textId="77777777" w:rsidR="00BE5832" w:rsidRPr="00BE5832" w:rsidRDefault="00BE5832" w:rsidP="00FA38B1">
      <w:pPr>
        <w:spacing w:after="160" w:line="259" w:lineRule="auto"/>
        <w:contextualSpacing/>
        <w:rPr>
          <w:rFonts w:eastAsia="Aptos" w:cs="Arial"/>
          <w:color w:val="000000"/>
          <w:kern w:val="2"/>
          <w:szCs w:val="20"/>
          <w14:ligatures w14:val="standardContextual"/>
        </w:rPr>
      </w:pPr>
    </w:p>
    <w:p w14:paraId="1927E004" w14:textId="77777777" w:rsidR="00BE5832" w:rsidRPr="00BE5832" w:rsidRDefault="00BE5832" w:rsidP="007F3AA0">
      <w:pPr>
        <w:numPr>
          <w:ilvl w:val="0"/>
          <w:numId w:val="88"/>
        </w:numPr>
        <w:spacing w:after="16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Spodbuda za enoto podprte električne energije ne sme presegati 50 % referenčne tržne cene pasovne električne energije za posamezno leto.</w:t>
      </w:r>
    </w:p>
    <w:p w14:paraId="29C9B3C0" w14:textId="77777777" w:rsidR="00BE5832" w:rsidRPr="00BE5832" w:rsidRDefault="00BE5832" w:rsidP="007F3AA0">
      <w:pPr>
        <w:spacing w:after="160" w:line="259" w:lineRule="auto"/>
        <w:ind w:left="720"/>
        <w:contextualSpacing/>
        <w:rPr>
          <w:rFonts w:eastAsia="Aptos" w:cs="Arial"/>
          <w:color w:val="000000"/>
          <w:kern w:val="2"/>
          <w:szCs w:val="20"/>
          <w14:ligatures w14:val="standardContextual"/>
        </w:rPr>
      </w:pPr>
    </w:p>
    <w:p w14:paraId="3A018C5D" w14:textId="1D0389DA" w:rsidR="00BE5832" w:rsidRPr="00BE5832" w:rsidRDefault="00BE5832" w:rsidP="007F3AA0">
      <w:pPr>
        <w:numPr>
          <w:ilvl w:val="0"/>
          <w:numId w:val="88"/>
        </w:numPr>
        <w:spacing w:after="16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Povprečni strošek za enoto podprte električne energije brez upoštevanja omrežnine, davkov, obveznih prispevkov in drugih dajatev za upravičenca, ki je prejel spodbudo, ne sme biti nižji od 50 EUR/MWh, pri čemer se upoštevajo tudi vse druge oblike pomoči, ki jih je upravičenec za posamezno</w:t>
      </w:r>
      <w:r w:rsidR="00F31FD4">
        <w:rPr>
          <w:rFonts w:eastAsia="Aptos" w:cs="Arial"/>
          <w:color w:val="000000"/>
          <w:kern w:val="2"/>
          <w:szCs w:val="20"/>
          <w14:ligatures w14:val="standardContextual"/>
        </w:rPr>
        <w:t xml:space="preserve"> koledarsko</w:t>
      </w:r>
      <w:r w:rsidRPr="00BE5832">
        <w:rPr>
          <w:rFonts w:eastAsia="Aptos" w:cs="Arial"/>
          <w:color w:val="000000"/>
          <w:kern w:val="2"/>
          <w:szCs w:val="20"/>
          <w14:ligatures w14:val="standardContextual"/>
        </w:rPr>
        <w:t xml:space="preserve"> leto prejel za znižanje cene električne energije.</w:t>
      </w:r>
    </w:p>
    <w:p w14:paraId="6872ADCA" w14:textId="77777777" w:rsidR="00BE5832" w:rsidRPr="00BE5832" w:rsidRDefault="00BE5832" w:rsidP="007F3AA0">
      <w:pPr>
        <w:spacing w:after="160" w:line="259" w:lineRule="auto"/>
        <w:ind w:left="720"/>
        <w:contextualSpacing/>
        <w:rPr>
          <w:rFonts w:eastAsia="Aptos" w:cs="Arial"/>
          <w:color w:val="000000"/>
          <w:kern w:val="2"/>
          <w:szCs w:val="20"/>
          <w14:ligatures w14:val="standardContextual"/>
        </w:rPr>
      </w:pPr>
    </w:p>
    <w:p w14:paraId="12820EB4" w14:textId="3BDB64FF" w:rsidR="00BE5832" w:rsidRPr="00BE5832" w:rsidRDefault="00BE5832" w:rsidP="007F3AA0">
      <w:pPr>
        <w:numPr>
          <w:ilvl w:val="0"/>
          <w:numId w:val="88"/>
        </w:numPr>
        <w:spacing w:after="16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Če se spodbuda iz tega zakona kumulira</w:t>
      </w:r>
      <w:r w:rsidR="00592CA8">
        <w:rPr>
          <w:rFonts w:eastAsia="Aptos" w:cs="Arial"/>
          <w:color w:val="000000"/>
          <w:kern w:val="2"/>
          <w:szCs w:val="20"/>
          <w14:ligatures w14:val="standardContextual"/>
        </w:rPr>
        <w:t xml:space="preserve"> z</w:t>
      </w:r>
      <w:r w:rsidRPr="00BE5832">
        <w:rPr>
          <w:rFonts w:eastAsia="Aptos" w:cs="Arial"/>
          <w:color w:val="000000"/>
          <w:kern w:val="2"/>
          <w:szCs w:val="20"/>
          <w14:ligatures w14:val="standardContextual"/>
        </w:rPr>
        <w:t xml:space="preserve"> nadomestilo</w:t>
      </w:r>
      <w:r w:rsidR="00592CA8">
        <w:rPr>
          <w:rFonts w:eastAsia="Aptos" w:cs="Arial"/>
          <w:color w:val="000000"/>
          <w:kern w:val="2"/>
          <w:szCs w:val="20"/>
          <w14:ligatures w14:val="standardContextual"/>
        </w:rPr>
        <w:t>m za kritje</w:t>
      </w:r>
      <w:r w:rsidRPr="00BE5832">
        <w:rPr>
          <w:rFonts w:eastAsia="Aptos" w:cs="Arial"/>
          <w:color w:val="000000"/>
          <w:kern w:val="2"/>
          <w:szCs w:val="20"/>
          <w14:ligatures w14:val="standardContextual"/>
        </w:rPr>
        <w:t xml:space="preserve"> posrednih stroškov emisij</w:t>
      </w:r>
      <w:r w:rsidR="00592CA8">
        <w:rPr>
          <w:rFonts w:eastAsia="Aptos" w:cs="Arial"/>
          <w:color w:val="000000"/>
          <w:kern w:val="2"/>
          <w:szCs w:val="20"/>
          <w14:ligatures w14:val="standardContextual"/>
        </w:rPr>
        <w:t xml:space="preserve"> toplogrednih plinov</w:t>
      </w:r>
      <w:r w:rsidRPr="00BE5832">
        <w:rPr>
          <w:rFonts w:eastAsia="Aptos" w:cs="Arial"/>
          <w:color w:val="000000"/>
          <w:kern w:val="2"/>
          <w:szCs w:val="20"/>
          <w14:ligatures w14:val="standardContextual"/>
        </w:rPr>
        <w:t xml:space="preserve"> iz predpisa, ki ureja nadomestilo za kritje posrednih stroškov zaradi stroškov emisij toplogrednih plinov, skupni znesek pomoči ne sme presegati najvišjega zneska, ki se uporablja na podlagi tega zakona ali predpisa, ki ureja nadomestilo za kritje posrednih stroškov zaradi stroškov emisij toplogrednih plinov. </w:t>
      </w:r>
    </w:p>
    <w:p w14:paraId="227ACD95" w14:textId="77777777" w:rsidR="00BE5832" w:rsidRPr="00BE5832" w:rsidRDefault="00BE5832" w:rsidP="007F3AA0">
      <w:pPr>
        <w:spacing w:after="160" w:line="259" w:lineRule="auto"/>
        <w:ind w:left="720"/>
        <w:contextualSpacing/>
        <w:rPr>
          <w:rFonts w:eastAsia="Aptos" w:cs="Arial"/>
          <w:color w:val="000000"/>
          <w:kern w:val="2"/>
          <w:szCs w:val="20"/>
          <w14:ligatures w14:val="standardContextual"/>
        </w:rPr>
      </w:pPr>
    </w:p>
    <w:p w14:paraId="0A966AFE" w14:textId="3EC38CDA" w:rsidR="00DC6F3B" w:rsidRDefault="00BE5832" w:rsidP="00705443">
      <w:pPr>
        <w:numPr>
          <w:ilvl w:val="0"/>
          <w:numId w:val="88"/>
        </w:numPr>
        <w:spacing w:after="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Spodbuda se upravičencem podeljuje za nakup električne energije</w:t>
      </w:r>
      <w:r w:rsidR="00244DAE">
        <w:rPr>
          <w:rFonts w:eastAsia="Aptos" w:cs="Arial"/>
          <w:color w:val="000000"/>
          <w:kern w:val="2"/>
          <w:szCs w:val="20"/>
          <w14:ligatures w14:val="standardContextual"/>
        </w:rPr>
        <w:t>, ki je</w:t>
      </w:r>
      <w:r w:rsidRPr="00BE5832">
        <w:rPr>
          <w:rFonts w:eastAsia="Aptos" w:cs="Arial"/>
          <w:color w:val="000000"/>
          <w:kern w:val="2"/>
          <w:szCs w:val="20"/>
          <w14:ligatures w14:val="standardContextual"/>
        </w:rPr>
        <w:t xml:space="preserve"> porabljen</w:t>
      </w:r>
      <w:r w:rsidR="00244DAE">
        <w:rPr>
          <w:rFonts w:eastAsia="Aptos" w:cs="Arial"/>
          <w:color w:val="000000"/>
          <w:kern w:val="2"/>
          <w:szCs w:val="20"/>
          <w14:ligatures w14:val="standardContextual"/>
        </w:rPr>
        <w:t>a</w:t>
      </w:r>
      <w:r w:rsidRPr="00BE5832">
        <w:rPr>
          <w:rFonts w:eastAsia="Aptos" w:cs="Arial"/>
          <w:color w:val="000000"/>
          <w:kern w:val="2"/>
          <w:szCs w:val="20"/>
          <w14:ligatures w14:val="standardContextual"/>
        </w:rPr>
        <w:t xml:space="preserve"> </w:t>
      </w:r>
      <w:r w:rsidR="00DC6F3B">
        <w:rPr>
          <w:rFonts w:eastAsia="Aptos" w:cs="Arial"/>
          <w:color w:val="000000"/>
          <w:kern w:val="2"/>
          <w:szCs w:val="20"/>
          <w14:ligatures w14:val="standardContextual"/>
        </w:rPr>
        <w:t xml:space="preserve">na ozemlju Republike Slovenije </w:t>
      </w:r>
      <w:r w:rsidRPr="00BE5832">
        <w:rPr>
          <w:rFonts w:eastAsia="Aptos" w:cs="Arial"/>
          <w:color w:val="000000"/>
          <w:kern w:val="2"/>
          <w:szCs w:val="20"/>
          <w14:ligatures w14:val="standardContextual"/>
        </w:rPr>
        <w:t xml:space="preserve">v letih 2026, 2027 in 2028. Te električne energije upravičenec ne sme prodajati, prenašati ali posredno prenesti tretjim osebam. </w:t>
      </w:r>
    </w:p>
    <w:p w14:paraId="479336B0" w14:textId="77777777" w:rsidR="00DC6F3B" w:rsidRDefault="00DC6F3B" w:rsidP="00705443">
      <w:pPr>
        <w:pStyle w:val="Odstavekseznama"/>
        <w:spacing w:after="0"/>
        <w:rPr>
          <w:rFonts w:eastAsia="Aptos" w:cs="Arial"/>
          <w:color w:val="000000"/>
          <w:kern w:val="2"/>
          <w:szCs w:val="20"/>
          <w14:ligatures w14:val="standardContextual"/>
        </w:rPr>
      </w:pPr>
    </w:p>
    <w:p w14:paraId="5C2D9DD3" w14:textId="474B073F" w:rsidR="00BE5832" w:rsidRPr="00BE5832" w:rsidRDefault="00BE5832" w:rsidP="00705443">
      <w:pPr>
        <w:numPr>
          <w:ilvl w:val="0"/>
          <w:numId w:val="88"/>
        </w:numPr>
        <w:spacing w:after="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Upravičenec vodi evidenco o porabi in cenah nakupa električne energije, ki je predmet ukrepa iz tega zakona, in jo mora na zahtevo operaterja trga iz 9</w:t>
      </w:r>
      <w:r w:rsidR="00A81843">
        <w:rPr>
          <w:rFonts w:eastAsia="Aptos" w:cs="Arial"/>
          <w:color w:val="000000"/>
          <w:kern w:val="2"/>
          <w:szCs w:val="20"/>
          <w14:ligatures w14:val="standardContextual"/>
        </w:rPr>
        <w:t>6</w:t>
      </w:r>
      <w:r w:rsidRPr="00BE5832">
        <w:rPr>
          <w:rFonts w:eastAsia="Aptos" w:cs="Arial"/>
          <w:color w:val="000000"/>
          <w:kern w:val="2"/>
          <w:szCs w:val="20"/>
          <w14:ligatures w14:val="standardContextual"/>
        </w:rPr>
        <w:t>. člena Zakona o oskrbi z električno energijo (Uradni list RS, št. 172/21 in 47/25) predložiti na vpogled.</w:t>
      </w:r>
    </w:p>
    <w:p w14:paraId="5D0C998B" w14:textId="77777777" w:rsidR="00BE5832" w:rsidRPr="00BE5832" w:rsidRDefault="00BE5832" w:rsidP="007F3AA0">
      <w:pPr>
        <w:spacing w:after="160" w:line="259" w:lineRule="auto"/>
        <w:rPr>
          <w:rFonts w:eastAsia="Aptos" w:cs="Arial"/>
          <w:color w:val="000000"/>
          <w:kern w:val="2"/>
          <w:szCs w:val="20"/>
          <w14:ligatures w14:val="standardContextual"/>
        </w:rPr>
      </w:pPr>
    </w:p>
    <w:p w14:paraId="605C7F68" w14:textId="5340615B" w:rsidR="00BE5832" w:rsidRPr="00BE5832" w:rsidRDefault="005120A6" w:rsidP="00FE5D5A">
      <w:pPr>
        <w:keepNext/>
        <w:keepLines/>
        <w:spacing w:before="360" w:after="80" w:line="259" w:lineRule="auto"/>
        <w:jc w:val="center"/>
        <w:outlineLvl w:val="0"/>
        <w:rPr>
          <w:rFonts w:eastAsia="Times New Roman" w:cs="Arial"/>
          <w:color w:val="000000"/>
          <w:kern w:val="2"/>
          <w:szCs w:val="20"/>
          <w14:ligatures w14:val="standardContextual"/>
        </w:rPr>
      </w:pPr>
      <w:r>
        <w:rPr>
          <w:rFonts w:eastAsia="Times New Roman" w:cs="Arial"/>
          <w:color w:val="000000"/>
          <w:kern w:val="2"/>
          <w:szCs w:val="20"/>
          <w14:ligatures w14:val="standardContextual"/>
        </w:rPr>
        <w:t>I</w:t>
      </w:r>
      <w:r w:rsidR="00BE5832" w:rsidRPr="00BE5832">
        <w:rPr>
          <w:rFonts w:eastAsia="Times New Roman" w:cs="Arial"/>
          <w:color w:val="000000"/>
          <w:kern w:val="2"/>
          <w:szCs w:val="20"/>
          <w14:ligatures w14:val="standardContextual"/>
        </w:rPr>
        <w:t>V. POSTOPEK</w:t>
      </w:r>
      <w:r w:rsidR="00FE5D5A">
        <w:rPr>
          <w:rFonts w:eastAsia="Times New Roman" w:cs="Arial"/>
          <w:color w:val="000000"/>
          <w:kern w:val="2"/>
          <w:szCs w:val="20"/>
          <w14:ligatures w14:val="standardContextual"/>
        </w:rPr>
        <w:t xml:space="preserve"> ZA DODELITEV SPODBUDE</w:t>
      </w:r>
    </w:p>
    <w:p w14:paraId="579098FD" w14:textId="77777777" w:rsidR="00BE5832" w:rsidRPr="00BE5832" w:rsidRDefault="00BE5832" w:rsidP="00BE5832">
      <w:pPr>
        <w:spacing w:after="160" w:line="259" w:lineRule="auto"/>
        <w:rPr>
          <w:rFonts w:eastAsia="Aptos" w:cs="Arial"/>
          <w:color w:val="000000"/>
          <w:kern w:val="2"/>
          <w:szCs w:val="20"/>
          <w14:ligatures w14:val="standardContextual"/>
        </w:rPr>
      </w:pPr>
    </w:p>
    <w:p w14:paraId="614A0470" w14:textId="77777777" w:rsidR="00BE5832" w:rsidRPr="00BE5832" w:rsidRDefault="00BE5832" w:rsidP="00BE5832">
      <w:pPr>
        <w:keepNext/>
        <w:keepLines/>
        <w:numPr>
          <w:ilvl w:val="0"/>
          <w:numId w:val="70"/>
        </w:numPr>
        <w:spacing w:before="160" w:after="80" w:line="259" w:lineRule="auto"/>
        <w:jc w:val="center"/>
        <w:outlineLvl w:val="1"/>
        <w:rPr>
          <w:rFonts w:eastAsia="Times New Roman" w:cs="Arial"/>
          <w:color w:val="000000"/>
          <w:kern w:val="2"/>
          <w:szCs w:val="20"/>
          <w14:ligatures w14:val="standardContextual"/>
        </w:rPr>
      </w:pPr>
      <w:r w:rsidRPr="00BE5832">
        <w:rPr>
          <w:rFonts w:eastAsia="Times New Roman" w:cs="Arial"/>
          <w:color w:val="000000"/>
          <w:kern w:val="2"/>
          <w:szCs w:val="20"/>
          <w14:ligatures w14:val="standardContextual"/>
        </w:rPr>
        <w:t>člen</w:t>
      </w:r>
    </w:p>
    <w:p w14:paraId="6F99376B" w14:textId="77777777" w:rsidR="00BE5832" w:rsidRPr="00BE5832" w:rsidRDefault="00BE5832" w:rsidP="00BE5832">
      <w:pPr>
        <w:spacing w:after="160" w:line="259" w:lineRule="auto"/>
        <w:ind w:left="720"/>
        <w:contextualSpacing/>
        <w:jc w:val="center"/>
        <w:rPr>
          <w:rFonts w:eastAsia="Aptos" w:cs="Arial"/>
          <w:color w:val="000000"/>
          <w:kern w:val="2"/>
          <w:szCs w:val="20"/>
          <w14:ligatures w14:val="standardContextual"/>
        </w:rPr>
      </w:pPr>
      <w:r w:rsidRPr="00BE5832">
        <w:rPr>
          <w:rFonts w:eastAsia="Aptos" w:cs="Arial"/>
          <w:color w:val="000000"/>
          <w:kern w:val="2"/>
          <w:szCs w:val="20"/>
          <w14:ligatures w14:val="standardContextual"/>
        </w:rPr>
        <w:t>(vloga in dokumentacija)</w:t>
      </w:r>
    </w:p>
    <w:p w14:paraId="63EFF1F0" w14:textId="77777777" w:rsidR="00BE5832" w:rsidRPr="00BE5832" w:rsidRDefault="00BE5832" w:rsidP="00BE5832">
      <w:pPr>
        <w:spacing w:after="160" w:line="259" w:lineRule="auto"/>
        <w:ind w:left="720"/>
        <w:contextualSpacing/>
        <w:jc w:val="center"/>
        <w:rPr>
          <w:rFonts w:eastAsia="Aptos" w:cs="Arial"/>
          <w:color w:val="000000"/>
          <w:kern w:val="2"/>
          <w:szCs w:val="20"/>
          <w14:ligatures w14:val="standardContextual"/>
        </w:rPr>
      </w:pPr>
    </w:p>
    <w:p w14:paraId="07217DF3" w14:textId="57D8F35C" w:rsidR="00BE5832" w:rsidRPr="00BE5832" w:rsidRDefault="00704AFB" w:rsidP="007F3AA0">
      <w:pPr>
        <w:numPr>
          <w:ilvl w:val="0"/>
          <w:numId w:val="80"/>
        </w:numPr>
        <w:spacing w:after="160" w:line="259" w:lineRule="auto"/>
        <w:contextualSpacing/>
        <w:rPr>
          <w:rFonts w:eastAsia="Aptos" w:cs="Arial"/>
          <w:color w:val="000000"/>
          <w:kern w:val="2"/>
          <w:szCs w:val="20"/>
          <w14:ligatures w14:val="standardContextual"/>
        </w:rPr>
      </w:pPr>
      <w:r>
        <w:rPr>
          <w:rFonts w:eastAsia="Aptos" w:cs="Arial"/>
          <w:color w:val="000000"/>
          <w:kern w:val="2"/>
          <w:szCs w:val="20"/>
          <w14:ligatures w14:val="standardContextual"/>
        </w:rPr>
        <w:t>Spodbude se dodeljujejo</w:t>
      </w:r>
      <w:r w:rsidR="00160A83">
        <w:rPr>
          <w:rFonts w:eastAsia="Aptos" w:cs="Arial"/>
          <w:color w:val="000000"/>
          <w:kern w:val="2"/>
          <w:szCs w:val="20"/>
          <w14:ligatures w14:val="standardContextual"/>
        </w:rPr>
        <w:t xml:space="preserve"> na podlagi postopka, ki se </w:t>
      </w:r>
      <w:r w:rsidR="00DB4EA3">
        <w:rPr>
          <w:rFonts w:eastAsia="Aptos" w:cs="Arial"/>
          <w:color w:val="000000"/>
          <w:kern w:val="2"/>
          <w:szCs w:val="20"/>
          <w14:ligatures w14:val="standardContextual"/>
        </w:rPr>
        <w:t>za</w:t>
      </w:r>
      <w:r w:rsidR="00160A83">
        <w:rPr>
          <w:rFonts w:eastAsia="Aptos" w:cs="Arial"/>
          <w:color w:val="000000"/>
          <w:kern w:val="2"/>
          <w:szCs w:val="20"/>
          <w14:ligatures w14:val="standardContextual"/>
        </w:rPr>
        <w:t>čne</w:t>
      </w:r>
      <w:r>
        <w:rPr>
          <w:rFonts w:eastAsia="Aptos" w:cs="Arial"/>
          <w:color w:val="000000"/>
          <w:kern w:val="2"/>
          <w:szCs w:val="20"/>
          <w14:ligatures w14:val="standardContextual"/>
        </w:rPr>
        <w:t xml:space="preserve"> z javnim pozivom, ki ga objavi o</w:t>
      </w:r>
      <w:r w:rsidR="00BE5832" w:rsidRPr="00BE5832">
        <w:rPr>
          <w:rFonts w:eastAsia="Aptos" w:cs="Arial"/>
          <w:color w:val="000000"/>
          <w:kern w:val="2"/>
          <w:szCs w:val="20"/>
          <w14:ligatures w14:val="standardContextual"/>
        </w:rPr>
        <w:t>perater trga</w:t>
      </w:r>
      <w:r w:rsidR="00160A83">
        <w:rPr>
          <w:rFonts w:eastAsia="Aptos" w:cs="Arial"/>
          <w:color w:val="000000"/>
          <w:kern w:val="2"/>
          <w:szCs w:val="20"/>
          <w14:ligatures w14:val="standardContextual"/>
        </w:rPr>
        <w:t xml:space="preserve"> na </w:t>
      </w:r>
      <w:r w:rsidR="00DB4EA3">
        <w:rPr>
          <w:rFonts w:eastAsia="Aptos" w:cs="Arial"/>
          <w:color w:val="000000"/>
          <w:kern w:val="2"/>
          <w:szCs w:val="20"/>
          <w14:ligatures w14:val="standardContextual"/>
        </w:rPr>
        <w:t xml:space="preserve">svoji </w:t>
      </w:r>
      <w:r w:rsidR="00160A83">
        <w:rPr>
          <w:rFonts w:eastAsia="Aptos" w:cs="Arial"/>
          <w:color w:val="000000"/>
          <w:kern w:val="2"/>
          <w:szCs w:val="20"/>
          <w14:ligatures w14:val="standardContextual"/>
        </w:rPr>
        <w:t>spletni strani</w:t>
      </w:r>
      <w:r w:rsidR="00BE5832" w:rsidRPr="00BE5832">
        <w:rPr>
          <w:rFonts w:eastAsia="Aptos" w:cs="Arial"/>
          <w:color w:val="000000"/>
          <w:kern w:val="2"/>
          <w:szCs w:val="20"/>
          <w14:ligatures w14:val="standardContextual"/>
        </w:rPr>
        <w:t xml:space="preserve"> vsako leto naj</w:t>
      </w:r>
      <w:r w:rsidR="00DB4EA3">
        <w:rPr>
          <w:rFonts w:eastAsia="Aptos" w:cs="Arial"/>
          <w:color w:val="000000"/>
          <w:kern w:val="2"/>
          <w:szCs w:val="20"/>
          <w14:ligatures w14:val="standardContextual"/>
        </w:rPr>
        <w:t>pozneje</w:t>
      </w:r>
      <w:r w:rsidR="00BE5832" w:rsidRPr="00BE5832">
        <w:rPr>
          <w:rFonts w:eastAsia="Aptos" w:cs="Arial"/>
          <w:color w:val="000000"/>
          <w:kern w:val="2"/>
          <w:szCs w:val="20"/>
          <w14:ligatures w14:val="standardContextual"/>
        </w:rPr>
        <w:t xml:space="preserve"> v </w:t>
      </w:r>
      <w:r w:rsidR="00DB4EA3">
        <w:rPr>
          <w:rFonts w:eastAsia="Aptos" w:cs="Arial"/>
          <w:color w:val="000000"/>
          <w:kern w:val="2"/>
          <w:szCs w:val="20"/>
          <w14:ligatures w14:val="standardContextual"/>
        </w:rPr>
        <w:t>desetih</w:t>
      </w:r>
      <w:r w:rsidR="00BE5832" w:rsidRPr="00BE5832">
        <w:rPr>
          <w:rFonts w:eastAsia="Aptos" w:cs="Arial"/>
          <w:color w:val="000000"/>
          <w:kern w:val="2"/>
          <w:szCs w:val="20"/>
          <w14:ligatures w14:val="standardContextual"/>
        </w:rPr>
        <w:t xml:space="preserve"> delovnih dn</w:t>
      </w:r>
      <w:r w:rsidR="00DB4EA3">
        <w:rPr>
          <w:rFonts w:eastAsia="Aptos" w:cs="Arial"/>
          <w:color w:val="000000"/>
          <w:kern w:val="2"/>
          <w:szCs w:val="20"/>
          <w14:ligatures w14:val="standardContextual"/>
        </w:rPr>
        <w:t>eh</w:t>
      </w:r>
      <w:r w:rsidR="00BE5832" w:rsidRPr="00BE5832">
        <w:rPr>
          <w:rFonts w:eastAsia="Aptos" w:cs="Arial"/>
          <w:color w:val="000000"/>
          <w:kern w:val="2"/>
          <w:szCs w:val="20"/>
          <w14:ligatures w14:val="standardContextual"/>
        </w:rPr>
        <w:t xml:space="preserve"> od objave sklepa iz prvega odstavka 1</w:t>
      </w:r>
      <w:r w:rsidR="00345534">
        <w:rPr>
          <w:rFonts w:eastAsia="Aptos" w:cs="Arial"/>
          <w:color w:val="000000"/>
          <w:kern w:val="2"/>
          <w:szCs w:val="20"/>
          <w14:ligatures w14:val="standardContextual"/>
        </w:rPr>
        <w:t>1</w:t>
      </w:r>
      <w:r w:rsidR="00BE5832" w:rsidRPr="00BE5832">
        <w:rPr>
          <w:rFonts w:eastAsia="Aptos" w:cs="Arial"/>
          <w:color w:val="000000"/>
          <w:kern w:val="2"/>
          <w:szCs w:val="20"/>
          <w14:ligatures w14:val="standardContextual"/>
        </w:rPr>
        <w:t xml:space="preserve">. člena tega zakona. </w:t>
      </w:r>
      <w:r w:rsidR="00160A83">
        <w:rPr>
          <w:rFonts w:eastAsia="Aptos" w:cs="Arial"/>
          <w:color w:val="000000"/>
          <w:kern w:val="2"/>
          <w:szCs w:val="20"/>
          <w14:ligatures w14:val="standardContextual"/>
        </w:rPr>
        <w:t>V javnem pozivu operater trga določi zlasti namen poziva, upravičence in roke za vložitev vloge.</w:t>
      </w:r>
    </w:p>
    <w:p w14:paraId="38A5A8BB" w14:textId="77777777" w:rsidR="00BE5832" w:rsidRPr="00BE5832" w:rsidRDefault="00BE5832" w:rsidP="006E332E">
      <w:pPr>
        <w:spacing w:after="0" w:line="259" w:lineRule="auto"/>
        <w:rPr>
          <w:rFonts w:eastAsia="Aptos" w:cs="Arial"/>
          <w:color w:val="000000"/>
          <w:kern w:val="2"/>
          <w:szCs w:val="20"/>
          <w14:ligatures w14:val="standardContextual"/>
        </w:rPr>
      </w:pPr>
    </w:p>
    <w:p w14:paraId="4646CE39" w14:textId="70688D56" w:rsidR="00BE5832" w:rsidRPr="00BE5832" w:rsidRDefault="00BE5832" w:rsidP="007F3AA0">
      <w:pPr>
        <w:numPr>
          <w:ilvl w:val="0"/>
          <w:numId w:val="80"/>
        </w:numPr>
        <w:spacing w:after="16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Upravičenec na podlagi javnega poziva vloži vlogo pri operaterju trga. Vloga mora vsebovati</w:t>
      </w:r>
      <w:r w:rsidR="004539E2">
        <w:rPr>
          <w:rFonts w:eastAsia="Aptos" w:cs="Arial"/>
          <w:color w:val="000000"/>
          <w:kern w:val="2"/>
          <w:szCs w:val="20"/>
          <w14:ligatures w14:val="standardContextual"/>
        </w:rPr>
        <w:t xml:space="preserve"> naslednje podatke</w:t>
      </w:r>
      <w:r w:rsidRPr="00BE5832">
        <w:rPr>
          <w:rFonts w:eastAsia="Aptos" w:cs="Arial"/>
          <w:color w:val="000000"/>
          <w:kern w:val="2"/>
          <w:szCs w:val="20"/>
          <w14:ligatures w14:val="standardContextual"/>
        </w:rPr>
        <w:t xml:space="preserve">: </w:t>
      </w:r>
    </w:p>
    <w:p w14:paraId="256234B4" w14:textId="15ED5EA7" w:rsidR="00BE5832" w:rsidRPr="00BE5832" w:rsidRDefault="00BE5832" w:rsidP="007F3AA0">
      <w:pPr>
        <w:numPr>
          <w:ilvl w:val="0"/>
          <w:numId w:val="73"/>
        </w:numPr>
        <w:spacing w:after="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napoved porabe električne energije za tekoče leto</w:t>
      </w:r>
      <w:r w:rsidR="00633870">
        <w:rPr>
          <w:rFonts w:eastAsia="Aptos" w:cs="Arial"/>
          <w:color w:val="000000"/>
          <w:kern w:val="2"/>
          <w:szCs w:val="20"/>
          <w14:ligatures w14:val="standardContextual"/>
        </w:rPr>
        <w:t>;</w:t>
      </w:r>
      <w:r w:rsidRPr="00BE5832">
        <w:rPr>
          <w:rFonts w:eastAsia="Aptos" w:cs="Arial"/>
          <w:color w:val="000000"/>
          <w:kern w:val="2"/>
          <w:szCs w:val="20"/>
          <w14:ligatures w14:val="standardContextual"/>
        </w:rPr>
        <w:t xml:space="preserve"> </w:t>
      </w:r>
    </w:p>
    <w:p w14:paraId="438CA89E" w14:textId="6B8539FC" w:rsidR="00BE5832" w:rsidRPr="00BE5832" w:rsidRDefault="00BE5832" w:rsidP="007F3AA0">
      <w:pPr>
        <w:numPr>
          <w:ilvl w:val="0"/>
          <w:numId w:val="73"/>
        </w:numPr>
        <w:spacing w:after="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dokazila o porabi električne energije za vsa merilna mesta</w:t>
      </w:r>
      <w:r w:rsidR="00633870">
        <w:rPr>
          <w:rFonts w:eastAsia="Aptos" w:cs="Arial"/>
          <w:color w:val="000000"/>
          <w:kern w:val="2"/>
          <w:szCs w:val="20"/>
          <w14:ligatures w14:val="standardContextual"/>
        </w:rPr>
        <w:t>,</w:t>
      </w:r>
      <w:r w:rsidRPr="00BE5832">
        <w:rPr>
          <w:rFonts w:eastAsia="Aptos" w:cs="Arial"/>
          <w:color w:val="000000"/>
          <w:kern w:val="2"/>
          <w:szCs w:val="20"/>
          <w14:ligatures w14:val="standardContextual"/>
        </w:rPr>
        <w:t xml:space="preserve"> in k</w:t>
      </w:r>
      <w:r w:rsidR="00633870">
        <w:rPr>
          <w:rFonts w:eastAsia="Aptos" w:cs="Arial"/>
          <w:color w:val="000000"/>
          <w:kern w:val="2"/>
          <w:szCs w:val="20"/>
          <w14:ligatures w14:val="standardContextual"/>
        </w:rPr>
        <w:t>adar</w:t>
      </w:r>
      <w:r w:rsidRPr="00BE5832">
        <w:rPr>
          <w:rFonts w:eastAsia="Aptos" w:cs="Arial"/>
          <w:color w:val="000000"/>
          <w:kern w:val="2"/>
          <w:szCs w:val="20"/>
          <w14:ligatures w14:val="standardContextual"/>
        </w:rPr>
        <w:t xml:space="preserve"> je</w:t>
      </w:r>
      <w:r w:rsidR="00633870">
        <w:rPr>
          <w:rFonts w:eastAsia="Aptos" w:cs="Arial"/>
          <w:color w:val="000000"/>
          <w:kern w:val="2"/>
          <w:szCs w:val="20"/>
          <w14:ligatures w14:val="standardContextual"/>
        </w:rPr>
        <w:t xml:space="preserve"> to ustrezno</w:t>
      </w:r>
      <w:r w:rsidR="00A130D7">
        <w:rPr>
          <w:rFonts w:eastAsia="Aptos" w:cs="Arial"/>
          <w:color w:val="000000"/>
          <w:kern w:val="2"/>
          <w:szCs w:val="20"/>
          <w14:ligatures w14:val="standardContextual"/>
        </w:rPr>
        <w:t>,</w:t>
      </w:r>
      <w:r w:rsidRPr="00BE5832">
        <w:rPr>
          <w:rFonts w:eastAsia="Aptos" w:cs="Arial"/>
          <w:color w:val="000000"/>
          <w:kern w:val="2"/>
          <w:szCs w:val="20"/>
          <w14:ligatures w14:val="standardContextual"/>
        </w:rPr>
        <w:t xml:space="preserve"> tudi podatke o porabi iz lastnih virov v zadnjih treh zaključenih koledarskih letih pred vložitvijo vloge </w:t>
      </w:r>
      <w:r w:rsidR="00633870">
        <w:rPr>
          <w:rFonts w:eastAsia="Aptos" w:cs="Arial"/>
          <w:color w:val="000000"/>
          <w:kern w:val="2"/>
          <w:szCs w:val="20"/>
          <w14:ligatures w14:val="standardContextual"/>
        </w:rPr>
        <w:t>ter</w:t>
      </w:r>
      <w:r w:rsidRPr="00BE5832">
        <w:rPr>
          <w:rFonts w:eastAsia="Aptos" w:cs="Arial"/>
          <w:color w:val="000000"/>
          <w:kern w:val="2"/>
          <w:szCs w:val="20"/>
          <w14:ligatures w14:val="standardContextual"/>
        </w:rPr>
        <w:t xml:space="preserve"> dokazila o porabi električne energije v teh letih za vsa merilna mesta; </w:t>
      </w:r>
    </w:p>
    <w:p w14:paraId="062D9D54" w14:textId="442BF7DB" w:rsidR="00BE5832" w:rsidRPr="00BE5832" w:rsidRDefault="00BE5832" w:rsidP="007F3AA0">
      <w:pPr>
        <w:numPr>
          <w:ilvl w:val="0"/>
          <w:numId w:val="73"/>
        </w:numPr>
        <w:spacing w:after="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izračun elektrointenzivnosti</w:t>
      </w:r>
      <w:r w:rsidR="00A130D7">
        <w:rPr>
          <w:rFonts w:eastAsia="Aptos" w:cs="Arial"/>
          <w:color w:val="000000"/>
          <w:kern w:val="2"/>
          <w:szCs w:val="20"/>
          <w14:ligatures w14:val="standardContextual"/>
        </w:rPr>
        <w:t xml:space="preserve"> upravičenca</w:t>
      </w:r>
      <w:r w:rsidRPr="00BE5832">
        <w:rPr>
          <w:rFonts w:eastAsia="Aptos" w:cs="Arial"/>
          <w:color w:val="000000"/>
          <w:kern w:val="2"/>
          <w:szCs w:val="20"/>
          <w14:ligatures w14:val="standardContextual"/>
        </w:rPr>
        <w:t xml:space="preserve"> in računovodske izkaze, iz katerih </w:t>
      </w:r>
      <w:r w:rsidR="00A130D7">
        <w:rPr>
          <w:rFonts w:eastAsia="Aptos" w:cs="Arial"/>
          <w:color w:val="000000"/>
          <w:kern w:val="2"/>
          <w:szCs w:val="20"/>
          <w14:ligatures w14:val="standardContextual"/>
        </w:rPr>
        <w:t>izhaja</w:t>
      </w:r>
      <w:r w:rsidRPr="00BE5832">
        <w:rPr>
          <w:rFonts w:eastAsia="Aptos" w:cs="Arial"/>
          <w:color w:val="000000"/>
          <w:kern w:val="2"/>
          <w:szCs w:val="20"/>
          <w14:ligatures w14:val="standardContextual"/>
        </w:rPr>
        <w:t xml:space="preserve"> pravilnost izračuna;</w:t>
      </w:r>
    </w:p>
    <w:p w14:paraId="1EF95085" w14:textId="636BC898" w:rsidR="00BE5832" w:rsidRPr="00BE5832" w:rsidRDefault="00C95328" w:rsidP="007F3AA0">
      <w:pPr>
        <w:numPr>
          <w:ilvl w:val="0"/>
          <w:numId w:val="73"/>
        </w:numPr>
        <w:spacing w:after="0" w:line="259" w:lineRule="auto"/>
        <w:contextualSpacing/>
        <w:rPr>
          <w:rFonts w:eastAsia="Aptos" w:cs="Arial"/>
          <w:color w:val="000000"/>
          <w:kern w:val="2"/>
          <w:szCs w:val="20"/>
          <w14:ligatures w14:val="standardContextual"/>
        </w:rPr>
      </w:pPr>
      <w:r>
        <w:rPr>
          <w:rFonts w:eastAsia="Aptos" w:cs="Arial"/>
          <w:color w:val="000000"/>
          <w:kern w:val="2"/>
          <w:szCs w:val="20"/>
          <w14:ligatures w14:val="standardContextual"/>
        </w:rPr>
        <w:t>dokazila</w:t>
      </w:r>
      <w:r w:rsidR="00BE5832" w:rsidRPr="00BE5832">
        <w:rPr>
          <w:rFonts w:eastAsia="Aptos" w:cs="Arial"/>
          <w:color w:val="000000"/>
          <w:kern w:val="2"/>
          <w:szCs w:val="20"/>
          <w14:ligatures w14:val="standardContextual"/>
        </w:rPr>
        <w:t xml:space="preserve"> o izpolnjevanju pogojev iz </w:t>
      </w:r>
      <w:r w:rsidR="00DE78F9">
        <w:rPr>
          <w:rFonts w:eastAsia="Aptos" w:cs="Arial"/>
          <w:color w:val="000000"/>
          <w:kern w:val="2"/>
          <w:szCs w:val="20"/>
          <w14:ligatures w14:val="standardContextual"/>
        </w:rPr>
        <w:t>3</w:t>
      </w:r>
      <w:r w:rsidR="00BE5832" w:rsidRPr="00BE5832">
        <w:rPr>
          <w:rFonts w:eastAsia="Aptos" w:cs="Arial"/>
          <w:color w:val="000000"/>
          <w:kern w:val="2"/>
          <w:szCs w:val="20"/>
          <w14:ligatures w14:val="standardContextual"/>
        </w:rPr>
        <w:t>. člena tega zakona;</w:t>
      </w:r>
    </w:p>
    <w:p w14:paraId="5D92D036" w14:textId="1264C06C" w:rsidR="00BE5832" w:rsidRPr="00BE5832" w:rsidRDefault="00BE5832" w:rsidP="007F3AA0">
      <w:pPr>
        <w:numPr>
          <w:ilvl w:val="0"/>
          <w:numId w:val="73"/>
        </w:numPr>
        <w:spacing w:after="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načrt izvedbe naložb, ki zajema opis naložb, napoved začetka izvajanja in obratovanja</w:t>
      </w:r>
      <w:r w:rsidR="00B90151">
        <w:rPr>
          <w:rFonts w:eastAsia="Aptos" w:cs="Arial"/>
          <w:color w:val="000000"/>
          <w:kern w:val="2"/>
          <w:szCs w:val="20"/>
          <w14:ligatures w14:val="standardContextual"/>
        </w:rPr>
        <w:t xml:space="preserve"> naložb</w:t>
      </w:r>
      <w:r w:rsidRPr="00BE5832">
        <w:rPr>
          <w:rFonts w:eastAsia="Aptos" w:cs="Arial"/>
          <w:color w:val="000000"/>
          <w:kern w:val="2"/>
          <w:szCs w:val="20"/>
          <w14:ligatures w14:val="standardContextual"/>
        </w:rPr>
        <w:t xml:space="preserve">, oceno končne vrednosti naložb in oceno pričakovanega letnega rezultata </w:t>
      </w:r>
      <w:r w:rsidR="001A230C">
        <w:rPr>
          <w:rFonts w:eastAsia="Aptos" w:cs="Arial"/>
          <w:color w:val="000000"/>
          <w:kern w:val="2"/>
          <w:szCs w:val="20"/>
          <w14:ligatures w14:val="standardContextual"/>
        </w:rPr>
        <w:t>v zvezi z</w:t>
      </w:r>
      <w:r w:rsidRPr="00BE5832">
        <w:rPr>
          <w:rFonts w:eastAsia="Aptos" w:cs="Arial"/>
          <w:color w:val="000000"/>
          <w:kern w:val="2"/>
          <w:szCs w:val="20"/>
          <w14:ligatures w14:val="standardContextual"/>
        </w:rPr>
        <w:t xml:space="preserve"> razogljičenj</w:t>
      </w:r>
      <w:r w:rsidR="001A230C">
        <w:rPr>
          <w:rFonts w:eastAsia="Aptos" w:cs="Arial"/>
          <w:color w:val="000000"/>
          <w:kern w:val="2"/>
          <w:szCs w:val="20"/>
          <w14:ligatures w14:val="standardContextual"/>
        </w:rPr>
        <w:t>em</w:t>
      </w:r>
      <w:r w:rsidR="00B2790A">
        <w:rPr>
          <w:rFonts w:eastAsia="Aptos" w:cs="Arial"/>
          <w:color w:val="000000"/>
          <w:kern w:val="2"/>
          <w:szCs w:val="20"/>
          <w14:ligatures w14:val="standardContextual"/>
        </w:rPr>
        <w:t>;</w:t>
      </w:r>
      <w:r w:rsidRPr="00BE5832">
        <w:rPr>
          <w:rFonts w:eastAsia="Aptos" w:cs="Arial"/>
          <w:color w:val="000000"/>
          <w:kern w:val="2"/>
          <w:szCs w:val="20"/>
          <w14:ligatures w14:val="standardContextual"/>
        </w:rPr>
        <w:t xml:space="preserve"> </w:t>
      </w:r>
    </w:p>
    <w:p w14:paraId="644A95E9" w14:textId="18BB17DE" w:rsidR="00BE5832" w:rsidRPr="00BE5832" w:rsidRDefault="00BE5832" w:rsidP="007F3AA0">
      <w:pPr>
        <w:numPr>
          <w:ilvl w:val="0"/>
          <w:numId w:val="73"/>
        </w:numPr>
        <w:spacing w:after="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kontaktne osebe;</w:t>
      </w:r>
    </w:p>
    <w:p w14:paraId="1C65F3DF" w14:textId="0FDB35A6" w:rsidR="00BE5832" w:rsidRPr="00BE5832" w:rsidRDefault="00BE5832" w:rsidP="007F3AA0">
      <w:pPr>
        <w:numPr>
          <w:ilvl w:val="0"/>
          <w:numId w:val="73"/>
        </w:numPr>
        <w:spacing w:after="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 xml:space="preserve">druge </w:t>
      </w:r>
      <w:r w:rsidR="00B90151">
        <w:rPr>
          <w:rFonts w:eastAsia="Aptos" w:cs="Arial"/>
          <w:color w:val="000000"/>
          <w:kern w:val="2"/>
          <w:szCs w:val="20"/>
          <w14:ligatures w14:val="standardContextual"/>
        </w:rPr>
        <w:t>podatke</w:t>
      </w:r>
      <w:r w:rsidRPr="00BE5832">
        <w:rPr>
          <w:rFonts w:eastAsia="Aptos" w:cs="Arial"/>
          <w:color w:val="000000"/>
          <w:kern w:val="2"/>
          <w:szCs w:val="20"/>
          <w14:ligatures w14:val="standardContextual"/>
        </w:rPr>
        <w:t>, določene v javnem pozivu.</w:t>
      </w:r>
    </w:p>
    <w:p w14:paraId="6DE3BDF3" w14:textId="77777777" w:rsidR="00BE5832" w:rsidRPr="00BE5832" w:rsidRDefault="00BE5832" w:rsidP="00197CF2">
      <w:pPr>
        <w:spacing w:after="0" w:line="259" w:lineRule="auto"/>
        <w:contextualSpacing/>
        <w:rPr>
          <w:rFonts w:eastAsia="Aptos" w:cs="Arial"/>
          <w:color w:val="000000"/>
          <w:kern w:val="2"/>
          <w:szCs w:val="20"/>
          <w14:ligatures w14:val="standardContextual"/>
        </w:rPr>
      </w:pPr>
    </w:p>
    <w:p w14:paraId="10473299" w14:textId="65EC0B67" w:rsidR="00197CF2" w:rsidRPr="00197CF2" w:rsidRDefault="00197CF2" w:rsidP="00197CF2">
      <w:pPr>
        <w:pStyle w:val="Odstavekseznama"/>
        <w:numPr>
          <w:ilvl w:val="0"/>
          <w:numId w:val="80"/>
        </w:numPr>
        <w:rPr>
          <w:rFonts w:eastAsia="Aptos" w:cs="Arial"/>
          <w:color w:val="000000"/>
          <w:kern w:val="2"/>
          <w:szCs w:val="20"/>
          <w14:ligatures w14:val="standardContextual"/>
        </w:rPr>
      </w:pPr>
      <w:r w:rsidRPr="00197CF2">
        <w:rPr>
          <w:rFonts w:eastAsia="Aptos" w:cs="Arial"/>
          <w:color w:val="000000"/>
          <w:kern w:val="2"/>
          <w:szCs w:val="20"/>
          <w14:ligatures w14:val="standardContextual"/>
        </w:rPr>
        <w:t>Vloga na javni poziv se vloži pri operaterju trga</w:t>
      </w:r>
      <w:r w:rsidR="00A67803">
        <w:rPr>
          <w:rFonts w:eastAsia="Aptos" w:cs="Arial"/>
          <w:color w:val="000000"/>
          <w:kern w:val="2"/>
          <w:szCs w:val="20"/>
          <w14:ligatures w14:val="standardContextual"/>
        </w:rPr>
        <w:t>,</w:t>
      </w:r>
      <w:r w:rsidRPr="00197CF2">
        <w:rPr>
          <w:rFonts w:eastAsia="Aptos" w:cs="Arial"/>
          <w:color w:val="000000"/>
          <w:kern w:val="2"/>
          <w:szCs w:val="20"/>
          <w14:ligatures w14:val="standardContextual"/>
        </w:rPr>
        <w:t xml:space="preserve"> praviloma v elektronski obliki, na način in v roku, opredeljen</w:t>
      </w:r>
      <w:r w:rsidR="00A67803">
        <w:rPr>
          <w:rFonts w:eastAsia="Aptos" w:cs="Arial"/>
          <w:color w:val="000000"/>
          <w:kern w:val="2"/>
          <w:szCs w:val="20"/>
          <w14:ligatures w14:val="standardContextual"/>
        </w:rPr>
        <w:t>ih</w:t>
      </w:r>
      <w:r w:rsidRPr="00197CF2">
        <w:rPr>
          <w:rFonts w:eastAsia="Aptos" w:cs="Arial"/>
          <w:color w:val="000000"/>
          <w:kern w:val="2"/>
          <w:szCs w:val="20"/>
          <w14:ligatures w14:val="standardContextual"/>
        </w:rPr>
        <w:t xml:space="preserve"> v javnem pozivu. Postopek dodeljevanja spodbud, komuni</w:t>
      </w:r>
      <w:r w:rsidR="00A67803">
        <w:rPr>
          <w:rFonts w:eastAsia="Aptos" w:cs="Arial"/>
          <w:color w:val="000000"/>
          <w:kern w:val="2"/>
          <w:szCs w:val="20"/>
          <w14:ligatures w14:val="standardContextual"/>
        </w:rPr>
        <w:t>ciranje</w:t>
      </w:r>
      <w:r w:rsidRPr="00197CF2">
        <w:rPr>
          <w:rFonts w:eastAsia="Aptos" w:cs="Arial"/>
          <w:color w:val="000000"/>
          <w:kern w:val="2"/>
          <w:szCs w:val="20"/>
          <w14:ligatures w14:val="standardContextual"/>
        </w:rPr>
        <w:t xml:space="preserve">, vročanje in </w:t>
      </w:r>
      <w:r w:rsidRPr="00197CF2">
        <w:rPr>
          <w:rFonts w:eastAsia="Aptos" w:cs="Arial"/>
          <w:color w:val="000000"/>
          <w:kern w:val="2"/>
          <w:szCs w:val="20"/>
          <w14:ligatures w14:val="standardContextual"/>
        </w:rPr>
        <w:lastRenderedPageBreak/>
        <w:t>obveščanje potekajo elektronsk</w:t>
      </w:r>
      <w:r w:rsidR="00A67803">
        <w:rPr>
          <w:rFonts w:eastAsia="Aptos" w:cs="Arial"/>
          <w:color w:val="000000"/>
          <w:kern w:val="2"/>
          <w:szCs w:val="20"/>
          <w14:ligatures w14:val="standardContextual"/>
        </w:rPr>
        <w:t>o</w:t>
      </w:r>
      <w:r w:rsidRPr="00197CF2">
        <w:rPr>
          <w:rFonts w:eastAsia="Aptos" w:cs="Arial"/>
          <w:color w:val="000000"/>
          <w:kern w:val="2"/>
          <w:szCs w:val="20"/>
          <w14:ligatures w14:val="standardContextual"/>
        </w:rPr>
        <w:t xml:space="preserve"> </w:t>
      </w:r>
      <w:r w:rsidR="00A67803">
        <w:rPr>
          <w:rFonts w:eastAsia="Aptos" w:cs="Arial"/>
          <w:color w:val="000000"/>
          <w:kern w:val="2"/>
          <w:szCs w:val="20"/>
          <w14:ligatures w14:val="standardContextual"/>
        </w:rPr>
        <w:t>v</w:t>
      </w:r>
      <w:r w:rsidRPr="00197CF2">
        <w:rPr>
          <w:rFonts w:eastAsia="Aptos" w:cs="Arial"/>
          <w:color w:val="000000"/>
          <w:kern w:val="2"/>
          <w:szCs w:val="20"/>
          <w14:ligatures w14:val="standardContextual"/>
        </w:rPr>
        <w:t xml:space="preserve"> informacijske</w:t>
      </w:r>
      <w:r w:rsidR="00A67803">
        <w:rPr>
          <w:rFonts w:eastAsia="Aptos" w:cs="Arial"/>
          <w:color w:val="000000"/>
          <w:kern w:val="2"/>
          <w:szCs w:val="20"/>
          <w14:ligatures w14:val="standardContextual"/>
        </w:rPr>
        <w:t>m</w:t>
      </w:r>
      <w:r w:rsidRPr="00197CF2">
        <w:rPr>
          <w:rFonts w:eastAsia="Aptos" w:cs="Arial"/>
          <w:color w:val="000000"/>
          <w:kern w:val="2"/>
          <w:szCs w:val="20"/>
          <w14:ligatures w14:val="standardContextual"/>
        </w:rPr>
        <w:t xml:space="preserve"> sistem</w:t>
      </w:r>
      <w:r w:rsidR="00A67803">
        <w:rPr>
          <w:rFonts w:eastAsia="Aptos" w:cs="Arial"/>
          <w:color w:val="000000"/>
          <w:kern w:val="2"/>
          <w:szCs w:val="20"/>
          <w14:ligatures w14:val="standardContextual"/>
        </w:rPr>
        <w:t>u</w:t>
      </w:r>
      <w:r w:rsidRPr="00197CF2">
        <w:rPr>
          <w:rFonts w:eastAsia="Aptos" w:cs="Arial"/>
          <w:color w:val="000000"/>
          <w:kern w:val="2"/>
          <w:szCs w:val="20"/>
          <w14:ligatures w14:val="standardContextual"/>
        </w:rPr>
        <w:t>, dostopn</w:t>
      </w:r>
      <w:r w:rsidR="00A67803">
        <w:rPr>
          <w:rFonts w:eastAsia="Aptos" w:cs="Arial"/>
          <w:color w:val="000000"/>
          <w:kern w:val="2"/>
          <w:szCs w:val="20"/>
          <w14:ligatures w14:val="standardContextual"/>
        </w:rPr>
        <w:t>em</w:t>
      </w:r>
      <w:r w:rsidRPr="00197CF2">
        <w:rPr>
          <w:rFonts w:eastAsia="Aptos" w:cs="Arial"/>
          <w:color w:val="000000"/>
          <w:kern w:val="2"/>
          <w:szCs w:val="20"/>
          <w14:ligatures w14:val="standardContextual"/>
        </w:rPr>
        <w:t xml:space="preserve"> na vstopnem spletnem mestu. </w:t>
      </w:r>
    </w:p>
    <w:p w14:paraId="4FCC22C8" w14:textId="77777777" w:rsidR="00BE5832" w:rsidRPr="00BE5832" w:rsidRDefault="00BE5832" w:rsidP="00BE5832">
      <w:pPr>
        <w:spacing w:after="0" w:line="259" w:lineRule="auto"/>
        <w:rPr>
          <w:rFonts w:eastAsia="Aptos" w:cs="Arial"/>
          <w:color w:val="000000"/>
          <w:kern w:val="2"/>
          <w:szCs w:val="20"/>
          <w14:ligatures w14:val="standardContextual"/>
        </w:rPr>
      </w:pPr>
    </w:p>
    <w:p w14:paraId="655F2F57" w14:textId="77777777" w:rsidR="00BE5832" w:rsidRPr="00BE5832" w:rsidRDefault="00BE5832" w:rsidP="00BE5832">
      <w:pPr>
        <w:keepNext/>
        <w:keepLines/>
        <w:numPr>
          <w:ilvl w:val="0"/>
          <w:numId w:val="70"/>
        </w:numPr>
        <w:spacing w:before="160" w:after="80" w:line="259" w:lineRule="auto"/>
        <w:jc w:val="center"/>
        <w:outlineLvl w:val="1"/>
        <w:rPr>
          <w:rFonts w:eastAsia="Times New Roman" w:cs="Arial"/>
          <w:color w:val="000000"/>
          <w:kern w:val="2"/>
          <w:szCs w:val="20"/>
          <w14:ligatures w14:val="standardContextual"/>
        </w:rPr>
      </w:pPr>
      <w:r w:rsidRPr="00BE5832">
        <w:rPr>
          <w:rFonts w:eastAsia="Times New Roman" w:cs="Arial"/>
          <w:color w:val="000000"/>
          <w:kern w:val="2"/>
          <w:szCs w:val="20"/>
          <w14:ligatures w14:val="standardContextual"/>
        </w:rPr>
        <w:t>člen</w:t>
      </w:r>
    </w:p>
    <w:p w14:paraId="0FA810E6" w14:textId="07B97211" w:rsidR="00BE5832" w:rsidRPr="00BE5832" w:rsidRDefault="00BE5832" w:rsidP="00BE5832">
      <w:pPr>
        <w:spacing w:after="0" w:line="259" w:lineRule="auto"/>
        <w:ind w:left="720"/>
        <w:contextualSpacing/>
        <w:jc w:val="center"/>
        <w:rPr>
          <w:rFonts w:eastAsia="Aptos" w:cs="Arial"/>
          <w:color w:val="000000"/>
          <w:kern w:val="2"/>
          <w:szCs w:val="20"/>
          <w14:ligatures w14:val="standardContextual"/>
        </w:rPr>
      </w:pPr>
      <w:r w:rsidRPr="00BE5832">
        <w:rPr>
          <w:rFonts w:eastAsia="Aptos" w:cs="Arial"/>
          <w:color w:val="000000"/>
          <w:kern w:val="2"/>
          <w:szCs w:val="20"/>
          <w14:ligatures w14:val="standardContextual"/>
        </w:rPr>
        <w:t xml:space="preserve">(odločanje in način </w:t>
      </w:r>
      <w:r w:rsidR="000B30EA">
        <w:rPr>
          <w:rFonts w:eastAsia="Aptos" w:cs="Arial"/>
          <w:color w:val="000000"/>
          <w:kern w:val="2"/>
          <w:szCs w:val="20"/>
          <w14:ligatures w14:val="standardContextual"/>
        </w:rPr>
        <w:t>izvršitve</w:t>
      </w:r>
      <w:r w:rsidRPr="00BE5832">
        <w:rPr>
          <w:rFonts w:eastAsia="Aptos" w:cs="Arial"/>
          <w:color w:val="000000"/>
          <w:kern w:val="2"/>
          <w:szCs w:val="20"/>
          <w14:ligatures w14:val="standardContextual"/>
        </w:rPr>
        <w:t xml:space="preserve"> odločbe)</w:t>
      </w:r>
    </w:p>
    <w:p w14:paraId="3D9CF76F" w14:textId="77777777" w:rsidR="00BE5832" w:rsidRPr="00BE5832" w:rsidRDefault="00BE5832" w:rsidP="00BE5832">
      <w:pPr>
        <w:spacing w:after="0" w:line="259" w:lineRule="auto"/>
        <w:ind w:left="720"/>
        <w:contextualSpacing/>
        <w:rPr>
          <w:rFonts w:eastAsia="Aptos" w:cs="Arial"/>
          <w:color w:val="000000"/>
          <w:kern w:val="2"/>
          <w:szCs w:val="20"/>
          <w14:ligatures w14:val="standardContextual"/>
        </w:rPr>
      </w:pPr>
    </w:p>
    <w:p w14:paraId="147721B7" w14:textId="77777777" w:rsidR="007A3BC1" w:rsidRDefault="007A3BC1" w:rsidP="007A3BC1">
      <w:pPr>
        <w:numPr>
          <w:ilvl w:val="0"/>
          <w:numId w:val="74"/>
        </w:numPr>
        <w:spacing w:after="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 xml:space="preserve">Operater trga po pregledu vloge upravičenca </w:t>
      </w:r>
      <w:r>
        <w:rPr>
          <w:rFonts w:eastAsia="Aptos" w:cs="Arial"/>
          <w:color w:val="000000"/>
          <w:kern w:val="2"/>
          <w:szCs w:val="20"/>
          <w14:ligatures w14:val="standardContextual"/>
        </w:rPr>
        <w:t>ugotavlja, ali je vloga popolna in ali so izpolnjeni pogoji iz javnega poziva. V primeru zahteve za dopolnitev vloge se šteje, da je vloga oddana pravočasno, če jo upravičenec dopolni v roku.</w:t>
      </w:r>
    </w:p>
    <w:p w14:paraId="12BD43BD" w14:textId="77777777" w:rsidR="007A3BC1" w:rsidRPr="00BE5832" w:rsidRDefault="007A3BC1" w:rsidP="007A3BC1">
      <w:pPr>
        <w:spacing w:after="0" w:line="259" w:lineRule="auto"/>
        <w:ind w:left="720"/>
        <w:contextualSpacing/>
        <w:rPr>
          <w:rFonts w:eastAsia="Aptos" w:cs="Arial"/>
          <w:color w:val="000000"/>
          <w:kern w:val="2"/>
          <w:szCs w:val="20"/>
          <w14:ligatures w14:val="standardContextual"/>
        </w:rPr>
      </w:pPr>
    </w:p>
    <w:p w14:paraId="49CD39C9" w14:textId="77777777" w:rsidR="00BE5832" w:rsidRPr="00BE5832" w:rsidRDefault="00BE5832" w:rsidP="007F3AA0">
      <w:pPr>
        <w:numPr>
          <w:ilvl w:val="0"/>
          <w:numId w:val="74"/>
        </w:numPr>
        <w:spacing w:after="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O dodelitvi spodbude odloči operater trga z odločbo za vsako leto posebej.</w:t>
      </w:r>
    </w:p>
    <w:p w14:paraId="7D551684" w14:textId="77777777" w:rsidR="00BE5832" w:rsidRPr="00BE5832" w:rsidRDefault="00BE5832" w:rsidP="00795E76">
      <w:pPr>
        <w:spacing w:after="0" w:line="259" w:lineRule="auto"/>
        <w:contextualSpacing/>
        <w:rPr>
          <w:rFonts w:eastAsia="Aptos" w:cs="Arial"/>
          <w:color w:val="000000"/>
          <w:kern w:val="2"/>
          <w:szCs w:val="20"/>
          <w14:ligatures w14:val="standardContextual"/>
        </w:rPr>
      </w:pPr>
    </w:p>
    <w:p w14:paraId="11256DFD" w14:textId="1D163E4F" w:rsidR="007632EA" w:rsidRDefault="00BE5832" w:rsidP="007F3AA0">
      <w:pPr>
        <w:numPr>
          <w:ilvl w:val="0"/>
          <w:numId w:val="74"/>
        </w:numPr>
        <w:spacing w:after="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V odločbi</w:t>
      </w:r>
      <w:r w:rsidR="007632EA">
        <w:rPr>
          <w:rFonts w:eastAsia="Aptos" w:cs="Arial"/>
          <w:color w:val="000000"/>
          <w:kern w:val="2"/>
          <w:szCs w:val="20"/>
          <w14:ligatures w14:val="standardContextual"/>
        </w:rPr>
        <w:t xml:space="preserve"> o dodelitvi spodbude se</w:t>
      </w:r>
      <w:r w:rsidRPr="00BE5832">
        <w:rPr>
          <w:rFonts w:eastAsia="Aptos" w:cs="Arial"/>
          <w:color w:val="000000"/>
          <w:kern w:val="2"/>
          <w:szCs w:val="20"/>
          <w14:ligatures w14:val="standardContextual"/>
        </w:rPr>
        <w:t xml:space="preserve"> določi</w:t>
      </w:r>
      <w:r w:rsidR="00201DBA">
        <w:rPr>
          <w:rFonts w:eastAsia="Aptos" w:cs="Arial"/>
          <w:color w:val="000000"/>
          <w:kern w:val="2"/>
          <w:szCs w:val="20"/>
          <w14:ligatures w14:val="standardContextual"/>
        </w:rPr>
        <w:t>jo</w:t>
      </w:r>
      <w:r w:rsidR="007632EA">
        <w:rPr>
          <w:rFonts w:eastAsia="Aptos" w:cs="Arial"/>
          <w:color w:val="000000"/>
          <w:kern w:val="2"/>
          <w:szCs w:val="20"/>
          <w14:ligatures w14:val="standardContextual"/>
        </w:rPr>
        <w:t>:</w:t>
      </w:r>
    </w:p>
    <w:p w14:paraId="66309081" w14:textId="1DCF2BD7" w:rsidR="007632EA" w:rsidRDefault="00201DBA" w:rsidP="007632EA">
      <w:pPr>
        <w:spacing w:after="0" w:line="259" w:lineRule="auto"/>
        <w:ind w:left="709"/>
        <w:contextualSpacing/>
        <w:rPr>
          <w:rFonts w:eastAsia="Aptos" w:cs="Arial"/>
          <w:color w:val="000000"/>
          <w:kern w:val="2"/>
          <w:szCs w:val="20"/>
          <w14:ligatures w14:val="standardContextual"/>
        </w:rPr>
      </w:pPr>
      <w:r>
        <w:rPr>
          <w:rFonts w:eastAsia="Aptos" w:cs="Arial"/>
          <w:color w:val="000000"/>
          <w:szCs w:val="20"/>
        </w:rPr>
        <w:t>–</w:t>
      </w:r>
      <w:r w:rsidR="00BE5832" w:rsidRPr="00BE5832">
        <w:rPr>
          <w:rFonts w:eastAsia="Aptos" w:cs="Arial"/>
          <w:color w:val="000000"/>
          <w:kern w:val="2"/>
          <w:szCs w:val="20"/>
          <w14:ligatures w14:val="standardContextual"/>
        </w:rPr>
        <w:t xml:space="preserve"> največja letna višina spodbude, do katere je upravičenec upravičen,</w:t>
      </w:r>
    </w:p>
    <w:p w14:paraId="5CB97082" w14:textId="44F8F9A7" w:rsidR="007632EA" w:rsidRDefault="00201DBA" w:rsidP="007632EA">
      <w:pPr>
        <w:spacing w:after="0" w:line="259" w:lineRule="auto"/>
        <w:ind w:left="709"/>
        <w:contextualSpacing/>
        <w:rPr>
          <w:rFonts w:eastAsia="Aptos" w:cs="Arial"/>
          <w:color w:val="000000"/>
          <w:kern w:val="2"/>
          <w:szCs w:val="20"/>
          <w14:ligatures w14:val="standardContextual"/>
        </w:rPr>
      </w:pPr>
      <w:r>
        <w:rPr>
          <w:rFonts w:eastAsia="Aptos" w:cs="Arial"/>
          <w:color w:val="000000"/>
          <w:szCs w:val="20"/>
        </w:rPr>
        <w:t>–</w:t>
      </w:r>
      <w:r w:rsidR="00BE5832" w:rsidRPr="00BE5832">
        <w:rPr>
          <w:rFonts w:eastAsia="Aptos" w:cs="Arial"/>
          <w:color w:val="000000"/>
          <w:kern w:val="2"/>
          <w:szCs w:val="20"/>
          <w14:ligatures w14:val="standardContextual"/>
        </w:rPr>
        <w:t xml:space="preserve"> znesek in rok</w:t>
      </w:r>
      <w:r>
        <w:rPr>
          <w:rFonts w:eastAsia="Aptos" w:cs="Arial"/>
          <w:color w:val="000000"/>
          <w:kern w:val="2"/>
          <w:szCs w:val="20"/>
          <w14:ligatures w14:val="standardContextual"/>
        </w:rPr>
        <w:t>i</w:t>
      </w:r>
      <w:r w:rsidR="00BE5832" w:rsidRPr="00BE5832">
        <w:rPr>
          <w:rFonts w:eastAsia="Aptos" w:cs="Arial"/>
          <w:color w:val="000000"/>
          <w:kern w:val="2"/>
          <w:szCs w:val="20"/>
          <w14:ligatures w14:val="standardContextual"/>
        </w:rPr>
        <w:t xml:space="preserve"> izplačila akontacij, </w:t>
      </w:r>
    </w:p>
    <w:p w14:paraId="0534EED2" w14:textId="016B95CD" w:rsidR="007632EA" w:rsidRDefault="00201DBA" w:rsidP="007632EA">
      <w:pPr>
        <w:spacing w:after="0" w:line="259" w:lineRule="auto"/>
        <w:ind w:left="709"/>
        <w:contextualSpacing/>
        <w:rPr>
          <w:rFonts w:eastAsia="Aptos" w:cs="Arial"/>
          <w:color w:val="000000"/>
          <w:kern w:val="2"/>
          <w:szCs w:val="20"/>
          <w14:ligatures w14:val="standardContextual"/>
        </w:rPr>
      </w:pPr>
      <w:r>
        <w:rPr>
          <w:rFonts w:eastAsia="Aptos" w:cs="Arial"/>
          <w:color w:val="000000"/>
          <w:szCs w:val="20"/>
        </w:rPr>
        <w:t>–</w:t>
      </w:r>
      <w:r w:rsidR="007632EA">
        <w:rPr>
          <w:rFonts w:eastAsia="Aptos" w:cs="Arial"/>
          <w:color w:val="000000"/>
          <w:kern w:val="2"/>
          <w:szCs w:val="20"/>
          <w14:ligatures w14:val="standardContextual"/>
        </w:rPr>
        <w:t xml:space="preserve"> </w:t>
      </w:r>
      <w:r w:rsidR="00BE5832" w:rsidRPr="00BE5832">
        <w:rPr>
          <w:rFonts w:eastAsia="Aptos" w:cs="Arial"/>
          <w:color w:val="000000"/>
          <w:kern w:val="2"/>
          <w:szCs w:val="20"/>
          <w14:ligatures w14:val="standardContextual"/>
        </w:rPr>
        <w:t xml:space="preserve">način poračuna, </w:t>
      </w:r>
    </w:p>
    <w:p w14:paraId="534CC5A7" w14:textId="4BCE9576" w:rsidR="007632EA" w:rsidRDefault="00201DBA" w:rsidP="007632EA">
      <w:pPr>
        <w:spacing w:after="0" w:line="259" w:lineRule="auto"/>
        <w:ind w:left="709"/>
        <w:contextualSpacing/>
        <w:rPr>
          <w:rFonts w:eastAsia="Aptos" w:cs="Arial"/>
          <w:color w:val="000000"/>
          <w:kern w:val="2"/>
          <w:szCs w:val="20"/>
          <w14:ligatures w14:val="standardContextual"/>
        </w:rPr>
      </w:pPr>
      <w:r>
        <w:rPr>
          <w:rFonts w:eastAsia="Aptos" w:cs="Arial"/>
          <w:color w:val="000000"/>
          <w:szCs w:val="20"/>
        </w:rPr>
        <w:t>–</w:t>
      </w:r>
      <w:r w:rsidR="007632EA">
        <w:rPr>
          <w:rFonts w:eastAsia="Aptos" w:cs="Arial"/>
          <w:color w:val="000000"/>
          <w:kern w:val="2"/>
          <w:szCs w:val="20"/>
          <w14:ligatures w14:val="standardContextual"/>
        </w:rPr>
        <w:t xml:space="preserve"> </w:t>
      </w:r>
      <w:r w:rsidR="00BE5832" w:rsidRPr="00BE5832">
        <w:rPr>
          <w:rFonts w:eastAsia="Aptos" w:cs="Arial"/>
          <w:color w:val="000000"/>
          <w:kern w:val="2"/>
          <w:szCs w:val="20"/>
          <w14:ligatures w14:val="standardContextual"/>
        </w:rPr>
        <w:t>naložb</w:t>
      </w:r>
      <w:r>
        <w:rPr>
          <w:rFonts w:eastAsia="Aptos" w:cs="Arial"/>
          <w:color w:val="000000"/>
          <w:kern w:val="2"/>
          <w:szCs w:val="20"/>
          <w14:ligatures w14:val="standardContextual"/>
        </w:rPr>
        <w:t>e</w:t>
      </w:r>
      <w:r w:rsidR="00BE5832" w:rsidRPr="00BE5832">
        <w:rPr>
          <w:rFonts w:eastAsia="Aptos" w:cs="Arial"/>
          <w:color w:val="000000"/>
          <w:kern w:val="2"/>
          <w:szCs w:val="20"/>
          <w14:ligatures w14:val="standardContextual"/>
        </w:rPr>
        <w:t xml:space="preserve"> iz načrta in rok</w:t>
      </w:r>
      <w:r>
        <w:rPr>
          <w:rFonts w:eastAsia="Aptos" w:cs="Arial"/>
          <w:color w:val="000000"/>
          <w:kern w:val="2"/>
          <w:szCs w:val="20"/>
          <w14:ligatures w14:val="standardContextual"/>
        </w:rPr>
        <w:t>i</w:t>
      </w:r>
      <w:r w:rsidR="00BE5832" w:rsidRPr="00BE5832">
        <w:rPr>
          <w:rFonts w:eastAsia="Aptos" w:cs="Arial"/>
          <w:color w:val="000000"/>
          <w:kern w:val="2"/>
          <w:szCs w:val="20"/>
          <w14:ligatures w14:val="standardContextual"/>
        </w:rPr>
        <w:t xml:space="preserve"> </w:t>
      </w:r>
      <w:r w:rsidR="007632EA">
        <w:rPr>
          <w:rFonts w:eastAsia="Aptos" w:cs="Arial"/>
          <w:color w:val="000000"/>
          <w:kern w:val="2"/>
          <w:szCs w:val="20"/>
          <w14:ligatures w14:val="standardContextual"/>
        </w:rPr>
        <w:t>za začetek izvedbe naložbe</w:t>
      </w:r>
      <w:r>
        <w:rPr>
          <w:rFonts w:eastAsia="Aptos" w:cs="Arial"/>
          <w:color w:val="000000"/>
          <w:kern w:val="2"/>
          <w:szCs w:val="20"/>
          <w14:ligatures w14:val="standardContextual"/>
        </w:rPr>
        <w:t>,</w:t>
      </w:r>
      <w:r w:rsidR="00BE5832" w:rsidRPr="00BE5832">
        <w:rPr>
          <w:rFonts w:eastAsia="Aptos" w:cs="Arial"/>
          <w:color w:val="000000"/>
          <w:kern w:val="2"/>
          <w:szCs w:val="20"/>
          <w14:ligatures w14:val="standardContextual"/>
        </w:rPr>
        <w:t xml:space="preserve"> </w:t>
      </w:r>
    </w:p>
    <w:p w14:paraId="6C0261F0" w14:textId="319D96B0" w:rsidR="007632EA" w:rsidRDefault="00201DBA" w:rsidP="007632EA">
      <w:pPr>
        <w:spacing w:after="0" w:line="259" w:lineRule="auto"/>
        <w:ind w:left="709"/>
        <w:contextualSpacing/>
        <w:rPr>
          <w:rFonts w:eastAsia="Aptos" w:cs="Arial"/>
          <w:color w:val="000000"/>
          <w:kern w:val="2"/>
          <w:szCs w:val="20"/>
          <w14:ligatures w14:val="standardContextual"/>
        </w:rPr>
      </w:pPr>
      <w:r>
        <w:rPr>
          <w:rFonts w:eastAsia="Aptos" w:cs="Arial"/>
          <w:color w:val="000000"/>
          <w:szCs w:val="20"/>
        </w:rPr>
        <w:t>–</w:t>
      </w:r>
      <w:r w:rsidR="007632EA">
        <w:rPr>
          <w:rFonts w:eastAsia="Aptos" w:cs="Arial"/>
          <w:color w:val="000000"/>
          <w:kern w:val="2"/>
          <w:szCs w:val="20"/>
          <w14:ligatures w14:val="standardContextual"/>
        </w:rPr>
        <w:t xml:space="preserve"> pogoj</w:t>
      </w:r>
      <w:r>
        <w:rPr>
          <w:rFonts w:eastAsia="Aptos" w:cs="Arial"/>
          <w:color w:val="000000"/>
          <w:kern w:val="2"/>
          <w:szCs w:val="20"/>
          <w14:ligatures w14:val="standardContextual"/>
        </w:rPr>
        <w:t>i</w:t>
      </w:r>
      <w:r w:rsidR="007632EA">
        <w:rPr>
          <w:rFonts w:eastAsia="Aptos" w:cs="Arial"/>
          <w:color w:val="000000"/>
          <w:kern w:val="2"/>
          <w:szCs w:val="20"/>
          <w14:ligatures w14:val="standardContextual"/>
        </w:rPr>
        <w:t>, ki morajo biti izpolnjeni za izplačilo spodbude,</w:t>
      </w:r>
    </w:p>
    <w:p w14:paraId="500CD6FE" w14:textId="05AA9936" w:rsidR="007632EA" w:rsidRDefault="00201DBA" w:rsidP="007632EA">
      <w:pPr>
        <w:spacing w:after="0" w:line="259" w:lineRule="auto"/>
        <w:ind w:left="709"/>
        <w:contextualSpacing/>
        <w:rPr>
          <w:rFonts w:eastAsia="Aptos" w:cs="Arial"/>
          <w:color w:val="000000"/>
          <w:kern w:val="2"/>
          <w:szCs w:val="20"/>
          <w14:ligatures w14:val="standardContextual"/>
        </w:rPr>
      </w:pPr>
      <w:r>
        <w:rPr>
          <w:rFonts w:eastAsia="Aptos" w:cs="Arial"/>
          <w:color w:val="000000"/>
          <w:szCs w:val="20"/>
        </w:rPr>
        <w:t>–</w:t>
      </w:r>
      <w:r w:rsidR="007632EA">
        <w:rPr>
          <w:rFonts w:eastAsia="Aptos" w:cs="Arial"/>
          <w:color w:val="000000"/>
          <w:kern w:val="2"/>
          <w:szCs w:val="20"/>
          <w14:ligatures w14:val="standardContextual"/>
        </w:rPr>
        <w:t xml:space="preserve"> </w:t>
      </w:r>
      <w:r w:rsidR="00BE5832" w:rsidRPr="00BE5832">
        <w:rPr>
          <w:rFonts w:eastAsia="Aptos" w:cs="Arial"/>
          <w:color w:val="000000"/>
          <w:kern w:val="2"/>
          <w:szCs w:val="20"/>
          <w14:ligatures w14:val="standardContextual"/>
        </w:rPr>
        <w:t>posledice, če spodbuda ni uporabljena za upravičene naložbe</w:t>
      </w:r>
      <w:r>
        <w:rPr>
          <w:rFonts w:eastAsia="Aptos" w:cs="Arial"/>
          <w:color w:val="000000"/>
          <w:kern w:val="2"/>
          <w:szCs w:val="20"/>
          <w14:ligatures w14:val="standardContextual"/>
        </w:rPr>
        <w:t>,</w:t>
      </w:r>
      <w:r w:rsidR="007632EA">
        <w:rPr>
          <w:rFonts w:eastAsia="Aptos" w:cs="Arial"/>
          <w:color w:val="000000"/>
          <w:kern w:val="2"/>
          <w:szCs w:val="20"/>
          <w14:ligatures w14:val="standardContextual"/>
        </w:rPr>
        <w:t xml:space="preserve"> in</w:t>
      </w:r>
    </w:p>
    <w:p w14:paraId="444DAFE7" w14:textId="3F2AEDAA" w:rsidR="00BE5832" w:rsidRPr="00BE5832" w:rsidRDefault="00201DBA" w:rsidP="007632EA">
      <w:pPr>
        <w:spacing w:after="0" w:line="259" w:lineRule="auto"/>
        <w:ind w:left="709"/>
        <w:contextualSpacing/>
        <w:rPr>
          <w:rFonts w:eastAsia="Aptos" w:cs="Arial"/>
          <w:color w:val="000000"/>
          <w:kern w:val="2"/>
          <w:szCs w:val="20"/>
          <w14:ligatures w14:val="standardContextual"/>
        </w:rPr>
      </w:pPr>
      <w:r>
        <w:rPr>
          <w:rFonts w:eastAsia="Aptos" w:cs="Arial"/>
          <w:color w:val="000000"/>
          <w:szCs w:val="20"/>
        </w:rPr>
        <w:t>–</w:t>
      </w:r>
      <w:r w:rsidR="00BE5832" w:rsidRPr="00BE5832">
        <w:rPr>
          <w:rFonts w:eastAsia="Aptos" w:cs="Arial"/>
          <w:color w:val="000000"/>
          <w:kern w:val="2"/>
          <w:szCs w:val="20"/>
          <w14:ligatures w14:val="standardContextual"/>
        </w:rPr>
        <w:t xml:space="preserve"> sankcije </w:t>
      </w:r>
      <w:r>
        <w:rPr>
          <w:rFonts w:eastAsia="Aptos" w:cs="Arial"/>
          <w:color w:val="000000"/>
          <w:kern w:val="2"/>
          <w:szCs w:val="20"/>
          <w14:ligatures w14:val="standardContextual"/>
        </w:rPr>
        <w:t>za</w:t>
      </w:r>
      <w:r w:rsidR="00BE5832" w:rsidRPr="00BE5832">
        <w:rPr>
          <w:rFonts w:eastAsia="Aptos" w:cs="Arial"/>
          <w:color w:val="000000"/>
          <w:kern w:val="2"/>
          <w:szCs w:val="20"/>
          <w14:ligatures w14:val="standardContextual"/>
        </w:rPr>
        <w:t xml:space="preserve"> neizpolnjevanj</w:t>
      </w:r>
      <w:r>
        <w:rPr>
          <w:rFonts w:eastAsia="Aptos" w:cs="Arial"/>
          <w:color w:val="000000"/>
          <w:kern w:val="2"/>
          <w:szCs w:val="20"/>
          <w14:ligatures w14:val="standardContextual"/>
        </w:rPr>
        <w:t>e</w:t>
      </w:r>
      <w:r w:rsidR="00BE5832" w:rsidRPr="00BE5832">
        <w:rPr>
          <w:rFonts w:eastAsia="Aptos" w:cs="Arial"/>
          <w:color w:val="000000"/>
          <w:kern w:val="2"/>
          <w:szCs w:val="20"/>
          <w14:ligatures w14:val="standardContextual"/>
        </w:rPr>
        <w:t xml:space="preserve"> obveznosti.</w:t>
      </w:r>
    </w:p>
    <w:p w14:paraId="736204C3" w14:textId="77777777" w:rsidR="00BE5832" w:rsidRPr="00BE5832" w:rsidRDefault="00BE5832" w:rsidP="007F3AA0">
      <w:pPr>
        <w:spacing w:after="0" w:line="259" w:lineRule="auto"/>
        <w:ind w:left="720"/>
        <w:contextualSpacing/>
        <w:rPr>
          <w:rFonts w:eastAsia="Aptos" w:cs="Arial"/>
          <w:color w:val="000000"/>
          <w:kern w:val="2"/>
          <w:szCs w:val="20"/>
          <w14:ligatures w14:val="standardContextual"/>
        </w:rPr>
      </w:pPr>
    </w:p>
    <w:p w14:paraId="125D907F" w14:textId="7DEB439A" w:rsidR="00BE5832" w:rsidRPr="00BE5832" w:rsidRDefault="00BE5832" w:rsidP="007F3AA0">
      <w:pPr>
        <w:numPr>
          <w:ilvl w:val="0"/>
          <w:numId w:val="74"/>
        </w:numPr>
        <w:spacing w:after="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Operater trga</w:t>
      </w:r>
      <w:r w:rsidR="00ED6ED4">
        <w:rPr>
          <w:rFonts w:eastAsia="Aptos" w:cs="Arial"/>
          <w:color w:val="000000"/>
          <w:kern w:val="2"/>
          <w:szCs w:val="20"/>
          <w14:ligatures w14:val="standardContextual"/>
        </w:rPr>
        <w:t xml:space="preserve"> dodeljeno</w:t>
      </w:r>
      <w:r w:rsidRPr="00BE5832">
        <w:rPr>
          <w:rFonts w:eastAsia="Aptos" w:cs="Arial"/>
          <w:color w:val="000000"/>
          <w:kern w:val="2"/>
          <w:szCs w:val="20"/>
          <w14:ligatures w14:val="standardContextual"/>
        </w:rPr>
        <w:t xml:space="preserve"> spodbudo v obliki akontacije za posamezno leto izplača v dveh enakih obrokih, in sicer prvega naj</w:t>
      </w:r>
      <w:r w:rsidR="005D374F">
        <w:rPr>
          <w:rFonts w:eastAsia="Aptos" w:cs="Arial"/>
          <w:color w:val="000000"/>
          <w:kern w:val="2"/>
          <w:szCs w:val="20"/>
          <w14:ligatures w14:val="standardContextual"/>
        </w:rPr>
        <w:t>pozneje</w:t>
      </w:r>
      <w:r w:rsidRPr="00BE5832">
        <w:rPr>
          <w:rFonts w:eastAsia="Aptos" w:cs="Arial"/>
          <w:color w:val="000000"/>
          <w:kern w:val="2"/>
          <w:szCs w:val="20"/>
          <w14:ligatures w14:val="standardContextual"/>
        </w:rPr>
        <w:t xml:space="preserve"> do 30. </w:t>
      </w:r>
      <w:r w:rsidR="00C9058D">
        <w:rPr>
          <w:rFonts w:eastAsia="Aptos" w:cs="Arial"/>
          <w:color w:val="000000"/>
          <w:kern w:val="2"/>
          <w:szCs w:val="20"/>
          <w14:ligatures w14:val="standardContextual"/>
        </w:rPr>
        <w:t>junija</w:t>
      </w:r>
      <w:r w:rsidRPr="00BE5832">
        <w:rPr>
          <w:rFonts w:eastAsia="Aptos" w:cs="Arial"/>
          <w:color w:val="000000"/>
          <w:kern w:val="2"/>
          <w:szCs w:val="20"/>
          <w14:ligatures w14:val="standardContextual"/>
        </w:rPr>
        <w:t xml:space="preserve"> in drugega do 30. novembra. </w:t>
      </w:r>
    </w:p>
    <w:p w14:paraId="2A7D2218" w14:textId="77777777" w:rsidR="00BE5832" w:rsidRPr="00BE5832" w:rsidRDefault="00BE5832" w:rsidP="007F3AA0">
      <w:pPr>
        <w:spacing w:after="160" w:line="259" w:lineRule="auto"/>
        <w:ind w:left="720"/>
        <w:contextualSpacing/>
        <w:rPr>
          <w:rFonts w:eastAsia="Aptos" w:cs="Arial"/>
          <w:color w:val="000000"/>
          <w:kern w:val="2"/>
          <w:szCs w:val="20"/>
          <w14:ligatures w14:val="standardContextual"/>
        </w:rPr>
      </w:pPr>
    </w:p>
    <w:p w14:paraId="1D91B0E9" w14:textId="2EBD044E" w:rsidR="00BE5832" w:rsidRPr="00BE5832" w:rsidRDefault="00BE5832" w:rsidP="007F3AA0">
      <w:pPr>
        <w:numPr>
          <w:ilvl w:val="0"/>
          <w:numId w:val="74"/>
        </w:numPr>
        <w:spacing w:after="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Operater trga na podlagi poročila iz 1</w:t>
      </w:r>
      <w:r w:rsidR="00154925">
        <w:rPr>
          <w:rFonts w:eastAsia="Aptos" w:cs="Arial"/>
          <w:color w:val="000000"/>
          <w:kern w:val="2"/>
          <w:szCs w:val="20"/>
          <w14:ligatures w14:val="standardContextual"/>
        </w:rPr>
        <w:t>3</w:t>
      </w:r>
      <w:r w:rsidRPr="00BE5832">
        <w:rPr>
          <w:rFonts w:eastAsia="Aptos" w:cs="Arial"/>
          <w:color w:val="000000"/>
          <w:kern w:val="2"/>
          <w:szCs w:val="20"/>
          <w14:ligatures w14:val="standardContextual"/>
        </w:rPr>
        <w:t>. člena tega zakona do 30. aprila</w:t>
      </w:r>
      <w:r w:rsidR="00ED6ED4">
        <w:rPr>
          <w:rFonts w:eastAsia="Aptos" w:cs="Arial"/>
          <w:color w:val="000000"/>
          <w:kern w:val="2"/>
          <w:szCs w:val="20"/>
          <w14:ligatures w14:val="standardContextual"/>
        </w:rPr>
        <w:t xml:space="preserve"> naslednjega leta s sklepom</w:t>
      </w:r>
      <w:r w:rsidRPr="00BE5832">
        <w:rPr>
          <w:rFonts w:eastAsia="Aptos" w:cs="Arial"/>
          <w:color w:val="000000"/>
          <w:kern w:val="2"/>
          <w:szCs w:val="20"/>
          <w14:ligatures w14:val="standardContextual"/>
        </w:rPr>
        <w:t xml:space="preserve"> izvede poračun za pre</w:t>
      </w:r>
      <w:r w:rsidR="00244DAE">
        <w:rPr>
          <w:rFonts w:eastAsia="Aptos" w:cs="Arial"/>
          <w:color w:val="000000"/>
          <w:kern w:val="2"/>
          <w:szCs w:val="20"/>
          <w14:ligatures w14:val="standardContextual"/>
        </w:rPr>
        <w:t>dhodno</w:t>
      </w:r>
      <w:r w:rsidRPr="00BE5832">
        <w:rPr>
          <w:rFonts w:eastAsia="Aptos" w:cs="Arial"/>
          <w:color w:val="000000"/>
          <w:kern w:val="2"/>
          <w:szCs w:val="20"/>
          <w14:ligatures w14:val="standardContextual"/>
        </w:rPr>
        <w:t xml:space="preserve"> leto. </w:t>
      </w:r>
      <w:r w:rsidR="006A3A44">
        <w:rPr>
          <w:rFonts w:eastAsia="Aptos" w:cs="Arial"/>
          <w:color w:val="000000"/>
          <w:kern w:val="2"/>
          <w:szCs w:val="20"/>
          <w14:ligatures w14:val="standardContextual"/>
        </w:rPr>
        <w:t>Višina spodbude na podlagi sklepa o poračunu ne more biti v</w:t>
      </w:r>
      <w:r w:rsidR="009F06B8">
        <w:rPr>
          <w:rFonts w:eastAsia="Aptos" w:cs="Arial"/>
          <w:color w:val="000000"/>
          <w:kern w:val="2"/>
          <w:szCs w:val="20"/>
          <w14:ligatures w14:val="standardContextual"/>
        </w:rPr>
        <w:t>ečja od</w:t>
      </w:r>
      <w:r w:rsidR="006A3A44">
        <w:rPr>
          <w:rFonts w:eastAsia="Aptos" w:cs="Arial"/>
          <w:color w:val="000000"/>
          <w:kern w:val="2"/>
          <w:szCs w:val="20"/>
          <w14:ligatures w14:val="standardContextual"/>
        </w:rPr>
        <w:t xml:space="preserve"> višin</w:t>
      </w:r>
      <w:r w:rsidR="009F06B8">
        <w:rPr>
          <w:rFonts w:eastAsia="Aptos" w:cs="Arial"/>
          <w:color w:val="000000"/>
          <w:kern w:val="2"/>
          <w:szCs w:val="20"/>
          <w14:ligatures w14:val="standardContextual"/>
        </w:rPr>
        <w:t>e</w:t>
      </w:r>
      <w:r w:rsidR="006A3A44">
        <w:rPr>
          <w:rFonts w:eastAsia="Aptos" w:cs="Arial"/>
          <w:color w:val="000000"/>
          <w:kern w:val="2"/>
          <w:szCs w:val="20"/>
          <w14:ligatures w14:val="standardContextual"/>
        </w:rPr>
        <w:t>, določen</w:t>
      </w:r>
      <w:r w:rsidR="009F06B8">
        <w:rPr>
          <w:rFonts w:eastAsia="Aptos" w:cs="Arial"/>
          <w:color w:val="000000"/>
          <w:kern w:val="2"/>
          <w:szCs w:val="20"/>
          <w14:ligatures w14:val="standardContextual"/>
        </w:rPr>
        <w:t>e</w:t>
      </w:r>
      <w:r w:rsidR="006A3A44">
        <w:rPr>
          <w:rFonts w:eastAsia="Aptos" w:cs="Arial"/>
          <w:color w:val="000000"/>
          <w:kern w:val="2"/>
          <w:szCs w:val="20"/>
          <w14:ligatures w14:val="standardContextual"/>
        </w:rPr>
        <w:t xml:space="preserve"> v odločbi iz tretjega odstavka tega člena.</w:t>
      </w:r>
    </w:p>
    <w:p w14:paraId="793CAB57" w14:textId="77777777" w:rsidR="00BE5832" w:rsidRPr="00BE5832" w:rsidRDefault="00BE5832" w:rsidP="007F3AA0">
      <w:pPr>
        <w:spacing w:after="0" w:line="259" w:lineRule="auto"/>
        <w:rPr>
          <w:rFonts w:eastAsia="Aptos" w:cs="Arial"/>
          <w:color w:val="000000"/>
          <w:kern w:val="2"/>
          <w:szCs w:val="20"/>
          <w14:ligatures w14:val="standardContextual"/>
        </w:rPr>
      </w:pPr>
    </w:p>
    <w:p w14:paraId="27861A80" w14:textId="775429DD" w:rsidR="00BE5832" w:rsidRPr="00BE5832" w:rsidRDefault="00BE5832" w:rsidP="007F3AA0">
      <w:pPr>
        <w:numPr>
          <w:ilvl w:val="0"/>
          <w:numId w:val="74"/>
        </w:numPr>
        <w:spacing w:after="16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 xml:space="preserve">Zoper odločbo o dodelitvi spodbude </w:t>
      </w:r>
      <w:r w:rsidR="009F06B8">
        <w:rPr>
          <w:rFonts w:eastAsia="Aptos" w:cs="Arial"/>
          <w:color w:val="000000"/>
          <w:kern w:val="2"/>
          <w:szCs w:val="20"/>
          <w14:ligatures w14:val="standardContextual"/>
        </w:rPr>
        <w:t>in</w:t>
      </w:r>
      <w:r w:rsidRPr="00BE5832">
        <w:rPr>
          <w:rFonts w:eastAsia="Aptos" w:cs="Arial"/>
          <w:color w:val="000000"/>
          <w:kern w:val="2"/>
          <w:szCs w:val="20"/>
          <w14:ligatures w14:val="standardContextual"/>
        </w:rPr>
        <w:t xml:space="preserve"> zoper sklepe, ki </w:t>
      </w:r>
      <w:r w:rsidR="00795E76">
        <w:rPr>
          <w:rFonts w:eastAsia="Aptos" w:cs="Arial"/>
          <w:color w:val="000000"/>
          <w:kern w:val="2"/>
          <w:szCs w:val="20"/>
          <w14:ligatures w14:val="standardContextual"/>
        </w:rPr>
        <w:t>j</w:t>
      </w:r>
      <w:r w:rsidR="009F06B8">
        <w:rPr>
          <w:rFonts w:eastAsia="Aptos" w:cs="Arial"/>
          <w:color w:val="000000"/>
          <w:kern w:val="2"/>
          <w:szCs w:val="20"/>
          <w14:ligatures w14:val="standardContextual"/>
        </w:rPr>
        <w:t>ih</w:t>
      </w:r>
      <w:r w:rsidR="00795E76">
        <w:rPr>
          <w:rFonts w:eastAsia="Aptos" w:cs="Arial"/>
          <w:color w:val="000000"/>
          <w:kern w:val="2"/>
          <w:szCs w:val="20"/>
          <w14:ligatures w14:val="standardContextual"/>
        </w:rPr>
        <w:t xml:space="preserve"> </w:t>
      </w:r>
      <w:r w:rsidRPr="00BE5832">
        <w:rPr>
          <w:rFonts w:eastAsia="Aptos" w:cs="Arial"/>
          <w:color w:val="000000"/>
          <w:kern w:val="2"/>
          <w:szCs w:val="20"/>
          <w14:ligatures w14:val="standardContextual"/>
        </w:rPr>
        <w:t>izda operater trga na podlagi tega zakona,</w:t>
      </w:r>
      <w:r w:rsidR="00483C4C">
        <w:rPr>
          <w:rFonts w:eastAsia="Aptos" w:cs="Arial"/>
          <w:color w:val="000000"/>
          <w:kern w:val="2"/>
          <w:szCs w:val="20"/>
          <w14:ligatures w14:val="standardContextual"/>
        </w:rPr>
        <w:t xml:space="preserve"> ni pritožbe.</w:t>
      </w:r>
      <w:r w:rsidRPr="00BE5832">
        <w:rPr>
          <w:rFonts w:eastAsia="Aptos" w:cs="Arial"/>
          <w:color w:val="000000"/>
          <w:kern w:val="2"/>
          <w:szCs w:val="20"/>
          <w14:ligatures w14:val="standardContextual"/>
        </w:rPr>
        <w:t xml:space="preserve"> </w:t>
      </w:r>
    </w:p>
    <w:p w14:paraId="5EB35792" w14:textId="77777777" w:rsidR="00BE5832" w:rsidRPr="00BE5832" w:rsidRDefault="00BE5832" w:rsidP="00BE5832">
      <w:pPr>
        <w:spacing w:after="160" w:line="259" w:lineRule="auto"/>
        <w:ind w:left="720"/>
        <w:contextualSpacing/>
        <w:jc w:val="left"/>
        <w:rPr>
          <w:rFonts w:eastAsia="Aptos" w:cs="Arial"/>
          <w:color w:val="000000"/>
          <w:kern w:val="2"/>
          <w:szCs w:val="20"/>
          <w14:ligatures w14:val="standardContextual"/>
        </w:rPr>
      </w:pPr>
    </w:p>
    <w:p w14:paraId="21336949" w14:textId="77777777" w:rsidR="00BE5832" w:rsidRPr="00BE5832" w:rsidRDefault="00BE5832" w:rsidP="00BE5832">
      <w:pPr>
        <w:spacing w:after="160" w:line="259" w:lineRule="auto"/>
        <w:ind w:left="720"/>
        <w:contextualSpacing/>
        <w:rPr>
          <w:rFonts w:eastAsia="Aptos" w:cs="Arial"/>
          <w:color w:val="000000"/>
          <w:kern w:val="2"/>
          <w:szCs w:val="20"/>
          <w14:ligatures w14:val="standardContextual"/>
        </w:rPr>
      </w:pPr>
    </w:p>
    <w:p w14:paraId="4C5AE8EA" w14:textId="3F6A307A" w:rsidR="00BE5832" w:rsidRPr="007C39D0" w:rsidRDefault="00BE5832" w:rsidP="007C39D0">
      <w:pPr>
        <w:keepNext/>
        <w:keepLines/>
        <w:numPr>
          <w:ilvl w:val="0"/>
          <w:numId w:val="70"/>
        </w:numPr>
        <w:spacing w:before="160" w:after="80" w:line="259" w:lineRule="auto"/>
        <w:jc w:val="center"/>
        <w:outlineLvl w:val="1"/>
        <w:rPr>
          <w:rFonts w:eastAsia="Times New Roman" w:cs="Arial"/>
          <w:color w:val="000000"/>
          <w:kern w:val="2"/>
          <w:szCs w:val="20"/>
          <w14:ligatures w14:val="standardContextual"/>
        </w:rPr>
      </w:pPr>
      <w:r w:rsidRPr="007C39D0">
        <w:rPr>
          <w:rFonts w:eastAsia="Times New Roman" w:cs="Arial"/>
          <w:color w:val="000000"/>
          <w:kern w:val="2"/>
          <w:szCs w:val="20"/>
          <w14:ligatures w14:val="standardContextual"/>
        </w:rPr>
        <w:t xml:space="preserve"> člen</w:t>
      </w:r>
    </w:p>
    <w:p w14:paraId="56A63937" w14:textId="2FFF7710" w:rsidR="00BE5832" w:rsidRPr="00BE5832" w:rsidRDefault="00BE5832" w:rsidP="00BE5832">
      <w:pPr>
        <w:spacing w:after="160" w:line="259" w:lineRule="auto"/>
        <w:jc w:val="center"/>
        <w:rPr>
          <w:rFonts w:eastAsia="Aptos" w:cs="Arial"/>
          <w:color w:val="000000"/>
          <w:kern w:val="2"/>
          <w:szCs w:val="20"/>
          <w14:ligatures w14:val="standardContextual"/>
        </w:rPr>
      </w:pPr>
      <w:r w:rsidRPr="00BE5832">
        <w:rPr>
          <w:rFonts w:eastAsia="Aptos" w:cs="Arial"/>
          <w:color w:val="000000"/>
          <w:kern w:val="2"/>
          <w:szCs w:val="20"/>
          <w14:ligatures w14:val="standardContextual"/>
        </w:rPr>
        <w:t xml:space="preserve">(sprememba okoliščin in </w:t>
      </w:r>
      <w:r w:rsidR="009F4BB3">
        <w:rPr>
          <w:rFonts w:eastAsia="Aptos" w:cs="Arial"/>
          <w:color w:val="000000"/>
          <w:kern w:val="2"/>
          <w:szCs w:val="20"/>
          <w14:ligatures w14:val="standardContextual"/>
        </w:rPr>
        <w:t xml:space="preserve">vrnitev </w:t>
      </w:r>
      <w:r w:rsidRPr="00BE5832">
        <w:rPr>
          <w:rFonts w:eastAsia="Aptos" w:cs="Arial"/>
          <w:color w:val="000000"/>
          <w:kern w:val="2"/>
          <w:szCs w:val="20"/>
          <w14:ligatures w14:val="standardContextual"/>
        </w:rPr>
        <w:t>neupravičen</w:t>
      </w:r>
      <w:r w:rsidR="009F4BB3">
        <w:rPr>
          <w:rFonts w:eastAsia="Aptos" w:cs="Arial"/>
          <w:color w:val="000000"/>
          <w:kern w:val="2"/>
          <w:szCs w:val="20"/>
          <w14:ligatures w14:val="standardContextual"/>
        </w:rPr>
        <w:t>e</w:t>
      </w:r>
      <w:r w:rsidRPr="00BE5832">
        <w:rPr>
          <w:rFonts w:eastAsia="Aptos" w:cs="Arial"/>
          <w:color w:val="000000"/>
          <w:kern w:val="2"/>
          <w:szCs w:val="20"/>
          <w14:ligatures w14:val="standardContextual"/>
        </w:rPr>
        <w:t xml:space="preserve"> spodbud</w:t>
      </w:r>
      <w:r w:rsidR="009F4BB3">
        <w:rPr>
          <w:rFonts w:eastAsia="Aptos" w:cs="Arial"/>
          <w:color w:val="000000"/>
          <w:kern w:val="2"/>
          <w:szCs w:val="20"/>
          <w14:ligatures w14:val="standardContextual"/>
        </w:rPr>
        <w:t>e</w:t>
      </w:r>
      <w:r w:rsidRPr="00BE5832">
        <w:rPr>
          <w:rFonts w:eastAsia="Aptos" w:cs="Arial"/>
          <w:color w:val="000000"/>
          <w:kern w:val="2"/>
          <w:szCs w:val="20"/>
          <w14:ligatures w14:val="standardContextual"/>
        </w:rPr>
        <w:t>)</w:t>
      </w:r>
    </w:p>
    <w:p w14:paraId="41EDD583" w14:textId="72D6EEF4" w:rsidR="00BE5832" w:rsidRDefault="009F4BB3" w:rsidP="007F3AA0">
      <w:pPr>
        <w:numPr>
          <w:ilvl w:val="0"/>
          <w:numId w:val="86"/>
        </w:numPr>
        <w:spacing w:after="160" w:line="259" w:lineRule="auto"/>
        <w:contextualSpacing/>
        <w:rPr>
          <w:rFonts w:eastAsia="Aptos" w:cs="Arial"/>
          <w:color w:val="000000"/>
          <w:kern w:val="2"/>
          <w:szCs w:val="20"/>
          <w14:ligatures w14:val="standardContextual"/>
        </w:rPr>
      </w:pPr>
      <w:r>
        <w:rPr>
          <w:rFonts w:eastAsia="Aptos" w:cs="Arial"/>
          <w:color w:val="000000"/>
          <w:kern w:val="2"/>
          <w:szCs w:val="20"/>
          <w14:ligatures w14:val="standardContextual"/>
        </w:rPr>
        <w:t>Upravičenec, ki mu je bila z odločbo dodeljena spodbuda (v nadaljnjem besedilu: prejemnik spodbude)</w:t>
      </w:r>
      <w:r w:rsidR="00F81548">
        <w:rPr>
          <w:rFonts w:eastAsia="Aptos" w:cs="Arial"/>
          <w:color w:val="000000"/>
          <w:kern w:val="2"/>
          <w:szCs w:val="20"/>
          <w14:ligatures w14:val="standardContextual"/>
        </w:rPr>
        <w:t>,</w:t>
      </w:r>
      <w:r w:rsidR="00BE5832" w:rsidRPr="00BE5832">
        <w:rPr>
          <w:rFonts w:eastAsia="Aptos" w:cs="Arial"/>
          <w:color w:val="000000"/>
          <w:kern w:val="2"/>
          <w:szCs w:val="20"/>
          <w14:ligatures w14:val="standardContextual"/>
        </w:rPr>
        <w:t xml:space="preserve"> sporoči operaterju trga vsa dejstva, ki nastanejo po izdaji odločbe o dodelitvi spodbude in vplivajo na upravičenost do spodbude, njeno višino ali čas prejemanja</w:t>
      </w:r>
      <w:r w:rsidR="009F06B8">
        <w:rPr>
          <w:rFonts w:eastAsia="Aptos" w:cs="Arial"/>
          <w:color w:val="000000"/>
          <w:kern w:val="2"/>
          <w:szCs w:val="20"/>
          <w14:ligatures w14:val="standardContextual"/>
        </w:rPr>
        <w:t>,</w:t>
      </w:r>
      <w:r w:rsidR="00BE5832" w:rsidRPr="00BE5832">
        <w:rPr>
          <w:rFonts w:eastAsia="Aptos" w:cs="Arial"/>
          <w:color w:val="000000"/>
          <w:kern w:val="2"/>
          <w:szCs w:val="20"/>
          <w14:ligatures w14:val="standardContextual"/>
        </w:rPr>
        <w:t xml:space="preserve"> v osmih dneh od dne</w:t>
      </w:r>
      <w:r w:rsidR="00F81548">
        <w:rPr>
          <w:rFonts w:eastAsia="Aptos" w:cs="Arial"/>
          <w:color w:val="000000"/>
          <w:kern w:val="2"/>
          <w:szCs w:val="20"/>
          <w14:ligatures w14:val="standardContextual"/>
        </w:rPr>
        <w:t>va</w:t>
      </w:r>
      <w:r w:rsidR="00BE5832" w:rsidRPr="00BE5832">
        <w:rPr>
          <w:rFonts w:eastAsia="Aptos" w:cs="Arial"/>
          <w:color w:val="000000"/>
          <w:kern w:val="2"/>
          <w:szCs w:val="20"/>
          <w14:ligatures w14:val="standardContextual"/>
        </w:rPr>
        <w:t>, ko je zanje izvedel.</w:t>
      </w:r>
    </w:p>
    <w:p w14:paraId="2CD4C99E" w14:textId="77777777" w:rsidR="007F3AA0" w:rsidRPr="00BE5832" w:rsidRDefault="007F3AA0" w:rsidP="007F3AA0">
      <w:pPr>
        <w:spacing w:after="160" w:line="259" w:lineRule="auto"/>
        <w:ind w:left="360"/>
        <w:contextualSpacing/>
        <w:rPr>
          <w:rFonts w:eastAsia="Aptos" w:cs="Arial"/>
          <w:color w:val="000000"/>
          <w:kern w:val="2"/>
          <w:szCs w:val="20"/>
          <w14:ligatures w14:val="standardContextual"/>
        </w:rPr>
      </w:pPr>
    </w:p>
    <w:p w14:paraId="5C24D6F5" w14:textId="77777777" w:rsidR="00BE5832" w:rsidRPr="00BE5832" w:rsidRDefault="00BE5832" w:rsidP="007F3AA0">
      <w:pPr>
        <w:spacing w:after="0" w:line="259" w:lineRule="auto"/>
        <w:rPr>
          <w:rFonts w:eastAsia="Aptos" w:cs="Arial"/>
          <w:color w:val="000000"/>
          <w:kern w:val="2"/>
          <w:szCs w:val="20"/>
          <w14:ligatures w14:val="standardContextual"/>
        </w:rPr>
      </w:pPr>
      <w:r w:rsidRPr="00BE5832">
        <w:rPr>
          <w:rFonts w:eastAsia="Aptos" w:cs="Arial"/>
          <w:color w:val="000000"/>
          <w:kern w:val="2"/>
          <w:szCs w:val="20"/>
          <w14:ligatures w14:val="standardContextual"/>
        </w:rPr>
        <w:t>(2) Operater trga po uradni dolžnosti ali na pobudo prejemnika spodbude izda odločbo, s katero:</w:t>
      </w:r>
    </w:p>
    <w:p w14:paraId="0C576314" w14:textId="623E15DE" w:rsidR="00BE5832" w:rsidRPr="00BE5832" w:rsidRDefault="00BE5832" w:rsidP="007F3AA0">
      <w:pPr>
        <w:numPr>
          <w:ilvl w:val="0"/>
          <w:numId w:val="84"/>
        </w:numPr>
        <w:spacing w:after="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odpravi ali razveljavi odločbo o dodelitvi spodbude, če zaradi spremenjenih okoliščin prejemnik</w:t>
      </w:r>
      <w:r w:rsidR="00F81548">
        <w:rPr>
          <w:rFonts w:eastAsia="Aptos" w:cs="Arial"/>
          <w:color w:val="000000"/>
          <w:kern w:val="2"/>
          <w:szCs w:val="20"/>
          <w14:ligatures w14:val="standardContextual"/>
        </w:rPr>
        <w:t xml:space="preserve"> spodbude</w:t>
      </w:r>
      <w:r w:rsidRPr="00BE5832">
        <w:rPr>
          <w:rFonts w:eastAsia="Aptos" w:cs="Arial"/>
          <w:color w:val="000000"/>
          <w:kern w:val="2"/>
          <w:szCs w:val="20"/>
          <w14:ligatures w14:val="standardContextual"/>
        </w:rPr>
        <w:t xml:space="preserve"> ni upravičen do spodbude;</w:t>
      </w:r>
    </w:p>
    <w:p w14:paraId="0F80A33A" w14:textId="77777777" w:rsidR="00BE5832" w:rsidRPr="00BE5832" w:rsidRDefault="00BE5832" w:rsidP="007F3AA0">
      <w:pPr>
        <w:numPr>
          <w:ilvl w:val="0"/>
          <w:numId w:val="84"/>
        </w:numPr>
        <w:spacing w:after="16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spremeni odločbo o dodelitvi spodbude, če je prejemnik zaradi spremenjenih okoliščin upravičen do drugačne višine ali trajanja ali če po izdaji odločbe nastanejo okoliščine, ki vplivajo na pogoje in podatke, določene v odločbi o dodelitvi spodbude.</w:t>
      </w:r>
    </w:p>
    <w:p w14:paraId="55029AF2" w14:textId="77777777" w:rsidR="00BE5832" w:rsidRPr="00BE5832" w:rsidRDefault="00BE5832" w:rsidP="007F3AA0">
      <w:pPr>
        <w:spacing w:after="160" w:line="259" w:lineRule="auto"/>
        <w:ind w:left="720"/>
        <w:contextualSpacing/>
        <w:rPr>
          <w:rFonts w:eastAsia="Aptos" w:cs="Arial"/>
          <w:color w:val="000000"/>
          <w:kern w:val="2"/>
          <w:szCs w:val="20"/>
          <w14:ligatures w14:val="standardContextual"/>
        </w:rPr>
      </w:pPr>
    </w:p>
    <w:p w14:paraId="5FFF1C90" w14:textId="77777777" w:rsidR="00BE5832" w:rsidRPr="00BE5832" w:rsidRDefault="00BE5832" w:rsidP="007F3AA0">
      <w:pPr>
        <w:numPr>
          <w:ilvl w:val="0"/>
          <w:numId w:val="85"/>
        </w:numPr>
        <w:spacing w:after="16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Če je prejemnik spodbude zaradi spremenjenih okoliščin prejel spodbudo, do katere ni upravičen, operater trga v odločbi iz prejšnjega odstavka opredeli vrednost neupravičeno prejete podpore in vračilo.</w:t>
      </w:r>
    </w:p>
    <w:p w14:paraId="58F7BAAB" w14:textId="77777777" w:rsidR="00BE5832" w:rsidRPr="00BE5832" w:rsidRDefault="00BE5832" w:rsidP="007F3AA0">
      <w:pPr>
        <w:spacing w:after="160" w:line="259" w:lineRule="auto"/>
        <w:ind w:left="360"/>
        <w:contextualSpacing/>
        <w:rPr>
          <w:rFonts w:eastAsia="Aptos" w:cs="Arial"/>
          <w:color w:val="000000"/>
          <w:kern w:val="2"/>
          <w:szCs w:val="20"/>
          <w14:ligatures w14:val="standardContextual"/>
        </w:rPr>
      </w:pPr>
    </w:p>
    <w:p w14:paraId="23105F6A" w14:textId="7677C641" w:rsidR="006B3125" w:rsidRDefault="00BE5832" w:rsidP="0019095E">
      <w:pPr>
        <w:pStyle w:val="Odstavekseznama"/>
        <w:numPr>
          <w:ilvl w:val="0"/>
          <w:numId w:val="80"/>
        </w:numPr>
        <w:rPr>
          <w:rFonts w:eastAsia="Aptos" w:cs="Arial"/>
          <w:color w:val="000000"/>
          <w:kern w:val="2"/>
          <w:szCs w:val="20"/>
          <w14:ligatures w14:val="standardContextual"/>
        </w:rPr>
      </w:pPr>
      <w:r w:rsidRPr="0019095E">
        <w:rPr>
          <w:rFonts w:eastAsia="Aptos" w:cs="Arial"/>
          <w:color w:val="000000"/>
          <w:kern w:val="2"/>
          <w:szCs w:val="20"/>
          <w14:ligatures w14:val="standardContextual"/>
        </w:rPr>
        <w:t>Če je bila odločba o dodelitvi spodbude izdana na podlagi neresničnih navedb in podatkov prejemnika</w:t>
      </w:r>
      <w:r w:rsidR="003D4B3F" w:rsidRPr="0019095E">
        <w:rPr>
          <w:rFonts w:eastAsia="Aptos" w:cs="Arial"/>
          <w:color w:val="000000"/>
          <w:kern w:val="2"/>
          <w:szCs w:val="20"/>
          <w14:ligatures w14:val="standardContextual"/>
        </w:rPr>
        <w:t xml:space="preserve"> spodbude</w:t>
      </w:r>
      <w:r w:rsidRPr="0019095E">
        <w:rPr>
          <w:rFonts w:eastAsia="Aptos" w:cs="Arial"/>
          <w:color w:val="000000"/>
          <w:kern w:val="2"/>
          <w:szCs w:val="20"/>
          <w14:ligatures w14:val="standardContextual"/>
        </w:rPr>
        <w:t xml:space="preserve"> ali na podlagi ponarejene listine ali krive izpovedbe priče ali izvedenca ali kot </w:t>
      </w:r>
      <w:r w:rsidRPr="0019095E">
        <w:rPr>
          <w:rFonts w:eastAsia="Aptos" w:cs="Arial"/>
          <w:color w:val="000000"/>
          <w:kern w:val="2"/>
          <w:szCs w:val="20"/>
          <w14:ligatures w14:val="standardContextual"/>
        </w:rPr>
        <w:lastRenderedPageBreak/>
        <w:t>posledica kakšnega drugega kaznivega dejanja, operater trga odpravi odločbo o dodelitvi spodbude ter prejemniku</w:t>
      </w:r>
      <w:r w:rsidR="003D4B3F" w:rsidRPr="0019095E">
        <w:rPr>
          <w:rFonts w:eastAsia="Aptos" w:cs="Arial"/>
          <w:color w:val="000000"/>
          <w:kern w:val="2"/>
          <w:szCs w:val="20"/>
          <w14:ligatures w14:val="standardContextual"/>
        </w:rPr>
        <w:t xml:space="preserve"> spodbude</w:t>
      </w:r>
      <w:r w:rsidRPr="0019095E">
        <w:rPr>
          <w:rFonts w:eastAsia="Aptos" w:cs="Arial"/>
          <w:color w:val="000000"/>
          <w:kern w:val="2"/>
          <w:szCs w:val="20"/>
          <w14:ligatures w14:val="standardContextual"/>
        </w:rPr>
        <w:t xml:space="preserve"> naloži vračilo neupravičeno izplačane spodbude skupaj z zakonskimi zamudnimi obrestmi, ki tečejo od dneva izdaje odločbe do plačila.</w:t>
      </w:r>
      <w:r w:rsidR="006B3125" w:rsidRPr="0019095E">
        <w:rPr>
          <w:rFonts w:eastAsia="Aptos" w:cs="Arial"/>
          <w:color w:val="000000"/>
          <w:kern w:val="2"/>
          <w:szCs w:val="20"/>
          <w14:ligatures w14:val="standardContextual"/>
        </w:rPr>
        <w:t xml:space="preserve"> </w:t>
      </w:r>
      <w:r w:rsidR="0019095E" w:rsidRPr="0019095E">
        <w:rPr>
          <w:rFonts w:eastAsia="Aptos" w:cs="Arial"/>
          <w:color w:val="000000"/>
          <w:kern w:val="2"/>
          <w:szCs w:val="20"/>
          <w14:ligatures w14:val="standardContextual"/>
        </w:rPr>
        <w:t>Operater trga ta sredstva nakaže v proračun Republike Slovenije.</w:t>
      </w:r>
    </w:p>
    <w:p w14:paraId="7A4C4C2B" w14:textId="16E849B5" w:rsidR="004A1C0E" w:rsidRDefault="006B3125" w:rsidP="00934C73">
      <w:pPr>
        <w:pStyle w:val="Odstavekseznama"/>
        <w:numPr>
          <w:ilvl w:val="0"/>
          <w:numId w:val="80"/>
        </w:numPr>
        <w:rPr>
          <w:rFonts w:eastAsia="Aptos" w:cs="Arial"/>
          <w:color w:val="000000"/>
          <w:kern w:val="2"/>
          <w:szCs w:val="20"/>
          <w14:ligatures w14:val="standardContextual"/>
        </w:rPr>
      </w:pPr>
      <w:r w:rsidRPr="00615B0D">
        <w:rPr>
          <w:rFonts w:eastAsia="Aptos" w:cs="Arial"/>
          <w:color w:val="000000"/>
          <w:kern w:val="2"/>
          <w:szCs w:val="20"/>
          <w14:ligatures w14:val="standardContextual"/>
        </w:rPr>
        <w:t>Če operater trga ugotovi, da</w:t>
      </w:r>
      <w:r w:rsidR="003D4B3F" w:rsidRPr="00615B0D">
        <w:rPr>
          <w:rFonts w:eastAsia="Aptos" w:cs="Arial"/>
          <w:color w:val="000000"/>
          <w:kern w:val="2"/>
          <w:szCs w:val="20"/>
          <w14:ligatures w14:val="standardContextual"/>
        </w:rPr>
        <w:t xml:space="preserve"> prejemnik spodbude ni</w:t>
      </w:r>
      <w:r w:rsidRPr="00615B0D">
        <w:rPr>
          <w:rFonts w:eastAsia="Aptos" w:cs="Arial"/>
          <w:color w:val="000000"/>
          <w:kern w:val="2"/>
          <w:szCs w:val="20"/>
          <w14:ligatures w14:val="standardContextual"/>
        </w:rPr>
        <w:t xml:space="preserve"> izpolnjeval pogojev, se mu </w:t>
      </w:r>
      <w:r w:rsidR="002E3CF3" w:rsidRPr="00615B0D">
        <w:rPr>
          <w:rFonts w:eastAsia="Aptos" w:cs="Arial"/>
          <w:color w:val="000000"/>
          <w:kern w:val="2"/>
          <w:szCs w:val="20"/>
          <w14:ligatures w14:val="standardContextual"/>
        </w:rPr>
        <w:t xml:space="preserve">neupravičeno </w:t>
      </w:r>
      <w:r w:rsidRPr="00615B0D">
        <w:rPr>
          <w:rFonts w:eastAsia="Aptos" w:cs="Arial"/>
          <w:color w:val="000000"/>
          <w:kern w:val="2"/>
          <w:szCs w:val="20"/>
          <w14:ligatures w14:val="standardContextual"/>
        </w:rPr>
        <w:t>dodeljen</w:t>
      </w:r>
      <w:r w:rsidR="00943FC8" w:rsidRPr="00615B0D">
        <w:rPr>
          <w:rFonts w:eastAsia="Aptos" w:cs="Arial"/>
          <w:color w:val="000000"/>
          <w:kern w:val="2"/>
          <w:szCs w:val="20"/>
          <w14:ligatures w14:val="standardContextual"/>
        </w:rPr>
        <w:t>i</w:t>
      </w:r>
      <w:r w:rsidR="002E3CF3" w:rsidRPr="00615B0D">
        <w:rPr>
          <w:rFonts w:eastAsia="Aptos" w:cs="Arial"/>
          <w:color w:val="000000"/>
          <w:kern w:val="2"/>
          <w:szCs w:val="20"/>
          <w14:ligatures w14:val="standardContextual"/>
        </w:rPr>
        <w:t xml:space="preserve"> del</w:t>
      </w:r>
      <w:r w:rsidRPr="00615B0D">
        <w:rPr>
          <w:rFonts w:eastAsia="Aptos" w:cs="Arial"/>
          <w:color w:val="000000"/>
          <w:kern w:val="2"/>
          <w:szCs w:val="20"/>
          <w14:ligatures w14:val="standardContextual"/>
        </w:rPr>
        <w:t xml:space="preserve"> spodbud</w:t>
      </w:r>
      <w:r w:rsidR="002E3CF3" w:rsidRPr="00615B0D">
        <w:rPr>
          <w:rFonts w:eastAsia="Aptos" w:cs="Arial"/>
          <w:color w:val="000000"/>
          <w:kern w:val="2"/>
          <w:szCs w:val="20"/>
          <w14:ligatures w14:val="standardContextual"/>
        </w:rPr>
        <w:t>e</w:t>
      </w:r>
      <w:r w:rsidRPr="00615B0D">
        <w:rPr>
          <w:rFonts w:eastAsia="Aptos" w:cs="Arial"/>
          <w:color w:val="000000"/>
          <w:kern w:val="2"/>
          <w:szCs w:val="20"/>
          <w14:ligatures w14:val="standardContextual"/>
        </w:rPr>
        <w:t xml:space="preserve"> </w:t>
      </w:r>
      <w:r w:rsidR="00683B04" w:rsidRPr="00615B0D">
        <w:rPr>
          <w:rFonts w:eastAsia="Aptos" w:cs="Arial"/>
          <w:color w:val="000000"/>
          <w:kern w:val="2"/>
          <w:szCs w:val="20"/>
          <w14:ligatures w14:val="standardContextual"/>
        </w:rPr>
        <w:t>z odločbo</w:t>
      </w:r>
      <w:r w:rsidRPr="00615B0D">
        <w:rPr>
          <w:rFonts w:eastAsia="Aptos" w:cs="Arial"/>
          <w:color w:val="000000"/>
          <w:kern w:val="2"/>
          <w:szCs w:val="20"/>
          <w14:ligatures w14:val="standardContextual"/>
        </w:rPr>
        <w:t xml:space="preserve"> odvzame, </w:t>
      </w:r>
      <w:r w:rsidR="00447AED" w:rsidRPr="00615B0D">
        <w:rPr>
          <w:rFonts w:eastAsia="Aptos" w:cs="Arial"/>
          <w:color w:val="000000"/>
          <w:kern w:val="2"/>
          <w:szCs w:val="20"/>
          <w14:ligatures w14:val="standardContextual"/>
        </w:rPr>
        <w:t>prejemnik spodbude</w:t>
      </w:r>
      <w:r w:rsidRPr="00615B0D">
        <w:rPr>
          <w:rFonts w:eastAsia="Aptos" w:cs="Arial"/>
          <w:color w:val="000000"/>
          <w:kern w:val="2"/>
          <w:szCs w:val="20"/>
          <w14:ligatures w14:val="standardContextual"/>
        </w:rPr>
        <w:t xml:space="preserve"> pa </w:t>
      </w:r>
      <w:r w:rsidR="00943FC8" w:rsidRPr="00615B0D">
        <w:rPr>
          <w:rFonts w:eastAsia="Aptos" w:cs="Arial"/>
          <w:color w:val="000000"/>
          <w:kern w:val="2"/>
          <w:szCs w:val="20"/>
          <w14:ligatures w14:val="standardContextual"/>
        </w:rPr>
        <w:t>mora</w:t>
      </w:r>
      <w:r w:rsidRPr="00615B0D">
        <w:rPr>
          <w:rFonts w:eastAsia="Aptos" w:cs="Arial"/>
          <w:color w:val="000000"/>
          <w:kern w:val="2"/>
          <w:szCs w:val="20"/>
          <w14:ligatures w14:val="standardContextual"/>
        </w:rPr>
        <w:t xml:space="preserve"> vrniti neupravičeno prejeta sredstva skupaj z zamudnimi obrestmi, določenimi v skladu z zakonom, ki ureja obrestno mero zamudnih obresti, na način, določen v </w:t>
      </w:r>
      <w:r w:rsidR="00683B04" w:rsidRPr="00615B0D">
        <w:rPr>
          <w:rFonts w:eastAsia="Aptos" w:cs="Arial"/>
          <w:color w:val="000000"/>
          <w:kern w:val="2"/>
          <w:szCs w:val="20"/>
          <w14:ligatures w14:val="standardContextual"/>
        </w:rPr>
        <w:t xml:space="preserve">odločbi </w:t>
      </w:r>
      <w:r w:rsidRPr="00615B0D">
        <w:rPr>
          <w:rFonts w:eastAsia="Aptos" w:cs="Arial"/>
          <w:color w:val="000000"/>
          <w:kern w:val="2"/>
          <w:szCs w:val="20"/>
          <w14:ligatures w14:val="standardContextual"/>
        </w:rPr>
        <w:t>operater</w:t>
      </w:r>
      <w:r w:rsidR="00683B04" w:rsidRPr="00615B0D">
        <w:rPr>
          <w:rFonts w:eastAsia="Aptos" w:cs="Arial"/>
          <w:color w:val="000000"/>
          <w:kern w:val="2"/>
          <w:szCs w:val="20"/>
          <w14:ligatures w14:val="standardContextual"/>
        </w:rPr>
        <w:t>ja</w:t>
      </w:r>
      <w:r w:rsidRPr="00615B0D">
        <w:rPr>
          <w:rFonts w:eastAsia="Aptos" w:cs="Arial"/>
          <w:color w:val="000000"/>
          <w:kern w:val="2"/>
          <w:szCs w:val="20"/>
          <w14:ligatures w14:val="standardContextual"/>
        </w:rPr>
        <w:t xml:space="preserve"> trga. Neupravičeno prejeta sredstva mora vrniti v 30 dneh po vročitvi </w:t>
      </w:r>
      <w:r w:rsidR="00683B04" w:rsidRPr="00615B0D">
        <w:rPr>
          <w:rFonts w:eastAsia="Aptos" w:cs="Arial"/>
          <w:color w:val="000000"/>
          <w:kern w:val="2"/>
          <w:szCs w:val="20"/>
          <w14:ligatures w14:val="standardContextual"/>
        </w:rPr>
        <w:t>odločbe</w:t>
      </w:r>
      <w:r w:rsidRPr="00615B0D">
        <w:rPr>
          <w:rFonts w:eastAsia="Aptos" w:cs="Arial"/>
          <w:color w:val="000000"/>
          <w:kern w:val="2"/>
          <w:szCs w:val="20"/>
          <w14:ligatures w14:val="standardContextual"/>
        </w:rPr>
        <w:t xml:space="preserve"> skupaj z zakonskimi zamudnimi obrestmi po zakonu, ki ureja predpisano obrestno mero zamudnih obresti, ki tečejo od dneva poteka roka za vračilo neupravičeno prejetih sredstev do dneva vračila.</w:t>
      </w:r>
      <w:r w:rsidR="004D33BB" w:rsidRPr="00615B0D">
        <w:rPr>
          <w:rFonts w:eastAsia="Aptos" w:cs="Arial"/>
          <w:color w:val="000000"/>
          <w:kern w:val="2"/>
          <w:szCs w:val="20"/>
          <w14:ligatures w14:val="standardContextual"/>
        </w:rPr>
        <w:t xml:space="preserve"> Operater trga ta sredstva nakaže v proračun Republike Slovenije.</w:t>
      </w:r>
    </w:p>
    <w:p w14:paraId="2CF23114" w14:textId="087C4417" w:rsidR="00F67126" w:rsidRPr="00934C73" w:rsidRDefault="000F1332" w:rsidP="00934C73">
      <w:pPr>
        <w:pStyle w:val="Odstavekseznama"/>
        <w:numPr>
          <w:ilvl w:val="0"/>
          <w:numId w:val="80"/>
        </w:numPr>
        <w:rPr>
          <w:rFonts w:eastAsia="Aptos" w:cs="Arial"/>
          <w:color w:val="000000"/>
          <w:kern w:val="2"/>
          <w:szCs w:val="20"/>
          <w14:ligatures w14:val="standardContextual"/>
        </w:rPr>
      </w:pPr>
      <w:r w:rsidRPr="00934C73">
        <w:rPr>
          <w:rFonts w:eastAsia="Aptos" w:cs="Arial"/>
          <w:color w:val="000000"/>
          <w:kern w:val="2"/>
          <w:szCs w:val="20"/>
          <w14:ligatures w14:val="standardContextual"/>
        </w:rPr>
        <w:t>Za spremenjene okoliščine iz prve alineje drugega odstavka tega člena</w:t>
      </w:r>
      <w:r w:rsidR="001227D1" w:rsidRPr="00934C73">
        <w:rPr>
          <w:rFonts w:eastAsia="Aptos" w:cs="Arial"/>
          <w:color w:val="000000"/>
          <w:kern w:val="2"/>
          <w:szCs w:val="20"/>
          <w14:ligatures w14:val="standardContextual"/>
        </w:rPr>
        <w:t>, zaradi katerih operater trga odpravi odločbo o dodelitvi spodbude podjetju v težavah</w:t>
      </w:r>
      <w:r w:rsidR="004B48E2" w:rsidRPr="00934C73">
        <w:rPr>
          <w:rFonts w:eastAsia="Aptos" w:cs="Arial"/>
          <w:color w:val="000000"/>
          <w:kern w:val="2"/>
          <w:szCs w:val="20"/>
          <w14:ligatures w14:val="standardContextual"/>
        </w:rPr>
        <w:t xml:space="preserve"> in mora prejemnik sredstev vrniti vsa prejeta sredstva</w:t>
      </w:r>
      <w:r w:rsidR="001227D1" w:rsidRPr="00934C73">
        <w:rPr>
          <w:rFonts w:eastAsia="Aptos" w:cs="Arial"/>
          <w:color w:val="000000"/>
          <w:kern w:val="2"/>
          <w:szCs w:val="20"/>
          <w14:ligatures w14:val="standardContextual"/>
        </w:rPr>
        <w:t>,</w:t>
      </w:r>
      <w:r w:rsidRPr="00934C73">
        <w:rPr>
          <w:rFonts w:eastAsia="Aptos" w:cs="Arial"/>
          <w:color w:val="000000"/>
          <w:kern w:val="2"/>
          <w:szCs w:val="20"/>
          <w14:ligatures w14:val="standardContextual"/>
        </w:rPr>
        <w:t xml:space="preserve"> šteje tudi sklenitev pravnega posla prejemnik</w:t>
      </w:r>
      <w:r w:rsidR="00FC00A1" w:rsidRPr="00934C73">
        <w:rPr>
          <w:rFonts w:eastAsia="Aptos" w:cs="Arial"/>
          <w:color w:val="000000"/>
          <w:kern w:val="2"/>
          <w:szCs w:val="20"/>
          <w14:ligatures w14:val="standardContextual"/>
        </w:rPr>
        <w:t>a</w:t>
      </w:r>
      <w:r w:rsidRPr="00934C73">
        <w:rPr>
          <w:rFonts w:eastAsia="Aptos" w:cs="Arial"/>
          <w:color w:val="000000"/>
          <w:kern w:val="2"/>
          <w:szCs w:val="20"/>
          <w14:ligatures w14:val="standardContextual"/>
        </w:rPr>
        <w:t xml:space="preserve"> spodbude</w:t>
      </w:r>
      <w:r w:rsidR="001227D1" w:rsidRPr="00934C73">
        <w:rPr>
          <w:rFonts w:eastAsia="Aptos" w:cs="Arial"/>
          <w:color w:val="000000"/>
          <w:kern w:val="2"/>
          <w:szCs w:val="20"/>
          <w14:ligatures w14:val="standardContextual"/>
        </w:rPr>
        <w:t xml:space="preserve"> </w:t>
      </w:r>
      <w:r w:rsidRPr="00934C73">
        <w:rPr>
          <w:rFonts w:eastAsia="Aptos" w:cs="Arial"/>
          <w:color w:val="000000"/>
          <w:kern w:val="2"/>
          <w:szCs w:val="20"/>
          <w14:ligatures w14:val="standardContextual"/>
        </w:rPr>
        <w:t>v obdobju petih let od dodelitve spodbude o prenosu več kot 50 odstotkov v</w:t>
      </w:r>
      <w:r w:rsidR="00FC00A1" w:rsidRPr="00934C73">
        <w:rPr>
          <w:rFonts w:eastAsia="Aptos" w:cs="Arial"/>
          <w:color w:val="000000"/>
          <w:kern w:val="2"/>
          <w:szCs w:val="20"/>
          <w14:ligatures w14:val="standardContextual"/>
        </w:rPr>
        <w:t xml:space="preserve"> osnovnem kapitalu prejemnika spodbude, in sicer </w:t>
      </w:r>
      <w:r w:rsidRPr="00934C73">
        <w:rPr>
          <w:rFonts w:eastAsia="Aptos" w:cs="Arial"/>
          <w:color w:val="000000"/>
          <w:kern w:val="2"/>
          <w:szCs w:val="20"/>
          <w14:ligatures w14:val="standardContextual"/>
        </w:rPr>
        <w:t>bodisi v obliki prodaje poslovnega</w:t>
      </w:r>
      <w:r w:rsidR="00FC00A1" w:rsidRPr="00934C73">
        <w:rPr>
          <w:rFonts w:eastAsia="Aptos" w:cs="Arial"/>
          <w:color w:val="000000"/>
          <w:kern w:val="2"/>
          <w:szCs w:val="20"/>
          <w14:ligatures w14:val="standardContextual"/>
        </w:rPr>
        <w:t xml:space="preserve"> deleža, delnic ali dokapitalizacije</w:t>
      </w:r>
      <w:r w:rsidRPr="00934C73">
        <w:rPr>
          <w:rFonts w:eastAsia="Aptos" w:cs="Arial"/>
          <w:color w:val="000000"/>
          <w:kern w:val="2"/>
          <w:szCs w:val="20"/>
          <w14:ligatures w14:val="standardContextual"/>
        </w:rPr>
        <w:t xml:space="preserve"> bodisi v obliki prenosa glasovalnih ali drugih pravic, na podlagi katerih je podana udel</w:t>
      </w:r>
      <w:r w:rsidR="00FC00A1" w:rsidRPr="00934C73">
        <w:rPr>
          <w:rFonts w:eastAsia="Aptos" w:cs="Arial"/>
          <w:color w:val="000000"/>
          <w:kern w:val="2"/>
          <w:szCs w:val="20"/>
          <w14:ligatures w14:val="standardContextual"/>
        </w:rPr>
        <w:t>ežba pri upravljanju prejemnika spodbude</w:t>
      </w:r>
      <w:r w:rsidRPr="00934C73">
        <w:rPr>
          <w:rFonts w:eastAsia="Aptos" w:cs="Arial"/>
          <w:color w:val="000000"/>
          <w:kern w:val="2"/>
          <w:szCs w:val="20"/>
          <w14:ligatures w14:val="standardContextual"/>
        </w:rPr>
        <w:t>, na novega imetnika</w:t>
      </w:r>
      <w:r w:rsidR="00FC00A1" w:rsidRPr="00934C73">
        <w:rPr>
          <w:rFonts w:eastAsia="Aptos" w:cs="Arial"/>
          <w:color w:val="000000"/>
          <w:kern w:val="2"/>
          <w:szCs w:val="20"/>
          <w14:ligatures w14:val="standardContextual"/>
        </w:rPr>
        <w:t xml:space="preserve"> </w:t>
      </w:r>
      <w:r w:rsidRPr="00934C73">
        <w:rPr>
          <w:rFonts w:eastAsia="Aptos" w:cs="Arial"/>
          <w:color w:val="000000"/>
          <w:kern w:val="2"/>
          <w:szCs w:val="20"/>
          <w14:ligatures w14:val="standardContextual"/>
        </w:rPr>
        <w:t>ali</w:t>
      </w:r>
      <w:r w:rsidR="00FC00A1" w:rsidRPr="00934C73">
        <w:rPr>
          <w:rFonts w:eastAsia="Aptos" w:cs="Arial"/>
          <w:color w:val="000000"/>
          <w:kern w:val="2"/>
          <w:szCs w:val="20"/>
          <w14:ligatures w14:val="standardContextual"/>
        </w:rPr>
        <w:t xml:space="preserve"> če</w:t>
      </w:r>
      <w:r w:rsidRPr="00934C73">
        <w:rPr>
          <w:rFonts w:eastAsia="Aptos" w:cs="Arial"/>
          <w:color w:val="000000"/>
          <w:kern w:val="2"/>
          <w:szCs w:val="20"/>
          <w14:ligatures w14:val="standardContextual"/>
        </w:rPr>
        <w:t xml:space="preserve"> dosedanji imetnik doseže omenjeni prag</w:t>
      </w:r>
      <w:r w:rsidR="004B48E2" w:rsidRPr="00934C73">
        <w:rPr>
          <w:rFonts w:eastAsia="Aptos" w:cs="Arial"/>
          <w:color w:val="000000"/>
          <w:kern w:val="2"/>
          <w:szCs w:val="20"/>
          <w14:ligatures w14:val="standardContextual"/>
        </w:rPr>
        <w:t>.</w:t>
      </w:r>
      <w:r w:rsidRPr="00934C73">
        <w:rPr>
          <w:rFonts w:eastAsia="Aptos" w:cs="Arial"/>
          <w:color w:val="000000"/>
          <w:kern w:val="2"/>
          <w:szCs w:val="20"/>
          <w14:ligatures w14:val="standardContextual"/>
        </w:rPr>
        <w:t xml:space="preserve"> </w:t>
      </w:r>
    </w:p>
    <w:p w14:paraId="0636D7CE" w14:textId="196CDD9C" w:rsidR="006B3125" w:rsidRPr="00934C73" w:rsidRDefault="004D406B" w:rsidP="00934C73">
      <w:pPr>
        <w:pStyle w:val="Odstavekseznama"/>
        <w:numPr>
          <w:ilvl w:val="0"/>
          <w:numId w:val="80"/>
        </w:numPr>
        <w:rPr>
          <w:rFonts w:eastAsia="Aptos" w:cs="Arial"/>
          <w:color w:val="000000"/>
          <w:kern w:val="2"/>
          <w:szCs w:val="20"/>
          <w14:ligatures w14:val="standardContextual"/>
        </w:rPr>
      </w:pPr>
      <w:r w:rsidRPr="00934C73">
        <w:rPr>
          <w:rFonts w:eastAsia="Aptos" w:cs="Arial"/>
          <w:color w:val="000000"/>
          <w:kern w:val="2"/>
          <w:szCs w:val="20"/>
          <w14:ligatures w14:val="standardContextual"/>
        </w:rPr>
        <w:t xml:space="preserve">Če je pri prejemniku spodbude, ki je bil v času dodelitve spodbude podjetje v težavah, ali njegovi odvisni družbi </w:t>
      </w:r>
      <w:r w:rsidR="00F67126" w:rsidRPr="00934C73">
        <w:rPr>
          <w:rFonts w:eastAsia="Aptos" w:cs="Arial"/>
          <w:color w:val="000000"/>
          <w:kern w:val="2"/>
          <w:szCs w:val="20"/>
          <w14:ligatures w14:val="standardContextual"/>
        </w:rPr>
        <w:t>v let</w:t>
      </w:r>
      <w:r w:rsidR="001227D1" w:rsidRPr="00934C73">
        <w:rPr>
          <w:rFonts w:eastAsia="Aptos" w:cs="Arial"/>
          <w:color w:val="000000"/>
          <w:kern w:val="2"/>
          <w:szCs w:val="20"/>
          <w14:ligatures w14:val="standardContextual"/>
        </w:rPr>
        <w:t>ih ali za leta, v katerih je bila dodeljena spodbuda,</w:t>
      </w:r>
      <w:r w:rsidR="00F67126" w:rsidRPr="00934C73">
        <w:rPr>
          <w:rFonts w:eastAsia="Aptos" w:cs="Arial"/>
          <w:color w:val="000000"/>
          <w:kern w:val="2"/>
          <w:szCs w:val="20"/>
          <w14:ligatures w14:val="standardContextual"/>
        </w:rPr>
        <w:t xml:space="preserve"> prišlo do izplačila nagrad poslovodstvu oziroma dela plač za poslovno uspešnost poslovodstvu, </w:t>
      </w:r>
      <w:r w:rsidR="004B48E2" w:rsidRPr="00934C73">
        <w:rPr>
          <w:rFonts w:eastAsia="Aptos" w:cs="Arial"/>
          <w:color w:val="000000"/>
          <w:kern w:val="2"/>
          <w:szCs w:val="20"/>
          <w14:ligatures w14:val="standardContextual"/>
        </w:rPr>
        <w:t>se mu dodeljena spodbuda z odločbo odvzame, prejemnik spodbude pa mora vrniti neupravičeno prejeta sredstva skupaj z zamudnimi obrestmi, določenimi v skladu z zakonom, ki ureja obrestno mero zamudnih obresti, na način, določen v odločbi operaterja trga. Neupravičeno prejeta sredstva mora vrniti v 30 dneh po vročitvi odločbe skupaj z zakonskimi zamudnimi obrestmi po zakonu, ki ureja predpisano obrestno mero zamudnih obresti, ki tečejo od dneva poteka roka za vračilo neupravičeno prejetih sredstev do dneva vračila. Operater trga ta sredstva nakaže v proračun Republike Slovenije.</w:t>
      </w:r>
    </w:p>
    <w:p w14:paraId="3049821A" w14:textId="77777777" w:rsidR="00FB01EA" w:rsidRDefault="00FB01EA" w:rsidP="00927446">
      <w:pPr>
        <w:pStyle w:val="Odstavekseznama"/>
        <w:rPr>
          <w:rFonts w:eastAsia="Aptos" w:cs="Arial"/>
          <w:color w:val="000000"/>
          <w:kern w:val="2"/>
          <w:szCs w:val="20"/>
          <w14:ligatures w14:val="standardContextual"/>
        </w:rPr>
      </w:pPr>
    </w:p>
    <w:p w14:paraId="594A87A3" w14:textId="10245F05" w:rsidR="00927446" w:rsidRPr="00FB01EA" w:rsidRDefault="009447E0" w:rsidP="00FB01EA">
      <w:pPr>
        <w:keepNext/>
        <w:keepLines/>
        <w:numPr>
          <w:ilvl w:val="0"/>
          <w:numId w:val="70"/>
        </w:numPr>
        <w:spacing w:before="160" w:after="80" w:line="259" w:lineRule="auto"/>
        <w:jc w:val="center"/>
        <w:outlineLvl w:val="1"/>
        <w:rPr>
          <w:rFonts w:eastAsia="Times New Roman" w:cs="Arial"/>
          <w:color w:val="000000"/>
          <w:kern w:val="2"/>
          <w:szCs w:val="20"/>
          <w14:ligatures w14:val="standardContextual"/>
        </w:rPr>
      </w:pPr>
      <w:r w:rsidRPr="00FB01EA">
        <w:rPr>
          <w:rFonts w:eastAsia="Times New Roman" w:cs="Arial"/>
          <w:color w:val="000000"/>
          <w:kern w:val="2"/>
          <w:szCs w:val="20"/>
          <w14:ligatures w14:val="standardContextual"/>
        </w:rPr>
        <w:t>člen</w:t>
      </w:r>
    </w:p>
    <w:p w14:paraId="17FFEEDF" w14:textId="56BD1584" w:rsidR="009447E0" w:rsidRDefault="009447E0" w:rsidP="00FB01EA">
      <w:pPr>
        <w:pStyle w:val="Odstavekseznama"/>
        <w:jc w:val="center"/>
        <w:rPr>
          <w:rFonts w:eastAsia="Aptos" w:cs="Arial"/>
          <w:color w:val="000000"/>
          <w:kern w:val="2"/>
          <w:szCs w:val="20"/>
          <w14:ligatures w14:val="standardContextual"/>
        </w:rPr>
      </w:pPr>
      <w:r>
        <w:rPr>
          <w:rFonts w:eastAsia="Aptos" w:cs="Arial"/>
          <w:color w:val="000000"/>
          <w:kern w:val="2"/>
          <w:szCs w:val="20"/>
          <w14:ligatures w14:val="standardContextual"/>
        </w:rPr>
        <w:t>(</w:t>
      </w:r>
      <w:bookmarkStart w:id="45" w:name="_Hlk216104176"/>
      <w:r>
        <w:rPr>
          <w:rFonts w:eastAsia="Aptos" w:cs="Arial"/>
          <w:color w:val="000000"/>
          <w:kern w:val="2"/>
          <w:szCs w:val="20"/>
          <w14:ligatures w14:val="standardContextual"/>
        </w:rPr>
        <w:t>pridobivanje in obdelava podatkov</w:t>
      </w:r>
      <w:r w:rsidR="00D86FA3">
        <w:rPr>
          <w:rFonts w:eastAsia="Aptos" w:cs="Arial"/>
          <w:color w:val="000000"/>
          <w:kern w:val="2"/>
          <w:szCs w:val="20"/>
          <w14:ligatures w14:val="standardContextual"/>
        </w:rPr>
        <w:t>, evidenc</w:t>
      </w:r>
      <w:r w:rsidR="00A0257F">
        <w:rPr>
          <w:rFonts w:eastAsia="Aptos" w:cs="Arial"/>
          <w:color w:val="000000"/>
          <w:kern w:val="2"/>
          <w:szCs w:val="20"/>
          <w14:ligatures w14:val="standardContextual"/>
        </w:rPr>
        <w:t>a</w:t>
      </w:r>
      <w:r w:rsidR="00D86FA3">
        <w:rPr>
          <w:rFonts w:eastAsia="Aptos" w:cs="Arial"/>
          <w:color w:val="000000"/>
          <w:kern w:val="2"/>
          <w:szCs w:val="20"/>
          <w14:ligatures w14:val="standardContextual"/>
        </w:rPr>
        <w:t xml:space="preserve"> ter </w:t>
      </w:r>
      <w:r>
        <w:rPr>
          <w:rFonts w:eastAsia="Aptos" w:cs="Arial"/>
          <w:color w:val="000000"/>
          <w:kern w:val="2"/>
          <w:szCs w:val="20"/>
          <w14:ligatures w14:val="standardContextual"/>
        </w:rPr>
        <w:t>hramba</w:t>
      </w:r>
      <w:bookmarkEnd w:id="45"/>
      <w:r>
        <w:rPr>
          <w:rFonts w:eastAsia="Aptos" w:cs="Arial"/>
          <w:color w:val="000000"/>
          <w:kern w:val="2"/>
          <w:szCs w:val="20"/>
          <w14:ligatures w14:val="standardContextual"/>
        </w:rPr>
        <w:t>)</w:t>
      </w:r>
    </w:p>
    <w:p w14:paraId="6C2A308D" w14:textId="77777777" w:rsidR="00C16630" w:rsidRDefault="00C16630" w:rsidP="00FB01EA">
      <w:pPr>
        <w:pStyle w:val="Odstavekseznama"/>
        <w:jc w:val="center"/>
        <w:rPr>
          <w:rFonts w:eastAsia="Aptos" w:cs="Arial"/>
          <w:color w:val="000000"/>
          <w:kern w:val="2"/>
          <w:szCs w:val="20"/>
          <w14:ligatures w14:val="standardContextual"/>
        </w:rPr>
      </w:pPr>
    </w:p>
    <w:p w14:paraId="07416F5A" w14:textId="629DD057" w:rsidR="00BE038D" w:rsidRDefault="009447E0" w:rsidP="0094588D">
      <w:pPr>
        <w:numPr>
          <w:ilvl w:val="0"/>
          <w:numId w:val="102"/>
        </w:numPr>
        <w:spacing w:after="160" w:line="259" w:lineRule="auto"/>
        <w:contextualSpacing/>
        <w:rPr>
          <w:rFonts w:eastAsia="Aptos" w:cs="Arial"/>
          <w:color w:val="000000"/>
          <w:kern w:val="2"/>
          <w:szCs w:val="20"/>
          <w14:ligatures w14:val="standardContextual"/>
        </w:rPr>
      </w:pPr>
      <w:r w:rsidRPr="00BE038D">
        <w:rPr>
          <w:rFonts w:eastAsia="Aptos" w:cs="Arial"/>
          <w:color w:val="000000"/>
          <w:kern w:val="2"/>
          <w:szCs w:val="20"/>
          <w14:ligatures w14:val="standardContextual"/>
        </w:rPr>
        <w:t>Operater trga lahko za namen vodenja postopka in odločanja o dodelitvi spodbude</w:t>
      </w:r>
      <w:r w:rsidR="00877459">
        <w:rPr>
          <w:rFonts w:eastAsia="Aptos" w:cs="Arial"/>
          <w:color w:val="000000"/>
          <w:kern w:val="2"/>
          <w:szCs w:val="20"/>
          <w14:ligatures w14:val="standardContextual"/>
        </w:rPr>
        <w:t xml:space="preserve"> ter</w:t>
      </w:r>
      <w:r w:rsidRPr="00BE038D">
        <w:rPr>
          <w:rFonts w:eastAsia="Aptos" w:cs="Arial"/>
          <w:color w:val="000000"/>
          <w:kern w:val="2"/>
          <w:szCs w:val="20"/>
          <w14:ligatures w14:val="standardContextual"/>
        </w:rPr>
        <w:t xml:space="preserve"> izplačila spodbude ali v postopku spremljanja</w:t>
      </w:r>
      <w:r w:rsidR="00877459">
        <w:rPr>
          <w:rFonts w:eastAsia="Aptos" w:cs="Arial"/>
          <w:color w:val="000000"/>
          <w:kern w:val="2"/>
          <w:szCs w:val="20"/>
          <w14:ligatures w14:val="standardContextual"/>
        </w:rPr>
        <w:t xml:space="preserve"> dodeljenih spodbud</w:t>
      </w:r>
      <w:r w:rsidRPr="00BE038D">
        <w:rPr>
          <w:rFonts w:eastAsia="Aptos" w:cs="Arial"/>
          <w:color w:val="000000"/>
          <w:kern w:val="2"/>
          <w:szCs w:val="20"/>
          <w14:ligatures w14:val="standardContextual"/>
        </w:rPr>
        <w:t xml:space="preserve"> in nadzora </w:t>
      </w:r>
      <w:r w:rsidR="00877459">
        <w:rPr>
          <w:rFonts w:eastAsia="Aptos" w:cs="Arial"/>
          <w:color w:val="000000"/>
          <w:kern w:val="2"/>
          <w:szCs w:val="20"/>
          <w14:ligatures w14:val="standardContextual"/>
        </w:rPr>
        <w:t>nad njimi</w:t>
      </w:r>
      <w:r w:rsidRPr="00BE038D">
        <w:rPr>
          <w:rFonts w:eastAsia="Aptos" w:cs="Arial"/>
          <w:color w:val="000000"/>
          <w:kern w:val="2"/>
          <w:szCs w:val="20"/>
          <w14:ligatures w14:val="standardContextual"/>
        </w:rPr>
        <w:t xml:space="preserve"> pridobiva in obdeluje podatke o merilnih mestih in o porabi upravičencev, ki so vložili vlogo iz 5. člena tega zakona. Operater prenosnega in distribucijskega omrežja </w:t>
      </w:r>
      <w:r w:rsidR="00C362B8">
        <w:rPr>
          <w:rFonts w:eastAsia="Aptos" w:cs="Arial"/>
          <w:color w:val="000000"/>
          <w:kern w:val="2"/>
          <w:szCs w:val="20"/>
          <w14:ligatures w14:val="standardContextual"/>
        </w:rPr>
        <w:t>ter</w:t>
      </w:r>
      <w:r w:rsidRPr="00BE038D">
        <w:rPr>
          <w:rFonts w:eastAsia="Aptos" w:cs="Arial"/>
          <w:color w:val="000000"/>
          <w:kern w:val="2"/>
          <w:szCs w:val="20"/>
          <w14:ligatures w14:val="standardContextual"/>
        </w:rPr>
        <w:t xml:space="preserve"> elektrodistribucijska podjetja operaterju trga na njegovo zahtevo brezplačno p</w:t>
      </w:r>
      <w:r w:rsidR="00C362B8">
        <w:rPr>
          <w:rFonts w:eastAsia="Aptos" w:cs="Arial"/>
          <w:color w:val="000000"/>
          <w:kern w:val="2"/>
          <w:szCs w:val="20"/>
          <w14:ligatures w14:val="standardContextual"/>
        </w:rPr>
        <w:t>redložijo</w:t>
      </w:r>
      <w:r w:rsidRPr="00BE038D">
        <w:rPr>
          <w:rFonts w:eastAsia="Aptos" w:cs="Arial"/>
          <w:color w:val="000000"/>
          <w:kern w:val="2"/>
          <w:szCs w:val="20"/>
          <w14:ligatures w14:val="standardContextual"/>
        </w:rPr>
        <w:t xml:space="preserve"> podatke, ki jih potrebuje za ta namen.</w:t>
      </w:r>
      <w:r w:rsidR="00BE038D" w:rsidRPr="00BE038D">
        <w:rPr>
          <w:rFonts w:eastAsia="Aptos" w:cs="Arial"/>
          <w:color w:val="000000"/>
          <w:kern w:val="2"/>
          <w:szCs w:val="20"/>
          <w14:ligatures w14:val="standardContextual"/>
        </w:rPr>
        <w:t xml:space="preserve"> </w:t>
      </w:r>
    </w:p>
    <w:p w14:paraId="59AEFFD7" w14:textId="77777777" w:rsidR="001B077C" w:rsidRPr="00BE038D" w:rsidRDefault="001B077C" w:rsidP="001B077C">
      <w:pPr>
        <w:spacing w:after="160" w:line="259" w:lineRule="auto"/>
        <w:ind w:left="360"/>
        <w:contextualSpacing/>
        <w:rPr>
          <w:rFonts w:eastAsia="Aptos" w:cs="Arial"/>
          <w:color w:val="000000"/>
          <w:kern w:val="2"/>
          <w:szCs w:val="20"/>
          <w14:ligatures w14:val="standardContextual"/>
        </w:rPr>
      </w:pPr>
    </w:p>
    <w:p w14:paraId="3E4A4557" w14:textId="3FA710EF" w:rsidR="009447E0" w:rsidRDefault="00BE038D" w:rsidP="0094588D">
      <w:pPr>
        <w:numPr>
          <w:ilvl w:val="0"/>
          <w:numId w:val="102"/>
        </w:numPr>
        <w:spacing w:after="160" w:line="259" w:lineRule="auto"/>
        <w:contextualSpacing/>
        <w:rPr>
          <w:rFonts w:eastAsia="Aptos" w:cs="Arial"/>
          <w:color w:val="000000"/>
          <w:kern w:val="2"/>
          <w:szCs w:val="20"/>
          <w14:ligatures w14:val="standardContextual"/>
        </w:rPr>
      </w:pPr>
      <w:r w:rsidRPr="00BE038D">
        <w:rPr>
          <w:rFonts w:eastAsia="Aptos" w:cs="Arial"/>
          <w:color w:val="000000"/>
          <w:kern w:val="2"/>
          <w:szCs w:val="20"/>
          <w14:ligatures w14:val="standardContextual"/>
        </w:rPr>
        <w:t>Upravičenec vodi evidenco o porabi in cenah nakupa električne energije, ki je predmet ukrepa iz tega zakona, in jo mora na zahtevo operaterja trga iz 96. člena Zakona o oskrbi z električno energijo (Uradni list RS, št. 172/21 in 47/25) predložiti na vpogled.</w:t>
      </w:r>
    </w:p>
    <w:p w14:paraId="07D983F0" w14:textId="77777777" w:rsidR="001B077C" w:rsidRDefault="001B077C" w:rsidP="001B077C">
      <w:pPr>
        <w:spacing w:after="160" w:line="259" w:lineRule="auto"/>
        <w:contextualSpacing/>
        <w:rPr>
          <w:rFonts w:eastAsia="Aptos" w:cs="Arial"/>
          <w:color w:val="000000"/>
          <w:kern w:val="2"/>
          <w:szCs w:val="20"/>
          <w14:ligatures w14:val="standardContextual"/>
        </w:rPr>
      </w:pPr>
    </w:p>
    <w:p w14:paraId="6C23D12E" w14:textId="5C8A7A18" w:rsidR="006A1A7D" w:rsidRPr="00BE038D" w:rsidRDefault="006A1A7D" w:rsidP="0094588D">
      <w:pPr>
        <w:numPr>
          <w:ilvl w:val="0"/>
          <w:numId w:val="102"/>
        </w:numPr>
        <w:spacing w:after="160" w:line="259" w:lineRule="auto"/>
        <w:contextualSpacing/>
        <w:rPr>
          <w:rFonts w:eastAsia="Aptos" w:cs="Arial"/>
          <w:color w:val="000000"/>
          <w:kern w:val="2"/>
          <w:szCs w:val="20"/>
          <w14:ligatures w14:val="standardContextual"/>
        </w:rPr>
      </w:pPr>
      <w:r w:rsidRPr="00BE038D">
        <w:rPr>
          <w:rFonts w:eastAsia="Aptos" w:cs="Arial"/>
          <w:color w:val="000000"/>
          <w:kern w:val="2"/>
          <w:szCs w:val="20"/>
          <w14:ligatures w14:val="standardContextual"/>
        </w:rPr>
        <w:t xml:space="preserve">Dokumentacija v zvezi z dodeljenimi spodbudami in ukrepi po tem zakonu se hrani </w:t>
      </w:r>
      <w:r w:rsidR="0065609A">
        <w:rPr>
          <w:rFonts w:eastAsia="Aptos" w:cs="Arial"/>
          <w:color w:val="000000"/>
          <w:kern w:val="2"/>
          <w:szCs w:val="20"/>
          <w14:ligatures w14:val="standardContextual"/>
        </w:rPr>
        <w:t>deset</w:t>
      </w:r>
      <w:r w:rsidRPr="00BE038D">
        <w:rPr>
          <w:rFonts w:eastAsia="Aptos" w:cs="Arial"/>
          <w:color w:val="000000"/>
          <w:kern w:val="2"/>
          <w:szCs w:val="20"/>
          <w14:ligatures w14:val="standardContextual"/>
        </w:rPr>
        <w:t xml:space="preserve"> let od zadnje dodelitve spodbude.</w:t>
      </w:r>
    </w:p>
    <w:p w14:paraId="0F609C8F" w14:textId="77777777" w:rsidR="006A1A7D" w:rsidRDefault="006A1A7D" w:rsidP="006A1A7D">
      <w:pPr>
        <w:rPr>
          <w:rFonts w:eastAsia="Aptos"/>
        </w:rPr>
      </w:pPr>
    </w:p>
    <w:p w14:paraId="5B14BD4D" w14:textId="43B28C1C" w:rsidR="005120A6" w:rsidRPr="00BE5832" w:rsidRDefault="005120A6" w:rsidP="005120A6">
      <w:pPr>
        <w:keepNext/>
        <w:keepLines/>
        <w:spacing w:before="360" w:after="80" w:line="259" w:lineRule="auto"/>
        <w:jc w:val="center"/>
        <w:outlineLvl w:val="0"/>
        <w:rPr>
          <w:rFonts w:eastAsia="Times New Roman" w:cs="Arial"/>
          <w:color w:val="000000"/>
          <w:kern w:val="2"/>
          <w:szCs w:val="20"/>
          <w14:ligatures w14:val="standardContextual"/>
        </w:rPr>
      </w:pPr>
      <w:r w:rsidRPr="00BE5832">
        <w:rPr>
          <w:rFonts w:eastAsia="Times New Roman" w:cs="Arial"/>
          <w:color w:val="000000"/>
          <w:kern w:val="2"/>
          <w:szCs w:val="20"/>
          <w14:ligatures w14:val="standardContextual"/>
        </w:rPr>
        <w:t xml:space="preserve">V. </w:t>
      </w:r>
      <w:r>
        <w:rPr>
          <w:rFonts w:eastAsia="Times New Roman" w:cs="Arial"/>
          <w:color w:val="000000"/>
          <w:kern w:val="2"/>
          <w:szCs w:val="20"/>
          <w14:ligatures w14:val="standardContextual"/>
        </w:rPr>
        <w:t>UKREPI ZA</w:t>
      </w:r>
      <w:r w:rsidRPr="00BE5832">
        <w:rPr>
          <w:rFonts w:eastAsia="Times New Roman" w:cs="Arial"/>
          <w:color w:val="000000"/>
          <w:kern w:val="2"/>
          <w:szCs w:val="20"/>
          <w14:ligatures w14:val="standardContextual"/>
        </w:rPr>
        <w:t xml:space="preserve"> RAZOGL</w:t>
      </w:r>
      <w:r w:rsidR="00CA4B37">
        <w:rPr>
          <w:rFonts w:eastAsia="Times New Roman" w:cs="Arial"/>
          <w:color w:val="000000"/>
          <w:kern w:val="2"/>
          <w:szCs w:val="20"/>
          <w14:ligatures w14:val="standardContextual"/>
        </w:rPr>
        <w:t>J</w:t>
      </w:r>
      <w:r w:rsidRPr="00BE5832">
        <w:rPr>
          <w:rFonts w:eastAsia="Times New Roman" w:cs="Arial"/>
          <w:color w:val="000000"/>
          <w:kern w:val="2"/>
          <w:szCs w:val="20"/>
          <w14:ligatures w14:val="standardContextual"/>
        </w:rPr>
        <w:t>IČENJ</w:t>
      </w:r>
      <w:r>
        <w:rPr>
          <w:rFonts w:eastAsia="Times New Roman" w:cs="Arial"/>
          <w:color w:val="000000"/>
          <w:kern w:val="2"/>
          <w:szCs w:val="20"/>
          <w14:ligatures w14:val="standardContextual"/>
        </w:rPr>
        <w:t>E</w:t>
      </w:r>
    </w:p>
    <w:p w14:paraId="45AF0B8A" w14:textId="77777777" w:rsidR="005120A6" w:rsidRPr="00BE5832" w:rsidRDefault="005120A6" w:rsidP="005120A6">
      <w:pPr>
        <w:keepNext/>
        <w:keepLines/>
        <w:numPr>
          <w:ilvl w:val="0"/>
          <w:numId w:val="70"/>
        </w:numPr>
        <w:spacing w:before="160" w:after="80" w:line="259" w:lineRule="auto"/>
        <w:jc w:val="center"/>
        <w:outlineLvl w:val="1"/>
        <w:rPr>
          <w:rFonts w:eastAsia="Times New Roman" w:cs="Arial"/>
          <w:color w:val="000000"/>
          <w:kern w:val="2"/>
          <w:szCs w:val="20"/>
          <w14:ligatures w14:val="standardContextual"/>
        </w:rPr>
      </w:pPr>
      <w:bookmarkStart w:id="46" w:name="_Hlk216168369"/>
      <w:r w:rsidRPr="00BE5832">
        <w:rPr>
          <w:rFonts w:eastAsia="Times New Roman" w:cs="Arial"/>
          <w:color w:val="000000"/>
          <w:kern w:val="2"/>
          <w:szCs w:val="20"/>
          <w14:ligatures w14:val="standardContextual"/>
        </w:rPr>
        <w:t>člen</w:t>
      </w:r>
    </w:p>
    <w:p w14:paraId="675A7B6E" w14:textId="77777777" w:rsidR="005120A6" w:rsidRPr="00BE5832" w:rsidRDefault="005120A6" w:rsidP="005120A6">
      <w:pPr>
        <w:spacing w:after="160" w:line="259" w:lineRule="auto"/>
        <w:ind w:left="720"/>
        <w:contextualSpacing/>
        <w:jc w:val="center"/>
        <w:rPr>
          <w:rFonts w:eastAsia="Aptos" w:cs="Arial"/>
          <w:color w:val="000000"/>
          <w:kern w:val="2"/>
          <w:szCs w:val="20"/>
          <w14:ligatures w14:val="standardContextual"/>
        </w:rPr>
      </w:pPr>
      <w:r w:rsidRPr="00BE5832">
        <w:rPr>
          <w:rFonts w:eastAsia="Aptos" w:cs="Arial"/>
          <w:color w:val="000000"/>
          <w:kern w:val="2"/>
          <w:szCs w:val="20"/>
          <w14:ligatures w14:val="standardContextual"/>
        </w:rPr>
        <w:t>(upravičene naložbe v razogljičenje)</w:t>
      </w:r>
    </w:p>
    <w:bookmarkEnd w:id="46"/>
    <w:p w14:paraId="153E240C" w14:textId="77777777" w:rsidR="005120A6" w:rsidRPr="00BE5832" w:rsidRDefault="005120A6" w:rsidP="005120A6">
      <w:pPr>
        <w:spacing w:after="160" w:line="259" w:lineRule="auto"/>
        <w:rPr>
          <w:rFonts w:eastAsia="Aptos" w:cs="Arial"/>
          <w:color w:val="000000"/>
          <w:kern w:val="2"/>
          <w:szCs w:val="20"/>
          <w14:ligatures w14:val="standardContextual"/>
        </w:rPr>
      </w:pPr>
    </w:p>
    <w:p w14:paraId="0BF9A838" w14:textId="34EC27BC" w:rsidR="005120A6" w:rsidRPr="00A81F03" w:rsidRDefault="005120A6" w:rsidP="005120A6">
      <w:pPr>
        <w:numPr>
          <w:ilvl w:val="0"/>
          <w:numId w:val="71"/>
        </w:numPr>
        <w:spacing w:after="0" w:line="259" w:lineRule="auto"/>
        <w:contextualSpacing/>
        <w:rPr>
          <w:rFonts w:eastAsia="Aptos" w:cs="Arial"/>
          <w:color w:val="000000"/>
          <w:kern w:val="2"/>
          <w:szCs w:val="20"/>
          <w14:ligatures w14:val="standardContextual"/>
        </w:rPr>
      </w:pPr>
      <w:r w:rsidRPr="00A81F03">
        <w:rPr>
          <w:rFonts w:eastAsia="Aptos" w:cs="Arial"/>
          <w:color w:val="000000"/>
          <w:kern w:val="2"/>
          <w:szCs w:val="20"/>
          <w14:ligatures w14:val="standardContextual"/>
        </w:rPr>
        <w:lastRenderedPageBreak/>
        <w:t xml:space="preserve">Prejemniki spodbud morajo </w:t>
      </w:r>
      <w:r w:rsidR="00460157">
        <w:rPr>
          <w:rFonts w:eastAsia="Aptos" w:cs="Arial"/>
          <w:color w:val="000000"/>
          <w:kern w:val="2"/>
          <w:szCs w:val="20"/>
          <w14:ligatures w14:val="standardContextual"/>
        </w:rPr>
        <w:t>najmanj</w:t>
      </w:r>
      <w:r w:rsidR="009B4A9C" w:rsidRPr="00A81F03">
        <w:rPr>
          <w:rFonts w:eastAsia="Aptos" w:cs="Arial"/>
          <w:color w:val="000000"/>
          <w:kern w:val="2"/>
          <w:szCs w:val="20"/>
          <w14:ligatures w14:val="standardContextual"/>
        </w:rPr>
        <w:t xml:space="preserve"> v višini 50 % zneska prejetih spodbud </w:t>
      </w:r>
      <w:r w:rsidRPr="00A81F03">
        <w:rPr>
          <w:rFonts w:eastAsia="Aptos" w:cs="Arial"/>
          <w:color w:val="000000"/>
          <w:kern w:val="2"/>
          <w:szCs w:val="20"/>
          <w14:ligatures w14:val="standardContextual"/>
        </w:rPr>
        <w:t>investirati v trajnostne naložbe v razogljičenje (v nadaljnjem besedilu: naložbe), kot so:</w:t>
      </w:r>
    </w:p>
    <w:p w14:paraId="03B7273E" w14:textId="77777777" w:rsidR="005120A6" w:rsidRPr="00BE5832" w:rsidRDefault="005120A6" w:rsidP="005120A6">
      <w:pPr>
        <w:numPr>
          <w:ilvl w:val="0"/>
          <w:numId w:val="93"/>
        </w:numPr>
        <w:spacing w:after="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 xml:space="preserve">naprave za proizvodnjo energije iz obnovljivih virov, </w:t>
      </w:r>
    </w:p>
    <w:p w14:paraId="24692029" w14:textId="77777777" w:rsidR="005120A6" w:rsidRPr="00BE5832" w:rsidRDefault="005120A6" w:rsidP="005120A6">
      <w:pPr>
        <w:numPr>
          <w:ilvl w:val="0"/>
          <w:numId w:val="93"/>
        </w:numPr>
        <w:spacing w:after="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 xml:space="preserve">baterijski hranilniki električne energije in druge tehnološke rešitve za shranjevanje energije, </w:t>
      </w:r>
    </w:p>
    <w:p w14:paraId="700385EE" w14:textId="77777777" w:rsidR="005120A6" w:rsidRPr="00BE5832" w:rsidRDefault="005120A6" w:rsidP="005120A6">
      <w:pPr>
        <w:numPr>
          <w:ilvl w:val="0"/>
          <w:numId w:val="93"/>
        </w:numPr>
        <w:spacing w:after="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 xml:space="preserve">ukrepi za povečanje prožnosti na strani povpraševanja po električni energiji, </w:t>
      </w:r>
    </w:p>
    <w:p w14:paraId="5235EEC6" w14:textId="186C76A9" w:rsidR="005120A6" w:rsidRPr="00BE5832" w:rsidRDefault="005120A6" w:rsidP="005120A6">
      <w:pPr>
        <w:numPr>
          <w:ilvl w:val="0"/>
          <w:numId w:val="93"/>
        </w:numPr>
        <w:spacing w:after="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zamenjava transformatorjev z energetsko učinkovit</w:t>
      </w:r>
      <w:r w:rsidR="00ED700E">
        <w:rPr>
          <w:rFonts w:eastAsia="Aptos" w:cs="Arial"/>
          <w:color w:val="000000"/>
          <w:kern w:val="2"/>
          <w:szCs w:val="20"/>
          <w14:ligatures w14:val="standardContextual"/>
        </w:rPr>
        <w:t>ejšimi</w:t>
      </w:r>
      <w:r w:rsidRPr="00BE5832">
        <w:rPr>
          <w:rFonts w:eastAsia="Aptos" w:cs="Arial"/>
          <w:color w:val="000000"/>
          <w:kern w:val="2"/>
          <w:szCs w:val="20"/>
          <w14:ligatures w14:val="standardContextual"/>
        </w:rPr>
        <w:t xml:space="preserve"> in posodobitve razdelilnih naprav na vseh napetostnih nivojih ter </w:t>
      </w:r>
      <w:r>
        <w:rPr>
          <w:rFonts w:eastAsia="Aptos" w:cs="Arial"/>
          <w:color w:val="000000"/>
          <w:kern w:val="2"/>
          <w:szCs w:val="20"/>
          <w14:ligatures w14:val="standardContextual"/>
        </w:rPr>
        <w:t>drugi</w:t>
      </w:r>
      <w:r w:rsidRPr="00BE5832">
        <w:rPr>
          <w:rFonts w:eastAsia="Aptos" w:cs="Arial"/>
          <w:color w:val="000000"/>
          <w:kern w:val="2"/>
          <w:szCs w:val="20"/>
          <w14:ligatures w14:val="standardContextual"/>
        </w:rPr>
        <w:t xml:space="preserve"> ukrepi za izboljšanj</w:t>
      </w:r>
      <w:r w:rsidR="00BB168E">
        <w:rPr>
          <w:rFonts w:eastAsia="Aptos" w:cs="Arial"/>
          <w:color w:val="000000"/>
          <w:kern w:val="2"/>
          <w:szCs w:val="20"/>
          <w14:ligatures w14:val="standardContextual"/>
        </w:rPr>
        <w:t>e</w:t>
      </w:r>
      <w:r w:rsidRPr="00BE5832">
        <w:rPr>
          <w:rFonts w:eastAsia="Aptos" w:cs="Arial"/>
          <w:color w:val="000000"/>
          <w:kern w:val="2"/>
          <w:szCs w:val="20"/>
          <w14:ligatures w14:val="standardContextual"/>
        </w:rPr>
        <w:t xml:space="preserve"> energetske učinkovitosti, ki vplivajo na z</w:t>
      </w:r>
      <w:r w:rsidR="00460157">
        <w:rPr>
          <w:rFonts w:eastAsia="Aptos" w:cs="Arial"/>
          <w:color w:val="000000"/>
          <w:kern w:val="2"/>
          <w:szCs w:val="20"/>
          <w14:ligatures w14:val="standardContextual"/>
        </w:rPr>
        <w:t>manjšanje</w:t>
      </w:r>
      <w:r w:rsidRPr="00BE5832">
        <w:rPr>
          <w:rFonts w:eastAsia="Aptos" w:cs="Arial"/>
          <w:color w:val="000000"/>
          <w:kern w:val="2"/>
          <w:szCs w:val="20"/>
          <w14:ligatures w14:val="standardContextual"/>
        </w:rPr>
        <w:t xml:space="preserve"> porabe električne energije, </w:t>
      </w:r>
    </w:p>
    <w:p w14:paraId="7A1610BF" w14:textId="77777777" w:rsidR="005120A6" w:rsidRPr="00BE5832" w:rsidRDefault="005120A6" w:rsidP="005120A6">
      <w:pPr>
        <w:numPr>
          <w:ilvl w:val="0"/>
          <w:numId w:val="93"/>
        </w:numPr>
        <w:spacing w:after="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sistemi izrabe odvečne toplote,</w:t>
      </w:r>
    </w:p>
    <w:p w14:paraId="3B8D6207" w14:textId="77777777" w:rsidR="005120A6" w:rsidRPr="00BE5832" w:rsidRDefault="005120A6" w:rsidP="005120A6">
      <w:pPr>
        <w:numPr>
          <w:ilvl w:val="0"/>
          <w:numId w:val="93"/>
        </w:numPr>
        <w:spacing w:after="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elektrolizatorji in druga oprema za proizvodnjo obnovljivega ali nizkoogljičnega vodika ali drugih zelenih goriv,</w:t>
      </w:r>
    </w:p>
    <w:p w14:paraId="39F67D16" w14:textId="6B0CFA31" w:rsidR="005120A6" w:rsidRPr="00BE5832" w:rsidRDefault="005120A6" w:rsidP="005120A6">
      <w:pPr>
        <w:numPr>
          <w:ilvl w:val="0"/>
          <w:numId w:val="93"/>
        </w:numPr>
        <w:spacing w:after="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 xml:space="preserve">naložbe za elektrifikacijo, s katerimi se </w:t>
      </w:r>
      <w:r w:rsidR="00460157">
        <w:rPr>
          <w:rFonts w:eastAsia="Aptos" w:cs="Arial"/>
          <w:color w:val="000000"/>
          <w:kern w:val="2"/>
          <w:szCs w:val="20"/>
          <w14:ligatures w14:val="standardContextual"/>
        </w:rPr>
        <w:t>zmanjša</w:t>
      </w:r>
      <w:r w:rsidRPr="00BE5832">
        <w:rPr>
          <w:rFonts w:eastAsia="Aptos" w:cs="Arial"/>
          <w:color w:val="000000"/>
          <w:kern w:val="2"/>
          <w:szCs w:val="20"/>
          <w14:ligatures w14:val="standardContextual"/>
        </w:rPr>
        <w:t xml:space="preserve"> poraba fosilnih energentov. </w:t>
      </w:r>
    </w:p>
    <w:p w14:paraId="402986F7" w14:textId="77777777" w:rsidR="005120A6" w:rsidRPr="00BE5832" w:rsidRDefault="005120A6" w:rsidP="005120A6">
      <w:pPr>
        <w:spacing w:after="0" w:line="259" w:lineRule="auto"/>
        <w:rPr>
          <w:rFonts w:eastAsia="Aptos" w:cs="Arial"/>
          <w:color w:val="000000"/>
          <w:kern w:val="2"/>
          <w:szCs w:val="20"/>
          <w14:ligatures w14:val="standardContextual"/>
        </w:rPr>
      </w:pPr>
    </w:p>
    <w:p w14:paraId="142B80A2" w14:textId="77777777" w:rsidR="005120A6" w:rsidRPr="00BE5832" w:rsidRDefault="005120A6" w:rsidP="005120A6">
      <w:pPr>
        <w:numPr>
          <w:ilvl w:val="0"/>
          <w:numId w:val="71"/>
        </w:numPr>
        <w:spacing w:after="16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 xml:space="preserve">Za naložbe upravičenci ne smejo prejemati pomoči iz drugega ukrepa državnih pomoči. </w:t>
      </w:r>
    </w:p>
    <w:p w14:paraId="63F28497" w14:textId="77777777" w:rsidR="005120A6" w:rsidRPr="00BE5832" w:rsidRDefault="005120A6" w:rsidP="005120A6">
      <w:pPr>
        <w:spacing w:after="160" w:line="259" w:lineRule="auto"/>
        <w:ind w:left="720"/>
        <w:contextualSpacing/>
        <w:rPr>
          <w:rFonts w:eastAsia="Aptos" w:cs="Arial"/>
          <w:color w:val="000000"/>
          <w:kern w:val="2"/>
          <w:szCs w:val="20"/>
          <w14:ligatures w14:val="standardContextual"/>
        </w:rPr>
      </w:pPr>
    </w:p>
    <w:p w14:paraId="69D58878" w14:textId="346FB24D" w:rsidR="005120A6" w:rsidRDefault="005120A6" w:rsidP="005120A6">
      <w:pPr>
        <w:numPr>
          <w:ilvl w:val="0"/>
          <w:numId w:val="71"/>
        </w:numPr>
        <w:spacing w:after="16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 xml:space="preserve">Investicije v naložbe se priznajo le za nove naložbe. Investicije za nakup rabljenih, obnovljenih, pilotnih in prototipnih naprav se ne štejejo za </w:t>
      </w:r>
      <w:r w:rsidR="00460157">
        <w:rPr>
          <w:rFonts w:eastAsia="Aptos" w:cs="Arial"/>
          <w:color w:val="000000"/>
          <w:kern w:val="2"/>
          <w:szCs w:val="20"/>
          <w14:ligatures w14:val="standardContextual"/>
        </w:rPr>
        <w:t xml:space="preserve">investicije v </w:t>
      </w:r>
      <w:r w:rsidRPr="00BE5832">
        <w:rPr>
          <w:rFonts w:eastAsia="Aptos" w:cs="Arial"/>
          <w:color w:val="000000"/>
          <w:kern w:val="2"/>
          <w:szCs w:val="20"/>
          <w14:ligatures w14:val="standardContextual"/>
        </w:rPr>
        <w:t>naložbe.</w:t>
      </w:r>
    </w:p>
    <w:p w14:paraId="3FE147D9" w14:textId="77777777" w:rsidR="005120A6" w:rsidRPr="004629F9" w:rsidRDefault="005120A6" w:rsidP="005120A6">
      <w:pPr>
        <w:spacing w:after="160" w:line="259" w:lineRule="auto"/>
        <w:contextualSpacing/>
        <w:rPr>
          <w:rFonts w:eastAsia="Aptos" w:cs="Arial"/>
          <w:color w:val="000000"/>
          <w:kern w:val="2"/>
          <w:szCs w:val="20"/>
          <w14:ligatures w14:val="standardContextual"/>
        </w:rPr>
      </w:pPr>
    </w:p>
    <w:p w14:paraId="1DAB8D8F" w14:textId="77777777" w:rsidR="005120A6" w:rsidRPr="00BE5832" w:rsidRDefault="005120A6" w:rsidP="005120A6">
      <w:pPr>
        <w:spacing w:after="160" w:line="259" w:lineRule="auto"/>
        <w:contextualSpacing/>
        <w:rPr>
          <w:rFonts w:eastAsia="Aptos" w:cs="Arial"/>
          <w:color w:val="000000"/>
          <w:kern w:val="2"/>
          <w:szCs w:val="20"/>
          <w14:ligatures w14:val="standardContextual"/>
        </w:rPr>
      </w:pPr>
    </w:p>
    <w:p w14:paraId="59625CD2" w14:textId="77777777" w:rsidR="005120A6" w:rsidRPr="00BE5832" w:rsidRDefault="005120A6" w:rsidP="005120A6">
      <w:pPr>
        <w:spacing w:after="160" w:line="259" w:lineRule="auto"/>
        <w:ind w:left="720"/>
        <w:contextualSpacing/>
        <w:rPr>
          <w:rFonts w:eastAsia="Aptos" w:cs="Arial"/>
          <w:color w:val="000000"/>
          <w:kern w:val="2"/>
          <w:szCs w:val="20"/>
          <w14:ligatures w14:val="standardContextual"/>
        </w:rPr>
      </w:pPr>
    </w:p>
    <w:p w14:paraId="2D8FD522" w14:textId="77777777" w:rsidR="005120A6" w:rsidRPr="00BE5832" w:rsidRDefault="005120A6" w:rsidP="005120A6">
      <w:pPr>
        <w:keepNext/>
        <w:keepLines/>
        <w:numPr>
          <w:ilvl w:val="0"/>
          <w:numId w:val="70"/>
        </w:numPr>
        <w:spacing w:before="160" w:after="80" w:line="259" w:lineRule="auto"/>
        <w:jc w:val="center"/>
        <w:outlineLvl w:val="1"/>
        <w:rPr>
          <w:rFonts w:eastAsia="Times New Roman" w:cs="Arial"/>
          <w:color w:val="000000"/>
          <w:kern w:val="2"/>
          <w:szCs w:val="20"/>
          <w14:ligatures w14:val="standardContextual"/>
        </w:rPr>
      </w:pPr>
      <w:r w:rsidRPr="00BE5832">
        <w:rPr>
          <w:rFonts w:eastAsia="Times New Roman" w:cs="Arial"/>
          <w:color w:val="000000"/>
          <w:kern w:val="2"/>
          <w:szCs w:val="20"/>
          <w14:ligatures w14:val="standardContextual"/>
        </w:rPr>
        <w:t>člen</w:t>
      </w:r>
    </w:p>
    <w:p w14:paraId="01F041F6" w14:textId="77777777" w:rsidR="005120A6" w:rsidRPr="00BE5832" w:rsidRDefault="005120A6" w:rsidP="005120A6">
      <w:pPr>
        <w:spacing w:after="160" w:line="259" w:lineRule="auto"/>
        <w:ind w:left="720"/>
        <w:contextualSpacing/>
        <w:jc w:val="center"/>
        <w:rPr>
          <w:rFonts w:eastAsia="Aptos" w:cs="Arial"/>
          <w:color w:val="000000"/>
          <w:kern w:val="2"/>
          <w:szCs w:val="20"/>
          <w14:ligatures w14:val="standardContextual"/>
        </w:rPr>
      </w:pPr>
      <w:r w:rsidRPr="00BE5832">
        <w:rPr>
          <w:rFonts w:eastAsia="Aptos" w:cs="Arial"/>
          <w:color w:val="000000"/>
          <w:kern w:val="2"/>
          <w:szCs w:val="20"/>
          <w14:ligatures w14:val="standardContextual"/>
        </w:rPr>
        <w:t>(obveznosti glede naložb)</w:t>
      </w:r>
    </w:p>
    <w:p w14:paraId="791F2E37" w14:textId="77777777" w:rsidR="005120A6" w:rsidRPr="00BE5832" w:rsidRDefault="005120A6" w:rsidP="005120A6">
      <w:pPr>
        <w:spacing w:after="160" w:line="259" w:lineRule="auto"/>
        <w:rPr>
          <w:rFonts w:eastAsia="Aptos" w:cs="Arial"/>
          <w:color w:val="000000"/>
          <w:kern w:val="2"/>
          <w:szCs w:val="20"/>
          <w14:ligatures w14:val="standardContextual"/>
        </w:rPr>
      </w:pPr>
    </w:p>
    <w:p w14:paraId="3C3CE87F" w14:textId="349F01BA" w:rsidR="005120A6" w:rsidRPr="00BE5832" w:rsidRDefault="005120A6" w:rsidP="005120A6">
      <w:pPr>
        <w:numPr>
          <w:ilvl w:val="0"/>
          <w:numId w:val="72"/>
        </w:numPr>
        <w:spacing w:after="16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 xml:space="preserve">Naložbe </w:t>
      </w:r>
      <w:r>
        <w:rPr>
          <w:rFonts w:eastAsia="Aptos" w:cs="Arial"/>
          <w:color w:val="000000"/>
          <w:kern w:val="2"/>
          <w:szCs w:val="20"/>
          <w14:ligatures w14:val="standardContextual"/>
        </w:rPr>
        <w:t>se morajo</w:t>
      </w:r>
      <w:r w:rsidRPr="00BE5832">
        <w:rPr>
          <w:rFonts w:eastAsia="Aptos" w:cs="Arial"/>
          <w:color w:val="000000"/>
          <w:kern w:val="2"/>
          <w:szCs w:val="20"/>
          <w14:ligatures w14:val="standardContextual"/>
        </w:rPr>
        <w:t xml:space="preserve"> začeti izvajati naj</w:t>
      </w:r>
      <w:r w:rsidR="00F11708">
        <w:rPr>
          <w:rFonts w:eastAsia="Aptos" w:cs="Arial"/>
          <w:color w:val="000000"/>
          <w:kern w:val="2"/>
          <w:szCs w:val="20"/>
          <w14:ligatures w14:val="standardContextual"/>
        </w:rPr>
        <w:t>pozneje</w:t>
      </w:r>
      <w:r w:rsidRPr="00BE5832">
        <w:rPr>
          <w:rFonts w:eastAsia="Aptos" w:cs="Arial"/>
          <w:color w:val="000000"/>
          <w:kern w:val="2"/>
          <w:szCs w:val="20"/>
          <w14:ligatures w14:val="standardContextual"/>
        </w:rPr>
        <w:t xml:space="preserve"> v 48 mesecih od dodelitve spodbud</w:t>
      </w:r>
      <w:r>
        <w:rPr>
          <w:rFonts w:eastAsia="Aptos" w:cs="Arial"/>
          <w:color w:val="000000"/>
          <w:kern w:val="2"/>
          <w:szCs w:val="20"/>
          <w14:ligatures w14:val="standardContextual"/>
        </w:rPr>
        <w:t>e</w:t>
      </w:r>
      <w:r w:rsidRPr="00BE5832">
        <w:rPr>
          <w:rFonts w:eastAsia="Aptos" w:cs="Arial"/>
          <w:color w:val="000000"/>
          <w:kern w:val="2"/>
          <w:szCs w:val="20"/>
          <w14:ligatures w14:val="standardContextual"/>
        </w:rPr>
        <w:t xml:space="preserve">, razen če upravičenec z obrazložitvijo v vlogi iz </w:t>
      </w:r>
      <w:r w:rsidR="004E30C5">
        <w:rPr>
          <w:rFonts w:eastAsia="Aptos" w:cs="Arial"/>
          <w:color w:val="000000"/>
          <w:kern w:val="2"/>
          <w:szCs w:val="20"/>
          <w14:ligatures w14:val="standardContextual"/>
        </w:rPr>
        <w:t>5</w:t>
      </w:r>
      <w:r w:rsidRPr="00BE5832">
        <w:rPr>
          <w:rFonts w:eastAsia="Aptos" w:cs="Arial"/>
          <w:color w:val="000000"/>
          <w:kern w:val="2"/>
          <w:szCs w:val="20"/>
          <w14:ligatures w14:val="standardContextual"/>
        </w:rPr>
        <w:t>. člena tega zakona dokaže, da je zaradi tehničnih razlogov primer</w:t>
      </w:r>
      <w:r w:rsidR="00460157">
        <w:rPr>
          <w:rFonts w:eastAsia="Aptos" w:cs="Arial"/>
          <w:color w:val="000000"/>
          <w:kern w:val="2"/>
          <w:szCs w:val="20"/>
          <w14:ligatures w14:val="standardContextual"/>
        </w:rPr>
        <w:t>no daljše obdobje</w:t>
      </w:r>
      <w:r w:rsidRPr="00BE5832">
        <w:rPr>
          <w:rFonts w:eastAsia="Aptos" w:cs="Arial"/>
          <w:color w:val="000000"/>
          <w:kern w:val="2"/>
          <w:szCs w:val="20"/>
          <w14:ligatures w14:val="standardContextual"/>
        </w:rPr>
        <w:t>, kar podrobneje opredeli v vlogi.</w:t>
      </w:r>
      <w:r w:rsidR="00B57637">
        <w:rPr>
          <w:rFonts w:eastAsia="Aptos" w:cs="Arial"/>
          <w:color w:val="000000"/>
          <w:kern w:val="2"/>
          <w:szCs w:val="20"/>
          <w14:ligatures w14:val="standardContextual"/>
        </w:rPr>
        <w:t xml:space="preserve"> </w:t>
      </w:r>
      <w:r w:rsidR="00910750">
        <w:rPr>
          <w:rFonts w:eastAsia="Aptos" w:cs="Arial"/>
          <w:color w:val="000000"/>
          <w:kern w:val="2"/>
          <w:szCs w:val="20"/>
          <w14:ligatures w14:val="standardContextual"/>
        </w:rPr>
        <w:t>Med tehnične razloge se štejejo okoliščine</w:t>
      </w:r>
      <w:r w:rsidR="00910750" w:rsidRPr="00910750">
        <w:rPr>
          <w:rFonts w:eastAsia="Aptos" w:cs="Arial"/>
          <w:color w:val="000000"/>
          <w:kern w:val="2"/>
          <w:szCs w:val="20"/>
          <w14:ligatures w14:val="standardContextual"/>
        </w:rPr>
        <w:t>, ki niso posledica ravnanja ali opustit</w:t>
      </w:r>
      <w:r w:rsidR="00F11708">
        <w:rPr>
          <w:rFonts w:eastAsia="Aptos" w:cs="Arial"/>
          <w:color w:val="000000"/>
          <w:kern w:val="2"/>
          <w:szCs w:val="20"/>
          <w14:ligatures w14:val="standardContextual"/>
        </w:rPr>
        <w:t>ve</w:t>
      </w:r>
      <w:r w:rsidR="00910750" w:rsidRPr="00910750">
        <w:rPr>
          <w:rFonts w:eastAsia="Aptos" w:cs="Arial"/>
          <w:color w:val="000000"/>
          <w:kern w:val="2"/>
          <w:szCs w:val="20"/>
          <w14:ligatures w14:val="standardContextual"/>
        </w:rPr>
        <w:t xml:space="preserve"> prejemnika spodbude, </w:t>
      </w:r>
      <w:r w:rsidR="00910750">
        <w:rPr>
          <w:rFonts w:eastAsia="Aptos" w:cs="Arial"/>
          <w:color w:val="000000"/>
          <w:kern w:val="2"/>
          <w:szCs w:val="20"/>
          <w14:ligatures w14:val="standardContextual"/>
        </w:rPr>
        <w:t xml:space="preserve">kot so zamude </w:t>
      </w:r>
      <w:r w:rsidR="00910750" w:rsidRPr="00910750">
        <w:rPr>
          <w:rFonts w:eastAsia="Aptos" w:cs="Arial"/>
          <w:color w:val="000000"/>
          <w:kern w:val="2"/>
          <w:szCs w:val="20"/>
          <w14:ligatures w14:val="standardContextual"/>
        </w:rPr>
        <w:t>pri pridobivanju dovoljenj, izpolnjevanj</w:t>
      </w:r>
      <w:r w:rsidR="00B57637">
        <w:rPr>
          <w:rFonts w:eastAsia="Aptos" w:cs="Arial"/>
          <w:color w:val="000000"/>
          <w:kern w:val="2"/>
          <w:szCs w:val="20"/>
          <w14:ligatures w14:val="standardContextual"/>
        </w:rPr>
        <w:t>u</w:t>
      </w:r>
      <w:r w:rsidR="00910750" w:rsidRPr="00910750">
        <w:rPr>
          <w:rFonts w:eastAsia="Aptos" w:cs="Arial"/>
          <w:color w:val="000000"/>
          <w:kern w:val="2"/>
          <w:szCs w:val="20"/>
          <w14:ligatures w14:val="standardContextual"/>
        </w:rPr>
        <w:t xml:space="preserve"> rokov s strani </w:t>
      </w:r>
      <w:r w:rsidR="00910750">
        <w:rPr>
          <w:rFonts w:eastAsia="Aptos" w:cs="Arial"/>
          <w:color w:val="000000"/>
          <w:kern w:val="2"/>
          <w:szCs w:val="20"/>
          <w14:ligatures w14:val="standardContextual"/>
        </w:rPr>
        <w:t>izvajalcev</w:t>
      </w:r>
      <w:r w:rsidR="00F11708">
        <w:rPr>
          <w:rFonts w:eastAsia="Aptos" w:cs="Arial"/>
          <w:color w:val="000000"/>
          <w:kern w:val="2"/>
          <w:szCs w:val="20"/>
          <w14:ligatures w14:val="standardContextual"/>
        </w:rPr>
        <w:t xml:space="preserve"> in pri</w:t>
      </w:r>
      <w:r w:rsidR="00910750">
        <w:rPr>
          <w:rFonts w:eastAsia="Aptos" w:cs="Arial"/>
          <w:color w:val="000000"/>
          <w:kern w:val="2"/>
          <w:szCs w:val="20"/>
          <w14:ligatures w14:val="standardContextual"/>
        </w:rPr>
        <w:t xml:space="preserve"> </w:t>
      </w:r>
      <w:r w:rsidR="00A856C4">
        <w:rPr>
          <w:rFonts w:eastAsia="Aptos" w:cs="Arial"/>
          <w:color w:val="000000"/>
          <w:kern w:val="2"/>
          <w:szCs w:val="20"/>
          <w14:ligatures w14:val="standardContextual"/>
        </w:rPr>
        <w:t>zagotavljanju</w:t>
      </w:r>
      <w:r w:rsidR="00910750">
        <w:rPr>
          <w:rFonts w:eastAsia="Aptos" w:cs="Arial"/>
          <w:color w:val="000000"/>
          <w:kern w:val="2"/>
          <w:szCs w:val="20"/>
          <w14:ligatures w14:val="standardContextual"/>
        </w:rPr>
        <w:t xml:space="preserve"> finančnih virov</w:t>
      </w:r>
      <w:r w:rsidR="00910750" w:rsidRPr="00910750">
        <w:rPr>
          <w:rFonts w:eastAsia="Aptos" w:cs="Arial"/>
          <w:color w:val="000000"/>
          <w:kern w:val="2"/>
          <w:szCs w:val="20"/>
          <w14:ligatures w14:val="standardContextual"/>
        </w:rPr>
        <w:t>.</w:t>
      </w:r>
    </w:p>
    <w:p w14:paraId="07B02BED" w14:textId="77777777" w:rsidR="005120A6" w:rsidRPr="00BE5832" w:rsidRDefault="005120A6" w:rsidP="005120A6">
      <w:pPr>
        <w:spacing w:after="160" w:line="259" w:lineRule="auto"/>
        <w:ind w:left="720"/>
        <w:contextualSpacing/>
        <w:rPr>
          <w:rFonts w:eastAsia="Aptos" w:cs="Arial"/>
          <w:color w:val="000000"/>
          <w:kern w:val="2"/>
          <w:szCs w:val="20"/>
          <w14:ligatures w14:val="standardContextual"/>
        </w:rPr>
      </w:pPr>
    </w:p>
    <w:p w14:paraId="5D556D6F" w14:textId="1216CC49" w:rsidR="0019797D" w:rsidRDefault="005120A6" w:rsidP="0019797D">
      <w:pPr>
        <w:numPr>
          <w:ilvl w:val="0"/>
          <w:numId w:val="72"/>
        </w:numPr>
        <w:spacing w:after="0" w:line="259" w:lineRule="auto"/>
        <w:contextualSpacing/>
        <w:rPr>
          <w:rFonts w:eastAsia="Aptos" w:cs="Arial"/>
          <w:color w:val="000000"/>
          <w:kern w:val="2"/>
          <w:szCs w:val="20"/>
          <w14:ligatures w14:val="standardContextual"/>
        </w:rPr>
      </w:pPr>
      <w:r w:rsidRPr="0019797D">
        <w:rPr>
          <w:rFonts w:eastAsia="Aptos" w:cs="Arial"/>
          <w:color w:val="000000"/>
          <w:kern w:val="2"/>
          <w:szCs w:val="20"/>
          <w14:ligatures w14:val="standardContextual"/>
        </w:rPr>
        <w:t>Za posamezno naložbo se lahko namenijo spodbude, ki se prejmejo za več let. V tem primeru se naložbe začnejo izvajati naj</w:t>
      </w:r>
      <w:r w:rsidR="00F11708">
        <w:rPr>
          <w:rFonts w:eastAsia="Aptos" w:cs="Arial"/>
          <w:color w:val="000000"/>
          <w:kern w:val="2"/>
          <w:szCs w:val="20"/>
          <w14:ligatures w14:val="standardContextual"/>
        </w:rPr>
        <w:t>pozneje</w:t>
      </w:r>
      <w:r w:rsidRPr="0019797D">
        <w:rPr>
          <w:rFonts w:eastAsia="Aptos" w:cs="Arial"/>
          <w:color w:val="000000"/>
          <w:kern w:val="2"/>
          <w:szCs w:val="20"/>
          <w14:ligatures w14:val="standardContextual"/>
        </w:rPr>
        <w:t xml:space="preserve"> v 48 mesecih od dodelitve spodbude za zadnje leto upravičenosti.</w:t>
      </w:r>
    </w:p>
    <w:p w14:paraId="31542D37" w14:textId="77777777" w:rsidR="0019797D" w:rsidRDefault="0019797D" w:rsidP="0019797D">
      <w:pPr>
        <w:pStyle w:val="Odstavekseznama"/>
        <w:spacing w:after="0"/>
        <w:rPr>
          <w:rFonts w:eastAsia="Aptos" w:cs="Arial"/>
          <w:color w:val="000000"/>
          <w:kern w:val="2"/>
          <w:szCs w:val="20"/>
          <w14:ligatures w14:val="standardContextual"/>
        </w:rPr>
      </w:pPr>
    </w:p>
    <w:p w14:paraId="443782C1" w14:textId="27EA29E1" w:rsidR="005120A6" w:rsidRDefault="005120A6" w:rsidP="0019797D">
      <w:pPr>
        <w:numPr>
          <w:ilvl w:val="0"/>
          <w:numId w:val="72"/>
        </w:numPr>
        <w:spacing w:after="0" w:line="259" w:lineRule="auto"/>
        <w:contextualSpacing/>
        <w:rPr>
          <w:rFonts w:eastAsia="Aptos" w:cs="Arial"/>
          <w:color w:val="000000"/>
          <w:kern w:val="2"/>
          <w:szCs w:val="20"/>
          <w14:ligatures w14:val="standardContextual"/>
        </w:rPr>
      </w:pPr>
      <w:r w:rsidRPr="0019797D">
        <w:rPr>
          <w:rFonts w:eastAsia="Aptos" w:cs="Arial"/>
          <w:color w:val="000000"/>
          <w:kern w:val="2"/>
          <w:szCs w:val="20"/>
          <w14:ligatures w14:val="standardContextual"/>
        </w:rPr>
        <w:t>Upravičenec, ki prejme spodbudo po tem zakonu, mora ostati lastnik naložbe, v katero je investiral, še najmanj pet let po njenem dokončanju.</w:t>
      </w:r>
    </w:p>
    <w:p w14:paraId="1DBC4AAB" w14:textId="77777777" w:rsidR="00043D98" w:rsidRDefault="00043D98" w:rsidP="00043D98">
      <w:pPr>
        <w:pStyle w:val="Odstavekseznama"/>
        <w:rPr>
          <w:rFonts w:eastAsia="Aptos" w:cs="Arial"/>
          <w:color w:val="000000"/>
          <w:kern w:val="2"/>
          <w:szCs w:val="20"/>
          <w14:ligatures w14:val="standardContextual"/>
        </w:rPr>
      </w:pPr>
    </w:p>
    <w:p w14:paraId="3C390076" w14:textId="7B3AC609" w:rsidR="00043D98" w:rsidRPr="00043D98" w:rsidRDefault="00043D98" w:rsidP="00043D98">
      <w:pPr>
        <w:numPr>
          <w:ilvl w:val="0"/>
          <w:numId w:val="72"/>
        </w:numPr>
        <w:spacing w:after="0" w:line="259" w:lineRule="auto"/>
        <w:contextualSpacing/>
        <w:rPr>
          <w:rFonts w:eastAsia="Aptos" w:cs="Arial"/>
          <w:color w:val="000000"/>
          <w:kern w:val="2"/>
          <w:szCs w:val="20"/>
          <w14:ligatures w14:val="standardContextual"/>
        </w:rPr>
      </w:pPr>
      <w:r w:rsidRPr="00043D98">
        <w:rPr>
          <w:rFonts w:eastAsia="Aptos" w:cs="Arial"/>
          <w:color w:val="000000"/>
          <w:kern w:val="2"/>
          <w:szCs w:val="20"/>
          <w14:ligatures w14:val="standardContextual"/>
        </w:rPr>
        <w:t>Dokler podjetje ne izvede naložb v razogljičenje, za katere se je zavezalo z načrtom naložb v vlogi na javni poziv po tem ukrepu, ne sme:</w:t>
      </w:r>
    </w:p>
    <w:p w14:paraId="65B61D60" w14:textId="0FA7BD4D" w:rsidR="00043D98" w:rsidRPr="00043D98" w:rsidRDefault="00043D98" w:rsidP="00043D98">
      <w:pPr>
        <w:pStyle w:val="Odstavekseznama"/>
        <w:numPr>
          <w:ilvl w:val="0"/>
          <w:numId w:val="84"/>
        </w:numPr>
        <w:spacing w:after="0" w:line="259" w:lineRule="auto"/>
        <w:contextualSpacing/>
        <w:rPr>
          <w:rFonts w:eastAsia="Aptos" w:cs="Arial"/>
          <w:color w:val="000000"/>
          <w:kern w:val="2"/>
          <w:szCs w:val="20"/>
          <w14:ligatures w14:val="standardContextual"/>
        </w:rPr>
      </w:pPr>
      <w:r w:rsidRPr="00043D98">
        <w:rPr>
          <w:rFonts w:eastAsia="Aptos" w:cs="Arial"/>
          <w:color w:val="000000"/>
          <w:kern w:val="2"/>
          <w:szCs w:val="20"/>
          <w14:ligatures w14:val="standardContextual"/>
        </w:rPr>
        <w:t>iz čistega dobička poslovnega leta, za katero je prejelo spodbudo po tem zakonu, izplačati dividend ali izvajati odkupa lastnih deležev oziroma delnic v znesku, ki presega razliko med čistim dobičkom posameznega poslovnega leta po sprejetju letnega poročila in skupnim zneskom spodbude, ki se nanaša na to poslovno leto, vključno z izplačanimi akontacijami in poračunom, ne glede na datum izplačila spodbude. Če je čisti dobiček posameznega poslovnega leta nižji ali enak znesku spodbude, ki se nanaša na isto leto, izplačilo dividend ali odkup lastnih deležev oziroma delnic iz čistega dobička tega poslovnega leta ni dovoljen;</w:t>
      </w:r>
    </w:p>
    <w:p w14:paraId="1691D0BB" w14:textId="01C1EA3F" w:rsidR="00043D98" w:rsidRPr="00043D98" w:rsidRDefault="00043D98" w:rsidP="00043D98">
      <w:pPr>
        <w:pStyle w:val="Odstavekseznama"/>
        <w:numPr>
          <w:ilvl w:val="0"/>
          <w:numId w:val="84"/>
        </w:numPr>
        <w:spacing w:after="0" w:line="259" w:lineRule="auto"/>
        <w:contextualSpacing/>
        <w:rPr>
          <w:rFonts w:eastAsia="Aptos" w:cs="Arial"/>
          <w:color w:val="000000"/>
          <w:kern w:val="2"/>
          <w:szCs w:val="20"/>
          <w14:ligatures w14:val="standardContextual"/>
        </w:rPr>
      </w:pPr>
      <w:r w:rsidRPr="00043D98">
        <w:rPr>
          <w:rFonts w:eastAsia="Aptos" w:cs="Arial"/>
          <w:color w:val="000000"/>
          <w:kern w:val="2"/>
          <w:szCs w:val="20"/>
          <w14:ligatures w14:val="standardContextual"/>
        </w:rPr>
        <w:t>odobriti novih posojil neposrednim lastnikom ali povezanim osebam, razen kratkoročnih likvidnostnih aranžmajev po tržnih pogojih.</w:t>
      </w:r>
    </w:p>
    <w:p w14:paraId="73015C23" w14:textId="77777777" w:rsidR="00043D98" w:rsidRPr="00043D98" w:rsidRDefault="00043D98" w:rsidP="00043D98">
      <w:pPr>
        <w:spacing w:after="0" w:line="259" w:lineRule="auto"/>
        <w:ind w:left="720"/>
        <w:contextualSpacing/>
        <w:rPr>
          <w:rFonts w:eastAsia="Aptos" w:cs="Arial"/>
          <w:color w:val="000000"/>
          <w:kern w:val="2"/>
          <w:szCs w:val="20"/>
          <w14:ligatures w14:val="standardContextual"/>
        </w:rPr>
      </w:pPr>
    </w:p>
    <w:p w14:paraId="75D23EB3" w14:textId="3ED6BF65" w:rsidR="00043D98" w:rsidRPr="00CE33CD" w:rsidRDefault="00043D98" w:rsidP="00CE33CD">
      <w:pPr>
        <w:numPr>
          <w:ilvl w:val="0"/>
          <w:numId w:val="72"/>
        </w:numPr>
        <w:spacing w:after="0" w:line="259" w:lineRule="auto"/>
        <w:contextualSpacing/>
        <w:rPr>
          <w:rFonts w:eastAsia="Aptos" w:cs="Arial"/>
          <w:color w:val="000000"/>
          <w:kern w:val="2"/>
          <w:szCs w:val="20"/>
          <w14:ligatures w14:val="standardContextual"/>
        </w:rPr>
      </w:pPr>
      <w:r w:rsidRPr="00043D98">
        <w:rPr>
          <w:rFonts w:eastAsia="Aptos" w:cs="Arial"/>
          <w:color w:val="000000"/>
          <w:kern w:val="2"/>
          <w:szCs w:val="20"/>
          <w14:ligatures w14:val="standardContextual"/>
        </w:rPr>
        <w:t xml:space="preserve">V primeru dovoljenih izplačil ali posojil iz prejšnjega odstavka prejeta korist iz tega ukrepa ne sme </w:t>
      </w:r>
      <w:r w:rsidR="002F427F">
        <w:rPr>
          <w:rFonts w:eastAsia="Aptos" w:cs="Arial"/>
          <w:color w:val="000000"/>
          <w:kern w:val="2"/>
          <w:szCs w:val="20"/>
          <w14:ligatures w14:val="standardContextual"/>
        </w:rPr>
        <w:t>biti</w:t>
      </w:r>
      <w:r w:rsidRPr="00043D98">
        <w:rPr>
          <w:rFonts w:eastAsia="Aptos" w:cs="Arial"/>
          <w:color w:val="000000"/>
          <w:kern w:val="2"/>
          <w:szCs w:val="20"/>
          <w14:ligatures w14:val="standardContextual"/>
        </w:rPr>
        <w:t xml:space="preserve"> vir sredstev za izplačilo dividend ali odobritev posojil lastnikom ali povezanim osebam.  </w:t>
      </w:r>
    </w:p>
    <w:p w14:paraId="4954E7B9" w14:textId="77777777" w:rsidR="00927446" w:rsidRPr="00BE5832" w:rsidRDefault="00927446" w:rsidP="00927446">
      <w:pPr>
        <w:spacing w:after="160" w:line="259" w:lineRule="auto"/>
        <w:contextualSpacing/>
        <w:rPr>
          <w:rFonts w:eastAsia="Aptos" w:cs="Arial"/>
          <w:color w:val="000000"/>
          <w:kern w:val="2"/>
          <w:szCs w:val="20"/>
          <w14:ligatures w14:val="standardContextual"/>
        </w:rPr>
      </w:pPr>
    </w:p>
    <w:p w14:paraId="3683E50B" w14:textId="77777777" w:rsidR="00BE5832" w:rsidRPr="00BE5832" w:rsidRDefault="00BE5832" w:rsidP="007F3AA0">
      <w:pPr>
        <w:spacing w:after="160" w:line="259" w:lineRule="auto"/>
        <w:rPr>
          <w:rFonts w:eastAsia="Aptos" w:cs="Arial"/>
          <w:color w:val="000000"/>
          <w:kern w:val="2"/>
          <w:szCs w:val="20"/>
          <w14:ligatures w14:val="standardContextual"/>
        </w:rPr>
      </w:pPr>
    </w:p>
    <w:p w14:paraId="7CF6AE5C" w14:textId="03DB4334" w:rsidR="00BE5832" w:rsidRPr="00BE5832" w:rsidRDefault="00BE5832" w:rsidP="00D26C52">
      <w:pPr>
        <w:keepNext/>
        <w:keepLines/>
        <w:spacing w:before="360" w:after="80" w:line="259" w:lineRule="auto"/>
        <w:jc w:val="center"/>
        <w:outlineLvl w:val="0"/>
        <w:rPr>
          <w:rFonts w:eastAsia="Times New Roman" w:cs="Arial"/>
          <w:color w:val="000000"/>
          <w:kern w:val="2"/>
          <w:szCs w:val="20"/>
          <w14:ligatures w14:val="standardContextual"/>
        </w:rPr>
      </w:pPr>
      <w:r w:rsidRPr="00BE5832">
        <w:rPr>
          <w:rFonts w:eastAsia="Times New Roman" w:cs="Arial"/>
          <w:color w:val="000000"/>
          <w:kern w:val="2"/>
          <w:szCs w:val="20"/>
          <w14:ligatures w14:val="standardContextual"/>
        </w:rPr>
        <w:lastRenderedPageBreak/>
        <w:t xml:space="preserve">VI. </w:t>
      </w:r>
      <w:r w:rsidRPr="00BE5832">
        <w:rPr>
          <w:rFonts w:eastAsia="Times New Roman" w:cs="Arial"/>
          <w:color w:val="000000"/>
          <w:kern w:val="2"/>
          <w:szCs w:val="20"/>
          <w14:ligatures w14:val="standardContextual"/>
        </w:rPr>
        <w:tab/>
      </w:r>
      <w:r w:rsidR="00763ACA">
        <w:rPr>
          <w:rFonts w:eastAsia="Times New Roman" w:cs="Arial"/>
          <w:color w:val="000000"/>
          <w:kern w:val="2"/>
          <w:szCs w:val="20"/>
          <w14:ligatures w14:val="standardContextual"/>
        </w:rPr>
        <w:t>VIRI FINANCIRANJA</w:t>
      </w:r>
    </w:p>
    <w:p w14:paraId="1E8BF7AF" w14:textId="77777777" w:rsidR="00BE5832" w:rsidRPr="00BE5832" w:rsidRDefault="00BE5832" w:rsidP="00BE5832">
      <w:pPr>
        <w:spacing w:after="160" w:line="259" w:lineRule="auto"/>
        <w:rPr>
          <w:rFonts w:eastAsia="Aptos" w:cs="Arial"/>
          <w:color w:val="000000"/>
          <w:kern w:val="2"/>
          <w:szCs w:val="20"/>
          <w14:ligatures w14:val="standardContextual"/>
        </w:rPr>
      </w:pPr>
    </w:p>
    <w:p w14:paraId="7AA9BC94" w14:textId="77777777" w:rsidR="00BE5832" w:rsidRPr="00BE5832" w:rsidRDefault="00BE5832" w:rsidP="007C39D0">
      <w:pPr>
        <w:keepNext/>
        <w:keepLines/>
        <w:numPr>
          <w:ilvl w:val="0"/>
          <w:numId w:val="70"/>
        </w:numPr>
        <w:spacing w:before="160" w:after="80" w:line="259" w:lineRule="auto"/>
        <w:jc w:val="center"/>
        <w:outlineLvl w:val="1"/>
        <w:rPr>
          <w:rFonts w:eastAsia="Times New Roman" w:cs="Arial"/>
          <w:color w:val="000000"/>
          <w:kern w:val="2"/>
          <w:szCs w:val="20"/>
          <w14:ligatures w14:val="standardContextual"/>
        </w:rPr>
      </w:pPr>
      <w:r w:rsidRPr="00BE5832">
        <w:rPr>
          <w:rFonts w:eastAsia="Times New Roman" w:cs="Arial"/>
          <w:color w:val="000000"/>
          <w:kern w:val="2"/>
          <w:szCs w:val="20"/>
          <w14:ligatures w14:val="standardContextual"/>
        </w:rPr>
        <w:t>člen</w:t>
      </w:r>
    </w:p>
    <w:p w14:paraId="5CB468F5" w14:textId="28111FB9" w:rsidR="00BE5832" w:rsidRPr="007C39D0" w:rsidRDefault="00BE5832" w:rsidP="007C39D0">
      <w:pPr>
        <w:keepNext/>
        <w:keepLines/>
        <w:spacing w:before="160" w:after="80" w:line="259" w:lineRule="auto"/>
        <w:ind w:left="644"/>
        <w:jc w:val="center"/>
        <w:outlineLvl w:val="1"/>
        <w:rPr>
          <w:rFonts w:eastAsia="Times New Roman" w:cs="Arial"/>
          <w:color w:val="000000"/>
          <w:kern w:val="2"/>
          <w:szCs w:val="20"/>
          <w14:ligatures w14:val="standardContextual"/>
        </w:rPr>
      </w:pPr>
      <w:r w:rsidRPr="007C39D0">
        <w:rPr>
          <w:rFonts w:eastAsia="Times New Roman" w:cs="Arial"/>
          <w:color w:val="000000"/>
          <w:kern w:val="2"/>
          <w:szCs w:val="20"/>
          <w14:ligatures w14:val="standardContextual"/>
        </w:rPr>
        <w:t>(zagotavljanje sredstev)</w:t>
      </w:r>
    </w:p>
    <w:p w14:paraId="102B6E20" w14:textId="77777777" w:rsidR="00BE5832" w:rsidRPr="00BE5832" w:rsidRDefault="00BE5832" w:rsidP="00BE5832">
      <w:pPr>
        <w:spacing w:after="160" w:line="259" w:lineRule="auto"/>
        <w:rPr>
          <w:rFonts w:eastAsia="Aptos" w:cs="Arial"/>
          <w:color w:val="000000"/>
          <w:kern w:val="2"/>
          <w:szCs w:val="20"/>
          <w14:ligatures w14:val="standardContextual"/>
        </w:rPr>
      </w:pPr>
    </w:p>
    <w:p w14:paraId="6D2C8369" w14:textId="6E3A34A7" w:rsidR="00BE5832" w:rsidRPr="00BE5832" w:rsidRDefault="00BE5832" w:rsidP="00DA6357">
      <w:pPr>
        <w:numPr>
          <w:ilvl w:val="0"/>
          <w:numId w:val="75"/>
        </w:numPr>
        <w:spacing w:after="16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Vlada</w:t>
      </w:r>
      <w:r w:rsidR="005B6E2F">
        <w:rPr>
          <w:rFonts w:eastAsia="Aptos" w:cs="Arial"/>
          <w:color w:val="000000"/>
          <w:kern w:val="2"/>
          <w:szCs w:val="20"/>
          <w14:ligatures w14:val="standardContextual"/>
        </w:rPr>
        <w:t xml:space="preserve"> v skladu s šestim odstavkom 4. člena tega zakona</w:t>
      </w:r>
      <w:r w:rsidRPr="00BE5832">
        <w:rPr>
          <w:rFonts w:eastAsia="Aptos" w:cs="Arial"/>
          <w:color w:val="000000"/>
          <w:kern w:val="2"/>
          <w:szCs w:val="20"/>
          <w14:ligatures w14:val="standardContextual"/>
        </w:rPr>
        <w:t xml:space="preserve"> vsako leto naj</w:t>
      </w:r>
      <w:r w:rsidR="008A78AB">
        <w:rPr>
          <w:rFonts w:eastAsia="Aptos" w:cs="Arial"/>
          <w:color w:val="000000"/>
          <w:kern w:val="2"/>
          <w:szCs w:val="20"/>
          <w14:ligatures w14:val="standardContextual"/>
        </w:rPr>
        <w:t>pozneje</w:t>
      </w:r>
      <w:r w:rsidRPr="00BE5832">
        <w:rPr>
          <w:rFonts w:eastAsia="Aptos" w:cs="Arial"/>
          <w:color w:val="000000"/>
          <w:kern w:val="2"/>
          <w:szCs w:val="20"/>
          <w14:ligatures w14:val="standardContextual"/>
        </w:rPr>
        <w:t xml:space="preserve"> do 31. januarja s sklepom določi razpoložljiv</w:t>
      </w:r>
      <w:r w:rsidR="008A78AB">
        <w:rPr>
          <w:rFonts w:eastAsia="Aptos" w:cs="Arial"/>
          <w:color w:val="000000"/>
          <w:kern w:val="2"/>
          <w:szCs w:val="20"/>
          <w14:ligatures w14:val="standardContextual"/>
        </w:rPr>
        <w:t>i</w:t>
      </w:r>
      <w:r w:rsidRPr="00BE5832">
        <w:rPr>
          <w:rFonts w:eastAsia="Aptos" w:cs="Arial"/>
          <w:color w:val="000000"/>
          <w:kern w:val="2"/>
          <w:szCs w:val="20"/>
          <w14:ligatures w14:val="standardContextual"/>
        </w:rPr>
        <w:t xml:space="preserve"> znesek, ki se bo v tekočem letu namenil za izvajanje ukrepa po tem zakonu in najvišjo spodbudo za električno energijo v EUR/MWh. Sklep se objavi v Uradnem listu Republike Slovenije.</w:t>
      </w:r>
    </w:p>
    <w:p w14:paraId="5FBA3F6A" w14:textId="77777777" w:rsidR="00BE5832" w:rsidRPr="00BE5832" w:rsidRDefault="00BE5832" w:rsidP="00DA6357">
      <w:pPr>
        <w:spacing w:after="160" w:line="259" w:lineRule="auto"/>
        <w:ind w:left="720"/>
        <w:contextualSpacing/>
        <w:rPr>
          <w:rFonts w:eastAsia="Aptos" w:cs="Arial"/>
          <w:color w:val="000000"/>
          <w:kern w:val="2"/>
          <w:szCs w:val="20"/>
          <w14:ligatures w14:val="standardContextual"/>
        </w:rPr>
      </w:pPr>
    </w:p>
    <w:p w14:paraId="071FB17C" w14:textId="4CE2E15E" w:rsidR="00BE5832" w:rsidRPr="00BE5832" w:rsidRDefault="00BE5832" w:rsidP="00DA6357">
      <w:pPr>
        <w:numPr>
          <w:ilvl w:val="0"/>
          <w:numId w:val="75"/>
        </w:numPr>
        <w:spacing w:after="16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Operater trga na podlagi pregleda prejetih vlog vsako leto naj</w:t>
      </w:r>
      <w:r w:rsidR="008A78AB">
        <w:rPr>
          <w:rFonts w:eastAsia="Aptos" w:cs="Arial"/>
          <w:color w:val="000000"/>
          <w:kern w:val="2"/>
          <w:szCs w:val="20"/>
          <w14:ligatures w14:val="standardContextual"/>
        </w:rPr>
        <w:t>pozneje</w:t>
      </w:r>
      <w:r w:rsidRPr="00BE5832">
        <w:rPr>
          <w:rFonts w:eastAsia="Aptos" w:cs="Arial"/>
          <w:color w:val="000000"/>
          <w:kern w:val="2"/>
          <w:szCs w:val="20"/>
          <w14:ligatures w14:val="standardContextual"/>
        </w:rPr>
        <w:t xml:space="preserve"> do konca </w:t>
      </w:r>
      <w:r w:rsidR="00B86384">
        <w:rPr>
          <w:rFonts w:eastAsia="Aptos" w:cs="Arial"/>
          <w:color w:val="000000"/>
          <w:kern w:val="2"/>
          <w:szCs w:val="20"/>
          <w14:ligatures w14:val="standardContextual"/>
        </w:rPr>
        <w:t>marca</w:t>
      </w:r>
      <w:r w:rsidRPr="00BE5832">
        <w:rPr>
          <w:rFonts w:eastAsia="Aptos" w:cs="Arial"/>
          <w:color w:val="000000"/>
          <w:kern w:val="2"/>
          <w:szCs w:val="20"/>
          <w14:ligatures w14:val="standardContextual"/>
        </w:rPr>
        <w:t xml:space="preserve"> preveri napovedi porabe upravičencev in </w:t>
      </w:r>
      <w:r w:rsidR="009A2872" w:rsidRPr="00BE5832">
        <w:rPr>
          <w:rFonts w:eastAsia="Aptos" w:cs="Arial"/>
          <w:color w:val="000000"/>
          <w:kern w:val="2"/>
          <w:szCs w:val="20"/>
          <w14:ligatures w14:val="standardContextual"/>
        </w:rPr>
        <w:t>ugotav</w:t>
      </w:r>
      <w:r w:rsidR="009A2872">
        <w:rPr>
          <w:rFonts w:eastAsia="Aptos" w:cs="Arial"/>
          <w:color w:val="000000"/>
          <w:kern w:val="2"/>
          <w:szCs w:val="20"/>
          <w14:ligatures w14:val="standardContextual"/>
        </w:rPr>
        <w:t>lja</w:t>
      </w:r>
      <w:r w:rsidRPr="00BE5832">
        <w:rPr>
          <w:rFonts w:eastAsia="Aptos" w:cs="Arial"/>
          <w:color w:val="000000"/>
          <w:kern w:val="2"/>
          <w:szCs w:val="20"/>
          <w14:ligatures w14:val="standardContextual"/>
        </w:rPr>
        <w:t xml:space="preserve"> morebitno odstopanje od </w:t>
      </w:r>
      <w:r w:rsidR="009A2872">
        <w:rPr>
          <w:rFonts w:eastAsia="Aptos" w:cs="Arial"/>
          <w:color w:val="000000"/>
          <w:kern w:val="2"/>
          <w:szCs w:val="20"/>
          <w14:ligatures w14:val="standardContextual"/>
        </w:rPr>
        <w:t xml:space="preserve">napovedi porabe, </w:t>
      </w:r>
      <w:r w:rsidR="008A78AB">
        <w:rPr>
          <w:rFonts w:eastAsia="Aptos" w:cs="Arial"/>
          <w:color w:val="000000"/>
          <w:kern w:val="2"/>
          <w:szCs w:val="20"/>
          <w14:ligatures w14:val="standardContextual"/>
        </w:rPr>
        <w:t>uporabljene</w:t>
      </w:r>
      <w:r w:rsidR="009A2872">
        <w:rPr>
          <w:rFonts w:eastAsia="Aptos" w:cs="Arial"/>
          <w:color w:val="000000"/>
          <w:kern w:val="2"/>
          <w:szCs w:val="20"/>
          <w14:ligatures w14:val="standardContextual"/>
        </w:rPr>
        <w:t xml:space="preserve"> pri določanju najvišje spodbude za električno energijo v postopku iz </w:t>
      </w:r>
      <w:r w:rsidRPr="00BE5832">
        <w:rPr>
          <w:rFonts w:eastAsia="Aptos" w:cs="Arial"/>
          <w:color w:val="000000"/>
          <w:kern w:val="2"/>
          <w:szCs w:val="20"/>
          <w14:ligatures w14:val="standardContextual"/>
        </w:rPr>
        <w:t xml:space="preserve">prejšnjega odstavka. </w:t>
      </w:r>
      <w:r w:rsidR="008F375D">
        <w:rPr>
          <w:rFonts w:eastAsia="Aptos" w:cs="Arial"/>
          <w:color w:val="000000"/>
          <w:kern w:val="2"/>
          <w:szCs w:val="20"/>
          <w14:ligatures w14:val="standardContextual"/>
        </w:rPr>
        <w:t>Ob</w:t>
      </w:r>
      <w:r w:rsidRPr="00BE5832">
        <w:rPr>
          <w:rFonts w:eastAsia="Aptos" w:cs="Arial"/>
          <w:color w:val="000000"/>
          <w:kern w:val="2"/>
          <w:szCs w:val="20"/>
          <w14:ligatures w14:val="standardContextual"/>
        </w:rPr>
        <w:t xml:space="preserve"> napovedi</w:t>
      </w:r>
      <w:r w:rsidR="008F375D">
        <w:rPr>
          <w:rFonts w:eastAsia="Aptos" w:cs="Arial"/>
          <w:color w:val="000000"/>
          <w:kern w:val="2"/>
          <w:szCs w:val="20"/>
          <w14:ligatures w14:val="standardContextual"/>
        </w:rPr>
        <w:t xml:space="preserve"> večjih</w:t>
      </w:r>
      <w:r w:rsidRPr="00BE5832">
        <w:rPr>
          <w:rFonts w:eastAsia="Aptos" w:cs="Arial"/>
          <w:color w:val="000000"/>
          <w:kern w:val="2"/>
          <w:szCs w:val="20"/>
          <w14:ligatures w14:val="standardContextual"/>
        </w:rPr>
        <w:t xml:space="preserve"> potreb operater trga izračuna povprečno letno spodbudo v EUR/MWh tako, da sorazmerno zniža najvišjo spodbudo, ki jo je sprejela vlada</w:t>
      </w:r>
      <w:r w:rsidR="009A2872">
        <w:rPr>
          <w:rFonts w:eastAsia="Aptos" w:cs="Arial"/>
          <w:color w:val="000000"/>
          <w:kern w:val="2"/>
          <w:szCs w:val="20"/>
          <w14:ligatures w14:val="standardContextual"/>
        </w:rPr>
        <w:t xml:space="preserve"> v postopku iz prejšnjega odstavka</w:t>
      </w:r>
      <w:r w:rsidRPr="00BE5832">
        <w:rPr>
          <w:rFonts w:eastAsia="Aptos" w:cs="Arial"/>
          <w:color w:val="000000"/>
          <w:kern w:val="2"/>
          <w:szCs w:val="20"/>
          <w14:ligatures w14:val="standardContextual"/>
        </w:rPr>
        <w:t>. Povprečno spodbudo v EUR/MWh objavi na svoji spletni</w:t>
      </w:r>
      <w:r w:rsidR="008F375D">
        <w:rPr>
          <w:rFonts w:eastAsia="Aptos" w:cs="Arial"/>
          <w:color w:val="000000"/>
          <w:kern w:val="2"/>
          <w:szCs w:val="20"/>
          <w14:ligatures w14:val="standardContextual"/>
        </w:rPr>
        <w:t xml:space="preserve"> strani</w:t>
      </w:r>
      <w:r w:rsidRPr="00BE5832">
        <w:rPr>
          <w:rFonts w:eastAsia="Aptos" w:cs="Arial"/>
          <w:color w:val="000000"/>
          <w:kern w:val="2"/>
          <w:szCs w:val="20"/>
          <w14:ligatures w14:val="standardContextual"/>
        </w:rPr>
        <w:t xml:space="preserve"> naj</w:t>
      </w:r>
      <w:r w:rsidR="008F375D">
        <w:rPr>
          <w:rFonts w:eastAsia="Aptos" w:cs="Arial"/>
          <w:color w:val="000000"/>
          <w:kern w:val="2"/>
          <w:szCs w:val="20"/>
          <w14:ligatures w14:val="standardContextual"/>
        </w:rPr>
        <w:t>pozneje</w:t>
      </w:r>
      <w:r w:rsidRPr="00BE5832">
        <w:rPr>
          <w:rFonts w:eastAsia="Aptos" w:cs="Arial"/>
          <w:color w:val="000000"/>
          <w:kern w:val="2"/>
          <w:szCs w:val="20"/>
          <w14:ligatures w14:val="standardContextual"/>
        </w:rPr>
        <w:t xml:space="preserve"> do 15. </w:t>
      </w:r>
      <w:r w:rsidR="00A5531F">
        <w:rPr>
          <w:rFonts w:eastAsia="Aptos" w:cs="Arial"/>
          <w:color w:val="000000"/>
          <w:kern w:val="2"/>
          <w:szCs w:val="20"/>
          <w14:ligatures w14:val="standardContextual"/>
        </w:rPr>
        <w:t>aprila</w:t>
      </w:r>
      <w:r w:rsidRPr="00BE5832">
        <w:rPr>
          <w:rFonts w:eastAsia="Aptos" w:cs="Arial"/>
          <w:color w:val="000000"/>
          <w:kern w:val="2"/>
          <w:szCs w:val="20"/>
          <w14:ligatures w14:val="standardContextual"/>
        </w:rPr>
        <w:t>.</w:t>
      </w:r>
    </w:p>
    <w:p w14:paraId="65E88BB4" w14:textId="77777777" w:rsidR="00BE5832" w:rsidRPr="00BE5832" w:rsidRDefault="00BE5832" w:rsidP="00DA6357">
      <w:pPr>
        <w:spacing w:after="160" w:line="259" w:lineRule="auto"/>
        <w:ind w:left="720"/>
        <w:contextualSpacing/>
        <w:rPr>
          <w:rFonts w:eastAsia="Aptos" w:cs="Arial"/>
          <w:color w:val="000000"/>
          <w:kern w:val="2"/>
          <w:szCs w:val="20"/>
          <w14:ligatures w14:val="standardContextual"/>
        </w:rPr>
      </w:pPr>
    </w:p>
    <w:p w14:paraId="2544784C" w14:textId="7F2B3F80" w:rsidR="00BE5832" w:rsidRPr="00BE5832" w:rsidRDefault="00BE5832" w:rsidP="00DA6357">
      <w:pPr>
        <w:numPr>
          <w:ilvl w:val="0"/>
          <w:numId w:val="75"/>
        </w:numPr>
        <w:spacing w:after="16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Zavezanci za zagotavljanje sredstev iz prvega odstavka tega člena so družbe v posredni ali neposredni 100</w:t>
      </w:r>
      <w:r w:rsidR="008F375D" w:rsidRPr="00380F4F">
        <w:rPr>
          <w:rFonts w:eastAsia="Aptos" w:cs="Arial"/>
          <w:color w:val="000000"/>
          <w:szCs w:val="20"/>
        </w:rPr>
        <w:t>-</w:t>
      </w:r>
      <w:r w:rsidRPr="00BE5832">
        <w:rPr>
          <w:rFonts w:eastAsia="Aptos" w:cs="Arial"/>
          <w:color w:val="000000"/>
          <w:kern w:val="2"/>
          <w:szCs w:val="20"/>
          <w14:ligatures w14:val="standardContextual"/>
        </w:rPr>
        <w:t xml:space="preserve">odstotni državni lasti, ki imajo v svoji neposredni ali posredni lasti elektrarne s skupno nazivno močjo več kot 400 MW, </w:t>
      </w:r>
      <w:bookmarkStart w:id="47" w:name="_Hlk214967322"/>
      <w:r w:rsidRPr="00BE5832">
        <w:rPr>
          <w:rFonts w:eastAsia="Aptos" w:cs="Arial"/>
          <w:color w:val="000000"/>
          <w:kern w:val="2"/>
          <w:szCs w:val="20"/>
          <w14:ligatures w14:val="standardContextual"/>
        </w:rPr>
        <w:t xml:space="preserve">razen </w:t>
      </w:r>
      <w:r w:rsidR="008F375D">
        <w:rPr>
          <w:rFonts w:eastAsia="Aptos" w:cs="Arial"/>
          <w:color w:val="000000"/>
          <w:kern w:val="2"/>
          <w:szCs w:val="20"/>
          <w14:ligatures w14:val="standardContextual"/>
        </w:rPr>
        <w:t>če</w:t>
      </w:r>
      <w:r w:rsidRPr="00BE5832">
        <w:rPr>
          <w:rFonts w:eastAsia="Aptos" w:cs="Arial"/>
          <w:color w:val="000000"/>
          <w:kern w:val="2"/>
          <w:szCs w:val="20"/>
          <w14:ligatures w14:val="standardContextual"/>
        </w:rPr>
        <w:t xml:space="preserve"> proizvajalci</w:t>
      </w:r>
      <w:r w:rsidR="00BD18A6">
        <w:rPr>
          <w:rFonts w:eastAsia="Aptos" w:cs="Arial"/>
          <w:color w:val="000000"/>
          <w:kern w:val="2"/>
          <w:szCs w:val="20"/>
          <w14:ligatures w14:val="standardContextual"/>
        </w:rPr>
        <w:t xml:space="preserve"> </w:t>
      </w:r>
      <w:r w:rsidRPr="00BE5832">
        <w:rPr>
          <w:rFonts w:eastAsia="Aptos" w:cs="Arial"/>
          <w:color w:val="000000"/>
          <w:kern w:val="2"/>
          <w:szCs w:val="20"/>
          <w14:ligatures w14:val="standardContextual"/>
        </w:rPr>
        <w:t>izvajajo gospodarsko javno službo, in sicer v enaki višini.</w:t>
      </w:r>
      <w:bookmarkEnd w:id="47"/>
    </w:p>
    <w:p w14:paraId="4EC7B168" w14:textId="77777777" w:rsidR="00BE5832" w:rsidRPr="00BE5832" w:rsidRDefault="00BE5832" w:rsidP="00DA6357">
      <w:pPr>
        <w:spacing w:after="160" w:line="259" w:lineRule="auto"/>
        <w:ind w:left="720"/>
        <w:contextualSpacing/>
        <w:rPr>
          <w:rFonts w:eastAsia="Aptos" w:cs="Arial"/>
          <w:color w:val="000000"/>
          <w:kern w:val="2"/>
          <w:szCs w:val="20"/>
          <w14:ligatures w14:val="standardContextual"/>
        </w:rPr>
      </w:pPr>
    </w:p>
    <w:p w14:paraId="5DEDCCA7" w14:textId="628422B7" w:rsidR="00BE5832" w:rsidRPr="00BE5832" w:rsidRDefault="00BE5832" w:rsidP="00DA6357">
      <w:pPr>
        <w:numPr>
          <w:ilvl w:val="0"/>
          <w:numId w:val="75"/>
        </w:numPr>
        <w:spacing w:after="16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Družbe iz prejšnjega odstavka z operaterjem trga sklenejo pogodbo, v kateri uredijo način plačila sredstev operaterju trga. Družbe iz prejšnjega odstavka morajo pogodbo z operaterjem trga podpisati naj</w:t>
      </w:r>
      <w:r w:rsidR="008F375D">
        <w:rPr>
          <w:rFonts w:eastAsia="Aptos" w:cs="Arial"/>
          <w:color w:val="000000"/>
          <w:kern w:val="2"/>
          <w:szCs w:val="20"/>
          <w14:ligatures w14:val="standardContextual"/>
        </w:rPr>
        <w:t>pozneje</w:t>
      </w:r>
      <w:r w:rsidRPr="00BE5832">
        <w:rPr>
          <w:rFonts w:eastAsia="Aptos" w:cs="Arial"/>
          <w:color w:val="000000"/>
          <w:kern w:val="2"/>
          <w:szCs w:val="20"/>
          <w14:ligatures w14:val="standardContextual"/>
        </w:rPr>
        <w:t xml:space="preserve"> v </w:t>
      </w:r>
      <w:r w:rsidR="008F375D">
        <w:rPr>
          <w:rFonts w:eastAsia="Aptos" w:cs="Arial"/>
          <w:color w:val="000000"/>
          <w:kern w:val="2"/>
          <w:szCs w:val="20"/>
          <w14:ligatures w14:val="standardContextual"/>
        </w:rPr>
        <w:t>30</w:t>
      </w:r>
      <w:r w:rsidRPr="00BE5832">
        <w:rPr>
          <w:rFonts w:eastAsia="Aptos" w:cs="Arial"/>
          <w:color w:val="000000"/>
          <w:kern w:val="2"/>
          <w:szCs w:val="20"/>
          <w14:ligatures w14:val="standardContextual"/>
        </w:rPr>
        <w:t xml:space="preserve"> d</w:t>
      </w:r>
      <w:r w:rsidR="008F375D">
        <w:rPr>
          <w:rFonts w:eastAsia="Aptos" w:cs="Arial"/>
          <w:color w:val="000000"/>
          <w:kern w:val="2"/>
          <w:szCs w:val="20"/>
          <w14:ligatures w14:val="standardContextual"/>
        </w:rPr>
        <w:t>neh</w:t>
      </w:r>
      <w:r w:rsidRPr="00BE5832">
        <w:rPr>
          <w:rFonts w:eastAsia="Aptos" w:cs="Arial"/>
          <w:color w:val="000000"/>
          <w:kern w:val="2"/>
          <w:szCs w:val="20"/>
          <w14:ligatures w14:val="standardContextual"/>
        </w:rPr>
        <w:t xml:space="preserve"> od objave sklepa vlade v Uradnem listu Republike Slovenije. Pogodba obsega </w:t>
      </w:r>
      <w:r w:rsidR="002F427F">
        <w:rPr>
          <w:rFonts w:eastAsia="Aptos" w:cs="Arial"/>
          <w:color w:val="000000"/>
          <w:kern w:val="2"/>
          <w:szCs w:val="20"/>
          <w14:ligatures w14:val="standardContextual"/>
        </w:rPr>
        <w:t>najmanj</w:t>
      </w:r>
      <w:r w:rsidRPr="00BE5832">
        <w:rPr>
          <w:rFonts w:eastAsia="Aptos" w:cs="Arial"/>
          <w:color w:val="000000"/>
          <w:kern w:val="2"/>
          <w:szCs w:val="20"/>
          <w14:ligatures w14:val="standardContextual"/>
        </w:rPr>
        <w:t xml:space="preserve"> določbe glede izplačil sredstev, roke in pogoje za izplačilo.</w:t>
      </w:r>
    </w:p>
    <w:p w14:paraId="06D115C3" w14:textId="77777777" w:rsidR="00BE5832" w:rsidRPr="00BE5832" w:rsidRDefault="00BE5832" w:rsidP="00BE5832">
      <w:pPr>
        <w:spacing w:after="160" w:line="259" w:lineRule="auto"/>
        <w:ind w:left="720"/>
        <w:contextualSpacing/>
        <w:jc w:val="left"/>
        <w:rPr>
          <w:rFonts w:eastAsia="Aptos" w:cs="Arial"/>
          <w:color w:val="000000"/>
          <w:kern w:val="2"/>
          <w:szCs w:val="20"/>
          <w14:ligatures w14:val="standardContextual"/>
        </w:rPr>
      </w:pPr>
    </w:p>
    <w:p w14:paraId="1E3C8D51" w14:textId="77777777" w:rsidR="00BE5832" w:rsidRPr="00BE5832" w:rsidRDefault="00BE5832" w:rsidP="00BE5832">
      <w:pPr>
        <w:spacing w:after="160" w:line="259" w:lineRule="auto"/>
        <w:ind w:left="720"/>
        <w:contextualSpacing/>
        <w:rPr>
          <w:rFonts w:eastAsia="Aptos" w:cs="Arial"/>
          <w:color w:val="000000"/>
          <w:kern w:val="2"/>
          <w:szCs w:val="20"/>
          <w14:ligatures w14:val="standardContextual"/>
        </w:rPr>
      </w:pPr>
    </w:p>
    <w:p w14:paraId="14062E1A" w14:textId="44E8D1FE" w:rsidR="00BE5832" w:rsidRPr="00BE5832" w:rsidRDefault="007C39D0" w:rsidP="00761453">
      <w:pPr>
        <w:keepNext/>
        <w:keepLines/>
        <w:numPr>
          <w:ilvl w:val="0"/>
          <w:numId w:val="70"/>
        </w:numPr>
        <w:spacing w:before="160" w:after="80" w:line="259" w:lineRule="auto"/>
        <w:jc w:val="center"/>
        <w:outlineLvl w:val="1"/>
        <w:rPr>
          <w:rFonts w:eastAsia="Times New Roman" w:cs="Arial"/>
          <w:color w:val="000000"/>
          <w:kern w:val="2"/>
          <w:szCs w:val="20"/>
          <w14:ligatures w14:val="standardContextual"/>
        </w:rPr>
      </w:pPr>
      <w:r>
        <w:rPr>
          <w:rFonts w:eastAsia="Times New Roman" w:cs="Arial"/>
          <w:color w:val="000000"/>
          <w:kern w:val="2"/>
          <w:szCs w:val="20"/>
          <w14:ligatures w14:val="standardContextual"/>
        </w:rPr>
        <w:t>člen</w:t>
      </w:r>
    </w:p>
    <w:p w14:paraId="4C234E79" w14:textId="3A4CCEBE" w:rsidR="00BE5832" w:rsidRPr="00BE5832" w:rsidRDefault="00BE5832" w:rsidP="00BE5832">
      <w:pPr>
        <w:spacing w:after="160" w:line="259" w:lineRule="auto"/>
        <w:ind w:left="720"/>
        <w:contextualSpacing/>
        <w:jc w:val="center"/>
        <w:rPr>
          <w:rFonts w:eastAsia="Aptos" w:cs="Arial"/>
          <w:color w:val="000000"/>
          <w:kern w:val="2"/>
          <w:szCs w:val="20"/>
          <w14:ligatures w14:val="standardContextual"/>
        </w:rPr>
      </w:pPr>
      <w:r w:rsidRPr="00BE5832">
        <w:rPr>
          <w:rFonts w:eastAsia="Aptos" w:cs="Arial"/>
          <w:color w:val="000000"/>
          <w:kern w:val="2"/>
          <w:szCs w:val="20"/>
          <w14:ligatures w14:val="standardContextual"/>
        </w:rPr>
        <w:t>(</w:t>
      </w:r>
      <w:r w:rsidR="00D26C52">
        <w:rPr>
          <w:rFonts w:eastAsia="Aptos" w:cs="Arial"/>
          <w:color w:val="000000"/>
          <w:kern w:val="2"/>
          <w:szCs w:val="20"/>
          <w14:ligatures w14:val="standardContextual"/>
        </w:rPr>
        <w:t>višina nadomestila operaterju trga za izvajanje ukrepa</w:t>
      </w:r>
      <w:r w:rsidRPr="00BE5832">
        <w:rPr>
          <w:rFonts w:eastAsia="Aptos" w:cs="Arial"/>
          <w:color w:val="000000"/>
          <w:kern w:val="2"/>
          <w:szCs w:val="20"/>
          <w14:ligatures w14:val="standardContextual"/>
        </w:rPr>
        <w:t>)</w:t>
      </w:r>
    </w:p>
    <w:p w14:paraId="01864630" w14:textId="77777777" w:rsidR="00BE5832" w:rsidRPr="00BE5832" w:rsidRDefault="00BE5832" w:rsidP="00BE5832">
      <w:pPr>
        <w:spacing w:after="160" w:line="259" w:lineRule="auto"/>
        <w:ind w:left="720"/>
        <w:contextualSpacing/>
        <w:rPr>
          <w:rFonts w:eastAsia="Aptos" w:cs="Arial"/>
          <w:color w:val="000000"/>
          <w:kern w:val="2"/>
          <w:szCs w:val="20"/>
          <w14:ligatures w14:val="standardContextual"/>
        </w:rPr>
      </w:pPr>
    </w:p>
    <w:p w14:paraId="173F44D4" w14:textId="77777777" w:rsidR="00BE5832" w:rsidRPr="00BE5832" w:rsidRDefault="00BE5832" w:rsidP="00BE5832">
      <w:pPr>
        <w:spacing w:after="160" w:line="259" w:lineRule="auto"/>
        <w:ind w:left="720"/>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 xml:space="preserve">Operater trga je upravičen do sredstev za izvajanje ukrepa na podlagi tega zakona v višini 0,2 EUR/MWh za vsako MWh vseh upravičencev do spodbude, ki se zagotavljajo iz sredstev iz prvega odstavka prejšnjega člena. </w:t>
      </w:r>
    </w:p>
    <w:p w14:paraId="714044FE" w14:textId="77777777" w:rsidR="00BE5832" w:rsidRPr="00BE5832" w:rsidRDefault="00BE5832" w:rsidP="00BE5832">
      <w:pPr>
        <w:spacing w:after="160" w:line="259" w:lineRule="auto"/>
        <w:ind w:left="720"/>
        <w:contextualSpacing/>
        <w:rPr>
          <w:rFonts w:eastAsia="Aptos" w:cs="Arial"/>
          <w:color w:val="000000"/>
          <w:kern w:val="2"/>
          <w:szCs w:val="20"/>
          <w14:ligatures w14:val="standardContextual"/>
        </w:rPr>
      </w:pPr>
    </w:p>
    <w:p w14:paraId="49A3B0A8" w14:textId="740EBA2B" w:rsidR="00BE5832" w:rsidRPr="00BE5832" w:rsidRDefault="00BE5832" w:rsidP="007C4728">
      <w:pPr>
        <w:keepNext/>
        <w:keepLines/>
        <w:spacing w:before="360" w:after="80" w:line="259" w:lineRule="auto"/>
        <w:jc w:val="center"/>
        <w:outlineLvl w:val="0"/>
        <w:rPr>
          <w:rFonts w:eastAsia="Times New Roman" w:cs="Arial"/>
          <w:color w:val="000000"/>
          <w:kern w:val="2"/>
          <w:szCs w:val="20"/>
          <w14:ligatures w14:val="standardContextual"/>
        </w:rPr>
      </w:pPr>
      <w:r w:rsidRPr="00BE5832">
        <w:rPr>
          <w:rFonts w:eastAsia="Times New Roman" w:cs="Arial"/>
          <w:color w:val="000000"/>
          <w:kern w:val="2"/>
          <w:szCs w:val="20"/>
          <w14:ligatures w14:val="standardContextual"/>
        </w:rPr>
        <w:t>VII. POROČANJE</w:t>
      </w:r>
      <w:r w:rsidR="007C4728">
        <w:rPr>
          <w:rFonts w:eastAsia="Times New Roman" w:cs="Arial"/>
          <w:color w:val="000000"/>
          <w:kern w:val="2"/>
          <w:szCs w:val="20"/>
          <w14:ligatures w14:val="standardContextual"/>
        </w:rPr>
        <w:t xml:space="preserve"> IN</w:t>
      </w:r>
      <w:r w:rsidRPr="00BE5832">
        <w:rPr>
          <w:rFonts w:eastAsia="Times New Roman" w:cs="Arial"/>
          <w:color w:val="000000"/>
          <w:kern w:val="2"/>
          <w:szCs w:val="20"/>
          <w14:ligatures w14:val="standardContextual"/>
        </w:rPr>
        <w:t xml:space="preserve"> NADZOR </w:t>
      </w:r>
    </w:p>
    <w:p w14:paraId="27BD0050" w14:textId="77777777" w:rsidR="00BE5832" w:rsidRPr="00BE5832" w:rsidRDefault="00BE5832" w:rsidP="00E24155">
      <w:pPr>
        <w:keepNext/>
        <w:keepLines/>
        <w:numPr>
          <w:ilvl w:val="0"/>
          <w:numId w:val="70"/>
        </w:numPr>
        <w:spacing w:before="160" w:after="80" w:line="259" w:lineRule="auto"/>
        <w:jc w:val="center"/>
        <w:outlineLvl w:val="1"/>
        <w:rPr>
          <w:rFonts w:eastAsia="Times New Roman" w:cs="Arial"/>
          <w:color w:val="000000"/>
          <w:kern w:val="2"/>
          <w:szCs w:val="20"/>
          <w14:ligatures w14:val="standardContextual"/>
        </w:rPr>
      </w:pPr>
      <w:r w:rsidRPr="00BE5832">
        <w:rPr>
          <w:rFonts w:eastAsia="Times New Roman" w:cs="Arial"/>
          <w:color w:val="000000"/>
          <w:kern w:val="2"/>
          <w:szCs w:val="20"/>
          <w14:ligatures w14:val="standardContextual"/>
        </w:rPr>
        <w:t>člen</w:t>
      </w:r>
    </w:p>
    <w:p w14:paraId="18C1CA64" w14:textId="39D8C297" w:rsidR="00BE5832" w:rsidRPr="00BE5832" w:rsidRDefault="00BE5832" w:rsidP="00BE5832">
      <w:pPr>
        <w:spacing w:after="0" w:line="259" w:lineRule="auto"/>
        <w:ind w:left="720"/>
        <w:contextualSpacing/>
        <w:jc w:val="center"/>
        <w:rPr>
          <w:rFonts w:eastAsia="Aptos" w:cs="Arial"/>
          <w:color w:val="000000"/>
          <w:kern w:val="2"/>
          <w:szCs w:val="20"/>
          <w14:ligatures w14:val="standardContextual"/>
        </w:rPr>
      </w:pPr>
      <w:r w:rsidRPr="00BE5832">
        <w:rPr>
          <w:rFonts w:eastAsia="Aptos" w:cs="Arial"/>
          <w:color w:val="000000"/>
          <w:kern w:val="2"/>
          <w:szCs w:val="20"/>
          <w14:ligatures w14:val="standardContextual"/>
        </w:rPr>
        <w:t>(poročanje</w:t>
      </w:r>
      <w:r w:rsidR="007C4728">
        <w:rPr>
          <w:rFonts w:eastAsia="Aptos" w:cs="Arial"/>
          <w:color w:val="000000"/>
          <w:kern w:val="2"/>
          <w:szCs w:val="20"/>
          <w14:ligatures w14:val="standardContextual"/>
        </w:rPr>
        <w:t xml:space="preserve"> prejemnika spodbude</w:t>
      </w:r>
      <w:r w:rsidRPr="00BE5832">
        <w:rPr>
          <w:rFonts w:eastAsia="Aptos" w:cs="Arial"/>
          <w:color w:val="000000"/>
          <w:kern w:val="2"/>
          <w:szCs w:val="20"/>
          <w14:ligatures w14:val="standardContextual"/>
        </w:rPr>
        <w:t>)</w:t>
      </w:r>
    </w:p>
    <w:p w14:paraId="5D7E2330" w14:textId="77777777" w:rsidR="00BE5832" w:rsidRPr="00BE5832" w:rsidRDefault="00BE5832" w:rsidP="00BE5832">
      <w:pPr>
        <w:spacing w:after="160" w:line="259" w:lineRule="auto"/>
        <w:rPr>
          <w:rFonts w:eastAsia="Aptos" w:cs="Arial"/>
          <w:color w:val="000000"/>
          <w:kern w:val="2"/>
          <w:szCs w:val="20"/>
          <w14:ligatures w14:val="standardContextual"/>
        </w:rPr>
      </w:pPr>
    </w:p>
    <w:p w14:paraId="4B18BF81" w14:textId="42DDE6A0" w:rsidR="00BE5832" w:rsidRPr="00BE5832" w:rsidRDefault="00B07C47" w:rsidP="00DA6357">
      <w:pPr>
        <w:numPr>
          <w:ilvl w:val="0"/>
          <w:numId w:val="81"/>
        </w:numPr>
        <w:spacing w:after="160" w:line="259" w:lineRule="auto"/>
        <w:contextualSpacing/>
        <w:rPr>
          <w:rFonts w:eastAsia="Aptos" w:cs="Arial"/>
          <w:color w:val="000000"/>
          <w:kern w:val="2"/>
          <w:szCs w:val="20"/>
          <w14:ligatures w14:val="standardContextual"/>
        </w:rPr>
      </w:pPr>
      <w:r>
        <w:rPr>
          <w:rFonts w:eastAsia="Aptos" w:cs="Arial"/>
          <w:color w:val="000000"/>
          <w:kern w:val="2"/>
          <w:szCs w:val="20"/>
          <w14:ligatures w14:val="standardContextual"/>
        </w:rPr>
        <w:t>Prejemnik spodbude</w:t>
      </w:r>
      <w:r w:rsidR="00BE5832" w:rsidRPr="00BE5832">
        <w:rPr>
          <w:rFonts w:eastAsia="Aptos" w:cs="Arial"/>
          <w:color w:val="000000"/>
          <w:kern w:val="2"/>
          <w:szCs w:val="20"/>
          <w14:ligatures w14:val="standardContextual"/>
        </w:rPr>
        <w:t xml:space="preserve"> operaterju trga naj</w:t>
      </w:r>
      <w:r w:rsidR="008F375D">
        <w:rPr>
          <w:rFonts w:eastAsia="Aptos" w:cs="Arial"/>
          <w:color w:val="000000"/>
          <w:kern w:val="2"/>
          <w:szCs w:val="20"/>
          <w14:ligatures w14:val="standardContextual"/>
        </w:rPr>
        <w:t>pozneje</w:t>
      </w:r>
      <w:r w:rsidR="00BE5832" w:rsidRPr="00BE5832">
        <w:rPr>
          <w:rFonts w:eastAsia="Aptos" w:cs="Arial"/>
          <w:color w:val="000000"/>
          <w:kern w:val="2"/>
          <w:szCs w:val="20"/>
          <w14:ligatures w14:val="standardContextual"/>
        </w:rPr>
        <w:t xml:space="preserve"> do 1. aprila tekočega leta poroča za pr</w:t>
      </w:r>
      <w:r w:rsidR="002F427F">
        <w:rPr>
          <w:rFonts w:eastAsia="Aptos" w:cs="Arial"/>
          <w:color w:val="000000"/>
          <w:kern w:val="2"/>
          <w:szCs w:val="20"/>
          <w14:ligatures w14:val="standardContextual"/>
        </w:rPr>
        <w:t>edhodno</w:t>
      </w:r>
      <w:r w:rsidR="00BE5832" w:rsidRPr="00BE5832">
        <w:rPr>
          <w:rFonts w:eastAsia="Aptos" w:cs="Arial"/>
          <w:color w:val="000000"/>
          <w:kern w:val="2"/>
          <w:szCs w:val="20"/>
          <w14:ligatures w14:val="standardContextual"/>
        </w:rPr>
        <w:t xml:space="preserve"> leto</w:t>
      </w:r>
      <w:r w:rsidR="00E96C74">
        <w:rPr>
          <w:rFonts w:eastAsia="Aptos" w:cs="Arial"/>
          <w:color w:val="000000"/>
          <w:kern w:val="2"/>
          <w:szCs w:val="20"/>
          <w14:ligatures w14:val="standardContextual"/>
        </w:rPr>
        <w:t xml:space="preserve"> o</w:t>
      </w:r>
      <w:r w:rsidR="00BE5832" w:rsidRPr="00BE5832">
        <w:rPr>
          <w:rFonts w:eastAsia="Aptos" w:cs="Arial"/>
          <w:color w:val="000000"/>
          <w:kern w:val="2"/>
          <w:szCs w:val="20"/>
          <w14:ligatures w14:val="standardContextual"/>
        </w:rPr>
        <w:t>:</w:t>
      </w:r>
    </w:p>
    <w:p w14:paraId="0F779441" w14:textId="682A08E4" w:rsidR="00BE5832" w:rsidRPr="00BE5832" w:rsidRDefault="00BE5832" w:rsidP="00DA6357">
      <w:pPr>
        <w:numPr>
          <w:ilvl w:val="0"/>
          <w:numId w:val="82"/>
        </w:numPr>
        <w:spacing w:after="16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porabi električne energije</w:t>
      </w:r>
      <w:r w:rsidR="00E96C74">
        <w:rPr>
          <w:rFonts w:eastAsia="Aptos" w:cs="Arial"/>
          <w:color w:val="000000"/>
          <w:kern w:val="2"/>
          <w:szCs w:val="20"/>
          <w14:ligatures w14:val="standardContextual"/>
        </w:rPr>
        <w:t>,</w:t>
      </w:r>
    </w:p>
    <w:p w14:paraId="230C5CFC" w14:textId="50043006" w:rsidR="00B07C47" w:rsidRDefault="00BE5832" w:rsidP="00DA6357">
      <w:pPr>
        <w:numPr>
          <w:ilvl w:val="0"/>
          <w:numId w:val="82"/>
        </w:numPr>
        <w:spacing w:after="16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 xml:space="preserve">izvajanju naložb, </w:t>
      </w:r>
      <w:r w:rsidR="008F375D">
        <w:rPr>
          <w:rFonts w:eastAsia="Aptos" w:cs="Arial"/>
          <w:color w:val="000000"/>
          <w:kern w:val="2"/>
          <w:szCs w:val="20"/>
          <w14:ligatures w14:val="standardContextual"/>
        </w:rPr>
        <w:t>navedenih</w:t>
      </w:r>
      <w:r w:rsidRPr="00BE5832">
        <w:rPr>
          <w:rFonts w:eastAsia="Aptos" w:cs="Arial"/>
          <w:color w:val="000000"/>
          <w:kern w:val="2"/>
          <w:szCs w:val="20"/>
          <w14:ligatures w14:val="standardContextual"/>
        </w:rPr>
        <w:t xml:space="preserve"> v vlogi iz </w:t>
      </w:r>
      <w:r w:rsidR="00C337A4">
        <w:rPr>
          <w:rFonts w:eastAsia="Aptos" w:cs="Arial"/>
          <w:color w:val="000000"/>
          <w:kern w:val="2"/>
          <w:szCs w:val="20"/>
          <w14:ligatures w14:val="standardContextual"/>
        </w:rPr>
        <w:t>5</w:t>
      </w:r>
      <w:r w:rsidRPr="00BE5832">
        <w:rPr>
          <w:rFonts w:eastAsia="Aptos" w:cs="Arial"/>
          <w:color w:val="000000"/>
          <w:kern w:val="2"/>
          <w:szCs w:val="20"/>
          <w14:ligatures w14:val="standardContextual"/>
        </w:rPr>
        <w:t>. člena tega zakona</w:t>
      </w:r>
      <w:r w:rsidR="00E96C74">
        <w:rPr>
          <w:rFonts w:eastAsia="Aptos" w:cs="Arial"/>
          <w:color w:val="000000"/>
          <w:kern w:val="2"/>
          <w:szCs w:val="20"/>
          <w14:ligatures w14:val="standardContextual"/>
        </w:rPr>
        <w:t xml:space="preserve"> in</w:t>
      </w:r>
    </w:p>
    <w:p w14:paraId="797F33AA" w14:textId="4086EB38" w:rsidR="00BE5832" w:rsidRPr="00BE5832" w:rsidRDefault="00BE5832" w:rsidP="00DA6357">
      <w:pPr>
        <w:numPr>
          <w:ilvl w:val="0"/>
          <w:numId w:val="82"/>
        </w:numPr>
        <w:spacing w:after="16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doseženih rezultatih</w:t>
      </w:r>
      <w:r w:rsidR="008F375D">
        <w:rPr>
          <w:rFonts w:eastAsia="Aptos" w:cs="Arial"/>
          <w:color w:val="000000"/>
          <w:kern w:val="2"/>
          <w:szCs w:val="20"/>
          <w14:ligatures w14:val="standardContextual"/>
        </w:rPr>
        <w:t xml:space="preserve"> v zvezi z</w:t>
      </w:r>
      <w:r w:rsidRPr="00BE5832">
        <w:rPr>
          <w:rFonts w:eastAsia="Aptos" w:cs="Arial"/>
          <w:color w:val="000000"/>
          <w:kern w:val="2"/>
          <w:szCs w:val="20"/>
          <w14:ligatures w14:val="standardContextual"/>
        </w:rPr>
        <w:t xml:space="preserve"> razogljičenj</w:t>
      </w:r>
      <w:r w:rsidR="008F375D">
        <w:rPr>
          <w:rFonts w:eastAsia="Aptos" w:cs="Arial"/>
          <w:color w:val="000000"/>
          <w:kern w:val="2"/>
          <w:szCs w:val="20"/>
          <w14:ligatures w14:val="standardContextual"/>
        </w:rPr>
        <w:t>em</w:t>
      </w:r>
      <w:r w:rsidRPr="00BE5832">
        <w:rPr>
          <w:rFonts w:eastAsia="Aptos" w:cs="Arial"/>
          <w:color w:val="000000"/>
          <w:kern w:val="2"/>
          <w:szCs w:val="20"/>
          <w14:ligatures w14:val="standardContextual"/>
        </w:rPr>
        <w:t>.</w:t>
      </w:r>
    </w:p>
    <w:p w14:paraId="1FEDE77D" w14:textId="77777777" w:rsidR="00BE5832" w:rsidRPr="00BE5832" w:rsidRDefault="00BE5832" w:rsidP="00DA6357">
      <w:pPr>
        <w:spacing w:after="160" w:line="259" w:lineRule="auto"/>
        <w:ind w:left="720"/>
        <w:contextualSpacing/>
        <w:rPr>
          <w:rFonts w:eastAsia="Aptos" w:cs="Arial"/>
          <w:color w:val="000000"/>
          <w:kern w:val="2"/>
          <w:szCs w:val="20"/>
          <w14:ligatures w14:val="standardContextual"/>
        </w:rPr>
      </w:pPr>
    </w:p>
    <w:p w14:paraId="04D65B17" w14:textId="7302D1A7" w:rsidR="00BE5832" w:rsidRPr="00BE5832" w:rsidRDefault="00BE5832" w:rsidP="00DA6357">
      <w:pPr>
        <w:numPr>
          <w:ilvl w:val="0"/>
          <w:numId w:val="81"/>
        </w:numPr>
        <w:spacing w:after="16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Ob zaključku investicije</w:t>
      </w:r>
      <w:r w:rsidR="00E36F68">
        <w:rPr>
          <w:rFonts w:eastAsia="Aptos" w:cs="Arial"/>
          <w:color w:val="000000"/>
          <w:kern w:val="2"/>
          <w:szCs w:val="20"/>
          <w14:ligatures w14:val="standardContextual"/>
        </w:rPr>
        <w:t xml:space="preserve"> v naložbo</w:t>
      </w:r>
      <w:r w:rsidRPr="00BE5832">
        <w:rPr>
          <w:rFonts w:eastAsia="Aptos" w:cs="Arial"/>
          <w:color w:val="000000"/>
          <w:kern w:val="2"/>
          <w:szCs w:val="20"/>
          <w14:ligatures w14:val="standardContextual"/>
        </w:rPr>
        <w:t xml:space="preserve"> </w:t>
      </w:r>
      <w:r w:rsidR="00E36F68">
        <w:rPr>
          <w:rFonts w:eastAsia="Aptos" w:cs="Arial"/>
          <w:color w:val="000000"/>
          <w:kern w:val="2"/>
          <w:szCs w:val="20"/>
          <w14:ligatures w14:val="standardContextual"/>
        </w:rPr>
        <w:t>prejemnik spodbude</w:t>
      </w:r>
      <w:r w:rsidRPr="00BE5832">
        <w:rPr>
          <w:rFonts w:eastAsia="Aptos" w:cs="Arial"/>
          <w:color w:val="000000"/>
          <w:kern w:val="2"/>
          <w:szCs w:val="20"/>
          <w14:ligatures w14:val="standardContextual"/>
        </w:rPr>
        <w:t xml:space="preserve"> operaterju trga predloži zaključno poročilo o izvedeni investiciji, iz katerega </w:t>
      </w:r>
      <w:r w:rsidR="008F375D">
        <w:rPr>
          <w:rFonts w:eastAsia="Aptos" w:cs="Arial"/>
          <w:color w:val="000000"/>
          <w:kern w:val="2"/>
          <w:szCs w:val="20"/>
          <w14:ligatures w14:val="standardContextual"/>
        </w:rPr>
        <w:t>so</w:t>
      </w:r>
      <w:r w:rsidR="00455080">
        <w:rPr>
          <w:rFonts w:eastAsia="Aptos" w:cs="Arial"/>
          <w:color w:val="000000"/>
          <w:kern w:val="2"/>
          <w:szCs w:val="20"/>
          <w14:ligatures w14:val="standardContextual"/>
        </w:rPr>
        <w:t xml:space="preserve"> razvidn</w:t>
      </w:r>
      <w:r w:rsidR="008F375D">
        <w:rPr>
          <w:rFonts w:eastAsia="Aptos" w:cs="Arial"/>
          <w:color w:val="000000"/>
          <w:kern w:val="2"/>
          <w:szCs w:val="20"/>
          <w14:ligatures w14:val="standardContextual"/>
        </w:rPr>
        <w:t>i</w:t>
      </w:r>
      <w:r w:rsidRPr="00BE5832">
        <w:rPr>
          <w:rFonts w:eastAsia="Aptos" w:cs="Arial"/>
          <w:color w:val="000000"/>
          <w:kern w:val="2"/>
          <w:szCs w:val="20"/>
          <w14:ligatures w14:val="standardContextual"/>
        </w:rPr>
        <w:t xml:space="preserve"> vrsta naložbe</w:t>
      </w:r>
      <w:r w:rsidR="008F375D">
        <w:rPr>
          <w:rFonts w:eastAsia="Aptos" w:cs="Arial"/>
          <w:color w:val="000000"/>
          <w:kern w:val="2"/>
          <w:szCs w:val="20"/>
          <w14:ligatures w14:val="standardContextual"/>
        </w:rPr>
        <w:t xml:space="preserve"> in</w:t>
      </w:r>
      <w:r w:rsidRPr="00BE5832">
        <w:rPr>
          <w:rFonts w:eastAsia="Aptos" w:cs="Arial"/>
          <w:color w:val="000000"/>
          <w:kern w:val="2"/>
          <w:szCs w:val="20"/>
          <w14:ligatures w14:val="standardContextual"/>
        </w:rPr>
        <w:t xml:space="preserve"> datum </w:t>
      </w:r>
      <w:r w:rsidR="002F427F">
        <w:rPr>
          <w:rFonts w:eastAsia="Aptos" w:cs="Arial"/>
          <w:color w:val="000000"/>
          <w:kern w:val="2"/>
          <w:szCs w:val="20"/>
          <w14:ligatures w14:val="standardContextual"/>
        </w:rPr>
        <w:t>dokončanja</w:t>
      </w:r>
      <w:r w:rsidRPr="00BE5832">
        <w:rPr>
          <w:rFonts w:eastAsia="Aptos" w:cs="Arial"/>
          <w:color w:val="000000"/>
          <w:kern w:val="2"/>
          <w:szCs w:val="20"/>
          <w14:ligatures w14:val="standardContextual"/>
        </w:rPr>
        <w:t xml:space="preserve"> naložbe ter drugi podatki, iz katerih izhaja, da </w:t>
      </w:r>
      <w:r w:rsidR="00E36F68">
        <w:rPr>
          <w:rFonts w:eastAsia="Aptos" w:cs="Arial"/>
          <w:color w:val="000000"/>
          <w:kern w:val="2"/>
          <w:szCs w:val="20"/>
          <w14:ligatures w14:val="standardContextual"/>
        </w:rPr>
        <w:t>so</w:t>
      </w:r>
      <w:r w:rsidRPr="00BE5832">
        <w:rPr>
          <w:rFonts w:eastAsia="Aptos" w:cs="Arial"/>
          <w:color w:val="000000"/>
          <w:kern w:val="2"/>
          <w:szCs w:val="20"/>
          <w14:ligatures w14:val="standardContextual"/>
        </w:rPr>
        <w:t xml:space="preserve"> izpoln</w:t>
      </w:r>
      <w:r w:rsidR="00E36F68">
        <w:rPr>
          <w:rFonts w:eastAsia="Aptos" w:cs="Arial"/>
          <w:color w:val="000000"/>
          <w:kern w:val="2"/>
          <w:szCs w:val="20"/>
          <w14:ligatures w14:val="standardContextual"/>
        </w:rPr>
        <w:t>jene</w:t>
      </w:r>
      <w:r w:rsidRPr="00BE5832">
        <w:rPr>
          <w:rFonts w:eastAsia="Aptos" w:cs="Arial"/>
          <w:color w:val="000000"/>
          <w:kern w:val="2"/>
          <w:szCs w:val="20"/>
          <w14:ligatures w14:val="standardContextual"/>
        </w:rPr>
        <w:t xml:space="preserve"> obveznosti na podlagi dodeljene spodbude. </w:t>
      </w:r>
      <w:r w:rsidRPr="00BE5832">
        <w:rPr>
          <w:rFonts w:eastAsia="Aptos" w:cs="Arial"/>
          <w:color w:val="000000"/>
          <w:kern w:val="2"/>
          <w:szCs w:val="20"/>
          <w14:ligatures w14:val="standardContextual"/>
        </w:rPr>
        <w:lastRenderedPageBreak/>
        <w:t>Zaključno poročilo podpiše zakoniti zastopnik upravičenca, ki pod materialno in kazensko odgovornostjo jamči, da so podatki</w:t>
      </w:r>
      <w:r w:rsidR="008F375D">
        <w:rPr>
          <w:rFonts w:eastAsia="Aptos" w:cs="Arial"/>
          <w:color w:val="000000"/>
          <w:kern w:val="2"/>
          <w:szCs w:val="20"/>
          <w14:ligatures w14:val="standardContextual"/>
        </w:rPr>
        <w:t>,</w:t>
      </w:r>
      <w:r w:rsidRPr="00BE5832">
        <w:rPr>
          <w:rFonts w:eastAsia="Aptos" w:cs="Arial"/>
          <w:color w:val="000000"/>
          <w:kern w:val="2"/>
          <w:szCs w:val="20"/>
          <w14:ligatures w14:val="standardContextual"/>
        </w:rPr>
        <w:t xml:space="preserve"> navedeni v poročilu</w:t>
      </w:r>
      <w:r w:rsidR="008F375D">
        <w:rPr>
          <w:rFonts w:eastAsia="Aptos" w:cs="Arial"/>
          <w:color w:val="000000"/>
          <w:kern w:val="2"/>
          <w:szCs w:val="20"/>
          <w14:ligatures w14:val="standardContextual"/>
        </w:rPr>
        <w:t>,</w:t>
      </w:r>
      <w:r w:rsidRPr="00BE5832">
        <w:rPr>
          <w:rFonts w:eastAsia="Aptos" w:cs="Arial"/>
          <w:color w:val="000000"/>
          <w:kern w:val="2"/>
          <w:szCs w:val="20"/>
          <w14:ligatures w14:val="standardContextual"/>
        </w:rPr>
        <w:t xml:space="preserve"> resnični in </w:t>
      </w:r>
      <w:r w:rsidR="002F427F">
        <w:rPr>
          <w:rFonts w:eastAsia="Aptos" w:cs="Arial"/>
          <w:color w:val="000000"/>
          <w:kern w:val="2"/>
          <w:szCs w:val="20"/>
          <w14:ligatures w14:val="standardContextual"/>
        </w:rPr>
        <w:t>pravilni</w:t>
      </w:r>
      <w:r w:rsidRPr="00BE5832">
        <w:rPr>
          <w:rFonts w:eastAsia="Aptos" w:cs="Arial"/>
          <w:color w:val="000000"/>
          <w:kern w:val="2"/>
          <w:szCs w:val="20"/>
          <w14:ligatures w14:val="standardContextual"/>
        </w:rPr>
        <w:t>.</w:t>
      </w:r>
    </w:p>
    <w:p w14:paraId="2E712912" w14:textId="77777777" w:rsidR="00BE5832" w:rsidRPr="00BE5832" w:rsidRDefault="00BE5832" w:rsidP="00DA6357">
      <w:pPr>
        <w:spacing w:after="160" w:line="259" w:lineRule="auto"/>
        <w:ind w:left="720"/>
        <w:contextualSpacing/>
        <w:rPr>
          <w:rFonts w:eastAsia="Aptos" w:cs="Arial"/>
          <w:color w:val="000000"/>
          <w:kern w:val="2"/>
          <w:szCs w:val="20"/>
          <w14:ligatures w14:val="standardContextual"/>
        </w:rPr>
      </w:pPr>
    </w:p>
    <w:p w14:paraId="4641555B" w14:textId="74868BA6" w:rsidR="00BE5832" w:rsidRPr="00BE5832" w:rsidRDefault="00BE5832" w:rsidP="00DA6357">
      <w:pPr>
        <w:numPr>
          <w:ilvl w:val="0"/>
          <w:numId w:val="81"/>
        </w:numPr>
        <w:spacing w:after="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 xml:space="preserve">Operater trga za zagotavljanje potrebnih informacij </w:t>
      </w:r>
      <w:r w:rsidR="002A28A7">
        <w:rPr>
          <w:rFonts w:eastAsia="Aptos" w:cs="Arial"/>
          <w:color w:val="000000"/>
          <w:kern w:val="2"/>
          <w:szCs w:val="20"/>
          <w14:ligatures w14:val="standardContextual"/>
        </w:rPr>
        <w:t>pripravi</w:t>
      </w:r>
      <w:r w:rsidRPr="00BE5832">
        <w:rPr>
          <w:rFonts w:eastAsia="Aptos" w:cs="Arial"/>
          <w:color w:val="000000"/>
          <w:kern w:val="2"/>
          <w:szCs w:val="20"/>
          <w14:ligatures w14:val="standardContextual"/>
        </w:rPr>
        <w:t xml:space="preserve"> </w:t>
      </w:r>
      <w:r w:rsidR="002A28A7">
        <w:rPr>
          <w:rFonts w:eastAsia="Aptos" w:cs="Arial"/>
          <w:color w:val="000000"/>
          <w:kern w:val="2"/>
          <w:szCs w:val="20"/>
          <w14:ligatures w14:val="standardContextual"/>
        </w:rPr>
        <w:t>navodila in obrazce</w:t>
      </w:r>
      <w:r w:rsidR="0053294A">
        <w:rPr>
          <w:rFonts w:eastAsia="Aptos" w:cs="Arial"/>
          <w:color w:val="000000"/>
          <w:kern w:val="2"/>
          <w:szCs w:val="20"/>
          <w14:ligatures w14:val="standardContextual"/>
        </w:rPr>
        <w:t xml:space="preserve"> za</w:t>
      </w:r>
      <w:r w:rsidRPr="00BE5832">
        <w:rPr>
          <w:rFonts w:eastAsia="Aptos" w:cs="Arial"/>
          <w:color w:val="000000"/>
          <w:kern w:val="2"/>
          <w:szCs w:val="20"/>
          <w14:ligatures w14:val="standardContextual"/>
        </w:rPr>
        <w:t xml:space="preserve"> obvezn</w:t>
      </w:r>
      <w:r w:rsidR="0053294A">
        <w:rPr>
          <w:rFonts w:eastAsia="Aptos" w:cs="Arial"/>
          <w:color w:val="000000"/>
          <w:kern w:val="2"/>
          <w:szCs w:val="20"/>
          <w14:ligatures w14:val="standardContextual"/>
        </w:rPr>
        <w:t>o</w:t>
      </w:r>
      <w:r w:rsidRPr="00BE5832">
        <w:rPr>
          <w:rFonts w:eastAsia="Aptos" w:cs="Arial"/>
          <w:color w:val="000000"/>
          <w:kern w:val="2"/>
          <w:szCs w:val="20"/>
          <w14:ligatures w14:val="standardContextual"/>
        </w:rPr>
        <w:t xml:space="preserve"> poročanj</w:t>
      </w:r>
      <w:r w:rsidR="0053294A">
        <w:rPr>
          <w:rFonts w:eastAsia="Aptos" w:cs="Arial"/>
          <w:color w:val="000000"/>
          <w:kern w:val="2"/>
          <w:szCs w:val="20"/>
          <w14:ligatures w14:val="standardContextual"/>
        </w:rPr>
        <w:t>e</w:t>
      </w:r>
      <w:r w:rsidRPr="00BE5832">
        <w:rPr>
          <w:rFonts w:eastAsia="Aptos" w:cs="Arial"/>
          <w:color w:val="000000"/>
          <w:kern w:val="2"/>
          <w:szCs w:val="20"/>
          <w14:ligatures w14:val="standardContextual"/>
        </w:rPr>
        <w:t xml:space="preserve"> prejemnikov spodbud</w:t>
      </w:r>
      <w:r w:rsidR="008F375D">
        <w:rPr>
          <w:rFonts w:eastAsia="Aptos" w:cs="Arial"/>
          <w:color w:val="000000"/>
          <w:kern w:val="2"/>
          <w:szCs w:val="20"/>
          <w14:ligatures w14:val="standardContextual"/>
        </w:rPr>
        <w:t xml:space="preserve"> ter</w:t>
      </w:r>
      <w:r w:rsidRPr="00BE5832">
        <w:rPr>
          <w:rFonts w:eastAsia="Aptos" w:cs="Arial"/>
          <w:color w:val="000000"/>
          <w:kern w:val="2"/>
          <w:szCs w:val="20"/>
          <w14:ligatures w14:val="standardContextual"/>
        </w:rPr>
        <w:t xml:space="preserve"> jih objavi na spletni strani. </w:t>
      </w:r>
    </w:p>
    <w:p w14:paraId="53745847" w14:textId="77777777" w:rsidR="00BE5832" w:rsidRPr="00BE5832" w:rsidRDefault="00BE5832" w:rsidP="00BE5832">
      <w:pPr>
        <w:spacing w:after="160" w:line="259" w:lineRule="auto"/>
        <w:rPr>
          <w:rFonts w:eastAsia="Aptos" w:cs="Arial"/>
          <w:color w:val="000000"/>
          <w:kern w:val="2"/>
          <w:szCs w:val="20"/>
          <w14:ligatures w14:val="standardContextual"/>
        </w:rPr>
      </w:pPr>
    </w:p>
    <w:p w14:paraId="316B7BED" w14:textId="77777777" w:rsidR="00BE5832" w:rsidRPr="00BE5832" w:rsidRDefault="00BE5832" w:rsidP="00BE5832">
      <w:pPr>
        <w:spacing w:after="160" w:line="259" w:lineRule="auto"/>
        <w:ind w:left="720"/>
        <w:contextualSpacing/>
        <w:rPr>
          <w:rFonts w:eastAsia="Aptos" w:cs="Arial"/>
          <w:color w:val="000000"/>
          <w:kern w:val="2"/>
          <w:szCs w:val="20"/>
          <w14:ligatures w14:val="standardContextual"/>
        </w:rPr>
      </w:pPr>
    </w:p>
    <w:p w14:paraId="037E0EAA" w14:textId="77777777" w:rsidR="00BE5832" w:rsidRPr="00BE5832" w:rsidRDefault="00BE5832" w:rsidP="00EE11FA">
      <w:pPr>
        <w:keepNext/>
        <w:keepLines/>
        <w:numPr>
          <w:ilvl w:val="0"/>
          <w:numId w:val="70"/>
        </w:numPr>
        <w:spacing w:before="160" w:after="80" w:line="259" w:lineRule="auto"/>
        <w:jc w:val="center"/>
        <w:outlineLvl w:val="1"/>
        <w:rPr>
          <w:rFonts w:eastAsia="Times New Roman" w:cs="Arial"/>
          <w:color w:val="000000"/>
          <w:kern w:val="2"/>
          <w:szCs w:val="20"/>
          <w14:ligatures w14:val="standardContextual"/>
        </w:rPr>
      </w:pPr>
      <w:r w:rsidRPr="00BE5832">
        <w:rPr>
          <w:rFonts w:eastAsia="Times New Roman" w:cs="Arial"/>
          <w:color w:val="000000"/>
          <w:kern w:val="2"/>
          <w:szCs w:val="20"/>
          <w14:ligatures w14:val="standardContextual"/>
        </w:rPr>
        <w:t>člen</w:t>
      </w:r>
    </w:p>
    <w:p w14:paraId="160541E3" w14:textId="5717FC93" w:rsidR="00BE5832" w:rsidRPr="00BE5832" w:rsidRDefault="00BE5832" w:rsidP="00BE5832">
      <w:pPr>
        <w:spacing w:after="0" w:line="259" w:lineRule="auto"/>
        <w:ind w:left="720"/>
        <w:contextualSpacing/>
        <w:jc w:val="center"/>
        <w:rPr>
          <w:rFonts w:eastAsia="Aptos" w:cs="Arial"/>
          <w:color w:val="000000"/>
          <w:kern w:val="2"/>
          <w:szCs w:val="20"/>
          <w14:ligatures w14:val="standardContextual"/>
        </w:rPr>
      </w:pPr>
      <w:r w:rsidRPr="00BE5832">
        <w:rPr>
          <w:rFonts w:eastAsia="Aptos" w:cs="Arial"/>
          <w:color w:val="000000"/>
          <w:kern w:val="2"/>
          <w:szCs w:val="20"/>
          <w14:ligatures w14:val="standardContextual"/>
        </w:rPr>
        <w:t>(ukrepi v primeru neizpolnjevanja</w:t>
      </w:r>
      <w:r w:rsidR="00A378EA">
        <w:rPr>
          <w:rFonts w:eastAsia="Aptos" w:cs="Arial"/>
          <w:color w:val="000000"/>
          <w:kern w:val="2"/>
          <w:szCs w:val="20"/>
          <w14:ligatures w14:val="standardContextual"/>
        </w:rPr>
        <w:t xml:space="preserve"> obveznosti prejemnika spodbude</w:t>
      </w:r>
      <w:r w:rsidRPr="00BE5832">
        <w:rPr>
          <w:rFonts w:eastAsia="Aptos" w:cs="Arial"/>
          <w:color w:val="000000"/>
          <w:kern w:val="2"/>
          <w:szCs w:val="20"/>
          <w14:ligatures w14:val="standardContextual"/>
        </w:rPr>
        <w:t>)</w:t>
      </w:r>
    </w:p>
    <w:p w14:paraId="62BD68CB" w14:textId="77777777" w:rsidR="00BE5832" w:rsidRPr="00BE5832" w:rsidRDefault="00BE5832" w:rsidP="00BE5832">
      <w:pPr>
        <w:spacing w:after="0" w:line="259" w:lineRule="auto"/>
        <w:ind w:left="720"/>
        <w:contextualSpacing/>
        <w:rPr>
          <w:rFonts w:eastAsia="Aptos" w:cs="Arial"/>
          <w:color w:val="000000"/>
          <w:kern w:val="2"/>
          <w:szCs w:val="20"/>
          <w14:ligatures w14:val="standardContextual"/>
        </w:rPr>
      </w:pPr>
    </w:p>
    <w:p w14:paraId="176A30F4" w14:textId="7EA7832C" w:rsidR="00BE5832" w:rsidRPr="00903DEB" w:rsidRDefault="00BE5832" w:rsidP="00DA6357">
      <w:pPr>
        <w:numPr>
          <w:ilvl w:val="0"/>
          <w:numId w:val="77"/>
        </w:numPr>
        <w:spacing w:after="0" w:line="259" w:lineRule="auto"/>
        <w:contextualSpacing/>
        <w:rPr>
          <w:rFonts w:eastAsia="Aptos" w:cs="Arial"/>
          <w:color w:val="000000"/>
          <w:kern w:val="2"/>
          <w:szCs w:val="20"/>
          <w14:ligatures w14:val="standardContextual"/>
        </w:rPr>
      </w:pPr>
      <w:r w:rsidRPr="00903DEB">
        <w:rPr>
          <w:rFonts w:eastAsia="Aptos" w:cs="Arial"/>
          <w:color w:val="000000"/>
          <w:kern w:val="2"/>
          <w:szCs w:val="20"/>
          <w14:ligatures w14:val="standardContextual"/>
        </w:rPr>
        <w:t xml:space="preserve">Operater trga na podlagi poročil </w:t>
      </w:r>
      <w:r w:rsidR="00A378EA" w:rsidRPr="00903DEB">
        <w:rPr>
          <w:rFonts w:eastAsia="Aptos" w:cs="Arial"/>
          <w:color w:val="000000"/>
          <w:kern w:val="2"/>
          <w:szCs w:val="20"/>
          <w14:ligatures w14:val="standardContextual"/>
        </w:rPr>
        <w:t>prejemnikov spodbud</w:t>
      </w:r>
      <w:r w:rsidRPr="00903DEB">
        <w:rPr>
          <w:rFonts w:eastAsia="Aptos" w:cs="Arial"/>
          <w:color w:val="000000"/>
          <w:kern w:val="2"/>
          <w:szCs w:val="20"/>
          <w14:ligatures w14:val="standardContextual"/>
        </w:rPr>
        <w:t xml:space="preserve">, ugotovitev revizij ali ugotovitev inšpekcije, pristojne za energijo, </w:t>
      </w:r>
      <w:r w:rsidR="00495DF8">
        <w:rPr>
          <w:rFonts w:eastAsia="Aptos" w:cs="Arial"/>
          <w:color w:val="000000"/>
          <w:kern w:val="2"/>
          <w:szCs w:val="20"/>
          <w14:ligatures w14:val="standardContextual"/>
        </w:rPr>
        <w:t>preveri</w:t>
      </w:r>
      <w:r w:rsidRPr="00903DEB">
        <w:rPr>
          <w:rFonts w:eastAsia="Aptos" w:cs="Arial"/>
          <w:color w:val="000000"/>
          <w:kern w:val="2"/>
          <w:szCs w:val="20"/>
          <w14:ligatures w14:val="standardContextual"/>
        </w:rPr>
        <w:t>:</w:t>
      </w:r>
    </w:p>
    <w:p w14:paraId="5FE4C81F" w14:textId="1B82114A" w:rsidR="00BE5832" w:rsidRPr="00903DEB" w:rsidRDefault="00BE5832" w:rsidP="00DA6357">
      <w:pPr>
        <w:numPr>
          <w:ilvl w:val="0"/>
          <w:numId w:val="76"/>
        </w:numPr>
        <w:spacing w:after="0" w:line="259" w:lineRule="auto"/>
        <w:contextualSpacing/>
        <w:rPr>
          <w:rFonts w:eastAsia="Aptos" w:cs="Arial"/>
          <w:color w:val="000000"/>
          <w:kern w:val="2"/>
          <w:szCs w:val="20"/>
          <w14:ligatures w14:val="standardContextual"/>
        </w:rPr>
      </w:pPr>
      <w:r w:rsidRPr="00903DEB">
        <w:rPr>
          <w:rFonts w:eastAsia="Aptos" w:cs="Arial"/>
          <w:color w:val="000000"/>
          <w:kern w:val="2"/>
          <w:szCs w:val="20"/>
          <w14:ligatures w14:val="standardContextual"/>
        </w:rPr>
        <w:t xml:space="preserve">ali je bila posameznemu </w:t>
      </w:r>
      <w:r w:rsidR="00495DF8">
        <w:rPr>
          <w:rFonts w:eastAsia="Aptos" w:cs="Arial"/>
          <w:color w:val="000000"/>
          <w:kern w:val="2"/>
          <w:szCs w:val="20"/>
          <w14:ligatures w14:val="standardContextual"/>
        </w:rPr>
        <w:t>prejemniku spodbude</w:t>
      </w:r>
      <w:r w:rsidRPr="00903DEB">
        <w:rPr>
          <w:rFonts w:eastAsia="Aptos" w:cs="Arial"/>
          <w:color w:val="000000"/>
          <w:kern w:val="2"/>
          <w:szCs w:val="20"/>
          <w14:ligatures w14:val="standardContextual"/>
        </w:rPr>
        <w:t xml:space="preserve"> v posameznem letu odobrena previsoka spodbuda, ker ni porabil napovedane količin</w:t>
      </w:r>
      <w:r w:rsidR="008F375D">
        <w:rPr>
          <w:rFonts w:eastAsia="Aptos" w:cs="Arial"/>
          <w:color w:val="000000"/>
          <w:kern w:val="2"/>
          <w:szCs w:val="20"/>
          <w14:ligatures w14:val="standardContextual"/>
        </w:rPr>
        <w:t>e</w:t>
      </w:r>
      <w:r w:rsidRPr="00903DEB">
        <w:rPr>
          <w:rFonts w:eastAsia="Aptos" w:cs="Arial"/>
          <w:color w:val="000000"/>
          <w:kern w:val="2"/>
          <w:szCs w:val="20"/>
          <w14:ligatures w14:val="standardContextual"/>
        </w:rPr>
        <w:t xml:space="preserve"> električne energije oziroma, ker </w:t>
      </w:r>
      <w:r w:rsidR="00A378EA" w:rsidRPr="00903DEB">
        <w:rPr>
          <w:rFonts w:eastAsia="Aptos" w:cs="Arial"/>
          <w:color w:val="000000"/>
          <w:kern w:val="2"/>
          <w:szCs w:val="20"/>
          <w14:ligatures w14:val="standardContextual"/>
        </w:rPr>
        <w:t xml:space="preserve">spodbude ali </w:t>
      </w:r>
      <w:r w:rsidRPr="00903DEB">
        <w:rPr>
          <w:rFonts w:eastAsia="Aptos" w:cs="Arial"/>
          <w:color w:val="000000"/>
          <w:kern w:val="2"/>
          <w:szCs w:val="20"/>
          <w14:ligatures w14:val="standardContextual"/>
        </w:rPr>
        <w:t xml:space="preserve">njenega določenega dela ni </w:t>
      </w:r>
      <w:r w:rsidR="00A378EA" w:rsidRPr="00903DEB">
        <w:rPr>
          <w:rFonts w:eastAsia="Aptos" w:cs="Arial"/>
          <w:color w:val="000000"/>
          <w:kern w:val="2"/>
          <w:szCs w:val="20"/>
          <w14:ligatures w14:val="standardContextual"/>
        </w:rPr>
        <w:t>namenil za investiranje v naložbe</w:t>
      </w:r>
      <w:r w:rsidRPr="00903DEB">
        <w:rPr>
          <w:rFonts w:eastAsia="Aptos" w:cs="Arial"/>
          <w:color w:val="000000"/>
          <w:kern w:val="2"/>
          <w:szCs w:val="20"/>
          <w14:ligatures w14:val="standardContextual"/>
        </w:rPr>
        <w:t xml:space="preserve"> za upravičene namene, </w:t>
      </w:r>
    </w:p>
    <w:p w14:paraId="66DE320A" w14:textId="5AB825F3" w:rsidR="00BE5832" w:rsidRPr="00903DEB" w:rsidRDefault="00BE5832" w:rsidP="00DA6357">
      <w:pPr>
        <w:numPr>
          <w:ilvl w:val="0"/>
          <w:numId w:val="76"/>
        </w:numPr>
        <w:spacing w:after="160" w:line="259" w:lineRule="auto"/>
        <w:contextualSpacing/>
        <w:rPr>
          <w:rFonts w:eastAsia="Aptos" w:cs="Arial"/>
          <w:color w:val="000000"/>
          <w:kern w:val="2"/>
          <w:szCs w:val="20"/>
          <w14:ligatures w14:val="standardContextual"/>
        </w:rPr>
      </w:pPr>
      <w:r w:rsidRPr="00903DEB">
        <w:rPr>
          <w:rFonts w:eastAsia="Aptos" w:cs="Arial"/>
          <w:color w:val="000000"/>
          <w:kern w:val="2"/>
          <w:szCs w:val="20"/>
          <w14:ligatures w14:val="standardContextual"/>
        </w:rPr>
        <w:t xml:space="preserve">ali upošteva določbe tega zakona v zvezi </w:t>
      </w:r>
      <w:r w:rsidR="000435B8">
        <w:rPr>
          <w:rFonts w:eastAsia="Aptos" w:cs="Arial"/>
          <w:color w:val="000000"/>
          <w:kern w:val="2"/>
          <w:szCs w:val="20"/>
          <w14:ligatures w14:val="standardContextual"/>
        </w:rPr>
        <w:t xml:space="preserve">z namenom in upravičenostjo </w:t>
      </w:r>
      <w:r w:rsidRPr="00903DEB">
        <w:rPr>
          <w:rFonts w:eastAsia="Aptos" w:cs="Arial"/>
          <w:color w:val="000000"/>
          <w:kern w:val="2"/>
          <w:szCs w:val="20"/>
          <w14:ligatures w14:val="standardContextual"/>
        </w:rPr>
        <w:t>prejet</w:t>
      </w:r>
      <w:r w:rsidR="000435B8">
        <w:rPr>
          <w:rFonts w:eastAsia="Aptos" w:cs="Arial"/>
          <w:color w:val="000000"/>
          <w:kern w:val="2"/>
          <w:szCs w:val="20"/>
          <w14:ligatures w14:val="standardContextual"/>
        </w:rPr>
        <w:t>e</w:t>
      </w:r>
      <w:r w:rsidRPr="00903DEB">
        <w:rPr>
          <w:rFonts w:eastAsia="Aptos" w:cs="Arial"/>
          <w:color w:val="000000"/>
          <w:kern w:val="2"/>
          <w:szCs w:val="20"/>
          <w14:ligatures w14:val="standardContextual"/>
        </w:rPr>
        <w:t xml:space="preserve"> spodbud</w:t>
      </w:r>
      <w:r w:rsidR="000435B8">
        <w:rPr>
          <w:rFonts w:eastAsia="Aptos" w:cs="Arial"/>
          <w:color w:val="000000"/>
          <w:kern w:val="2"/>
          <w:szCs w:val="20"/>
          <w14:ligatures w14:val="standardContextual"/>
        </w:rPr>
        <w:t>e</w:t>
      </w:r>
      <w:r w:rsidRPr="00903DEB">
        <w:rPr>
          <w:rFonts w:eastAsia="Aptos" w:cs="Arial"/>
          <w:color w:val="000000"/>
          <w:kern w:val="2"/>
          <w:szCs w:val="20"/>
          <w14:ligatures w14:val="standardContextual"/>
        </w:rPr>
        <w:t>,</w:t>
      </w:r>
    </w:p>
    <w:p w14:paraId="0FFDB756" w14:textId="4AEF2C1D" w:rsidR="00495DF8" w:rsidRPr="00495DF8" w:rsidRDefault="00BE5832" w:rsidP="00495DF8">
      <w:pPr>
        <w:numPr>
          <w:ilvl w:val="0"/>
          <w:numId w:val="76"/>
        </w:numPr>
        <w:spacing w:after="0" w:line="259" w:lineRule="auto"/>
        <w:contextualSpacing/>
        <w:rPr>
          <w:rFonts w:eastAsia="Aptos" w:cs="Arial"/>
          <w:color w:val="000000"/>
          <w:kern w:val="2"/>
          <w:szCs w:val="20"/>
          <w14:ligatures w14:val="standardContextual"/>
        </w:rPr>
      </w:pPr>
      <w:r w:rsidRPr="00903DEB">
        <w:rPr>
          <w:rFonts w:eastAsia="Aptos" w:cs="Arial"/>
          <w:color w:val="000000"/>
          <w:kern w:val="2"/>
          <w:szCs w:val="20"/>
          <w14:ligatures w14:val="standardContextual"/>
        </w:rPr>
        <w:t xml:space="preserve">ali je upravičenec izpolnil svoje zaveze iz načrta naložb. </w:t>
      </w:r>
    </w:p>
    <w:p w14:paraId="4F5A8423" w14:textId="77777777" w:rsidR="00495DF8" w:rsidRDefault="00495DF8" w:rsidP="00495DF8">
      <w:pPr>
        <w:spacing w:after="0" w:line="259" w:lineRule="auto"/>
        <w:ind w:left="720"/>
        <w:contextualSpacing/>
        <w:rPr>
          <w:rFonts w:eastAsia="Aptos" w:cs="Arial"/>
          <w:color w:val="000000"/>
          <w:kern w:val="2"/>
          <w:szCs w:val="20"/>
          <w14:ligatures w14:val="standardContextual"/>
        </w:rPr>
      </w:pPr>
    </w:p>
    <w:p w14:paraId="2401D24F" w14:textId="26D8061C" w:rsidR="00BE5832" w:rsidRPr="00BE5832" w:rsidRDefault="00BE5832" w:rsidP="00DA6357">
      <w:pPr>
        <w:numPr>
          <w:ilvl w:val="0"/>
          <w:numId w:val="77"/>
        </w:numPr>
        <w:spacing w:after="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 xml:space="preserve">Operater trga v primeru zamud pri izvajanju načrta naložb pozove </w:t>
      </w:r>
      <w:r w:rsidR="00394FB5">
        <w:rPr>
          <w:rFonts w:eastAsia="Aptos" w:cs="Arial"/>
          <w:color w:val="000000"/>
          <w:kern w:val="2"/>
          <w:szCs w:val="20"/>
          <w14:ligatures w14:val="standardContextual"/>
        </w:rPr>
        <w:t>prejemnika spodbude</w:t>
      </w:r>
      <w:r w:rsidRPr="00BE5832">
        <w:rPr>
          <w:rFonts w:eastAsia="Aptos" w:cs="Arial"/>
          <w:color w:val="000000"/>
          <w:kern w:val="2"/>
          <w:szCs w:val="20"/>
          <w14:ligatures w14:val="standardContextual"/>
        </w:rPr>
        <w:t xml:space="preserve">, </w:t>
      </w:r>
      <w:r w:rsidR="002F427F">
        <w:rPr>
          <w:rFonts w:eastAsia="Aptos" w:cs="Arial"/>
          <w:color w:val="000000"/>
          <w:kern w:val="2"/>
          <w:szCs w:val="20"/>
          <w14:ligatures w14:val="standardContextual"/>
        </w:rPr>
        <w:t xml:space="preserve">naj </w:t>
      </w:r>
      <w:r w:rsidRPr="00BE5832">
        <w:rPr>
          <w:rFonts w:eastAsia="Aptos" w:cs="Arial"/>
          <w:color w:val="000000"/>
          <w:kern w:val="2"/>
          <w:szCs w:val="20"/>
          <w14:ligatures w14:val="standardContextual"/>
        </w:rPr>
        <w:t>po</w:t>
      </w:r>
      <w:r w:rsidR="008F375D">
        <w:rPr>
          <w:rFonts w:eastAsia="Aptos" w:cs="Arial"/>
          <w:color w:val="000000"/>
          <w:kern w:val="2"/>
          <w:szCs w:val="20"/>
          <w14:ligatures w14:val="standardContextual"/>
        </w:rPr>
        <w:t>šlje</w:t>
      </w:r>
      <w:r w:rsidRPr="00BE5832">
        <w:rPr>
          <w:rFonts w:eastAsia="Aptos" w:cs="Arial"/>
          <w:color w:val="000000"/>
          <w:kern w:val="2"/>
          <w:szCs w:val="20"/>
          <w14:ligatures w14:val="standardContextual"/>
        </w:rPr>
        <w:t xml:space="preserve"> nov terminski načrt za izvedbo</w:t>
      </w:r>
      <w:r w:rsidR="00234A09">
        <w:rPr>
          <w:rFonts w:eastAsia="Aptos" w:cs="Arial"/>
          <w:color w:val="000000"/>
          <w:kern w:val="2"/>
          <w:szCs w:val="20"/>
          <w14:ligatures w14:val="standardContextual"/>
        </w:rPr>
        <w:t xml:space="preserve"> za </w:t>
      </w:r>
      <w:r w:rsidR="008F375D">
        <w:rPr>
          <w:rFonts w:eastAsia="Aptos" w:cs="Arial"/>
          <w:color w:val="000000"/>
          <w:kern w:val="2"/>
          <w:szCs w:val="20"/>
          <w14:ligatures w14:val="standardContextual"/>
        </w:rPr>
        <w:t>do</w:t>
      </w:r>
      <w:r w:rsidR="00234A09">
        <w:rPr>
          <w:rFonts w:eastAsia="Aptos" w:cs="Arial"/>
          <w:color w:val="000000"/>
          <w:kern w:val="2"/>
          <w:szCs w:val="20"/>
          <w14:ligatures w14:val="standardContextual"/>
        </w:rPr>
        <w:t xml:space="preserve">končanje naložb </w:t>
      </w:r>
      <w:r w:rsidRPr="00BE5832">
        <w:rPr>
          <w:rFonts w:eastAsia="Aptos" w:cs="Arial"/>
          <w:color w:val="000000"/>
          <w:kern w:val="2"/>
          <w:szCs w:val="20"/>
          <w14:ligatures w14:val="standardContextual"/>
        </w:rPr>
        <w:t>naj</w:t>
      </w:r>
      <w:r w:rsidR="008F375D">
        <w:rPr>
          <w:rFonts w:eastAsia="Aptos" w:cs="Arial"/>
          <w:color w:val="000000"/>
          <w:kern w:val="2"/>
          <w:szCs w:val="20"/>
          <w14:ligatures w14:val="standardContextual"/>
        </w:rPr>
        <w:t>pozneje</w:t>
      </w:r>
      <w:r w:rsidRPr="00BE5832">
        <w:rPr>
          <w:rFonts w:eastAsia="Aptos" w:cs="Arial"/>
          <w:color w:val="000000"/>
          <w:kern w:val="2"/>
          <w:szCs w:val="20"/>
          <w14:ligatures w14:val="standardContextual"/>
        </w:rPr>
        <w:t xml:space="preserve"> do 31. decembra 2032. </w:t>
      </w:r>
    </w:p>
    <w:p w14:paraId="74EDE089" w14:textId="77777777" w:rsidR="00BE5832" w:rsidRPr="00BE5832" w:rsidRDefault="00BE5832" w:rsidP="00DA6357">
      <w:pPr>
        <w:spacing w:after="160" w:line="259" w:lineRule="auto"/>
        <w:ind w:left="720"/>
        <w:contextualSpacing/>
        <w:rPr>
          <w:rFonts w:eastAsia="Aptos" w:cs="Arial"/>
          <w:color w:val="000000"/>
          <w:kern w:val="2"/>
          <w:szCs w:val="20"/>
          <w14:ligatures w14:val="standardContextual"/>
        </w:rPr>
      </w:pPr>
    </w:p>
    <w:p w14:paraId="4EEDDC5C" w14:textId="34F0FA39" w:rsidR="00BE5832" w:rsidRPr="007C4D96" w:rsidRDefault="00BE5832" w:rsidP="00F67126">
      <w:pPr>
        <w:numPr>
          <w:ilvl w:val="0"/>
          <w:numId w:val="77"/>
        </w:numPr>
        <w:spacing w:after="0" w:line="259" w:lineRule="auto"/>
        <w:contextualSpacing/>
        <w:rPr>
          <w:rFonts w:eastAsia="Aptos" w:cs="Arial"/>
          <w:color w:val="000000"/>
          <w:kern w:val="2"/>
          <w:szCs w:val="20"/>
          <w14:ligatures w14:val="standardContextual"/>
        </w:rPr>
      </w:pPr>
      <w:r w:rsidRPr="007C4D96">
        <w:rPr>
          <w:rFonts w:eastAsia="Aptos" w:cs="Arial"/>
          <w:color w:val="000000"/>
          <w:kern w:val="2"/>
          <w:szCs w:val="20"/>
          <w14:ligatures w14:val="standardContextual"/>
        </w:rPr>
        <w:t xml:space="preserve">Če pri </w:t>
      </w:r>
      <w:r w:rsidR="0080218A">
        <w:rPr>
          <w:rFonts w:eastAsia="Aptos" w:cs="Arial"/>
          <w:color w:val="000000"/>
          <w:kern w:val="2"/>
          <w:szCs w:val="20"/>
          <w14:ligatures w14:val="standardContextual"/>
        </w:rPr>
        <w:t>vnovičnem</w:t>
      </w:r>
      <w:r w:rsidRPr="007C4D96">
        <w:rPr>
          <w:rFonts w:eastAsia="Aptos" w:cs="Arial"/>
          <w:color w:val="000000"/>
          <w:kern w:val="2"/>
          <w:szCs w:val="20"/>
          <w14:ligatures w14:val="standardContextual"/>
        </w:rPr>
        <w:t xml:space="preserve"> nadzoru operater trga ugotovi, da načrtovane naložbe niso bile </w:t>
      </w:r>
      <w:r w:rsidR="0080218A">
        <w:rPr>
          <w:rFonts w:eastAsia="Aptos" w:cs="Arial"/>
          <w:color w:val="000000"/>
          <w:kern w:val="2"/>
          <w:szCs w:val="20"/>
          <w14:ligatures w14:val="standardContextual"/>
        </w:rPr>
        <w:t>do</w:t>
      </w:r>
      <w:r w:rsidRPr="007C4D96">
        <w:rPr>
          <w:rFonts w:eastAsia="Aptos" w:cs="Arial"/>
          <w:color w:val="000000"/>
          <w:kern w:val="2"/>
          <w:szCs w:val="20"/>
          <w14:ligatures w14:val="standardContextual"/>
        </w:rPr>
        <w:t xml:space="preserve">končane </w:t>
      </w:r>
      <w:r w:rsidR="003C5D05" w:rsidRPr="007C4D96">
        <w:rPr>
          <w:rFonts w:eastAsia="Aptos" w:cs="Arial"/>
          <w:color w:val="000000"/>
          <w:kern w:val="2"/>
          <w:szCs w:val="20"/>
          <w14:ligatures w14:val="standardContextual"/>
        </w:rPr>
        <w:t xml:space="preserve">v </w:t>
      </w:r>
      <w:r w:rsidRPr="007C4D96">
        <w:rPr>
          <w:rFonts w:eastAsia="Aptos" w:cs="Arial"/>
          <w:color w:val="000000"/>
          <w:kern w:val="2"/>
          <w:szCs w:val="20"/>
          <w14:ligatures w14:val="standardContextual"/>
        </w:rPr>
        <w:t>rok</w:t>
      </w:r>
      <w:r w:rsidR="003C5D05" w:rsidRPr="007C4D96">
        <w:rPr>
          <w:rFonts w:eastAsia="Aptos" w:cs="Arial"/>
          <w:color w:val="000000"/>
          <w:kern w:val="2"/>
          <w:szCs w:val="20"/>
          <w14:ligatures w14:val="standardContextual"/>
        </w:rPr>
        <w:t>u</w:t>
      </w:r>
      <w:r w:rsidRPr="007C4D96">
        <w:rPr>
          <w:rFonts w:eastAsia="Aptos" w:cs="Arial"/>
          <w:color w:val="000000"/>
          <w:kern w:val="2"/>
          <w:szCs w:val="20"/>
          <w14:ligatures w14:val="standardContextual"/>
        </w:rPr>
        <w:t xml:space="preserve"> iz prejšnjega odstavka, s sklepom določi delež neizpolnitve načrta naložb</w:t>
      </w:r>
      <w:r w:rsidR="00394FB5" w:rsidRPr="007C4D96">
        <w:rPr>
          <w:rFonts w:eastAsia="Aptos" w:cs="Arial"/>
          <w:color w:val="000000"/>
          <w:kern w:val="2"/>
          <w:szCs w:val="20"/>
          <w14:ligatures w14:val="standardContextual"/>
        </w:rPr>
        <w:t xml:space="preserve"> in višino neupravičeno prejete spodbude</w:t>
      </w:r>
      <w:r w:rsidRPr="007C4D96">
        <w:rPr>
          <w:rFonts w:eastAsia="Aptos" w:cs="Arial"/>
          <w:color w:val="000000"/>
          <w:kern w:val="2"/>
          <w:szCs w:val="20"/>
          <w14:ligatures w14:val="standardContextual"/>
        </w:rPr>
        <w:t>, ki jo mora zavezanec plačati operaterju trga v tridesetih dneh</w:t>
      </w:r>
      <w:r w:rsidR="007C4D96" w:rsidRPr="007C4D96">
        <w:rPr>
          <w:rFonts w:eastAsia="Aptos" w:cs="Arial"/>
          <w:color w:val="000000"/>
          <w:kern w:val="2"/>
          <w:szCs w:val="20"/>
          <w14:ligatures w14:val="standardContextual"/>
        </w:rPr>
        <w:t xml:space="preserve"> po vročitvi sklepa</w:t>
      </w:r>
      <w:r w:rsidRPr="007C4D96">
        <w:rPr>
          <w:rFonts w:eastAsia="Aptos" w:cs="Arial"/>
          <w:color w:val="000000"/>
          <w:kern w:val="2"/>
          <w:szCs w:val="20"/>
          <w14:ligatures w14:val="standardContextual"/>
        </w:rPr>
        <w:t xml:space="preserve">. </w:t>
      </w:r>
      <w:r w:rsidR="00394FB5" w:rsidRPr="007C4D96">
        <w:rPr>
          <w:rFonts w:eastAsia="Aptos" w:cs="Arial"/>
          <w:color w:val="000000"/>
          <w:kern w:val="2"/>
          <w:szCs w:val="20"/>
          <w14:ligatures w14:val="standardContextual"/>
        </w:rPr>
        <w:t>Po tem roku se prejemniku spodbude začnejo zaračunavati zakonske zamudne</w:t>
      </w:r>
      <w:r w:rsidR="007C4D96" w:rsidRPr="007C4D96">
        <w:rPr>
          <w:rFonts w:eastAsia="Aptos" w:cs="Arial"/>
          <w:color w:val="000000"/>
          <w:kern w:val="2"/>
          <w:szCs w:val="20"/>
          <w14:ligatures w14:val="standardContextual"/>
        </w:rPr>
        <w:t xml:space="preserve"> obresti po zakonu, ki ureja predpisano obrestno mero zamudnih obresti</w:t>
      </w:r>
      <w:r w:rsidR="00394FB5" w:rsidRPr="007C4D96">
        <w:rPr>
          <w:rFonts w:eastAsia="Aptos" w:cs="Arial"/>
          <w:color w:val="000000"/>
          <w:kern w:val="2"/>
          <w:szCs w:val="20"/>
          <w14:ligatures w14:val="standardContextual"/>
        </w:rPr>
        <w:t xml:space="preserve">. </w:t>
      </w:r>
      <w:r w:rsidRPr="007C4D96">
        <w:rPr>
          <w:rFonts w:eastAsia="Aptos" w:cs="Arial"/>
          <w:color w:val="000000"/>
          <w:kern w:val="2"/>
          <w:szCs w:val="20"/>
          <w14:ligatures w14:val="standardContextual"/>
        </w:rPr>
        <w:t>Operater trga ta sredstva nakaže v proračun Republike Slovenije</w:t>
      </w:r>
      <w:r w:rsidR="007C4D96">
        <w:rPr>
          <w:rFonts w:eastAsia="Aptos" w:cs="Arial"/>
          <w:color w:val="000000"/>
          <w:kern w:val="2"/>
          <w:szCs w:val="20"/>
          <w14:ligatures w14:val="standardContextual"/>
        </w:rPr>
        <w:t>.</w:t>
      </w:r>
    </w:p>
    <w:p w14:paraId="162B9E2D" w14:textId="77777777" w:rsidR="00BE5832" w:rsidRPr="00BE5832" w:rsidRDefault="00BE5832" w:rsidP="00754213">
      <w:pPr>
        <w:keepNext/>
        <w:keepLines/>
        <w:numPr>
          <w:ilvl w:val="0"/>
          <w:numId w:val="70"/>
        </w:numPr>
        <w:spacing w:before="160" w:after="80" w:line="259" w:lineRule="auto"/>
        <w:jc w:val="center"/>
        <w:outlineLvl w:val="1"/>
        <w:rPr>
          <w:rFonts w:eastAsia="Times New Roman" w:cs="Arial"/>
          <w:color w:val="000000"/>
          <w:kern w:val="2"/>
          <w:szCs w:val="20"/>
          <w14:ligatures w14:val="standardContextual"/>
        </w:rPr>
      </w:pPr>
      <w:r w:rsidRPr="00BE5832">
        <w:rPr>
          <w:rFonts w:eastAsia="Times New Roman" w:cs="Arial"/>
          <w:color w:val="000000"/>
          <w:kern w:val="2"/>
          <w:szCs w:val="20"/>
          <w14:ligatures w14:val="standardContextual"/>
        </w:rPr>
        <w:t>člen</w:t>
      </w:r>
    </w:p>
    <w:p w14:paraId="225FD547" w14:textId="77777777" w:rsidR="00BE5832" w:rsidRPr="00BE5832" w:rsidRDefault="00BE5832" w:rsidP="00BE5832">
      <w:pPr>
        <w:spacing w:after="0" w:line="259" w:lineRule="auto"/>
        <w:jc w:val="center"/>
        <w:rPr>
          <w:rFonts w:eastAsia="Aptos" w:cs="Arial"/>
          <w:color w:val="000000"/>
          <w:kern w:val="2"/>
          <w:szCs w:val="20"/>
          <w14:ligatures w14:val="standardContextual"/>
        </w:rPr>
      </w:pPr>
      <w:r w:rsidRPr="00BE5832">
        <w:rPr>
          <w:rFonts w:eastAsia="Aptos" w:cs="Arial"/>
          <w:color w:val="000000"/>
          <w:kern w:val="2"/>
          <w:szCs w:val="20"/>
          <w14:ligatures w14:val="standardContextual"/>
        </w:rPr>
        <w:t>(nadzor)</w:t>
      </w:r>
    </w:p>
    <w:p w14:paraId="5185CFB8" w14:textId="77777777" w:rsidR="00BE5832" w:rsidRPr="00BE5832" w:rsidRDefault="00BE5832" w:rsidP="00BE5832">
      <w:pPr>
        <w:spacing w:after="0" w:line="259" w:lineRule="auto"/>
        <w:rPr>
          <w:rFonts w:eastAsia="Aptos" w:cs="Arial"/>
          <w:color w:val="000000"/>
          <w:kern w:val="2"/>
          <w:szCs w:val="20"/>
          <w14:ligatures w14:val="standardContextual"/>
        </w:rPr>
      </w:pPr>
    </w:p>
    <w:p w14:paraId="396FA3D4" w14:textId="00769FDE" w:rsidR="00BE5832" w:rsidRPr="00BE5832" w:rsidRDefault="00BE5832" w:rsidP="00BE5832">
      <w:pPr>
        <w:spacing w:after="160" w:line="259" w:lineRule="auto"/>
        <w:rPr>
          <w:rFonts w:eastAsia="Aptos" w:cs="Arial"/>
          <w:color w:val="000000"/>
          <w:kern w:val="2"/>
          <w:szCs w:val="20"/>
          <w14:ligatures w14:val="standardContextual"/>
        </w:rPr>
      </w:pPr>
      <w:r w:rsidRPr="00BE5832">
        <w:rPr>
          <w:rFonts w:eastAsia="Aptos" w:cs="Arial"/>
          <w:color w:val="000000"/>
          <w:kern w:val="2"/>
          <w:szCs w:val="20"/>
          <w14:ligatures w14:val="standardContextual"/>
        </w:rPr>
        <w:t>Inšpektorat, pristojen za energijo, izvaja nadzor nad izvajanjem določb tega zakona.</w:t>
      </w:r>
    </w:p>
    <w:p w14:paraId="0AECCC6B" w14:textId="77777777" w:rsidR="00BE5832" w:rsidRPr="00BE5832" w:rsidRDefault="00BE5832" w:rsidP="00BE5832">
      <w:pPr>
        <w:spacing w:after="160" w:line="259" w:lineRule="auto"/>
        <w:rPr>
          <w:rFonts w:eastAsia="Aptos" w:cs="Arial"/>
          <w:color w:val="000000"/>
          <w:kern w:val="2"/>
          <w:szCs w:val="20"/>
          <w14:ligatures w14:val="standardContextual"/>
        </w:rPr>
      </w:pPr>
    </w:p>
    <w:p w14:paraId="396AD487" w14:textId="3D06AF5B" w:rsidR="00BE5832" w:rsidRPr="00BE5832" w:rsidRDefault="00BE5832" w:rsidP="009E1640">
      <w:pPr>
        <w:keepNext/>
        <w:keepLines/>
        <w:numPr>
          <w:ilvl w:val="0"/>
          <w:numId w:val="70"/>
        </w:numPr>
        <w:spacing w:before="160" w:after="80" w:line="259" w:lineRule="auto"/>
        <w:jc w:val="center"/>
        <w:outlineLvl w:val="1"/>
        <w:rPr>
          <w:rFonts w:eastAsia="Times New Roman" w:cs="Arial"/>
          <w:color w:val="000000"/>
          <w:kern w:val="2"/>
          <w:szCs w:val="20"/>
          <w14:ligatures w14:val="standardContextual"/>
        </w:rPr>
      </w:pPr>
      <w:r w:rsidRPr="00BE5832">
        <w:rPr>
          <w:rFonts w:eastAsia="Times New Roman" w:cs="Arial"/>
          <w:color w:val="000000"/>
          <w:kern w:val="2"/>
          <w:szCs w:val="20"/>
          <w14:ligatures w14:val="standardContextual"/>
        </w:rPr>
        <w:t xml:space="preserve"> člen</w:t>
      </w:r>
    </w:p>
    <w:p w14:paraId="52680699" w14:textId="4481FB98" w:rsidR="00BE5832" w:rsidRPr="00BE5832" w:rsidRDefault="00BE5832" w:rsidP="00BE5832">
      <w:pPr>
        <w:spacing w:after="160" w:line="259" w:lineRule="auto"/>
        <w:jc w:val="center"/>
        <w:rPr>
          <w:rFonts w:eastAsia="Aptos" w:cs="Arial"/>
          <w:color w:val="000000"/>
          <w:kern w:val="2"/>
          <w:szCs w:val="20"/>
          <w14:ligatures w14:val="standardContextual"/>
        </w:rPr>
      </w:pPr>
      <w:r w:rsidRPr="00BE5832">
        <w:rPr>
          <w:rFonts w:eastAsia="Aptos" w:cs="Arial"/>
          <w:color w:val="000000"/>
          <w:kern w:val="2"/>
          <w:szCs w:val="20"/>
          <w14:ligatures w14:val="standardContextual"/>
        </w:rPr>
        <w:t>(</w:t>
      </w:r>
      <w:r w:rsidR="00C55A33">
        <w:rPr>
          <w:rFonts w:eastAsia="Aptos" w:cs="Arial"/>
          <w:color w:val="000000"/>
          <w:kern w:val="2"/>
          <w:szCs w:val="20"/>
          <w14:ligatures w14:val="standardContextual"/>
        </w:rPr>
        <w:t xml:space="preserve">vodenje evidence, objava podatkov in </w:t>
      </w:r>
      <w:r w:rsidRPr="00BE5832">
        <w:rPr>
          <w:rFonts w:eastAsia="Aptos" w:cs="Arial"/>
          <w:color w:val="000000"/>
          <w:kern w:val="2"/>
          <w:szCs w:val="20"/>
          <w14:ligatures w14:val="standardContextual"/>
        </w:rPr>
        <w:t>poročanje)</w:t>
      </w:r>
    </w:p>
    <w:p w14:paraId="7BD20753" w14:textId="76D34EA8" w:rsidR="00BE5832" w:rsidRPr="00BE5832" w:rsidRDefault="00BE5832" w:rsidP="00DA6357">
      <w:pPr>
        <w:numPr>
          <w:ilvl w:val="0"/>
          <w:numId w:val="78"/>
        </w:numPr>
        <w:spacing w:after="16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Operater trga vodi evidenco dodeljenih spodbud</w:t>
      </w:r>
      <w:r w:rsidR="003C5D05">
        <w:rPr>
          <w:rFonts w:eastAsia="Aptos" w:cs="Arial"/>
          <w:color w:val="000000"/>
          <w:kern w:val="2"/>
          <w:szCs w:val="20"/>
          <w14:ligatures w14:val="standardContextual"/>
        </w:rPr>
        <w:t xml:space="preserve">, na </w:t>
      </w:r>
      <w:r w:rsidR="0080218A">
        <w:rPr>
          <w:rFonts w:eastAsia="Aptos" w:cs="Arial"/>
          <w:color w:val="000000"/>
          <w:kern w:val="2"/>
          <w:szCs w:val="20"/>
          <w14:ligatures w14:val="standardContextual"/>
        </w:rPr>
        <w:t xml:space="preserve">svoji </w:t>
      </w:r>
      <w:r w:rsidR="003C5D05">
        <w:rPr>
          <w:rFonts w:eastAsia="Aptos" w:cs="Arial"/>
          <w:color w:val="000000"/>
          <w:kern w:val="2"/>
          <w:szCs w:val="20"/>
          <w14:ligatures w14:val="standardContextual"/>
        </w:rPr>
        <w:t>spletni strani objavlja</w:t>
      </w:r>
      <w:r w:rsidR="00EF5C20">
        <w:rPr>
          <w:rFonts w:eastAsia="Aptos" w:cs="Arial"/>
          <w:color w:val="000000"/>
          <w:kern w:val="2"/>
          <w:szCs w:val="20"/>
          <w14:ligatures w14:val="standardContextual"/>
        </w:rPr>
        <w:t xml:space="preserve"> </w:t>
      </w:r>
      <w:r w:rsidR="000B6DA8">
        <w:rPr>
          <w:rFonts w:eastAsia="Aptos" w:cs="Arial"/>
          <w:color w:val="000000"/>
          <w:kern w:val="2"/>
          <w:szCs w:val="20"/>
          <w14:ligatures w14:val="standardContextual"/>
        </w:rPr>
        <w:t>prejemnike spodbud</w:t>
      </w:r>
      <w:r w:rsidRPr="00BE5832">
        <w:rPr>
          <w:rFonts w:eastAsia="Aptos" w:cs="Arial"/>
          <w:color w:val="000000"/>
          <w:kern w:val="2"/>
          <w:szCs w:val="20"/>
          <w14:ligatures w14:val="standardContextual"/>
        </w:rPr>
        <w:t xml:space="preserve"> in znesk</w:t>
      </w:r>
      <w:r w:rsidR="003C5D05">
        <w:rPr>
          <w:rFonts w:eastAsia="Aptos" w:cs="Arial"/>
          <w:color w:val="000000"/>
          <w:kern w:val="2"/>
          <w:szCs w:val="20"/>
          <w14:ligatures w14:val="standardContextual"/>
        </w:rPr>
        <w:t>e</w:t>
      </w:r>
      <w:r w:rsidRPr="00BE5832">
        <w:rPr>
          <w:rFonts w:eastAsia="Aptos" w:cs="Arial"/>
          <w:color w:val="000000"/>
          <w:kern w:val="2"/>
          <w:szCs w:val="20"/>
          <w14:ligatures w14:val="standardContextual"/>
        </w:rPr>
        <w:t xml:space="preserve"> letn</w:t>
      </w:r>
      <w:r w:rsidR="003C5D05">
        <w:rPr>
          <w:rFonts w:eastAsia="Aptos" w:cs="Arial"/>
          <w:color w:val="000000"/>
          <w:kern w:val="2"/>
          <w:szCs w:val="20"/>
          <w14:ligatures w14:val="standardContextual"/>
        </w:rPr>
        <w:t>o</w:t>
      </w:r>
      <w:r w:rsidRPr="00BE5832">
        <w:rPr>
          <w:rFonts w:eastAsia="Aptos" w:cs="Arial"/>
          <w:color w:val="000000"/>
          <w:kern w:val="2"/>
          <w:szCs w:val="20"/>
          <w14:ligatures w14:val="standardContextual"/>
        </w:rPr>
        <w:t xml:space="preserve"> </w:t>
      </w:r>
      <w:r w:rsidR="003C5D05">
        <w:rPr>
          <w:rFonts w:eastAsia="Aptos" w:cs="Arial"/>
          <w:color w:val="000000"/>
          <w:kern w:val="2"/>
          <w:szCs w:val="20"/>
          <w14:ligatures w14:val="standardContextual"/>
        </w:rPr>
        <w:t>dodeljenih</w:t>
      </w:r>
      <w:r w:rsidRPr="00BE5832">
        <w:rPr>
          <w:rFonts w:eastAsia="Aptos" w:cs="Arial"/>
          <w:color w:val="000000"/>
          <w:kern w:val="2"/>
          <w:szCs w:val="20"/>
          <w14:ligatures w14:val="standardContextual"/>
        </w:rPr>
        <w:t xml:space="preserve"> spodbud ter pripravlja</w:t>
      </w:r>
      <w:r w:rsidR="003C5D05">
        <w:rPr>
          <w:rFonts w:eastAsia="Aptos" w:cs="Arial"/>
          <w:color w:val="000000"/>
          <w:kern w:val="2"/>
          <w:szCs w:val="20"/>
          <w14:ligatures w14:val="standardContextual"/>
        </w:rPr>
        <w:t xml:space="preserve"> in po</w:t>
      </w:r>
      <w:r w:rsidR="0080218A">
        <w:rPr>
          <w:rFonts w:eastAsia="Aptos" w:cs="Arial"/>
          <w:color w:val="000000"/>
          <w:kern w:val="2"/>
          <w:szCs w:val="20"/>
          <w14:ligatures w14:val="standardContextual"/>
        </w:rPr>
        <w:t>šilja</w:t>
      </w:r>
      <w:r w:rsidRPr="00BE5832">
        <w:rPr>
          <w:rFonts w:eastAsia="Aptos" w:cs="Arial"/>
          <w:color w:val="000000"/>
          <w:kern w:val="2"/>
          <w:szCs w:val="20"/>
          <w14:ligatures w14:val="standardContextual"/>
        </w:rPr>
        <w:t xml:space="preserve"> letna poročila ministrstv</w:t>
      </w:r>
      <w:r w:rsidR="003C5D05">
        <w:rPr>
          <w:rFonts w:eastAsia="Aptos" w:cs="Arial"/>
          <w:color w:val="000000"/>
          <w:kern w:val="2"/>
          <w:szCs w:val="20"/>
          <w14:ligatures w14:val="standardContextual"/>
        </w:rPr>
        <w:t>u</w:t>
      </w:r>
      <w:r w:rsidRPr="00BE5832">
        <w:rPr>
          <w:rFonts w:eastAsia="Aptos" w:cs="Arial"/>
          <w:color w:val="000000"/>
          <w:kern w:val="2"/>
          <w:szCs w:val="20"/>
          <w14:ligatures w14:val="standardContextual"/>
        </w:rPr>
        <w:t>, pristojn</w:t>
      </w:r>
      <w:r w:rsidR="003C5D05">
        <w:rPr>
          <w:rFonts w:eastAsia="Aptos" w:cs="Arial"/>
          <w:color w:val="000000"/>
          <w:kern w:val="2"/>
          <w:szCs w:val="20"/>
          <w14:ligatures w14:val="standardContextual"/>
        </w:rPr>
        <w:t>emu</w:t>
      </w:r>
      <w:r w:rsidRPr="00BE5832">
        <w:rPr>
          <w:rFonts w:eastAsia="Aptos" w:cs="Arial"/>
          <w:color w:val="000000"/>
          <w:kern w:val="2"/>
          <w:szCs w:val="20"/>
          <w14:ligatures w14:val="standardContextual"/>
        </w:rPr>
        <w:t xml:space="preserve"> za finance. </w:t>
      </w:r>
    </w:p>
    <w:p w14:paraId="437002FF" w14:textId="77777777" w:rsidR="00BE5832" w:rsidRPr="00BE5832" w:rsidRDefault="00BE5832" w:rsidP="00DA6357">
      <w:pPr>
        <w:spacing w:after="160" w:line="259" w:lineRule="auto"/>
        <w:ind w:left="720"/>
        <w:contextualSpacing/>
        <w:rPr>
          <w:rFonts w:eastAsia="Aptos" w:cs="Arial"/>
          <w:color w:val="000000"/>
          <w:kern w:val="2"/>
          <w:szCs w:val="20"/>
          <w14:ligatures w14:val="standardContextual"/>
        </w:rPr>
      </w:pPr>
    </w:p>
    <w:p w14:paraId="3549270B" w14:textId="16F349C6" w:rsidR="00BE5832" w:rsidRPr="00853926" w:rsidRDefault="00BE5832" w:rsidP="00DA6357">
      <w:pPr>
        <w:numPr>
          <w:ilvl w:val="0"/>
          <w:numId w:val="78"/>
        </w:numPr>
        <w:spacing w:after="160" w:line="259" w:lineRule="auto"/>
        <w:contextualSpacing/>
        <w:rPr>
          <w:rFonts w:eastAsia="Aptos" w:cs="Arial"/>
          <w:color w:val="000000"/>
          <w:kern w:val="2"/>
          <w:szCs w:val="20"/>
          <w14:ligatures w14:val="standardContextual"/>
        </w:rPr>
      </w:pPr>
      <w:r w:rsidRPr="00BE5832">
        <w:rPr>
          <w:rFonts w:eastAsia="Aptos" w:cs="Arial"/>
          <w:color w:val="000000"/>
          <w:kern w:val="2"/>
          <w:szCs w:val="20"/>
          <w14:ligatures w14:val="standardContextual"/>
        </w:rPr>
        <w:t xml:space="preserve">Operater trga do </w:t>
      </w:r>
      <w:r w:rsidR="0080218A">
        <w:rPr>
          <w:rFonts w:eastAsia="Aptos" w:cs="Arial"/>
          <w:color w:val="000000"/>
          <w:kern w:val="2"/>
          <w:szCs w:val="20"/>
          <w14:ligatures w14:val="standardContextual"/>
        </w:rPr>
        <w:t>izpolnitve</w:t>
      </w:r>
      <w:r w:rsidRPr="00BE5832">
        <w:rPr>
          <w:rFonts w:eastAsia="Aptos" w:cs="Arial"/>
          <w:color w:val="000000"/>
          <w:kern w:val="2"/>
          <w:szCs w:val="20"/>
          <w14:ligatures w14:val="standardContextual"/>
        </w:rPr>
        <w:t xml:space="preserve"> zadnjega načrta naložb na podlagi poročil </w:t>
      </w:r>
      <w:r w:rsidR="003A4054">
        <w:rPr>
          <w:rFonts w:eastAsia="Aptos" w:cs="Arial"/>
          <w:color w:val="000000"/>
          <w:kern w:val="2"/>
          <w:szCs w:val="20"/>
          <w14:ligatures w14:val="standardContextual"/>
        </w:rPr>
        <w:t>prejemnikov spodbud</w:t>
      </w:r>
      <w:r w:rsidRPr="00BE5832">
        <w:rPr>
          <w:rFonts w:eastAsia="Aptos" w:cs="Arial"/>
          <w:color w:val="000000"/>
          <w:kern w:val="2"/>
          <w:szCs w:val="20"/>
          <w14:ligatures w14:val="standardContextual"/>
        </w:rPr>
        <w:t xml:space="preserve"> o izvajanju naložb na </w:t>
      </w:r>
      <w:r w:rsidR="0080218A">
        <w:rPr>
          <w:rFonts w:eastAsia="Aptos" w:cs="Arial"/>
          <w:color w:val="000000"/>
          <w:kern w:val="2"/>
          <w:szCs w:val="20"/>
          <w14:ligatures w14:val="standardContextual"/>
        </w:rPr>
        <w:t xml:space="preserve">svoji </w:t>
      </w:r>
      <w:r w:rsidRPr="00BE5832">
        <w:rPr>
          <w:rFonts w:eastAsia="Aptos" w:cs="Arial"/>
          <w:color w:val="000000"/>
          <w:kern w:val="2"/>
          <w:szCs w:val="20"/>
          <w14:ligatures w14:val="standardContextual"/>
        </w:rPr>
        <w:t>spletni strani objavlja letno poročilo o izvedenih naložbenih ukrepih in o doseženih rezultatih</w:t>
      </w:r>
      <w:r w:rsidR="002F427F">
        <w:rPr>
          <w:rFonts w:eastAsia="Aptos" w:cs="Arial"/>
          <w:color w:val="000000"/>
          <w:kern w:val="2"/>
          <w:szCs w:val="20"/>
          <w14:ligatures w14:val="standardContextual"/>
        </w:rPr>
        <w:t xml:space="preserve"> v zvezi z</w:t>
      </w:r>
      <w:r w:rsidRPr="00BE5832">
        <w:rPr>
          <w:rFonts w:eastAsia="Aptos" w:cs="Arial"/>
          <w:color w:val="000000"/>
          <w:kern w:val="2"/>
          <w:szCs w:val="20"/>
          <w14:ligatures w14:val="standardContextual"/>
        </w:rPr>
        <w:t xml:space="preserve"> razogljičen</w:t>
      </w:r>
      <w:r w:rsidR="002F427F">
        <w:rPr>
          <w:rFonts w:eastAsia="Aptos" w:cs="Arial"/>
          <w:color w:val="000000"/>
          <w:kern w:val="2"/>
          <w:szCs w:val="20"/>
          <w14:ligatures w14:val="standardContextual"/>
        </w:rPr>
        <w:t>jem</w:t>
      </w:r>
      <w:r w:rsidRPr="00BE5832">
        <w:rPr>
          <w:rFonts w:eastAsia="Aptos" w:cs="Arial"/>
          <w:color w:val="000000"/>
          <w:kern w:val="2"/>
          <w:szCs w:val="20"/>
          <w14:ligatures w14:val="standardContextual"/>
        </w:rPr>
        <w:t>.</w:t>
      </w:r>
    </w:p>
    <w:p w14:paraId="052440D6" w14:textId="77777777" w:rsidR="00BE5832" w:rsidRPr="00BE5832" w:rsidRDefault="00BE5832" w:rsidP="00BE5832">
      <w:pPr>
        <w:spacing w:after="160" w:line="259" w:lineRule="auto"/>
        <w:ind w:left="720"/>
        <w:contextualSpacing/>
        <w:rPr>
          <w:rFonts w:eastAsia="Aptos" w:cs="Arial"/>
          <w:color w:val="000000"/>
          <w:kern w:val="2"/>
          <w:szCs w:val="20"/>
          <w14:ligatures w14:val="standardContextual"/>
        </w:rPr>
      </w:pPr>
    </w:p>
    <w:p w14:paraId="5AD7FC13" w14:textId="77777777" w:rsidR="00BE5832" w:rsidRPr="00BE5832" w:rsidRDefault="00BE5832" w:rsidP="00783CC9">
      <w:pPr>
        <w:keepNext/>
        <w:keepLines/>
        <w:spacing w:before="360" w:after="80" w:line="259" w:lineRule="auto"/>
        <w:jc w:val="center"/>
        <w:outlineLvl w:val="0"/>
        <w:rPr>
          <w:rFonts w:eastAsia="Times New Roman" w:cs="Arial"/>
          <w:color w:val="000000"/>
          <w:kern w:val="2"/>
          <w:szCs w:val="20"/>
          <w14:ligatures w14:val="standardContextual"/>
        </w:rPr>
      </w:pPr>
      <w:r w:rsidRPr="00BE5832">
        <w:rPr>
          <w:rFonts w:eastAsia="Times New Roman" w:cs="Arial"/>
          <w:color w:val="000000"/>
          <w:kern w:val="2"/>
          <w:szCs w:val="20"/>
          <w14:ligatures w14:val="standardContextual"/>
        </w:rPr>
        <w:t>VIII. KAZENSKE DOLOČBE</w:t>
      </w:r>
    </w:p>
    <w:p w14:paraId="2AEE56CC" w14:textId="77777777" w:rsidR="00BE5832" w:rsidRPr="00BE5832" w:rsidRDefault="00BE5832" w:rsidP="00BE5832">
      <w:pPr>
        <w:spacing w:after="160" w:line="259" w:lineRule="auto"/>
        <w:rPr>
          <w:rFonts w:eastAsia="Aptos" w:cs="Arial"/>
          <w:color w:val="000000"/>
          <w:kern w:val="2"/>
          <w:szCs w:val="20"/>
          <w14:ligatures w14:val="standardContextual"/>
        </w:rPr>
      </w:pPr>
    </w:p>
    <w:p w14:paraId="1484872F" w14:textId="5A680796" w:rsidR="00BE5832" w:rsidRPr="00BE5832" w:rsidRDefault="00BE5832" w:rsidP="009255B9">
      <w:pPr>
        <w:keepNext/>
        <w:keepLines/>
        <w:numPr>
          <w:ilvl w:val="0"/>
          <w:numId w:val="70"/>
        </w:numPr>
        <w:spacing w:before="160" w:after="80" w:line="259" w:lineRule="auto"/>
        <w:jc w:val="center"/>
        <w:outlineLvl w:val="1"/>
        <w:rPr>
          <w:rFonts w:eastAsia="Times New Roman" w:cs="Arial"/>
          <w:color w:val="000000"/>
          <w:kern w:val="2"/>
          <w:szCs w:val="20"/>
          <w14:ligatures w14:val="standardContextual"/>
        </w:rPr>
      </w:pPr>
      <w:r w:rsidRPr="00BE5832">
        <w:rPr>
          <w:rFonts w:eastAsia="Times New Roman" w:cs="Arial"/>
          <w:color w:val="000000"/>
          <w:kern w:val="2"/>
          <w:szCs w:val="20"/>
          <w14:ligatures w14:val="standardContextual"/>
        </w:rPr>
        <w:t xml:space="preserve"> člen</w:t>
      </w:r>
    </w:p>
    <w:p w14:paraId="3B42DCF5" w14:textId="77777777" w:rsidR="00BE5832" w:rsidRPr="00BE5832" w:rsidRDefault="00BE5832" w:rsidP="00BE5832">
      <w:pPr>
        <w:spacing w:after="160" w:line="259" w:lineRule="auto"/>
        <w:jc w:val="center"/>
        <w:rPr>
          <w:rFonts w:eastAsia="Aptos" w:cs="Arial"/>
          <w:color w:val="000000"/>
          <w:kern w:val="2"/>
          <w:szCs w:val="20"/>
          <w14:ligatures w14:val="standardContextual"/>
        </w:rPr>
      </w:pPr>
      <w:r w:rsidRPr="00BE5832">
        <w:rPr>
          <w:rFonts w:eastAsia="Aptos" w:cs="Arial"/>
          <w:color w:val="000000"/>
          <w:kern w:val="2"/>
          <w:szCs w:val="20"/>
          <w14:ligatures w14:val="standardContextual"/>
        </w:rPr>
        <w:t>(prekrški)</w:t>
      </w:r>
    </w:p>
    <w:p w14:paraId="0F237667" w14:textId="14F64929" w:rsidR="00BE5832" w:rsidRPr="00BE5832" w:rsidRDefault="00BE5832" w:rsidP="00BE5832">
      <w:pPr>
        <w:spacing w:after="160" w:line="259" w:lineRule="auto"/>
        <w:rPr>
          <w:rFonts w:eastAsia="Aptos" w:cs="Arial"/>
          <w:color w:val="000000"/>
          <w:kern w:val="2"/>
          <w:szCs w:val="20"/>
          <w14:ligatures w14:val="standardContextual"/>
        </w:rPr>
      </w:pPr>
      <w:r w:rsidRPr="00BE5832">
        <w:rPr>
          <w:rFonts w:eastAsia="Aptos" w:cs="Arial"/>
          <w:color w:val="000000"/>
          <w:kern w:val="2"/>
          <w:szCs w:val="20"/>
          <w14:ligatures w14:val="standardContextual"/>
        </w:rPr>
        <w:lastRenderedPageBreak/>
        <w:t xml:space="preserve">(1) Z globo od </w:t>
      </w:r>
      <w:r w:rsidR="00A561D8">
        <w:rPr>
          <w:rFonts w:eastAsia="Aptos" w:cs="Arial"/>
          <w:color w:val="000000"/>
          <w:kern w:val="2"/>
          <w:szCs w:val="20"/>
          <w14:ligatures w14:val="standardContextual"/>
        </w:rPr>
        <w:t>5</w:t>
      </w:r>
      <w:r w:rsidRPr="00BE5832">
        <w:rPr>
          <w:rFonts w:eastAsia="Aptos" w:cs="Arial"/>
          <w:color w:val="000000"/>
          <w:kern w:val="2"/>
          <w:szCs w:val="20"/>
          <w14:ligatures w14:val="standardContextual"/>
        </w:rPr>
        <w:t xml:space="preserve">.000 do </w:t>
      </w:r>
      <w:r w:rsidR="00A561D8">
        <w:rPr>
          <w:rFonts w:eastAsia="Aptos" w:cs="Arial"/>
          <w:color w:val="000000"/>
          <w:kern w:val="2"/>
          <w:szCs w:val="20"/>
          <w14:ligatures w14:val="standardContextual"/>
        </w:rPr>
        <w:t>50</w:t>
      </w:r>
      <w:r w:rsidRPr="00BE5832">
        <w:rPr>
          <w:rFonts w:eastAsia="Aptos" w:cs="Arial"/>
          <w:color w:val="000000"/>
          <w:kern w:val="2"/>
          <w:szCs w:val="20"/>
          <w14:ligatures w14:val="standardContextual"/>
        </w:rPr>
        <w:t xml:space="preserve">.000 eurov se za prekršek kaznuje pravna oseba, samostojni podjetnik posameznik ali posameznik, ki samostojno opravlja dejavnost, </w:t>
      </w:r>
      <w:r w:rsidR="0065371A">
        <w:rPr>
          <w:rFonts w:eastAsia="Aptos" w:cs="Arial"/>
          <w:color w:val="000000"/>
          <w:kern w:val="2"/>
          <w:szCs w:val="20"/>
          <w14:ligatures w14:val="standardContextual"/>
        </w:rPr>
        <w:t>če ne poroča v skladu s prvim odstavkom 1</w:t>
      </w:r>
      <w:r w:rsidR="009255B9">
        <w:rPr>
          <w:rFonts w:eastAsia="Aptos" w:cs="Arial"/>
          <w:color w:val="000000"/>
          <w:kern w:val="2"/>
          <w:szCs w:val="20"/>
          <w14:ligatures w14:val="standardContextual"/>
        </w:rPr>
        <w:t>3</w:t>
      </w:r>
      <w:r w:rsidR="0065371A">
        <w:rPr>
          <w:rFonts w:eastAsia="Aptos" w:cs="Arial"/>
          <w:color w:val="000000"/>
          <w:kern w:val="2"/>
          <w:szCs w:val="20"/>
          <w14:ligatures w14:val="standardContextual"/>
        </w:rPr>
        <w:t xml:space="preserve">. člena tega zakona ali če ne predloži </w:t>
      </w:r>
      <w:r w:rsidR="009255B9">
        <w:rPr>
          <w:rFonts w:eastAsia="Aptos" w:cs="Arial"/>
          <w:color w:val="000000"/>
          <w:kern w:val="2"/>
          <w:szCs w:val="20"/>
          <w14:ligatures w14:val="standardContextual"/>
        </w:rPr>
        <w:t>zaključnega</w:t>
      </w:r>
      <w:r w:rsidR="0065371A">
        <w:rPr>
          <w:rFonts w:eastAsia="Aptos" w:cs="Arial"/>
          <w:color w:val="000000"/>
          <w:kern w:val="2"/>
          <w:szCs w:val="20"/>
          <w14:ligatures w14:val="standardContextual"/>
        </w:rPr>
        <w:t xml:space="preserve"> poročila v skladu z drugim odstavkom 1</w:t>
      </w:r>
      <w:r w:rsidR="009255B9">
        <w:rPr>
          <w:rFonts w:eastAsia="Aptos" w:cs="Arial"/>
          <w:color w:val="000000"/>
          <w:kern w:val="2"/>
          <w:szCs w:val="20"/>
          <w14:ligatures w14:val="standardContextual"/>
        </w:rPr>
        <w:t>3</w:t>
      </w:r>
      <w:r w:rsidR="0065371A">
        <w:rPr>
          <w:rFonts w:eastAsia="Aptos" w:cs="Arial"/>
          <w:color w:val="000000"/>
          <w:kern w:val="2"/>
          <w:szCs w:val="20"/>
          <w14:ligatures w14:val="standardContextual"/>
        </w:rPr>
        <w:t xml:space="preserve">. člena tega zakona. </w:t>
      </w:r>
    </w:p>
    <w:p w14:paraId="5E820743" w14:textId="6627D9D5" w:rsidR="00BE5832" w:rsidRPr="00BE5832" w:rsidRDefault="00BE5832" w:rsidP="00BE5832">
      <w:pPr>
        <w:spacing w:after="160" w:line="259" w:lineRule="auto"/>
        <w:rPr>
          <w:rFonts w:eastAsia="Aptos" w:cs="Arial"/>
          <w:color w:val="000000"/>
          <w:kern w:val="2"/>
          <w:szCs w:val="20"/>
          <w14:ligatures w14:val="standardContextual"/>
        </w:rPr>
      </w:pPr>
      <w:r w:rsidRPr="00BE5832">
        <w:rPr>
          <w:rFonts w:eastAsia="Aptos" w:cs="Arial"/>
          <w:color w:val="000000"/>
          <w:kern w:val="2"/>
          <w:szCs w:val="20"/>
          <w14:ligatures w14:val="standardContextual"/>
        </w:rPr>
        <w:t xml:space="preserve">(2) Z globo od </w:t>
      </w:r>
      <w:r w:rsidR="00B66E73">
        <w:rPr>
          <w:rFonts w:eastAsia="Aptos" w:cs="Arial"/>
          <w:color w:val="000000"/>
          <w:kern w:val="2"/>
          <w:szCs w:val="20"/>
          <w14:ligatures w14:val="standardContextual"/>
        </w:rPr>
        <w:t>500</w:t>
      </w:r>
      <w:r w:rsidRPr="00BE5832">
        <w:rPr>
          <w:rFonts w:eastAsia="Aptos" w:cs="Arial"/>
          <w:color w:val="000000"/>
          <w:kern w:val="2"/>
          <w:szCs w:val="20"/>
          <w14:ligatures w14:val="standardContextual"/>
        </w:rPr>
        <w:t xml:space="preserve"> do </w:t>
      </w:r>
      <w:r w:rsidR="00B66E73">
        <w:rPr>
          <w:rFonts w:eastAsia="Aptos" w:cs="Arial"/>
          <w:color w:val="000000"/>
          <w:kern w:val="2"/>
          <w:szCs w:val="20"/>
          <w14:ligatures w14:val="standardContextual"/>
        </w:rPr>
        <w:t>2</w:t>
      </w:r>
      <w:r w:rsidR="00B97E09">
        <w:rPr>
          <w:rFonts w:eastAsia="Aptos" w:cs="Arial"/>
          <w:color w:val="000000"/>
          <w:kern w:val="2"/>
          <w:szCs w:val="20"/>
          <w14:ligatures w14:val="standardContextual"/>
        </w:rPr>
        <w:t>.</w:t>
      </w:r>
      <w:r w:rsidR="00B66E73">
        <w:rPr>
          <w:rFonts w:eastAsia="Aptos" w:cs="Arial"/>
          <w:color w:val="000000"/>
          <w:kern w:val="2"/>
          <w:szCs w:val="20"/>
          <w14:ligatures w14:val="standardContextual"/>
        </w:rPr>
        <w:t>000</w:t>
      </w:r>
      <w:r w:rsidRPr="00BE5832">
        <w:rPr>
          <w:rFonts w:eastAsia="Aptos" w:cs="Arial"/>
          <w:color w:val="000000"/>
          <w:kern w:val="2"/>
          <w:szCs w:val="20"/>
          <w14:ligatures w14:val="standardContextual"/>
        </w:rPr>
        <w:t xml:space="preserve"> eurov se za prekršek iz prejšnjega odstavka kaznuje odgovorna oseba pravne osebe, odgovorna oseba samostojnega podjetnika posameznika ali odgovorna oseba posameznika, ki samostojno opravlja dejavnost.</w:t>
      </w:r>
    </w:p>
    <w:p w14:paraId="3D5D77DF" w14:textId="77777777" w:rsidR="00BE5832" w:rsidRPr="00BE5832" w:rsidRDefault="00BE5832" w:rsidP="00BE5832">
      <w:pPr>
        <w:spacing w:after="160" w:line="259" w:lineRule="auto"/>
        <w:rPr>
          <w:rFonts w:eastAsia="Aptos" w:cs="Arial"/>
          <w:color w:val="000000"/>
          <w:kern w:val="2"/>
          <w:szCs w:val="20"/>
          <w14:ligatures w14:val="standardContextual"/>
        </w:rPr>
      </w:pPr>
    </w:p>
    <w:p w14:paraId="45CC7A62" w14:textId="564529B8" w:rsidR="00BE5832" w:rsidRPr="00EF5C20" w:rsidRDefault="00BE5832" w:rsidP="00746186">
      <w:pPr>
        <w:keepNext/>
        <w:keepLines/>
        <w:numPr>
          <w:ilvl w:val="0"/>
          <w:numId w:val="70"/>
        </w:numPr>
        <w:spacing w:before="160" w:after="80" w:line="259" w:lineRule="auto"/>
        <w:jc w:val="center"/>
        <w:outlineLvl w:val="1"/>
        <w:rPr>
          <w:rFonts w:eastAsia="Times New Roman" w:cs="Arial"/>
          <w:color w:val="000000"/>
          <w:kern w:val="2"/>
          <w:szCs w:val="20"/>
          <w14:ligatures w14:val="standardContextual"/>
        </w:rPr>
      </w:pPr>
      <w:r w:rsidRPr="00EF5C20">
        <w:rPr>
          <w:rFonts w:eastAsia="Times New Roman" w:cs="Arial"/>
          <w:color w:val="000000"/>
          <w:kern w:val="2"/>
          <w:szCs w:val="20"/>
          <w14:ligatures w14:val="standardContextual"/>
        </w:rPr>
        <w:t xml:space="preserve"> člen</w:t>
      </w:r>
    </w:p>
    <w:p w14:paraId="507FC94F" w14:textId="77777777" w:rsidR="00BE5832" w:rsidRPr="00BE5832" w:rsidRDefault="00BE5832" w:rsidP="00BE5832">
      <w:pPr>
        <w:spacing w:after="160" w:line="259" w:lineRule="auto"/>
        <w:jc w:val="center"/>
        <w:rPr>
          <w:rFonts w:eastAsia="Aptos" w:cs="Arial"/>
          <w:color w:val="000000"/>
          <w:kern w:val="2"/>
          <w:szCs w:val="20"/>
          <w14:ligatures w14:val="standardContextual"/>
        </w:rPr>
      </w:pPr>
      <w:r w:rsidRPr="00BE5832">
        <w:rPr>
          <w:rFonts w:eastAsia="Aptos" w:cs="Arial"/>
          <w:color w:val="000000"/>
          <w:kern w:val="2"/>
          <w:szCs w:val="20"/>
          <w14:ligatures w14:val="standardContextual"/>
        </w:rPr>
        <w:t>(višina globe v hitrem prekrškovnem postopku)</w:t>
      </w:r>
    </w:p>
    <w:p w14:paraId="515AAF05" w14:textId="77777777" w:rsidR="00BE5832" w:rsidRPr="00BE5832" w:rsidRDefault="00BE5832" w:rsidP="00BE5832">
      <w:pPr>
        <w:spacing w:after="160" w:line="259" w:lineRule="auto"/>
        <w:rPr>
          <w:rFonts w:eastAsia="Aptos" w:cs="Arial"/>
          <w:color w:val="000000"/>
          <w:kern w:val="2"/>
          <w:szCs w:val="20"/>
          <w14:ligatures w14:val="standardContextual"/>
        </w:rPr>
      </w:pPr>
      <w:r w:rsidRPr="00BE5832">
        <w:rPr>
          <w:rFonts w:eastAsia="Aptos" w:cs="Arial"/>
          <w:color w:val="000000"/>
          <w:kern w:val="2"/>
          <w:szCs w:val="20"/>
          <w14:ligatures w14:val="standardContextual"/>
        </w:rPr>
        <w:t>Za prekrške iz tega zakona se sme v hitrem postopku izreči globa tudi v znesku, ki je višji od najnižje predpisane globe, določene s tem zakonom.</w:t>
      </w:r>
    </w:p>
    <w:p w14:paraId="581BFBBD" w14:textId="408ECEAC" w:rsidR="00BE5832" w:rsidRPr="00ED3982" w:rsidRDefault="00BE5832" w:rsidP="00ED3982">
      <w:pPr>
        <w:keepNext/>
        <w:keepLines/>
        <w:spacing w:before="360" w:after="80" w:line="259" w:lineRule="auto"/>
        <w:jc w:val="center"/>
        <w:outlineLvl w:val="0"/>
        <w:rPr>
          <w:rFonts w:eastAsia="Times New Roman" w:cs="Arial"/>
          <w:color w:val="000000"/>
          <w:kern w:val="2"/>
          <w:szCs w:val="20"/>
          <w14:ligatures w14:val="standardContextual"/>
        </w:rPr>
      </w:pPr>
      <w:r w:rsidRPr="00BE5832">
        <w:rPr>
          <w:rFonts w:eastAsia="Times New Roman" w:cs="Arial"/>
          <w:color w:val="000000"/>
          <w:kern w:val="2"/>
          <w:szCs w:val="20"/>
          <w14:ligatures w14:val="standardContextual"/>
        </w:rPr>
        <w:t>IX. PREHODNE IN KONČNE DOLOČBE</w:t>
      </w:r>
    </w:p>
    <w:p w14:paraId="449555A8" w14:textId="6BE46D16" w:rsidR="00BE5832" w:rsidRPr="00BE5832" w:rsidRDefault="00BE5832" w:rsidP="00ED3982">
      <w:pPr>
        <w:keepNext/>
        <w:keepLines/>
        <w:numPr>
          <w:ilvl w:val="0"/>
          <w:numId w:val="70"/>
        </w:numPr>
        <w:spacing w:before="160" w:after="80" w:line="259" w:lineRule="auto"/>
        <w:jc w:val="center"/>
        <w:outlineLvl w:val="1"/>
        <w:rPr>
          <w:rFonts w:eastAsia="Times New Roman" w:cs="Arial"/>
          <w:color w:val="000000"/>
          <w:kern w:val="2"/>
          <w:szCs w:val="20"/>
          <w14:ligatures w14:val="standardContextual"/>
        </w:rPr>
      </w:pPr>
      <w:r w:rsidRPr="00BE5832">
        <w:rPr>
          <w:rFonts w:eastAsia="Times New Roman" w:cs="Arial"/>
          <w:color w:val="000000"/>
          <w:kern w:val="2"/>
          <w:szCs w:val="20"/>
          <w14:ligatures w14:val="standardContextual"/>
        </w:rPr>
        <w:t xml:space="preserve"> člen</w:t>
      </w:r>
    </w:p>
    <w:p w14:paraId="1EB2A0E8" w14:textId="5901BD96" w:rsidR="00BE5832" w:rsidRPr="00BE5832" w:rsidRDefault="00BE5832" w:rsidP="00DA6357">
      <w:pPr>
        <w:spacing w:after="160" w:line="259" w:lineRule="auto"/>
        <w:ind w:left="360"/>
        <w:jc w:val="center"/>
        <w:rPr>
          <w:rFonts w:eastAsia="Aptos" w:cs="Arial"/>
          <w:color w:val="000000"/>
          <w:kern w:val="2"/>
          <w:szCs w:val="20"/>
          <w14:ligatures w14:val="standardContextual"/>
        </w:rPr>
      </w:pPr>
      <w:r w:rsidRPr="00BE5832">
        <w:rPr>
          <w:rFonts w:eastAsia="Aptos" w:cs="Arial"/>
          <w:color w:val="000000"/>
          <w:kern w:val="2"/>
          <w:szCs w:val="20"/>
          <w14:ligatures w14:val="standardContextual"/>
        </w:rPr>
        <w:t>(trajanje ukrepa)</w:t>
      </w:r>
    </w:p>
    <w:p w14:paraId="45D39549" w14:textId="7A109A22" w:rsidR="00BE5832" w:rsidRDefault="00BE5832" w:rsidP="00BE5832">
      <w:pPr>
        <w:spacing w:after="160" w:line="259" w:lineRule="auto"/>
        <w:rPr>
          <w:rFonts w:eastAsia="Aptos" w:cs="Arial"/>
          <w:color w:val="000000"/>
          <w:kern w:val="2"/>
          <w:szCs w:val="20"/>
          <w14:ligatures w14:val="standardContextual"/>
        </w:rPr>
      </w:pPr>
      <w:r w:rsidRPr="00BE5832">
        <w:rPr>
          <w:rFonts w:eastAsia="Aptos" w:cs="Arial"/>
          <w:color w:val="000000"/>
          <w:kern w:val="2"/>
          <w:szCs w:val="20"/>
          <w14:ligatures w14:val="standardContextual"/>
        </w:rPr>
        <w:t xml:space="preserve">Ukrep </w:t>
      </w:r>
      <w:r w:rsidR="00AC0F75">
        <w:rPr>
          <w:rFonts w:eastAsia="Aptos" w:cs="Arial"/>
          <w:color w:val="000000"/>
          <w:kern w:val="2"/>
          <w:szCs w:val="20"/>
          <w14:ligatures w14:val="standardContextual"/>
        </w:rPr>
        <w:t>iz tega zakona</w:t>
      </w:r>
      <w:r w:rsidRPr="00BE5832">
        <w:rPr>
          <w:rFonts w:eastAsia="Aptos" w:cs="Arial"/>
          <w:color w:val="000000"/>
          <w:kern w:val="2"/>
          <w:szCs w:val="20"/>
          <w14:ligatures w14:val="standardContextual"/>
        </w:rPr>
        <w:t xml:space="preserve"> se izvaja do 31. decembra 2028.</w:t>
      </w:r>
    </w:p>
    <w:p w14:paraId="4B6C708D" w14:textId="77777777" w:rsidR="00853926" w:rsidRPr="00BE5832" w:rsidRDefault="00853926" w:rsidP="00BE5832">
      <w:pPr>
        <w:spacing w:after="160" w:line="259" w:lineRule="auto"/>
        <w:rPr>
          <w:rFonts w:eastAsia="Aptos" w:cs="Arial"/>
          <w:color w:val="000000"/>
          <w:kern w:val="2"/>
          <w:szCs w:val="20"/>
          <w14:ligatures w14:val="standardContextual"/>
        </w:rPr>
      </w:pPr>
    </w:p>
    <w:p w14:paraId="6112E36A" w14:textId="3B240727" w:rsidR="00BE5832" w:rsidRPr="00BE5832" w:rsidRDefault="00BE5832" w:rsidP="00503B14">
      <w:pPr>
        <w:keepNext/>
        <w:keepLines/>
        <w:numPr>
          <w:ilvl w:val="0"/>
          <w:numId w:val="70"/>
        </w:numPr>
        <w:spacing w:before="160" w:after="80" w:line="259" w:lineRule="auto"/>
        <w:jc w:val="center"/>
        <w:outlineLvl w:val="1"/>
        <w:rPr>
          <w:rFonts w:eastAsia="Times New Roman" w:cs="Arial"/>
          <w:color w:val="000000"/>
          <w:kern w:val="2"/>
          <w:szCs w:val="20"/>
          <w14:ligatures w14:val="standardContextual"/>
        </w:rPr>
      </w:pPr>
      <w:r w:rsidRPr="00BE5832">
        <w:rPr>
          <w:rFonts w:eastAsia="Times New Roman" w:cs="Arial"/>
          <w:color w:val="000000"/>
          <w:kern w:val="2"/>
          <w:szCs w:val="20"/>
          <w14:ligatures w14:val="standardContextual"/>
        </w:rPr>
        <w:t xml:space="preserve"> člen</w:t>
      </w:r>
    </w:p>
    <w:p w14:paraId="2CAB47CE" w14:textId="78DB056F" w:rsidR="00BE5832" w:rsidRPr="00BE5832" w:rsidRDefault="00BE5832" w:rsidP="00BE5832">
      <w:pPr>
        <w:spacing w:after="160" w:line="259" w:lineRule="auto"/>
        <w:jc w:val="center"/>
        <w:rPr>
          <w:rFonts w:eastAsia="Aptos" w:cs="Arial"/>
          <w:color w:val="000000"/>
          <w:kern w:val="2"/>
          <w:szCs w:val="20"/>
          <w14:ligatures w14:val="standardContextual"/>
        </w:rPr>
      </w:pPr>
      <w:r w:rsidRPr="00BE5832">
        <w:rPr>
          <w:rFonts w:eastAsia="Aptos" w:cs="Arial"/>
          <w:color w:val="000000"/>
          <w:kern w:val="2"/>
          <w:szCs w:val="20"/>
          <w14:ligatures w14:val="standardContextual"/>
        </w:rPr>
        <w:t>(</w:t>
      </w:r>
      <w:r w:rsidR="00853926">
        <w:rPr>
          <w:rFonts w:eastAsia="Aptos" w:cs="Arial"/>
          <w:color w:val="000000"/>
          <w:kern w:val="2"/>
          <w:szCs w:val="20"/>
          <w14:ligatures w14:val="standardContextual"/>
        </w:rPr>
        <w:t>določitev razpoložljivega zneska</w:t>
      </w:r>
      <w:r w:rsidRPr="00BE5832">
        <w:rPr>
          <w:rFonts w:eastAsia="Aptos" w:cs="Arial"/>
          <w:color w:val="000000"/>
          <w:kern w:val="2"/>
          <w:szCs w:val="20"/>
          <w14:ligatures w14:val="standardContextual"/>
        </w:rPr>
        <w:t>)</w:t>
      </w:r>
    </w:p>
    <w:p w14:paraId="1313007A" w14:textId="034409BB" w:rsidR="00D26C52" w:rsidRPr="00D375D7" w:rsidRDefault="00853926" w:rsidP="00D375D7">
      <w:pPr>
        <w:spacing w:after="160" w:line="259" w:lineRule="auto"/>
        <w:rPr>
          <w:rFonts w:eastAsia="Aptos" w:cs="Arial"/>
          <w:color w:val="000000"/>
          <w:kern w:val="2"/>
          <w:szCs w:val="20"/>
          <w14:ligatures w14:val="standardContextual"/>
        </w:rPr>
      </w:pPr>
      <w:r w:rsidRPr="00853926">
        <w:rPr>
          <w:rFonts w:eastAsia="Aptos" w:cs="Arial"/>
          <w:color w:val="000000"/>
          <w:kern w:val="2"/>
          <w:szCs w:val="20"/>
          <w14:ligatures w14:val="standardContextual"/>
        </w:rPr>
        <w:t xml:space="preserve">Vlada določi razpoložljiv znesek iz 11. člena tega zakona </w:t>
      </w:r>
      <w:r>
        <w:rPr>
          <w:rFonts w:eastAsia="Aptos" w:cs="Arial"/>
          <w:color w:val="000000"/>
          <w:kern w:val="2"/>
          <w:szCs w:val="20"/>
          <w14:ligatures w14:val="standardContextual"/>
        </w:rPr>
        <w:t>n</w:t>
      </w:r>
      <w:r w:rsidR="00EC4DE0" w:rsidRPr="00EC4DE0">
        <w:rPr>
          <w:rFonts w:eastAsia="Aptos" w:cs="Arial"/>
          <w:color w:val="000000"/>
          <w:kern w:val="2"/>
          <w:szCs w:val="20"/>
          <w14:ligatures w14:val="standardContextual"/>
        </w:rPr>
        <w:t>aj</w:t>
      </w:r>
      <w:r w:rsidR="0080218A">
        <w:rPr>
          <w:rFonts w:eastAsia="Aptos" w:cs="Arial"/>
          <w:color w:val="000000"/>
          <w:kern w:val="2"/>
          <w:szCs w:val="20"/>
          <w14:ligatures w14:val="standardContextual"/>
        </w:rPr>
        <w:t>pozneje</w:t>
      </w:r>
      <w:r w:rsidR="00EC4DE0" w:rsidRPr="00EC4DE0">
        <w:rPr>
          <w:rFonts w:eastAsia="Aptos" w:cs="Arial"/>
          <w:color w:val="000000"/>
          <w:kern w:val="2"/>
          <w:szCs w:val="20"/>
          <w14:ligatures w14:val="standardContextual"/>
        </w:rPr>
        <w:t xml:space="preserve"> v 30 dneh od pridobitve pozitivne odločbe Evropske komisije o združljivosti sheme pomoči z notranjim trgom Evropske unije</w:t>
      </w:r>
      <w:r>
        <w:rPr>
          <w:rFonts w:eastAsia="Aptos" w:cs="Arial"/>
          <w:color w:val="000000"/>
          <w:kern w:val="2"/>
          <w:szCs w:val="20"/>
          <w14:ligatures w14:val="standardContextual"/>
        </w:rPr>
        <w:t>.</w:t>
      </w:r>
    </w:p>
    <w:p w14:paraId="69AFE9BA" w14:textId="77777777" w:rsidR="00D86238" w:rsidRDefault="00D86238" w:rsidP="00BE5832">
      <w:pPr>
        <w:spacing w:after="160" w:line="259" w:lineRule="auto"/>
        <w:rPr>
          <w:rFonts w:eastAsia="Aptos" w:cs="Arial"/>
          <w:color w:val="000000"/>
          <w:kern w:val="2"/>
          <w:szCs w:val="20"/>
          <w14:ligatures w14:val="standardContextual"/>
        </w:rPr>
      </w:pPr>
    </w:p>
    <w:p w14:paraId="0B1151FA" w14:textId="426CAA65" w:rsidR="00D86238" w:rsidRPr="00405836" w:rsidRDefault="00D86238" w:rsidP="00405836">
      <w:pPr>
        <w:keepNext/>
        <w:keepLines/>
        <w:numPr>
          <w:ilvl w:val="0"/>
          <w:numId w:val="70"/>
        </w:numPr>
        <w:spacing w:before="160" w:after="80" w:line="259" w:lineRule="auto"/>
        <w:jc w:val="center"/>
        <w:outlineLvl w:val="1"/>
        <w:rPr>
          <w:rFonts w:eastAsia="Times New Roman" w:cs="Arial"/>
          <w:color w:val="000000"/>
          <w:kern w:val="2"/>
          <w:szCs w:val="20"/>
          <w14:ligatures w14:val="standardContextual"/>
        </w:rPr>
      </w:pPr>
      <w:r w:rsidRPr="00405836">
        <w:rPr>
          <w:rFonts w:eastAsia="Times New Roman" w:cs="Arial"/>
          <w:color w:val="000000"/>
          <w:kern w:val="2"/>
          <w:szCs w:val="20"/>
          <w14:ligatures w14:val="standardContextual"/>
        </w:rPr>
        <w:t xml:space="preserve">člen </w:t>
      </w:r>
    </w:p>
    <w:p w14:paraId="372971D3" w14:textId="69B72E2F" w:rsidR="00D86238" w:rsidRDefault="00D86238" w:rsidP="00405836">
      <w:pPr>
        <w:spacing w:after="160" w:line="259" w:lineRule="auto"/>
        <w:jc w:val="center"/>
        <w:rPr>
          <w:rFonts w:eastAsia="Aptos" w:cs="Arial"/>
          <w:color w:val="000000"/>
          <w:kern w:val="2"/>
          <w:szCs w:val="20"/>
          <w14:ligatures w14:val="standardContextual"/>
        </w:rPr>
      </w:pPr>
      <w:r>
        <w:rPr>
          <w:rFonts w:eastAsia="Aptos" w:cs="Arial"/>
          <w:color w:val="000000"/>
          <w:kern w:val="2"/>
          <w:szCs w:val="20"/>
          <w14:ligatures w14:val="standardContextual"/>
        </w:rPr>
        <w:t>(poročanj</w:t>
      </w:r>
      <w:r w:rsidR="00853926">
        <w:rPr>
          <w:rFonts w:eastAsia="Aptos" w:cs="Arial"/>
          <w:color w:val="000000"/>
          <w:kern w:val="2"/>
          <w:szCs w:val="20"/>
          <w14:ligatures w14:val="standardContextual"/>
        </w:rPr>
        <w:t>e</w:t>
      </w:r>
      <w:r>
        <w:rPr>
          <w:rFonts w:eastAsia="Aptos" w:cs="Arial"/>
          <w:color w:val="000000"/>
          <w:kern w:val="2"/>
          <w:szCs w:val="20"/>
          <w14:ligatures w14:val="standardContextual"/>
        </w:rPr>
        <w:t xml:space="preserve"> prejemnika spodbude)</w:t>
      </w:r>
    </w:p>
    <w:p w14:paraId="5D96377E" w14:textId="6B8F6DB7" w:rsidR="00D86238" w:rsidRDefault="00D86238" w:rsidP="00D86238">
      <w:pPr>
        <w:spacing w:after="160" w:line="259" w:lineRule="auto"/>
        <w:rPr>
          <w:rFonts w:eastAsia="Aptos" w:cs="Arial"/>
          <w:color w:val="000000"/>
          <w:kern w:val="2"/>
          <w:szCs w:val="20"/>
          <w14:ligatures w14:val="standardContextual"/>
        </w:rPr>
      </w:pPr>
      <w:r>
        <w:rPr>
          <w:rFonts w:eastAsia="Aptos" w:cs="Arial"/>
          <w:color w:val="000000"/>
          <w:kern w:val="2"/>
          <w:szCs w:val="20"/>
          <w14:ligatures w14:val="standardContextual"/>
        </w:rPr>
        <w:t xml:space="preserve">Prejemnik spodbude </w:t>
      </w:r>
      <w:r w:rsidR="009B2C3D">
        <w:rPr>
          <w:rFonts w:eastAsia="Aptos" w:cs="Arial"/>
          <w:color w:val="000000"/>
          <w:kern w:val="2"/>
          <w:szCs w:val="20"/>
          <w14:ligatures w14:val="standardContextual"/>
        </w:rPr>
        <w:t>operaterju trga zadnjič poroča</w:t>
      </w:r>
      <w:r w:rsidR="00F90EED">
        <w:rPr>
          <w:rFonts w:eastAsia="Aptos" w:cs="Arial"/>
          <w:color w:val="000000"/>
          <w:kern w:val="2"/>
          <w:szCs w:val="20"/>
          <w14:ligatures w14:val="standardContextual"/>
        </w:rPr>
        <w:t xml:space="preserve"> na podlagi 13. člena tega zakona</w:t>
      </w:r>
      <w:r w:rsidR="009B2C3D">
        <w:rPr>
          <w:rFonts w:eastAsia="Aptos" w:cs="Arial"/>
          <w:color w:val="000000"/>
          <w:kern w:val="2"/>
          <w:szCs w:val="20"/>
          <w14:ligatures w14:val="standardContextual"/>
        </w:rPr>
        <w:t xml:space="preserve"> </w:t>
      </w:r>
      <w:r w:rsidR="00853926">
        <w:rPr>
          <w:rFonts w:eastAsia="Aptos" w:cs="Arial"/>
          <w:color w:val="000000"/>
          <w:kern w:val="2"/>
          <w:szCs w:val="20"/>
          <w14:ligatures w14:val="standardContextual"/>
        </w:rPr>
        <w:t>o porabi električne energije</w:t>
      </w:r>
      <w:r w:rsidR="009B2C3D">
        <w:rPr>
          <w:rFonts w:eastAsia="Aptos" w:cs="Arial"/>
          <w:color w:val="000000"/>
          <w:kern w:val="2"/>
          <w:szCs w:val="20"/>
          <w14:ligatures w14:val="standardContextual"/>
        </w:rPr>
        <w:t xml:space="preserve"> do 1. aprila 2029, o izvajanju naložb pa</w:t>
      </w:r>
      <w:r w:rsidR="00EA06F5">
        <w:rPr>
          <w:rFonts w:eastAsia="Aptos" w:cs="Arial"/>
          <w:color w:val="000000"/>
          <w:kern w:val="2"/>
          <w:szCs w:val="20"/>
          <w14:ligatures w14:val="standardContextual"/>
        </w:rPr>
        <w:t xml:space="preserve"> </w:t>
      </w:r>
      <w:r w:rsidR="009B2C3D">
        <w:rPr>
          <w:rFonts w:eastAsia="Aptos" w:cs="Arial"/>
          <w:color w:val="000000"/>
          <w:kern w:val="2"/>
          <w:szCs w:val="20"/>
          <w14:ligatures w14:val="standardContextual"/>
        </w:rPr>
        <w:t>do 1. aprila 2033</w:t>
      </w:r>
      <w:r w:rsidR="0061466C">
        <w:rPr>
          <w:rFonts w:eastAsia="Aptos" w:cs="Arial"/>
          <w:color w:val="000000"/>
          <w:kern w:val="2"/>
          <w:szCs w:val="20"/>
          <w14:ligatures w14:val="standardContextual"/>
        </w:rPr>
        <w:t>.</w:t>
      </w:r>
      <w:r w:rsidR="00F90EED">
        <w:rPr>
          <w:rFonts w:eastAsia="Aptos" w:cs="Arial"/>
          <w:color w:val="000000"/>
          <w:kern w:val="2"/>
          <w:szCs w:val="20"/>
          <w14:ligatures w14:val="standardContextual"/>
        </w:rPr>
        <w:t xml:space="preserve"> </w:t>
      </w:r>
    </w:p>
    <w:p w14:paraId="2DE2F3D2" w14:textId="77777777" w:rsidR="00AC0F75" w:rsidRPr="00BE5832" w:rsidRDefault="00AC0F75" w:rsidP="00BE5832">
      <w:pPr>
        <w:spacing w:after="160" w:line="259" w:lineRule="auto"/>
        <w:rPr>
          <w:rFonts w:eastAsia="Aptos" w:cs="Arial"/>
          <w:color w:val="000000"/>
          <w:kern w:val="2"/>
          <w:szCs w:val="20"/>
          <w14:ligatures w14:val="standardContextual"/>
        </w:rPr>
      </w:pPr>
    </w:p>
    <w:p w14:paraId="520B8924" w14:textId="14E8B214" w:rsidR="00AC0F75" w:rsidRPr="00BE5832" w:rsidRDefault="00AC0F75" w:rsidP="00BB31ED">
      <w:pPr>
        <w:keepNext/>
        <w:keepLines/>
        <w:numPr>
          <w:ilvl w:val="0"/>
          <w:numId w:val="70"/>
        </w:numPr>
        <w:spacing w:before="160" w:after="80" w:line="259" w:lineRule="auto"/>
        <w:jc w:val="center"/>
        <w:outlineLvl w:val="1"/>
        <w:rPr>
          <w:rFonts w:eastAsia="Times New Roman" w:cs="Arial"/>
          <w:color w:val="000000"/>
          <w:kern w:val="2"/>
          <w:szCs w:val="20"/>
          <w14:ligatures w14:val="standardContextual"/>
        </w:rPr>
      </w:pPr>
      <w:r w:rsidRPr="00BE5832">
        <w:rPr>
          <w:rFonts w:eastAsia="Times New Roman" w:cs="Arial"/>
          <w:color w:val="000000"/>
          <w:kern w:val="2"/>
          <w:szCs w:val="20"/>
          <w14:ligatures w14:val="standardContextual"/>
        </w:rPr>
        <w:t xml:space="preserve"> člen</w:t>
      </w:r>
    </w:p>
    <w:p w14:paraId="1F990D83" w14:textId="30748724" w:rsidR="00AC0F75" w:rsidRPr="00BE5832" w:rsidRDefault="00AC0F75" w:rsidP="00AC0F75">
      <w:pPr>
        <w:spacing w:after="160" w:line="259" w:lineRule="auto"/>
        <w:jc w:val="center"/>
        <w:rPr>
          <w:rFonts w:eastAsia="Aptos" w:cs="Arial"/>
          <w:color w:val="000000"/>
          <w:kern w:val="2"/>
          <w:szCs w:val="20"/>
          <w14:ligatures w14:val="standardContextual"/>
        </w:rPr>
      </w:pPr>
      <w:r w:rsidRPr="00BE5832">
        <w:rPr>
          <w:rFonts w:eastAsia="Aptos" w:cs="Arial"/>
          <w:color w:val="000000"/>
          <w:kern w:val="2"/>
          <w:szCs w:val="20"/>
          <w14:ligatures w14:val="standardContextual"/>
        </w:rPr>
        <w:t>(</w:t>
      </w:r>
      <w:r w:rsidR="00695F6F">
        <w:rPr>
          <w:rFonts w:eastAsia="Aptos" w:cs="Arial"/>
          <w:color w:val="000000"/>
          <w:kern w:val="2"/>
          <w:szCs w:val="20"/>
          <w14:ligatures w14:val="standardContextual"/>
        </w:rPr>
        <w:t xml:space="preserve">uporaba zakona za namen poročanja, </w:t>
      </w:r>
      <w:r w:rsidR="00744CA0">
        <w:rPr>
          <w:rFonts w:eastAsia="Aptos" w:cs="Arial"/>
          <w:color w:val="000000"/>
          <w:kern w:val="2"/>
          <w:szCs w:val="20"/>
          <w14:ligatures w14:val="standardContextual"/>
        </w:rPr>
        <w:t xml:space="preserve">za </w:t>
      </w:r>
      <w:r w:rsidR="00695F6F">
        <w:rPr>
          <w:rFonts w:eastAsia="Aptos" w:cs="Arial"/>
          <w:color w:val="000000"/>
          <w:kern w:val="2"/>
          <w:szCs w:val="20"/>
          <w14:ligatures w14:val="standardContextual"/>
        </w:rPr>
        <w:t xml:space="preserve">obveznosti </w:t>
      </w:r>
      <w:r w:rsidR="0080218A">
        <w:rPr>
          <w:rFonts w:eastAsia="Aptos" w:cs="Arial"/>
          <w:color w:val="000000"/>
          <w:kern w:val="2"/>
          <w:szCs w:val="20"/>
          <w14:ligatures w14:val="standardContextual"/>
        </w:rPr>
        <w:t>in</w:t>
      </w:r>
      <w:r w:rsidR="00695F6F">
        <w:rPr>
          <w:rFonts w:eastAsia="Aptos" w:cs="Arial"/>
          <w:color w:val="000000"/>
          <w:kern w:val="2"/>
          <w:szCs w:val="20"/>
          <w14:ligatures w14:val="standardContextual"/>
        </w:rPr>
        <w:t xml:space="preserve"> vračila</w:t>
      </w:r>
      <w:r w:rsidRPr="00BE5832">
        <w:rPr>
          <w:rFonts w:eastAsia="Aptos" w:cs="Arial"/>
          <w:color w:val="000000"/>
          <w:kern w:val="2"/>
          <w:szCs w:val="20"/>
          <w14:ligatures w14:val="standardContextual"/>
        </w:rPr>
        <w:t>)</w:t>
      </w:r>
    </w:p>
    <w:p w14:paraId="3A56F9AE" w14:textId="7E7BE81A" w:rsidR="00AC0F75" w:rsidRDefault="00695F6F" w:rsidP="00295AEC">
      <w:pPr>
        <w:pStyle w:val="Odstavekseznama"/>
        <w:spacing w:after="160" w:line="259" w:lineRule="auto"/>
        <w:rPr>
          <w:rFonts w:eastAsia="Aptos" w:cs="Arial"/>
          <w:color w:val="000000"/>
          <w:kern w:val="2"/>
          <w:szCs w:val="20"/>
          <w14:ligatures w14:val="standardContextual"/>
        </w:rPr>
      </w:pPr>
      <w:r>
        <w:rPr>
          <w:rFonts w:eastAsia="Aptos" w:cs="Arial"/>
          <w:color w:val="000000"/>
          <w:kern w:val="2"/>
          <w:szCs w:val="20"/>
          <w14:ligatures w14:val="standardContextual"/>
        </w:rPr>
        <w:t>Ta zakon se</w:t>
      </w:r>
      <w:r w:rsidRPr="00BD18A6">
        <w:rPr>
          <w:rFonts w:eastAsia="Aptos" w:cs="Arial"/>
          <w:color w:val="000000"/>
          <w:kern w:val="2"/>
          <w:szCs w:val="20"/>
          <w14:ligatures w14:val="standardContextual"/>
        </w:rPr>
        <w:t xml:space="preserve"> za namene poročanja</w:t>
      </w:r>
      <w:r w:rsidR="00643C4E">
        <w:rPr>
          <w:rFonts w:eastAsia="Aptos" w:cs="Arial"/>
          <w:color w:val="000000"/>
          <w:kern w:val="2"/>
          <w:szCs w:val="20"/>
          <w14:ligatures w14:val="standardContextual"/>
        </w:rPr>
        <w:t xml:space="preserve"> iz 13. člena tega zakona</w:t>
      </w:r>
      <w:r w:rsidRPr="00BD18A6">
        <w:rPr>
          <w:rFonts w:eastAsia="Aptos" w:cs="Arial"/>
          <w:color w:val="000000"/>
          <w:kern w:val="2"/>
          <w:szCs w:val="20"/>
          <w14:ligatures w14:val="standardContextual"/>
        </w:rPr>
        <w:t xml:space="preserve"> uporablja do 31. decembra 2033, za vse </w:t>
      </w:r>
      <w:r w:rsidR="0080218A">
        <w:rPr>
          <w:rFonts w:eastAsia="Aptos" w:cs="Arial"/>
          <w:color w:val="000000"/>
          <w:kern w:val="2"/>
          <w:szCs w:val="20"/>
          <w14:ligatures w14:val="standardContextual"/>
        </w:rPr>
        <w:t>druge</w:t>
      </w:r>
      <w:r w:rsidRPr="00BD18A6">
        <w:rPr>
          <w:rFonts w:eastAsia="Aptos" w:cs="Arial"/>
          <w:color w:val="000000"/>
          <w:kern w:val="2"/>
          <w:szCs w:val="20"/>
          <w14:ligatures w14:val="standardContextual"/>
        </w:rPr>
        <w:t xml:space="preserve"> obveznosti, ki se nanašajo na izpolnjevanje obveznosti glede dodeljenih spodbud in vračila neupravičeno prejete spodbude, pa se uporablja do 31. decembra 2037.</w:t>
      </w:r>
    </w:p>
    <w:p w14:paraId="5CB74A8F" w14:textId="77777777" w:rsidR="002967DA" w:rsidRPr="00295AEC" w:rsidRDefault="002967DA" w:rsidP="00295AEC">
      <w:pPr>
        <w:pStyle w:val="Odstavekseznama"/>
        <w:spacing w:after="160" w:line="259" w:lineRule="auto"/>
        <w:rPr>
          <w:rFonts w:eastAsia="Aptos" w:cs="Arial"/>
          <w:color w:val="000000"/>
          <w:kern w:val="2"/>
          <w:szCs w:val="20"/>
          <w14:ligatures w14:val="standardContextual"/>
        </w:rPr>
      </w:pPr>
    </w:p>
    <w:p w14:paraId="785F4BB1" w14:textId="14FED0D0" w:rsidR="00BE5832" w:rsidRDefault="005F3F41" w:rsidP="00BB31ED">
      <w:pPr>
        <w:keepNext/>
        <w:keepLines/>
        <w:numPr>
          <w:ilvl w:val="0"/>
          <w:numId w:val="70"/>
        </w:numPr>
        <w:spacing w:before="160" w:after="80" w:line="259" w:lineRule="auto"/>
        <w:jc w:val="center"/>
        <w:outlineLvl w:val="1"/>
        <w:rPr>
          <w:rFonts w:eastAsia="Times New Roman" w:cs="Arial"/>
          <w:color w:val="000000"/>
          <w:kern w:val="2"/>
          <w:szCs w:val="20"/>
          <w14:ligatures w14:val="standardContextual"/>
        </w:rPr>
      </w:pPr>
      <w:r>
        <w:rPr>
          <w:rFonts w:eastAsia="Times New Roman" w:cs="Arial"/>
          <w:color w:val="000000"/>
          <w:kern w:val="2"/>
          <w:szCs w:val="20"/>
          <w14:ligatures w14:val="standardContextual"/>
        </w:rPr>
        <w:t>č</w:t>
      </w:r>
      <w:r w:rsidR="00BE5832" w:rsidRPr="00BE5832">
        <w:rPr>
          <w:rFonts w:eastAsia="Times New Roman" w:cs="Arial"/>
          <w:color w:val="000000"/>
          <w:kern w:val="2"/>
          <w:szCs w:val="20"/>
          <w14:ligatures w14:val="standardContextual"/>
        </w:rPr>
        <w:t>len</w:t>
      </w:r>
    </w:p>
    <w:p w14:paraId="377B7D46" w14:textId="77777777" w:rsidR="005F3F41" w:rsidRPr="005F3F41" w:rsidRDefault="005F3F41" w:rsidP="005F3F41">
      <w:pPr>
        <w:pStyle w:val="Odstavekseznama"/>
        <w:spacing w:after="160" w:line="259" w:lineRule="auto"/>
        <w:ind w:left="644"/>
        <w:jc w:val="center"/>
        <w:rPr>
          <w:rFonts w:eastAsia="Aptos" w:cs="Arial"/>
          <w:color w:val="000000"/>
          <w:kern w:val="2"/>
          <w:szCs w:val="20"/>
          <w14:ligatures w14:val="standardContextual"/>
        </w:rPr>
      </w:pPr>
      <w:bookmarkStart w:id="48" w:name="_Hlk213307573"/>
      <w:r w:rsidRPr="005F3F41">
        <w:rPr>
          <w:rFonts w:eastAsia="Aptos" w:cs="Arial"/>
          <w:color w:val="000000"/>
          <w:kern w:val="2"/>
          <w:szCs w:val="20"/>
          <w14:ligatures w14:val="standardContextual"/>
        </w:rPr>
        <w:t>(začetek uporabe)</w:t>
      </w:r>
    </w:p>
    <w:bookmarkEnd w:id="48"/>
    <w:p w14:paraId="02D914A3" w14:textId="22F919A5" w:rsidR="005F3F41" w:rsidRDefault="005F3F41" w:rsidP="005F3F41">
      <w:pPr>
        <w:pStyle w:val="Odstavekseznama"/>
        <w:numPr>
          <w:ilvl w:val="0"/>
          <w:numId w:val="103"/>
        </w:numPr>
        <w:spacing w:after="160" w:line="259" w:lineRule="auto"/>
        <w:rPr>
          <w:rFonts w:eastAsia="Aptos" w:cs="Arial"/>
          <w:color w:val="000000"/>
          <w:kern w:val="2"/>
          <w:szCs w:val="20"/>
          <w14:ligatures w14:val="standardContextual"/>
        </w:rPr>
      </w:pPr>
      <w:r>
        <w:rPr>
          <w:rFonts w:eastAsia="Aptos" w:cs="Arial"/>
          <w:color w:val="000000"/>
          <w:kern w:val="2"/>
          <w:szCs w:val="20"/>
          <w14:ligatures w14:val="standardContextual"/>
        </w:rPr>
        <w:t xml:space="preserve">Ta zakon se začne uporabljati </w:t>
      </w:r>
      <w:r w:rsidRPr="00567C7F">
        <w:rPr>
          <w:rFonts w:eastAsia="Aptos" w:cs="Arial"/>
          <w:color w:val="000000"/>
          <w:kern w:val="2"/>
          <w:szCs w:val="20"/>
          <w14:ligatures w14:val="standardContextual"/>
        </w:rPr>
        <w:t xml:space="preserve">po pridobitvi pozitivne odločbe Evropske komisije o združljivosti sheme pomoči z notranjim trgom Evropske </w:t>
      </w:r>
      <w:r w:rsidR="0080218A">
        <w:rPr>
          <w:rFonts w:eastAsia="Aptos" w:cs="Arial"/>
          <w:color w:val="000000"/>
          <w:kern w:val="2"/>
          <w:szCs w:val="20"/>
          <w14:ligatures w14:val="standardContextual"/>
        </w:rPr>
        <w:t>u</w:t>
      </w:r>
      <w:r w:rsidRPr="00567C7F">
        <w:rPr>
          <w:rFonts w:eastAsia="Aptos" w:cs="Arial"/>
          <w:color w:val="000000"/>
          <w:kern w:val="2"/>
          <w:szCs w:val="20"/>
          <w14:ligatures w14:val="standardContextual"/>
        </w:rPr>
        <w:t>nije</w:t>
      </w:r>
      <w:r>
        <w:rPr>
          <w:rFonts w:eastAsia="Aptos" w:cs="Arial"/>
          <w:color w:val="000000"/>
          <w:kern w:val="2"/>
          <w:szCs w:val="20"/>
          <w14:ligatures w14:val="standardContextual"/>
        </w:rPr>
        <w:t xml:space="preserve">. </w:t>
      </w:r>
    </w:p>
    <w:p w14:paraId="1781C0CC" w14:textId="5A8D3A22" w:rsidR="005F3F41" w:rsidRDefault="005F3F41" w:rsidP="005F3F41">
      <w:pPr>
        <w:pStyle w:val="Odstavekseznama"/>
        <w:numPr>
          <w:ilvl w:val="0"/>
          <w:numId w:val="103"/>
        </w:numPr>
        <w:spacing w:after="160" w:line="259" w:lineRule="auto"/>
        <w:rPr>
          <w:rFonts w:eastAsia="Aptos" w:cs="Arial"/>
          <w:color w:val="000000"/>
          <w:kern w:val="2"/>
          <w:szCs w:val="20"/>
          <w14:ligatures w14:val="standardContextual"/>
        </w:rPr>
      </w:pPr>
      <w:r>
        <w:rPr>
          <w:rFonts w:eastAsia="Aptos" w:cs="Arial"/>
          <w:color w:val="000000"/>
          <w:kern w:val="2"/>
          <w:szCs w:val="20"/>
          <w14:ligatures w14:val="standardContextual"/>
        </w:rPr>
        <w:t>Minister, pristojen za energijo, objavi naznanilo o prejetju odločbe iz prejšnjega odstavka v Uradnem listu Republike Slovenije</w:t>
      </w:r>
      <w:r w:rsidRPr="00567C7F">
        <w:rPr>
          <w:rFonts w:eastAsia="Aptos" w:cs="Arial"/>
          <w:color w:val="000000"/>
          <w:kern w:val="2"/>
          <w:szCs w:val="20"/>
          <w14:ligatures w14:val="standardContextual"/>
        </w:rPr>
        <w:t>.</w:t>
      </w:r>
    </w:p>
    <w:p w14:paraId="70D86845" w14:textId="77777777" w:rsidR="005F3F41" w:rsidRDefault="005F3F41" w:rsidP="005F3F41">
      <w:pPr>
        <w:keepNext/>
        <w:keepLines/>
        <w:spacing w:before="160" w:after="80" w:line="259" w:lineRule="auto"/>
        <w:ind w:left="644"/>
        <w:outlineLvl w:val="1"/>
        <w:rPr>
          <w:rFonts w:eastAsia="Times New Roman" w:cs="Arial"/>
          <w:color w:val="000000"/>
          <w:kern w:val="2"/>
          <w:szCs w:val="20"/>
          <w14:ligatures w14:val="standardContextual"/>
        </w:rPr>
      </w:pPr>
    </w:p>
    <w:p w14:paraId="2A9FFB87" w14:textId="1EE61DB7" w:rsidR="005F3F41" w:rsidRPr="00BE5832" w:rsidRDefault="00F67126" w:rsidP="00BB31ED">
      <w:pPr>
        <w:keepNext/>
        <w:keepLines/>
        <w:numPr>
          <w:ilvl w:val="0"/>
          <w:numId w:val="70"/>
        </w:numPr>
        <w:spacing w:before="160" w:after="80" w:line="259" w:lineRule="auto"/>
        <w:jc w:val="center"/>
        <w:outlineLvl w:val="1"/>
        <w:rPr>
          <w:rFonts w:eastAsia="Times New Roman" w:cs="Arial"/>
          <w:color w:val="000000"/>
          <w:kern w:val="2"/>
          <w:szCs w:val="20"/>
          <w14:ligatures w14:val="standardContextual"/>
        </w:rPr>
      </w:pPr>
      <w:r>
        <w:rPr>
          <w:rFonts w:eastAsia="Times New Roman" w:cs="Arial"/>
          <w:color w:val="000000"/>
          <w:kern w:val="2"/>
          <w:szCs w:val="20"/>
          <w14:ligatures w14:val="standardContextual"/>
        </w:rPr>
        <w:t>člen</w:t>
      </w:r>
    </w:p>
    <w:p w14:paraId="63D3A85D" w14:textId="07184338" w:rsidR="00792F3A" w:rsidRDefault="00792F3A" w:rsidP="00792F3A">
      <w:pPr>
        <w:pStyle w:val="Odstavekseznama"/>
        <w:spacing w:after="160" w:line="259" w:lineRule="auto"/>
        <w:jc w:val="center"/>
        <w:rPr>
          <w:rFonts w:eastAsia="Aptos" w:cs="Arial"/>
          <w:color w:val="000000"/>
          <w:kern w:val="2"/>
          <w:szCs w:val="20"/>
          <w14:ligatures w14:val="standardContextual"/>
        </w:rPr>
      </w:pPr>
      <w:r>
        <w:rPr>
          <w:rFonts w:eastAsia="Aptos" w:cs="Arial"/>
          <w:color w:val="000000"/>
          <w:kern w:val="2"/>
          <w:szCs w:val="20"/>
          <w14:ligatures w14:val="standardContextual"/>
        </w:rPr>
        <w:t>(začetek veljavnosti)</w:t>
      </w:r>
    </w:p>
    <w:p w14:paraId="32C543A2" w14:textId="21202D7D" w:rsidR="005F3F41" w:rsidRPr="00567C7F" w:rsidRDefault="005F3F41" w:rsidP="00567C7F">
      <w:pPr>
        <w:pStyle w:val="Odstavekseznama"/>
        <w:spacing w:after="160" w:line="259" w:lineRule="auto"/>
        <w:rPr>
          <w:rFonts w:eastAsia="Aptos" w:cs="Arial"/>
          <w:color w:val="000000"/>
          <w:kern w:val="2"/>
          <w:szCs w:val="20"/>
          <w14:ligatures w14:val="standardContextual"/>
        </w:rPr>
      </w:pPr>
      <w:r w:rsidRPr="00BD18A6">
        <w:rPr>
          <w:rFonts w:eastAsia="Aptos" w:cs="Arial"/>
          <w:color w:val="000000"/>
          <w:kern w:val="2"/>
          <w:szCs w:val="20"/>
          <w14:ligatures w14:val="standardContextual"/>
        </w:rPr>
        <w:t xml:space="preserve">Ta zakon začne veljati </w:t>
      </w:r>
      <w:r w:rsidR="00F67126">
        <w:rPr>
          <w:rFonts w:eastAsia="Aptos" w:cs="Arial"/>
          <w:color w:val="000000"/>
          <w:kern w:val="2"/>
          <w:szCs w:val="20"/>
          <w14:ligatures w14:val="standardContextual"/>
        </w:rPr>
        <w:t xml:space="preserve">naslednji dan po objavi v Uradnem listu Republike Slovenije </w:t>
      </w:r>
      <w:r w:rsidRPr="00BD18A6">
        <w:rPr>
          <w:rFonts w:eastAsia="Aptos" w:cs="Arial"/>
          <w:color w:val="000000"/>
          <w:kern w:val="2"/>
          <w:szCs w:val="20"/>
          <w14:ligatures w14:val="standardContextual"/>
        </w:rPr>
        <w:t>in velja do 30. junija 2029</w:t>
      </w:r>
      <w:r w:rsidR="0080218A">
        <w:rPr>
          <w:rFonts w:eastAsia="Aptos" w:cs="Arial"/>
          <w:color w:val="000000"/>
          <w:kern w:val="2"/>
          <w:szCs w:val="20"/>
          <w14:ligatures w14:val="standardContextual"/>
        </w:rPr>
        <w:t>.</w:t>
      </w:r>
    </w:p>
    <w:p w14:paraId="27F7AF31" w14:textId="3BEAC497" w:rsidR="004F289B" w:rsidRDefault="004F289B" w:rsidP="004F289B">
      <w:pPr>
        <w:spacing w:after="0" w:line="240" w:lineRule="auto"/>
        <w:rPr>
          <w:rFonts w:eastAsia="Arial" w:cs="Arial"/>
          <w:b/>
          <w:bCs/>
          <w:szCs w:val="20"/>
        </w:rPr>
      </w:pPr>
    </w:p>
    <w:p w14:paraId="286A2ECB" w14:textId="77777777" w:rsidR="003C0F64" w:rsidRPr="004F289B" w:rsidRDefault="003C0F64" w:rsidP="004F289B">
      <w:pPr>
        <w:spacing w:after="0" w:line="240" w:lineRule="auto"/>
        <w:rPr>
          <w:rFonts w:eastAsia="Arial" w:cs="Arial"/>
          <w:b/>
          <w:bCs/>
          <w:szCs w:val="20"/>
        </w:rPr>
      </w:pPr>
    </w:p>
    <w:p w14:paraId="6408C34A" w14:textId="77777777" w:rsidR="004F289B" w:rsidRPr="004F289B" w:rsidRDefault="004F289B" w:rsidP="004F289B">
      <w:pPr>
        <w:keepNext/>
        <w:keepLines/>
        <w:outlineLvl w:val="0"/>
        <w:rPr>
          <w:rFonts w:eastAsia="Times New Roman" w:cs="Arial"/>
          <w:b/>
          <w:bCs/>
          <w:caps/>
          <w:spacing w:val="4"/>
          <w:szCs w:val="20"/>
          <w:lang w:eastAsia="sl-SI"/>
        </w:rPr>
      </w:pPr>
      <w:r w:rsidRPr="004F289B">
        <w:rPr>
          <w:rFonts w:eastAsia="Times New Roman" w:cs="Arial"/>
          <w:b/>
          <w:bCs/>
          <w:caps/>
          <w:spacing w:val="4"/>
          <w:szCs w:val="20"/>
          <w:lang w:eastAsia="sl-SI"/>
        </w:rPr>
        <w:t>III. OBRAZLOŽITEV</w:t>
      </w:r>
    </w:p>
    <w:p w14:paraId="787C27D3" w14:textId="7D791C1C" w:rsidR="00DA6357" w:rsidRPr="00DA6357" w:rsidRDefault="00DA6357" w:rsidP="00DA6357">
      <w:pPr>
        <w:rPr>
          <w:rFonts w:eastAsia="Times New Roman" w:cs="Arial"/>
          <w:b/>
          <w:bCs/>
          <w:szCs w:val="20"/>
          <w:lang w:eastAsia="ar-SA"/>
        </w:rPr>
      </w:pPr>
      <w:r w:rsidRPr="00DA6357">
        <w:rPr>
          <w:rFonts w:eastAsia="Times New Roman" w:cs="Arial"/>
          <w:b/>
          <w:bCs/>
          <w:szCs w:val="20"/>
          <w:lang w:eastAsia="ar-SA"/>
        </w:rPr>
        <w:t>K 1. členu (vsebina</w:t>
      </w:r>
      <w:r w:rsidR="00012E11">
        <w:rPr>
          <w:rFonts w:eastAsia="Times New Roman" w:cs="Arial"/>
          <w:b/>
          <w:bCs/>
          <w:szCs w:val="20"/>
          <w:lang w:eastAsia="ar-SA"/>
        </w:rPr>
        <w:t xml:space="preserve"> zakona</w:t>
      </w:r>
      <w:r w:rsidRPr="00DA6357">
        <w:rPr>
          <w:rFonts w:eastAsia="Times New Roman" w:cs="Arial"/>
          <w:b/>
          <w:bCs/>
          <w:szCs w:val="20"/>
          <w:lang w:eastAsia="ar-SA"/>
        </w:rPr>
        <w:t>)</w:t>
      </w:r>
    </w:p>
    <w:p w14:paraId="4E10D372" w14:textId="2BA92D38" w:rsidR="00DA6357" w:rsidRPr="00DA6357" w:rsidRDefault="00DA6357" w:rsidP="00DA6357">
      <w:pPr>
        <w:rPr>
          <w:rFonts w:eastAsia="Times New Roman" w:cs="Arial"/>
          <w:szCs w:val="20"/>
          <w:lang w:eastAsia="ar-SA"/>
        </w:rPr>
      </w:pPr>
      <w:r w:rsidRPr="00DA6357">
        <w:rPr>
          <w:rFonts w:eastAsia="Times New Roman" w:cs="Arial"/>
          <w:szCs w:val="20"/>
          <w:lang w:eastAsia="ar-SA"/>
        </w:rPr>
        <w:t xml:space="preserve">V 1. členu je določen predmet zakona. Člen opredeljuje, da se z zakonom uvaja </w:t>
      </w:r>
      <w:r w:rsidR="00012E11">
        <w:rPr>
          <w:rFonts w:eastAsia="Times New Roman" w:cs="Arial"/>
          <w:szCs w:val="20"/>
          <w:lang w:eastAsia="ar-SA"/>
        </w:rPr>
        <w:t>začasni</w:t>
      </w:r>
      <w:r w:rsidRPr="00DA6357">
        <w:rPr>
          <w:rFonts w:eastAsia="Times New Roman" w:cs="Arial"/>
          <w:szCs w:val="20"/>
          <w:lang w:eastAsia="ar-SA"/>
        </w:rPr>
        <w:t xml:space="preserve"> ukrep dodelitve spodbud za pokritje dela stroškov električne energije elektrointenzivnim podjetjem, s ciljem </w:t>
      </w:r>
      <w:r w:rsidR="00012E11">
        <w:rPr>
          <w:rFonts w:eastAsia="Times New Roman" w:cs="Arial"/>
          <w:szCs w:val="20"/>
          <w:lang w:eastAsia="ar-SA"/>
        </w:rPr>
        <w:t>spodbujati</w:t>
      </w:r>
      <w:r w:rsidRPr="00DA6357">
        <w:rPr>
          <w:rFonts w:eastAsia="Times New Roman" w:cs="Arial"/>
          <w:szCs w:val="20"/>
          <w:lang w:eastAsia="ar-SA"/>
        </w:rPr>
        <w:t xml:space="preserve"> njihovo konkurenčnost</w:t>
      </w:r>
      <w:r w:rsidR="008A37CD">
        <w:rPr>
          <w:rFonts w:eastAsia="Times New Roman" w:cs="Arial"/>
          <w:szCs w:val="20"/>
          <w:lang w:eastAsia="ar-SA"/>
        </w:rPr>
        <w:t xml:space="preserve"> in razogljičenje</w:t>
      </w:r>
      <w:r w:rsidRPr="00DA6357">
        <w:rPr>
          <w:rFonts w:eastAsia="Times New Roman" w:cs="Arial"/>
          <w:szCs w:val="20"/>
          <w:lang w:eastAsia="ar-SA"/>
        </w:rPr>
        <w:t>.</w:t>
      </w:r>
    </w:p>
    <w:p w14:paraId="768C97C0" w14:textId="77777777" w:rsidR="00DA6357" w:rsidRPr="00DA6357" w:rsidRDefault="00DA6357" w:rsidP="00DA6357">
      <w:pPr>
        <w:rPr>
          <w:rFonts w:eastAsia="Times New Roman" w:cs="Arial"/>
          <w:szCs w:val="20"/>
          <w:lang w:eastAsia="ar-SA"/>
        </w:rPr>
      </w:pPr>
      <w:r w:rsidRPr="00DA6357">
        <w:rPr>
          <w:rFonts w:eastAsia="Times New Roman" w:cs="Arial"/>
          <w:szCs w:val="20"/>
          <w:lang w:eastAsia="ar-SA"/>
        </w:rPr>
        <w:t>Zakon ni splošen energetski zakon, temveč je ciljno usmerjen, časovno omejen zakon, ki je podlaga za ukrep državne pomoči, ki je namenjena omejeni skupini podjetij, ki jih izrazito prizadevajo visoki stroški električne energije.</w:t>
      </w:r>
    </w:p>
    <w:p w14:paraId="21DDF6AB" w14:textId="6C6BF996" w:rsidR="00DA6357" w:rsidRPr="00DA6357" w:rsidRDefault="00012E11" w:rsidP="00DA6357">
      <w:pPr>
        <w:rPr>
          <w:rFonts w:eastAsia="Arial" w:cs="Arial"/>
          <w:szCs w:val="20"/>
        </w:rPr>
      </w:pPr>
      <w:r>
        <w:rPr>
          <w:rFonts w:eastAsia="Arial" w:cs="Arial"/>
          <w:szCs w:val="20"/>
        </w:rPr>
        <w:t>Ta člen ureja tudi</w:t>
      </w:r>
      <w:r w:rsidR="00DA6357" w:rsidRPr="00DA6357">
        <w:rPr>
          <w:rFonts w:eastAsia="Arial" w:cs="Arial"/>
          <w:szCs w:val="20"/>
        </w:rPr>
        <w:t xml:space="preserve"> skladnost ukrepa s pravom EU, in sicer s Sporočilom Komisije C/2025/3602 – Okvir za ukrepe državne pomoči v podporo dogovoru o čisti industriji / čisti energiji (CISAF)</w:t>
      </w:r>
      <w:r w:rsidR="00E3675E">
        <w:rPr>
          <w:rFonts w:eastAsia="Arial" w:cs="Arial"/>
          <w:szCs w:val="20"/>
        </w:rPr>
        <w:t xml:space="preserve">, in sicer je določeno, </w:t>
      </w:r>
      <w:r w:rsidR="00DA6357" w:rsidRPr="00DA6357">
        <w:rPr>
          <w:rFonts w:eastAsia="Arial" w:cs="Arial"/>
          <w:szCs w:val="20"/>
        </w:rPr>
        <w:t>da se ukrep izvaja v skladu s tem posebnim okvirom državnih pomoči</w:t>
      </w:r>
      <w:r w:rsidR="00D52A81">
        <w:rPr>
          <w:rFonts w:eastAsia="Arial" w:cs="Arial"/>
          <w:szCs w:val="20"/>
        </w:rPr>
        <w:t>.</w:t>
      </w:r>
    </w:p>
    <w:p w14:paraId="5B4CC7ED" w14:textId="77777777" w:rsidR="00DA6357" w:rsidRPr="00DA6357" w:rsidRDefault="00DA6357" w:rsidP="00DA6357">
      <w:pPr>
        <w:rPr>
          <w:rFonts w:eastAsia="Arial" w:cs="Arial"/>
          <w:b/>
          <w:bCs/>
          <w:szCs w:val="20"/>
        </w:rPr>
      </w:pPr>
    </w:p>
    <w:p w14:paraId="2B9EA5B7" w14:textId="27B3C63F" w:rsidR="00DA6357" w:rsidRPr="00DA6357" w:rsidRDefault="00DA6357" w:rsidP="00DA6357">
      <w:pPr>
        <w:rPr>
          <w:rFonts w:eastAsia="Arial" w:cs="Arial"/>
          <w:b/>
          <w:bCs/>
          <w:szCs w:val="20"/>
        </w:rPr>
      </w:pPr>
      <w:r w:rsidRPr="00DA6357">
        <w:rPr>
          <w:rFonts w:eastAsia="Arial" w:cs="Arial"/>
          <w:b/>
          <w:bCs/>
          <w:szCs w:val="20"/>
        </w:rPr>
        <w:t xml:space="preserve">K </w:t>
      </w:r>
      <w:r w:rsidR="001A3BF9">
        <w:rPr>
          <w:rFonts w:eastAsia="Arial" w:cs="Arial"/>
          <w:b/>
          <w:bCs/>
          <w:szCs w:val="20"/>
        </w:rPr>
        <w:t>2</w:t>
      </w:r>
      <w:r w:rsidRPr="00DA6357">
        <w:rPr>
          <w:rFonts w:eastAsia="Arial" w:cs="Arial"/>
          <w:b/>
          <w:bCs/>
          <w:szCs w:val="20"/>
        </w:rPr>
        <w:t>. členu (pomen izrazov)</w:t>
      </w:r>
    </w:p>
    <w:p w14:paraId="0048366D" w14:textId="77777777" w:rsidR="00DA6357" w:rsidRPr="00DA6357" w:rsidRDefault="00DA6357" w:rsidP="00DA6357">
      <w:pPr>
        <w:rPr>
          <w:rFonts w:eastAsia="Times New Roman" w:cs="Arial"/>
          <w:szCs w:val="20"/>
          <w:lang w:eastAsia="ar-SA"/>
        </w:rPr>
      </w:pPr>
      <w:r w:rsidRPr="00DA6357">
        <w:rPr>
          <w:rFonts w:eastAsia="Times New Roman" w:cs="Arial"/>
          <w:szCs w:val="20"/>
          <w:lang w:eastAsia="ar-SA"/>
        </w:rPr>
        <w:t xml:space="preserve">Ta člen določa ključne pojme, ki se uporabljajo v zakonu, in s tem zagotavlja pravno varnost in enotno razlago. </w:t>
      </w:r>
    </w:p>
    <w:p w14:paraId="6D5C9803" w14:textId="0EB5B082" w:rsidR="00DA6357" w:rsidRPr="00DA6357" w:rsidRDefault="00DA6357" w:rsidP="00DA6357">
      <w:pPr>
        <w:rPr>
          <w:rFonts w:eastAsia="Times New Roman" w:cs="Arial"/>
          <w:szCs w:val="20"/>
          <w:lang w:eastAsia="ar-SA"/>
        </w:rPr>
      </w:pPr>
      <w:r w:rsidRPr="00DA6357">
        <w:rPr>
          <w:rFonts w:eastAsia="Times New Roman" w:cs="Arial"/>
          <w:szCs w:val="20"/>
          <w:lang w:eastAsia="ar-SA"/>
        </w:rPr>
        <w:t xml:space="preserve">Definicija »elektrointenzivnega podjetja« temelji na razmerju med povprečnimi stroški električne energije v zadnjih treh letih in povprečno bruto dodano vrednostjo v istem obdobju, pri čemer je prag postavljen pri 5 %. Določena je tudi metodologija za podjetja, ki poslujejo krajše od treh let (projekcije, podatki iz preteklih let, povprečje). Ta definicija povzema standarde iz EU pravil za elektrointenzivnost, s čimer se zagotovi, da je ukrep usmerjen v najbolj izpostavljena podjetja. Metodologija zajema tudi način izračunavanja elektrointenzivnosti, če je upravičenec zaradi trajnostnih naložb v zadnjem obdobju svojo specifično porabo na enoto proizvodnje znižal oziroma, če se upravičencu v času izvajanja ukrepa po tem zakonu zaradi izvedenih trajnostnih naložb poraba električne energije tako zniža, da zahtevani pogoj elektrointenzivnosti ni izpolnjen. </w:t>
      </w:r>
    </w:p>
    <w:p w14:paraId="14408F93" w14:textId="77777777" w:rsidR="00DA6357" w:rsidRPr="00DA6357" w:rsidRDefault="00DA6357" w:rsidP="00DA6357">
      <w:pPr>
        <w:rPr>
          <w:rFonts w:eastAsia="Times New Roman" w:cs="Arial"/>
          <w:szCs w:val="20"/>
          <w:lang w:eastAsia="ar-SA"/>
        </w:rPr>
      </w:pPr>
      <w:r w:rsidRPr="00DA6357">
        <w:rPr>
          <w:rFonts w:eastAsia="Times New Roman" w:cs="Arial"/>
          <w:szCs w:val="20"/>
          <w:lang w:eastAsia="ar-SA"/>
        </w:rPr>
        <w:t>Za namene tega zakona se dodana vrednost upravičenca v opazovanem obdobju (zadnje zaključeno koledarsko leto pred oddajo vloge) določi na podlagi izkaza poslovnega izida za to leto, sestavljenega v skladu z veljavnimi slovenskimi računovodskimi standardi (SRS) ali MSRP, kot:</w:t>
      </w:r>
    </w:p>
    <w:p w14:paraId="0BD0AC3C" w14:textId="6328ECF4" w:rsidR="00DA6357" w:rsidRPr="00DA6357" w:rsidRDefault="00DA6357" w:rsidP="00DA6357">
      <w:pPr>
        <w:rPr>
          <w:rFonts w:eastAsia="Times New Roman" w:cs="Arial"/>
          <w:szCs w:val="20"/>
          <w:lang w:eastAsia="ar-SA"/>
        </w:rPr>
      </w:pPr>
      <w:r w:rsidRPr="00DA6357">
        <w:rPr>
          <w:rFonts w:eastAsia="Times New Roman" w:cs="Arial"/>
          <w:szCs w:val="20"/>
          <w:lang w:eastAsia="ar-SA"/>
        </w:rPr>
        <w:t>DV = (čisti prihodki od prodaje + sprememba vrednosti zalog proizvodov in nedokončane proizvodnje + usredstveni lastni proizvodi in lastne storitve + drugi poslovni prihodki) - (stroški blaga, materiala in storitev + drugi poslovni odhodki).</w:t>
      </w:r>
    </w:p>
    <w:p w14:paraId="5F6C2541" w14:textId="77777777" w:rsidR="00DA6357" w:rsidRPr="00DA6357" w:rsidRDefault="00DA6357" w:rsidP="00DA6357">
      <w:pPr>
        <w:rPr>
          <w:rFonts w:eastAsia="Times New Roman" w:cs="Arial"/>
          <w:szCs w:val="20"/>
          <w:lang w:eastAsia="ar-SA"/>
        </w:rPr>
      </w:pPr>
      <w:r w:rsidRPr="00DA6357">
        <w:rPr>
          <w:rFonts w:eastAsia="Times New Roman" w:cs="Arial"/>
          <w:szCs w:val="20"/>
          <w:lang w:eastAsia="ar-SA"/>
        </w:rPr>
        <w:t>Pri podjetjih, ki sestavljajo računovodske izkaze po MSRP, se upoštevajo postavke, ki po vsebini ustrezajo navedenim postavkam izkaza poslovnega izida po ZGD-1.</w:t>
      </w:r>
    </w:p>
    <w:p w14:paraId="52DE15F0" w14:textId="77777777" w:rsidR="00DA6357" w:rsidRPr="00DA6357" w:rsidRDefault="00DA6357" w:rsidP="00DA6357">
      <w:pPr>
        <w:rPr>
          <w:rFonts w:eastAsia="Times New Roman" w:cs="Arial"/>
          <w:szCs w:val="20"/>
          <w:lang w:eastAsia="ar-SA"/>
        </w:rPr>
      </w:pPr>
      <w:r w:rsidRPr="00DA6357">
        <w:rPr>
          <w:rFonts w:eastAsia="Times New Roman" w:cs="Arial"/>
          <w:szCs w:val="20"/>
          <w:lang w:eastAsia="ar-SA"/>
        </w:rPr>
        <w:t>Dodana vrednost se ugotavlja na bruto ravni, zato se od nje ne odštevajo amortizacija in drugi odpisi vrednosti. V izračun se ne vključujejo finančni prihodki in odhodki ter izredni prihodki in odhodki, razen če so vključeni v zgoraj navedene postavke poslovnih prihodkov oziroma odhodkov. V primeru razhajanj med podatki v vlogi in podatki iz javno objavljenih letnih poročil na AJPES se za namen dokazovanja dejstev iz vloge štejejo za verodostojne podatki iz javno objavljenih letnih poročil.</w:t>
      </w:r>
    </w:p>
    <w:p w14:paraId="458669AD" w14:textId="4C492192" w:rsidR="00135708" w:rsidRPr="00DA6357" w:rsidRDefault="00DA6357" w:rsidP="00DA6357">
      <w:pPr>
        <w:rPr>
          <w:rFonts w:eastAsia="Times New Roman" w:cs="Arial"/>
          <w:szCs w:val="20"/>
          <w:lang w:eastAsia="ar-SA"/>
        </w:rPr>
      </w:pPr>
      <w:r w:rsidRPr="00DA6357">
        <w:rPr>
          <w:rFonts w:eastAsia="Times New Roman" w:cs="Arial"/>
          <w:szCs w:val="20"/>
          <w:lang w:eastAsia="ar-SA"/>
        </w:rPr>
        <w:t xml:space="preserve">Definicija »skupna letna poraba električne energije« je vsota vse električne energije, ki jo upravičenec v koledarskem letu porabi na vseh svojih merilnih mestih za lastne potrebe ne glede na to ali je kupljena </w:t>
      </w:r>
      <w:r w:rsidRPr="00DA6357">
        <w:rPr>
          <w:rFonts w:eastAsia="Times New Roman" w:cs="Arial"/>
          <w:szCs w:val="20"/>
          <w:lang w:eastAsia="ar-SA"/>
        </w:rPr>
        <w:lastRenderedPageBreak/>
        <w:t>na trgu ali proizvedena v samooskrbi oziroma energetski skupnosti oziroma dovedena iz javnega omrežja</w:t>
      </w:r>
      <w:r w:rsidR="00135708">
        <w:rPr>
          <w:rFonts w:eastAsia="Times New Roman" w:cs="Arial"/>
          <w:szCs w:val="20"/>
          <w:lang w:eastAsia="ar-SA"/>
        </w:rPr>
        <w:t xml:space="preserve">. </w:t>
      </w:r>
    </w:p>
    <w:p w14:paraId="6E754845" w14:textId="77777777" w:rsidR="00DA6357" w:rsidRPr="00DA6357" w:rsidRDefault="00DA6357" w:rsidP="00DA6357">
      <w:pPr>
        <w:rPr>
          <w:rFonts w:eastAsia="Times New Roman" w:cs="Arial"/>
          <w:szCs w:val="20"/>
          <w:lang w:eastAsia="ar-SA"/>
        </w:rPr>
      </w:pPr>
      <w:r w:rsidRPr="00DA6357">
        <w:rPr>
          <w:rFonts w:eastAsia="Times New Roman" w:cs="Arial"/>
          <w:szCs w:val="20"/>
          <w:lang w:eastAsia="ar-SA"/>
        </w:rPr>
        <w:t xml:space="preserve">Definicija »referenčne tržne cene električne energije« je vezana na povprečje zadnjih dvanajst mesečnih cen produkta »EEX-PXE Slovenian Power Base Year Future«, </w:t>
      </w:r>
      <w:r w:rsidRPr="00DA6357">
        <w:rPr>
          <w:rFonts w:eastAsia="Times New Roman" w:cs="Arial"/>
          <w:color w:val="000000"/>
          <w:szCs w:val="20"/>
        </w:rPr>
        <w:t xml:space="preserve">ki so objavljene na </w:t>
      </w:r>
      <w:hyperlink r:id="rId9" w:history="1">
        <w:r w:rsidRPr="00DA6357">
          <w:rPr>
            <w:rFonts w:eastAsia="Times New Roman" w:cs="Times New Roman"/>
            <w:color w:val="000000"/>
          </w:rPr>
          <w:t>www.eex.com</w:t>
        </w:r>
      </w:hyperlink>
      <w:r w:rsidRPr="00DA6357">
        <w:rPr>
          <w:rFonts w:eastAsia="Times New Roman" w:cs="Arial"/>
          <w:color w:val="000000"/>
          <w:szCs w:val="20"/>
        </w:rPr>
        <w:t xml:space="preserve">. </w:t>
      </w:r>
      <w:r w:rsidRPr="00DA6357">
        <w:rPr>
          <w:rFonts w:eastAsia="Times New Roman" w:cs="Arial"/>
          <w:szCs w:val="20"/>
          <w:lang w:eastAsia="ar-SA"/>
        </w:rPr>
        <w:t>za ustrezno leto, zaokroženo na dve decimalni mesti.</w:t>
      </w:r>
      <w:r w:rsidRPr="00DA6357">
        <w:rPr>
          <w:rFonts w:eastAsia="Times New Roman" w:cs="Arial"/>
          <w:color w:val="000000"/>
          <w:szCs w:val="20"/>
        </w:rPr>
        <w:t xml:space="preserve"> </w:t>
      </w:r>
      <w:r w:rsidRPr="00DA6357">
        <w:rPr>
          <w:rFonts w:eastAsia="Times New Roman" w:cs="Arial"/>
          <w:szCs w:val="20"/>
          <w:lang w:eastAsia="ar-SA"/>
        </w:rPr>
        <w:t>S tem se zagotovi objektivna, tržno utemeljena referenca, ki je ključna za izračun višine spodbude in za preprečevanje prekomernega nadomestila.</w:t>
      </w:r>
    </w:p>
    <w:p w14:paraId="24626A5E" w14:textId="05A76422" w:rsidR="00DA6357" w:rsidRPr="00DA6357" w:rsidRDefault="00DA6357" w:rsidP="00DA6357">
      <w:pPr>
        <w:rPr>
          <w:rFonts w:eastAsia="Times New Roman" w:cs="Arial"/>
          <w:szCs w:val="20"/>
          <w:lang w:eastAsia="ar-SA"/>
        </w:rPr>
      </w:pPr>
      <w:r w:rsidRPr="00DA6357">
        <w:rPr>
          <w:rFonts w:eastAsia="Times New Roman" w:cs="Arial"/>
          <w:szCs w:val="20"/>
          <w:lang w:eastAsia="ar-SA"/>
        </w:rPr>
        <w:t>Definicija »upravičeni sektor« se sklicuje na Prilogo 1 Smernic o državni pomoči za podnebje, varstvo okolja in energijo (CEEAG) 2022 (2022/C 80/01)</w:t>
      </w:r>
      <w:r w:rsidR="00C967E9">
        <w:rPr>
          <w:rFonts w:eastAsia="Times New Roman" w:cs="Arial"/>
          <w:szCs w:val="20"/>
          <w:lang w:eastAsia="ar-SA"/>
        </w:rPr>
        <w:t xml:space="preserve">, prav tako pa se za upravičen sektor šteje, če </w:t>
      </w:r>
      <w:r w:rsidR="00C967E9" w:rsidRPr="00C967E9">
        <w:rPr>
          <w:rFonts w:eastAsia="Times New Roman" w:cs="Arial"/>
          <w:szCs w:val="20"/>
          <w:lang w:eastAsia="ar-SA"/>
        </w:rPr>
        <w:t>ga je v času izvajanja tega ukrepa državne pomoči Evropska komisija dodatno uvrstila na seznam oziroma priznala za upravičenega na podlagi dokazil o izpolnjevanju meril za upravičenost iz Sporočila Komisije C/2025/3602 z dne 4. 7. 2025 - Okvir za ukrepe državne pomoči v podporo dogovoru o čisti industriji (UL C št. 3602 z dne 4. 7. 2025).</w:t>
      </w:r>
      <w:r w:rsidR="00C967E9">
        <w:rPr>
          <w:rFonts w:eastAsia="Times New Roman" w:cs="Arial"/>
          <w:szCs w:val="20"/>
          <w:lang w:eastAsia="ar-SA"/>
        </w:rPr>
        <w:t xml:space="preserve"> </w:t>
      </w:r>
      <w:r w:rsidRPr="00DA6357">
        <w:rPr>
          <w:rFonts w:eastAsia="Times New Roman" w:cs="Arial"/>
          <w:szCs w:val="20"/>
          <w:lang w:eastAsia="ar-SA"/>
        </w:rPr>
        <w:t>S tem se zagotovi, da je pomoč omejena na sektorje, ki izpolnjujejo merila energetske in trgovinske izpostavljenosti in s tem tveganja selitve proizvodnje iz EU.</w:t>
      </w:r>
    </w:p>
    <w:p w14:paraId="6E974FD1" w14:textId="77777777" w:rsidR="00DA6357" w:rsidRPr="00DA6357" w:rsidRDefault="00DA6357" w:rsidP="00DA6357">
      <w:pPr>
        <w:rPr>
          <w:rFonts w:eastAsia="Times New Roman" w:cs="Arial"/>
          <w:szCs w:val="20"/>
          <w:lang w:eastAsia="ar-SA"/>
        </w:rPr>
      </w:pPr>
      <w:r w:rsidRPr="00DA6357">
        <w:rPr>
          <w:rFonts w:eastAsia="Times New Roman" w:cs="Arial"/>
          <w:szCs w:val="20"/>
          <w:lang w:eastAsia="ar-SA"/>
        </w:rPr>
        <w:t>Priloga 1 Smernic o državni pomoči za podnebje, varstvo okolja in energijo za leto 2022 vsebuje naslednji seznam sektorjev:</w:t>
      </w:r>
    </w:p>
    <w:tbl>
      <w:tblPr>
        <w:tblW w:w="5000" w:type="pct"/>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43"/>
        <w:gridCol w:w="7313"/>
      </w:tblGrid>
      <w:tr w:rsidR="00DA6357" w:rsidRPr="00DA6357" w14:paraId="3FCE00D2"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3DDE038E" w14:textId="77777777" w:rsidR="00DA6357" w:rsidRPr="00DA6357" w:rsidRDefault="00DA6357" w:rsidP="00DA6357">
            <w:pPr>
              <w:spacing w:before="60" w:after="60" w:line="312" w:lineRule="atLeast"/>
              <w:ind w:right="195"/>
              <w:jc w:val="center"/>
              <w:rPr>
                <w:rFonts w:ascii="Times New Roman" w:eastAsia="Times New Roman" w:hAnsi="Times New Roman" w:cs="Times New Roman"/>
                <w:b/>
                <w:bCs/>
                <w:sz w:val="22"/>
                <w:lang w:eastAsia="sl-SI"/>
              </w:rPr>
            </w:pPr>
            <w:r w:rsidRPr="00DA6357">
              <w:rPr>
                <w:rFonts w:ascii="Times New Roman" w:eastAsia="Times New Roman" w:hAnsi="Times New Roman" w:cs="Times New Roman"/>
                <w:b/>
                <w:bCs/>
                <w:sz w:val="22"/>
                <w:lang w:eastAsia="sl-SI"/>
              </w:rPr>
              <w:t>Oznaka NACE</w:t>
            </w:r>
          </w:p>
        </w:tc>
        <w:tc>
          <w:tcPr>
            <w:tcW w:w="0" w:type="auto"/>
            <w:tcBorders>
              <w:top w:val="single" w:sz="6" w:space="0" w:color="000000"/>
              <w:left w:val="single" w:sz="6" w:space="0" w:color="000000"/>
              <w:bottom w:val="single" w:sz="6" w:space="0" w:color="000000"/>
              <w:right w:val="single" w:sz="6" w:space="0" w:color="000000"/>
            </w:tcBorders>
            <w:hideMark/>
          </w:tcPr>
          <w:p w14:paraId="093B3788" w14:textId="77777777" w:rsidR="00DA6357" w:rsidRPr="00DA6357" w:rsidRDefault="00DA6357" w:rsidP="00DA6357">
            <w:pPr>
              <w:spacing w:before="60" w:after="60" w:line="312" w:lineRule="atLeast"/>
              <w:ind w:right="195"/>
              <w:jc w:val="center"/>
              <w:rPr>
                <w:rFonts w:ascii="Times New Roman" w:eastAsia="Times New Roman" w:hAnsi="Times New Roman" w:cs="Times New Roman"/>
                <w:b/>
                <w:bCs/>
                <w:sz w:val="22"/>
                <w:lang w:eastAsia="sl-SI"/>
              </w:rPr>
            </w:pPr>
            <w:r w:rsidRPr="00DA6357">
              <w:rPr>
                <w:rFonts w:ascii="Times New Roman" w:eastAsia="Times New Roman" w:hAnsi="Times New Roman" w:cs="Times New Roman"/>
                <w:b/>
                <w:bCs/>
                <w:sz w:val="22"/>
                <w:lang w:eastAsia="sl-SI"/>
              </w:rPr>
              <w:t>Poimenovanje</w:t>
            </w:r>
          </w:p>
        </w:tc>
      </w:tr>
      <w:tr w:rsidR="00DA6357" w:rsidRPr="00DA6357" w14:paraId="29F72243"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5D025CC4"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0510</w:t>
            </w:r>
          </w:p>
        </w:tc>
        <w:tc>
          <w:tcPr>
            <w:tcW w:w="0" w:type="auto"/>
            <w:tcBorders>
              <w:top w:val="single" w:sz="6" w:space="0" w:color="000000"/>
              <w:left w:val="single" w:sz="6" w:space="0" w:color="000000"/>
              <w:bottom w:val="single" w:sz="6" w:space="0" w:color="000000"/>
              <w:right w:val="single" w:sz="6" w:space="0" w:color="000000"/>
            </w:tcBorders>
            <w:hideMark/>
          </w:tcPr>
          <w:p w14:paraId="3EADBB4C"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Pridobivanje črnega premoga</w:t>
            </w:r>
          </w:p>
        </w:tc>
      </w:tr>
      <w:tr w:rsidR="00DA6357" w:rsidRPr="00DA6357" w14:paraId="08F95646"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08EA1B0B"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0620</w:t>
            </w:r>
          </w:p>
        </w:tc>
        <w:tc>
          <w:tcPr>
            <w:tcW w:w="0" w:type="auto"/>
            <w:tcBorders>
              <w:top w:val="single" w:sz="6" w:space="0" w:color="000000"/>
              <w:left w:val="single" w:sz="6" w:space="0" w:color="000000"/>
              <w:bottom w:val="single" w:sz="6" w:space="0" w:color="000000"/>
              <w:right w:val="single" w:sz="6" w:space="0" w:color="000000"/>
            </w:tcBorders>
            <w:hideMark/>
          </w:tcPr>
          <w:p w14:paraId="181C190A"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Pridobivanje zemeljskega plina</w:t>
            </w:r>
          </w:p>
        </w:tc>
      </w:tr>
      <w:tr w:rsidR="00DA6357" w:rsidRPr="00DA6357" w14:paraId="71CCBA78"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606F7366"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0710</w:t>
            </w:r>
          </w:p>
        </w:tc>
        <w:tc>
          <w:tcPr>
            <w:tcW w:w="0" w:type="auto"/>
            <w:tcBorders>
              <w:top w:val="single" w:sz="6" w:space="0" w:color="000000"/>
              <w:left w:val="single" w:sz="6" w:space="0" w:color="000000"/>
              <w:bottom w:val="single" w:sz="6" w:space="0" w:color="000000"/>
              <w:right w:val="single" w:sz="6" w:space="0" w:color="000000"/>
            </w:tcBorders>
            <w:hideMark/>
          </w:tcPr>
          <w:p w14:paraId="2EAB0432"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Pridobivanje železove rude</w:t>
            </w:r>
          </w:p>
        </w:tc>
      </w:tr>
      <w:tr w:rsidR="00DA6357" w:rsidRPr="00DA6357" w14:paraId="3B9FB02C"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561A724C"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0729</w:t>
            </w:r>
          </w:p>
        </w:tc>
        <w:tc>
          <w:tcPr>
            <w:tcW w:w="0" w:type="auto"/>
            <w:tcBorders>
              <w:top w:val="single" w:sz="6" w:space="0" w:color="000000"/>
              <w:left w:val="single" w:sz="6" w:space="0" w:color="000000"/>
              <w:bottom w:val="single" w:sz="6" w:space="0" w:color="000000"/>
              <w:right w:val="single" w:sz="6" w:space="0" w:color="000000"/>
            </w:tcBorders>
            <w:hideMark/>
          </w:tcPr>
          <w:p w14:paraId="4F9FAC3E"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Pridobivanje rud drugih neželeznih kovin</w:t>
            </w:r>
          </w:p>
        </w:tc>
      </w:tr>
      <w:tr w:rsidR="00DA6357" w:rsidRPr="00DA6357" w14:paraId="76212033"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7836662B"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0811</w:t>
            </w:r>
          </w:p>
        </w:tc>
        <w:tc>
          <w:tcPr>
            <w:tcW w:w="0" w:type="auto"/>
            <w:tcBorders>
              <w:top w:val="single" w:sz="6" w:space="0" w:color="000000"/>
              <w:left w:val="single" w:sz="6" w:space="0" w:color="000000"/>
              <w:bottom w:val="single" w:sz="6" w:space="0" w:color="000000"/>
              <w:right w:val="single" w:sz="6" w:space="0" w:color="000000"/>
            </w:tcBorders>
            <w:hideMark/>
          </w:tcPr>
          <w:p w14:paraId="59FA65D2"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Pridobivanje kamna</w:t>
            </w:r>
          </w:p>
        </w:tc>
      </w:tr>
      <w:tr w:rsidR="00DA6357" w:rsidRPr="00DA6357" w14:paraId="0F2661BD"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6FDD287B"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0891</w:t>
            </w:r>
          </w:p>
        </w:tc>
        <w:tc>
          <w:tcPr>
            <w:tcW w:w="0" w:type="auto"/>
            <w:tcBorders>
              <w:top w:val="single" w:sz="6" w:space="0" w:color="000000"/>
              <w:left w:val="single" w:sz="6" w:space="0" w:color="000000"/>
              <w:bottom w:val="single" w:sz="6" w:space="0" w:color="000000"/>
              <w:right w:val="single" w:sz="6" w:space="0" w:color="000000"/>
            </w:tcBorders>
            <w:hideMark/>
          </w:tcPr>
          <w:p w14:paraId="1266DC84"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Pridobivanje mineralov za kemikalije in gnojila</w:t>
            </w:r>
          </w:p>
        </w:tc>
      </w:tr>
      <w:tr w:rsidR="00DA6357" w:rsidRPr="00DA6357" w14:paraId="0FBD6157"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4E804276"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0893</w:t>
            </w:r>
          </w:p>
        </w:tc>
        <w:tc>
          <w:tcPr>
            <w:tcW w:w="0" w:type="auto"/>
            <w:tcBorders>
              <w:top w:val="single" w:sz="6" w:space="0" w:color="000000"/>
              <w:left w:val="single" w:sz="6" w:space="0" w:color="000000"/>
              <w:bottom w:val="single" w:sz="6" w:space="0" w:color="000000"/>
              <w:right w:val="single" w:sz="6" w:space="0" w:color="000000"/>
            </w:tcBorders>
            <w:hideMark/>
          </w:tcPr>
          <w:p w14:paraId="2982888D"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Pridobivanje soli</w:t>
            </w:r>
          </w:p>
        </w:tc>
      </w:tr>
      <w:tr w:rsidR="00DA6357" w:rsidRPr="00DA6357" w14:paraId="34997666"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6F4C1175"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0899</w:t>
            </w:r>
          </w:p>
        </w:tc>
        <w:tc>
          <w:tcPr>
            <w:tcW w:w="0" w:type="auto"/>
            <w:tcBorders>
              <w:top w:val="single" w:sz="6" w:space="0" w:color="000000"/>
              <w:left w:val="single" w:sz="6" w:space="0" w:color="000000"/>
              <w:bottom w:val="single" w:sz="6" w:space="0" w:color="000000"/>
              <w:right w:val="single" w:sz="6" w:space="0" w:color="000000"/>
            </w:tcBorders>
            <w:hideMark/>
          </w:tcPr>
          <w:p w14:paraId="5446A0F3"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Pridobivanje drugih rudnin in kamnin</w:t>
            </w:r>
          </w:p>
        </w:tc>
      </w:tr>
      <w:tr w:rsidR="00DA6357" w:rsidRPr="00DA6357" w14:paraId="44DA11BC"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7E600503"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1020</w:t>
            </w:r>
          </w:p>
        </w:tc>
        <w:tc>
          <w:tcPr>
            <w:tcW w:w="0" w:type="auto"/>
            <w:tcBorders>
              <w:top w:val="single" w:sz="6" w:space="0" w:color="000000"/>
              <w:left w:val="single" w:sz="6" w:space="0" w:color="000000"/>
              <w:bottom w:val="single" w:sz="6" w:space="0" w:color="000000"/>
              <w:right w:val="single" w:sz="6" w:space="0" w:color="000000"/>
            </w:tcBorders>
            <w:hideMark/>
          </w:tcPr>
          <w:p w14:paraId="44AD3BC0"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Predelava in konzerviranje rib, rakov in mehkužcev</w:t>
            </w:r>
          </w:p>
        </w:tc>
      </w:tr>
      <w:tr w:rsidR="00DA6357" w:rsidRPr="00DA6357" w14:paraId="2ECFA524"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7CE74318"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1031</w:t>
            </w:r>
          </w:p>
        </w:tc>
        <w:tc>
          <w:tcPr>
            <w:tcW w:w="0" w:type="auto"/>
            <w:tcBorders>
              <w:top w:val="single" w:sz="6" w:space="0" w:color="000000"/>
              <w:left w:val="single" w:sz="6" w:space="0" w:color="000000"/>
              <w:bottom w:val="single" w:sz="6" w:space="0" w:color="000000"/>
              <w:right w:val="single" w:sz="6" w:space="0" w:color="000000"/>
            </w:tcBorders>
            <w:hideMark/>
          </w:tcPr>
          <w:p w14:paraId="4F05DBD7"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Predelava in konzerviranje krompirja</w:t>
            </w:r>
          </w:p>
        </w:tc>
      </w:tr>
      <w:tr w:rsidR="00DA6357" w:rsidRPr="00DA6357" w14:paraId="2E1FFBC2"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6EFF2E57"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1032</w:t>
            </w:r>
          </w:p>
        </w:tc>
        <w:tc>
          <w:tcPr>
            <w:tcW w:w="0" w:type="auto"/>
            <w:tcBorders>
              <w:top w:val="single" w:sz="6" w:space="0" w:color="000000"/>
              <w:left w:val="single" w:sz="6" w:space="0" w:color="000000"/>
              <w:bottom w:val="single" w:sz="6" w:space="0" w:color="000000"/>
              <w:right w:val="single" w:sz="6" w:space="0" w:color="000000"/>
            </w:tcBorders>
            <w:hideMark/>
          </w:tcPr>
          <w:p w14:paraId="4EA1BEC2"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sadnih in zelenjavnih sokov</w:t>
            </w:r>
          </w:p>
        </w:tc>
      </w:tr>
      <w:tr w:rsidR="00DA6357" w:rsidRPr="00DA6357" w14:paraId="566EB8BB"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1C0A0ECE"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1039</w:t>
            </w:r>
          </w:p>
        </w:tc>
        <w:tc>
          <w:tcPr>
            <w:tcW w:w="0" w:type="auto"/>
            <w:tcBorders>
              <w:top w:val="single" w:sz="6" w:space="0" w:color="000000"/>
              <w:left w:val="single" w:sz="6" w:space="0" w:color="000000"/>
              <w:bottom w:val="single" w:sz="6" w:space="0" w:color="000000"/>
              <w:right w:val="single" w:sz="6" w:space="0" w:color="000000"/>
            </w:tcBorders>
            <w:hideMark/>
          </w:tcPr>
          <w:p w14:paraId="48E6B9B2"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Druga predelava in konzerviranje sadja in zelenjave</w:t>
            </w:r>
          </w:p>
        </w:tc>
      </w:tr>
      <w:tr w:rsidR="00DA6357" w:rsidRPr="00DA6357" w14:paraId="261F159F"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70B1BA51"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1041</w:t>
            </w:r>
          </w:p>
        </w:tc>
        <w:tc>
          <w:tcPr>
            <w:tcW w:w="0" w:type="auto"/>
            <w:tcBorders>
              <w:top w:val="single" w:sz="6" w:space="0" w:color="000000"/>
              <w:left w:val="single" w:sz="6" w:space="0" w:color="000000"/>
              <w:bottom w:val="single" w:sz="6" w:space="0" w:color="000000"/>
              <w:right w:val="single" w:sz="6" w:space="0" w:color="000000"/>
            </w:tcBorders>
            <w:hideMark/>
          </w:tcPr>
          <w:p w14:paraId="6D45B434"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olja in maščob</w:t>
            </w:r>
          </w:p>
        </w:tc>
      </w:tr>
      <w:tr w:rsidR="00DA6357" w:rsidRPr="00DA6357" w14:paraId="6F47CC04"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118D2971"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1062</w:t>
            </w:r>
          </w:p>
        </w:tc>
        <w:tc>
          <w:tcPr>
            <w:tcW w:w="0" w:type="auto"/>
            <w:tcBorders>
              <w:top w:val="single" w:sz="6" w:space="0" w:color="000000"/>
              <w:left w:val="single" w:sz="6" w:space="0" w:color="000000"/>
              <w:bottom w:val="single" w:sz="6" w:space="0" w:color="000000"/>
              <w:right w:val="single" w:sz="6" w:space="0" w:color="000000"/>
            </w:tcBorders>
            <w:hideMark/>
          </w:tcPr>
          <w:p w14:paraId="6F7B7BC3"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škroba in škrobnih izdelkov</w:t>
            </w:r>
          </w:p>
        </w:tc>
      </w:tr>
      <w:tr w:rsidR="00DA6357" w:rsidRPr="00DA6357" w14:paraId="11BA79BF"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306AB01D"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1081</w:t>
            </w:r>
          </w:p>
        </w:tc>
        <w:tc>
          <w:tcPr>
            <w:tcW w:w="0" w:type="auto"/>
            <w:tcBorders>
              <w:top w:val="single" w:sz="6" w:space="0" w:color="000000"/>
              <w:left w:val="single" w:sz="6" w:space="0" w:color="000000"/>
              <w:bottom w:val="single" w:sz="6" w:space="0" w:color="000000"/>
              <w:right w:val="single" w:sz="6" w:space="0" w:color="000000"/>
            </w:tcBorders>
            <w:hideMark/>
          </w:tcPr>
          <w:p w14:paraId="07F3095A"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sladkorja</w:t>
            </w:r>
          </w:p>
        </w:tc>
      </w:tr>
      <w:tr w:rsidR="00DA6357" w:rsidRPr="00DA6357" w14:paraId="46CF01D4"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39DD42C5"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1086</w:t>
            </w:r>
          </w:p>
        </w:tc>
        <w:tc>
          <w:tcPr>
            <w:tcW w:w="0" w:type="auto"/>
            <w:tcBorders>
              <w:top w:val="single" w:sz="6" w:space="0" w:color="000000"/>
              <w:left w:val="single" w:sz="6" w:space="0" w:color="000000"/>
              <w:bottom w:val="single" w:sz="6" w:space="0" w:color="000000"/>
              <w:right w:val="single" w:sz="6" w:space="0" w:color="000000"/>
            </w:tcBorders>
            <w:hideMark/>
          </w:tcPr>
          <w:p w14:paraId="785743BF"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homogeniziranih in dietetičnih živil</w:t>
            </w:r>
          </w:p>
        </w:tc>
      </w:tr>
      <w:tr w:rsidR="00DA6357" w:rsidRPr="00DA6357" w14:paraId="18506CDC"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0E85FD35"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1104</w:t>
            </w:r>
          </w:p>
        </w:tc>
        <w:tc>
          <w:tcPr>
            <w:tcW w:w="0" w:type="auto"/>
            <w:tcBorders>
              <w:top w:val="single" w:sz="6" w:space="0" w:color="000000"/>
              <w:left w:val="single" w:sz="6" w:space="0" w:color="000000"/>
              <w:bottom w:val="single" w:sz="6" w:space="0" w:color="000000"/>
              <w:right w:val="single" w:sz="6" w:space="0" w:color="000000"/>
            </w:tcBorders>
            <w:hideMark/>
          </w:tcPr>
          <w:p w14:paraId="454F8FE7"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aromatiziranih vin iz grozdja</w:t>
            </w:r>
          </w:p>
        </w:tc>
      </w:tr>
      <w:tr w:rsidR="00DA6357" w:rsidRPr="00DA6357" w14:paraId="1565A712"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606CE287"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1106</w:t>
            </w:r>
          </w:p>
        </w:tc>
        <w:tc>
          <w:tcPr>
            <w:tcW w:w="0" w:type="auto"/>
            <w:tcBorders>
              <w:top w:val="single" w:sz="6" w:space="0" w:color="000000"/>
              <w:left w:val="single" w:sz="6" w:space="0" w:color="000000"/>
              <w:bottom w:val="single" w:sz="6" w:space="0" w:color="000000"/>
              <w:right w:val="single" w:sz="6" w:space="0" w:color="000000"/>
            </w:tcBorders>
            <w:hideMark/>
          </w:tcPr>
          <w:p w14:paraId="4C3B2E22"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slada</w:t>
            </w:r>
          </w:p>
        </w:tc>
      </w:tr>
      <w:tr w:rsidR="00DA6357" w:rsidRPr="00DA6357" w14:paraId="677A19AA"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77C71369"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1310</w:t>
            </w:r>
          </w:p>
        </w:tc>
        <w:tc>
          <w:tcPr>
            <w:tcW w:w="0" w:type="auto"/>
            <w:tcBorders>
              <w:top w:val="single" w:sz="6" w:space="0" w:color="000000"/>
              <w:left w:val="single" w:sz="6" w:space="0" w:color="000000"/>
              <w:bottom w:val="single" w:sz="6" w:space="0" w:color="000000"/>
              <w:right w:val="single" w:sz="6" w:space="0" w:color="000000"/>
            </w:tcBorders>
            <w:hideMark/>
          </w:tcPr>
          <w:p w14:paraId="2B4093FD"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Priprava in predenje tekstilnih vlaken</w:t>
            </w:r>
          </w:p>
        </w:tc>
      </w:tr>
      <w:tr w:rsidR="00DA6357" w:rsidRPr="00DA6357" w14:paraId="193EA31F"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523776E8"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1320</w:t>
            </w:r>
          </w:p>
        </w:tc>
        <w:tc>
          <w:tcPr>
            <w:tcW w:w="0" w:type="auto"/>
            <w:tcBorders>
              <w:top w:val="single" w:sz="6" w:space="0" w:color="000000"/>
              <w:left w:val="single" w:sz="6" w:space="0" w:color="000000"/>
              <w:bottom w:val="single" w:sz="6" w:space="0" w:color="000000"/>
              <w:right w:val="single" w:sz="6" w:space="0" w:color="000000"/>
            </w:tcBorders>
            <w:hideMark/>
          </w:tcPr>
          <w:p w14:paraId="34D98E8E"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Tkanje tekstilij</w:t>
            </w:r>
          </w:p>
        </w:tc>
      </w:tr>
      <w:tr w:rsidR="00DA6357" w:rsidRPr="00DA6357" w14:paraId="20C211C8"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1304A552"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lastRenderedPageBreak/>
              <w:t>1330</w:t>
            </w:r>
          </w:p>
        </w:tc>
        <w:tc>
          <w:tcPr>
            <w:tcW w:w="0" w:type="auto"/>
            <w:tcBorders>
              <w:top w:val="single" w:sz="6" w:space="0" w:color="000000"/>
              <w:left w:val="single" w:sz="6" w:space="0" w:color="000000"/>
              <w:bottom w:val="single" w:sz="6" w:space="0" w:color="000000"/>
              <w:right w:val="single" w:sz="6" w:space="0" w:color="000000"/>
            </w:tcBorders>
            <w:hideMark/>
          </w:tcPr>
          <w:p w14:paraId="3446F216"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Dodelava tekstilij</w:t>
            </w:r>
          </w:p>
        </w:tc>
      </w:tr>
      <w:tr w:rsidR="00DA6357" w:rsidRPr="00DA6357" w14:paraId="74A51808"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5030ECB0"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1391</w:t>
            </w:r>
          </w:p>
        </w:tc>
        <w:tc>
          <w:tcPr>
            <w:tcW w:w="0" w:type="auto"/>
            <w:tcBorders>
              <w:top w:val="single" w:sz="6" w:space="0" w:color="000000"/>
              <w:left w:val="single" w:sz="6" w:space="0" w:color="000000"/>
              <w:bottom w:val="single" w:sz="6" w:space="0" w:color="000000"/>
              <w:right w:val="single" w:sz="6" w:space="0" w:color="000000"/>
            </w:tcBorders>
            <w:hideMark/>
          </w:tcPr>
          <w:p w14:paraId="7FF4FD44"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pletenih in kvačkanih materialov</w:t>
            </w:r>
          </w:p>
        </w:tc>
      </w:tr>
      <w:tr w:rsidR="00DA6357" w:rsidRPr="00DA6357" w14:paraId="5DF7DBCA"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7C97CE55"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1393</w:t>
            </w:r>
          </w:p>
        </w:tc>
        <w:tc>
          <w:tcPr>
            <w:tcW w:w="0" w:type="auto"/>
            <w:tcBorders>
              <w:top w:val="single" w:sz="6" w:space="0" w:color="000000"/>
              <w:left w:val="single" w:sz="6" w:space="0" w:color="000000"/>
              <w:bottom w:val="single" w:sz="6" w:space="0" w:color="000000"/>
              <w:right w:val="single" w:sz="6" w:space="0" w:color="000000"/>
            </w:tcBorders>
            <w:hideMark/>
          </w:tcPr>
          <w:p w14:paraId="66D39494"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preprog</w:t>
            </w:r>
          </w:p>
        </w:tc>
      </w:tr>
      <w:tr w:rsidR="00DA6357" w:rsidRPr="00DA6357" w14:paraId="2039F96D"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08B7AF0D"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1394</w:t>
            </w:r>
          </w:p>
        </w:tc>
        <w:tc>
          <w:tcPr>
            <w:tcW w:w="0" w:type="auto"/>
            <w:tcBorders>
              <w:top w:val="single" w:sz="6" w:space="0" w:color="000000"/>
              <w:left w:val="single" w:sz="6" w:space="0" w:color="000000"/>
              <w:bottom w:val="single" w:sz="6" w:space="0" w:color="000000"/>
              <w:right w:val="single" w:sz="6" w:space="0" w:color="000000"/>
            </w:tcBorders>
            <w:hideMark/>
          </w:tcPr>
          <w:p w14:paraId="09C330F6"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vrvi, vrvic in mrež</w:t>
            </w:r>
          </w:p>
        </w:tc>
      </w:tr>
      <w:tr w:rsidR="00DA6357" w:rsidRPr="00DA6357" w14:paraId="537CFBE5"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6B229CF1"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1395</w:t>
            </w:r>
          </w:p>
        </w:tc>
        <w:tc>
          <w:tcPr>
            <w:tcW w:w="0" w:type="auto"/>
            <w:tcBorders>
              <w:top w:val="single" w:sz="6" w:space="0" w:color="000000"/>
              <w:left w:val="single" w:sz="6" w:space="0" w:color="000000"/>
              <w:bottom w:val="single" w:sz="6" w:space="0" w:color="000000"/>
              <w:right w:val="single" w:sz="6" w:space="0" w:color="000000"/>
            </w:tcBorders>
            <w:hideMark/>
          </w:tcPr>
          <w:p w14:paraId="29EBBB4B"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netkanih tekstilij in izdelkov iz njih, razen oblačil</w:t>
            </w:r>
          </w:p>
        </w:tc>
      </w:tr>
      <w:tr w:rsidR="00DA6357" w:rsidRPr="00DA6357" w14:paraId="6FF6EE87"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7CD85D40"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1396</w:t>
            </w:r>
          </w:p>
        </w:tc>
        <w:tc>
          <w:tcPr>
            <w:tcW w:w="0" w:type="auto"/>
            <w:tcBorders>
              <w:top w:val="single" w:sz="6" w:space="0" w:color="000000"/>
              <w:left w:val="single" w:sz="6" w:space="0" w:color="000000"/>
              <w:bottom w:val="single" w:sz="6" w:space="0" w:color="000000"/>
              <w:right w:val="single" w:sz="6" w:space="0" w:color="000000"/>
            </w:tcBorders>
            <w:hideMark/>
          </w:tcPr>
          <w:p w14:paraId="137E5105"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tehničnega in industrijskega tekstila</w:t>
            </w:r>
          </w:p>
        </w:tc>
      </w:tr>
      <w:tr w:rsidR="00DA6357" w:rsidRPr="00DA6357" w14:paraId="39AEBBAB"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6F299658"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1411</w:t>
            </w:r>
          </w:p>
        </w:tc>
        <w:tc>
          <w:tcPr>
            <w:tcW w:w="0" w:type="auto"/>
            <w:tcBorders>
              <w:top w:val="single" w:sz="6" w:space="0" w:color="000000"/>
              <w:left w:val="single" w:sz="6" w:space="0" w:color="000000"/>
              <w:bottom w:val="single" w:sz="6" w:space="0" w:color="000000"/>
              <w:right w:val="single" w:sz="6" w:space="0" w:color="000000"/>
            </w:tcBorders>
            <w:hideMark/>
          </w:tcPr>
          <w:p w14:paraId="29799DFD"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usnjenih oblačil</w:t>
            </w:r>
          </w:p>
        </w:tc>
      </w:tr>
      <w:tr w:rsidR="00DA6357" w:rsidRPr="00DA6357" w14:paraId="58D5CD31"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7F6250E8"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1431</w:t>
            </w:r>
          </w:p>
        </w:tc>
        <w:tc>
          <w:tcPr>
            <w:tcW w:w="0" w:type="auto"/>
            <w:tcBorders>
              <w:top w:val="single" w:sz="6" w:space="0" w:color="000000"/>
              <w:left w:val="single" w:sz="6" w:space="0" w:color="000000"/>
              <w:bottom w:val="single" w:sz="6" w:space="0" w:color="000000"/>
              <w:right w:val="single" w:sz="6" w:space="0" w:color="000000"/>
            </w:tcBorders>
            <w:hideMark/>
          </w:tcPr>
          <w:p w14:paraId="79C6C08D"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nogavic</w:t>
            </w:r>
          </w:p>
        </w:tc>
      </w:tr>
      <w:tr w:rsidR="00DA6357" w:rsidRPr="00DA6357" w14:paraId="07189DE0"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1D2DC744"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1511</w:t>
            </w:r>
          </w:p>
        </w:tc>
        <w:tc>
          <w:tcPr>
            <w:tcW w:w="0" w:type="auto"/>
            <w:tcBorders>
              <w:top w:val="single" w:sz="6" w:space="0" w:color="000000"/>
              <w:left w:val="single" w:sz="6" w:space="0" w:color="000000"/>
              <w:bottom w:val="single" w:sz="6" w:space="0" w:color="000000"/>
              <w:right w:val="single" w:sz="6" w:space="0" w:color="000000"/>
            </w:tcBorders>
            <w:hideMark/>
          </w:tcPr>
          <w:p w14:paraId="004235DA"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Strojenje in dodelava usnja in krzna</w:t>
            </w:r>
          </w:p>
        </w:tc>
      </w:tr>
      <w:tr w:rsidR="00DA6357" w:rsidRPr="00DA6357" w14:paraId="142AC041"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566D5E43"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1610</w:t>
            </w:r>
          </w:p>
        </w:tc>
        <w:tc>
          <w:tcPr>
            <w:tcW w:w="0" w:type="auto"/>
            <w:tcBorders>
              <w:top w:val="single" w:sz="6" w:space="0" w:color="000000"/>
              <w:left w:val="single" w:sz="6" w:space="0" w:color="000000"/>
              <w:bottom w:val="single" w:sz="6" w:space="0" w:color="000000"/>
              <w:right w:val="single" w:sz="6" w:space="0" w:color="000000"/>
            </w:tcBorders>
            <w:hideMark/>
          </w:tcPr>
          <w:p w14:paraId="3CC607EC"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Žaganje, skobljanje in impregniranje lesa</w:t>
            </w:r>
          </w:p>
        </w:tc>
      </w:tr>
      <w:tr w:rsidR="00DA6357" w:rsidRPr="00DA6357" w14:paraId="7FF12A2F"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471E3715"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1621</w:t>
            </w:r>
          </w:p>
        </w:tc>
        <w:tc>
          <w:tcPr>
            <w:tcW w:w="0" w:type="auto"/>
            <w:tcBorders>
              <w:top w:val="single" w:sz="6" w:space="0" w:color="000000"/>
              <w:left w:val="single" w:sz="6" w:space="0" w:color="000000"/>
              <w:bottom w:val="single" w:sz="6" w:space="0" w:color="000000"/>
              <w:right w:val="single" w:sz="6" w:space="0" w:color="000000"/>
            </w:tcBorders>
            <w:hideMark/>
          </w:tcPr>
          <w:p w14:paraId="6D3406AE"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furnirja in plošč na osnovi lesa</w:t>
            </w:r>
          </w:p>
        </w:tc>
      </w:tr>
      <w:tr w:rsidR="00DA6357" w:rsidRPr="00DA6357" w14:paraId="233C7D94"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61EC3958"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1622</w:t>
            </w:r>
          </w:p>
        </w:tc>
        <w:tc>
          <w:tcPr>
            <w:tcW w:w="0" w:type="auto"/>
            <w:tcBorders>
              <w:top w:val="single" w:sz="6" w:space="0" w:color="000000"/>
              <w:left w:val="single" w:sz="6" w:space="0" w:color="000000"/>
              <w:bottom w:val="single" w:sz="6" w:space="0" w:color="000000"/>
              <w:right w:val="single" w:sz="6" w:space="0" w:color="000000"/>
            </w:tcBorders>
            <w:hideMark/>
          </w:tcPr>
          <w:p w14:paraId="3E60D0F1"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sestavljenega parketa</w:t>
            </w:r>
          </w:p>
        </w:tc>
      </w:tr>
      <w:tr w:rsidR="00DA6357" w:rsidRPr="00DA6357" w14:paraId="6780F5FD"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62AA49F1"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1629</w:t>
            </w:r>
          </w:p>
        </w:tc>
        <w:tc>
          <w:tcPr>
            <w:tcW w:w="0" w:type="auto"/>
            <w:tcBorders>
              <w:top w:val="single" w:sz="6" w:space="0" w:color="000000"/>
              <w:left w:val="single" w:sz="6" w:space="0" w:color="000000"/>
              <w:bottom w:val="single" w:sz="6" w:space="0" w:color="000000"/>
              <w:right w:val="single" w:sz="6" w:space="0" w:color="000000"/>
            </w:tcBorders>
            <w:hideMark/>
          </w:tcPr>
          <w:p w14:paraId="39E37EB7"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drugih izdelkov iz lesa, plute, slame in protja</w:t>
            </w:r>
          </w:p>
        </w:tc>
      </w:tr>
      <w:tr w:rsidR="00DA6357" w:rsidRPr="00DA6357" w14:paraId="56132CC7"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5969DE00"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1711</w:t>
            </w:r>
          </w:p>
        </w:tc>
        <w:tc>
          <w:tcPr>
            <w:tcW w:w="0" w:type="auto"/>
            <w:tcBorders>
              <w:top w:val="single" w:sz="6" w:space="0" w:color="000000"/>
              <w:left w:val="single" w:sz="6" w:space="0" w:color="000000"/>
              <w:bottom w:val="single" w:sz="6" w:space="0" w:color="000000"/>
              <w:right w:val="single" w:sz="6" w:space="0" w:color="000000"/>
            </w:tcBorders>
            <w:hideMark/>
          </w:tcPr>
          <w:p w14:paraId="4D767FD7"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vlaknin</w:t>
            </w:r>
          </w:p>
        </w:tc>
      </w:tr>
      <w:tr w:rsidR="00DA6357" w:rsidRPr="00DA6357" w14:paraId="19E22E3A"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38A9A7AF"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1712</w:t>
            </w:r>
          </w:p>
        </w:tc>
        <w:tc>
          <w:tcPr>
            <w:tcW w:w="0" w:type="auto"/>
            <w:tcBorders>
              <w:top w:val="single" w:sz="6" w:space="0" w:color="000000"/>
              <w:left w:val="single" w:sz="6" w:space="0" w:color="000000"/>
              <w:bottom w:val="single" w:sz="6" w:space="0" w:color="000000"/>
              <w:right w:val="single" w:sz="6" w:space="0" w:color="000000"/>
            </w:tcBorders>
            <w:hideMark/>
          </w:tcPr>
          <w:p w14:paraId="5F92B2CC"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papirja in kartona</w:t>
            </w:r>
          </w:p>
        </w:tc>
      </w:tr>
      <w:tr w:rsidR="00DA6357" w:rsidRPr="00DA6357" w14:paraId="209C030B"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1514330D"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1722</w:t>
            </w:r>
          </w:p>
        </w:tc>
        <w:tc>
          <w:tcPr>
            <w:tcW w:w="0" w:type="auto"/>
            <w:tcBorders>
              <w:top w:val="single" w:sz="6" w:space="0" w:color="000000"/>
              <w:left w:val="single" w:sz="6" w:space="0" w:color="000000"/>
              <w:bottom w:val="single" w:sz="6" w:space="0" w:color="000000"/>
              <w:right w:val="single" w:sz="6" w:space="0" w:color="000000"/>
            </w:tcBorders>
            <w:hideMark/>
          </w:tcPr>
          <w:p w14:paraId="42F7343E"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gospodinjskih, higienskih in toaletnih potrebščin iz papirja</w:t>
            </w:r>
          </w:p>
        </w:tc>
      </w:tr>
      <w:tr w:rsidR="00DA6357" w:rsidRPr="00DA6357" w14:paraId="363ECF05"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1C2D92A4"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1724</w:t>
            </w:r>
          </w:p>
        </w:tc>
        <w:tc>
          <w:tcPr>
            <w:tcW w:w="0" w:type="auto"/>
            <w:tcBorders>
              <w:top w:val="single" w:sz="6" w:space="0" w:color="000000"/>
              <w:left w:val="single" w:sz="6" w:space="0" w:color="000000"/>
              <w:bottom w:val="single" w:sz="6" w:space="0" w:color="000000"/>
              <w:right w:val="single" w:sz="6" w:space="0" w:color="000000"/>
            </w:tcBorders>
            <w:hideMark/>
          </w:tcPr>
          <w:p w14:paraId="1B5F68A9"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tapet</w:t>
            </w:r>
          </w:p>
        </w:tc>
      </w:tr>
      <w:tr w:rsidR="00DA6357" w:rsidRPr="00DA6357" w14:paraId="736B1E5C"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2298D26D"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1920</w:t>
            </w:r>
          </w:p>
        </w:tc>
        <w:tc>
          <w:tcPr>
            <w:tcW w:w="0" w:type="auto"/>
            <w:tcBorders>
              <w:top w:val="single" w:sz="6" w:space="0" w:color="000000"/>
              <w:left w:val="single" w:sz="6" w:space="0" w:color="000000"/>
              <w:bottom w:val="single" w:sz="6" w:space="0" w:color="000000"/>
              <w:right w:val="single" w:sz="6" w:space="0" w:color="000000"/>
            </w:tcBorders>
            <w:hideMark/>
          </w:tcPr>
          <w:p w14:paraId="5BCD70BE"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naftnih derivatov</w:t>
            </w:r>
          </w:p>
        </w:tc>
      </w:tr>
      <w:tr w:rsidR="00DA6357" w:rsidRPr="00DA6357" w14:paraId="2411CC48"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6F789A7E"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2011</w:t>
            </w:r>
          </w:p>
        </w:tc>
        <w:tc>
          <w:tcPr>
            <w:tcW w:w="0" w:type="auto"/>
            <w:tcBorders>
              <w:top w:val="single" w:sz="6" w:space="0" w:color="000000"/>
              <w:left w:val="single" w:sz="6" w:space="0" w:color="000000"/>
              <w:bottom w:val="single" w:sz="6" w:space="0" w:color="000000"/>
              <w:right w:val="single" w:sz="6" w:space="0" w:color="000000"/>
            </w:tcBorders>
            <w:hideMark/>
          </w:tcPr>
          <w:p w14:paraId="00CBC359"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tehničnih plinov</w:t>
            </w:r>
          </w:p>
        </w:tc>
      </w:tr>
      <w:tr w:rsidR="00DA6357" w:rsidRPr="00DA6357" w14:paraId="7AD0BC45"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59D69A4E"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2012</w:t>
            </w:r>
          </w:p>
        </w:tc>
        <w:tc>
          <w:tcPr>
            <w:tcW w:w="0" w:type="auto"/>
            <w:tcBorders>
              <w:top w:val="single" w:sz="6" w:space="0" w:color="000000"/>
              <w:left w:val="single" w:sz="6" w:space="0" w:color="000000"/>
              <w:bottom w:val="single" w:sz="6" w:space="0" w:color="000000"/>
              <w:right w:val="single" w:sz="6" w:space="0" w:color="000000"/>
            </w:tcBorders>
            <w:hideMark/>
          </w:tcPr>
          <w:p w14:paraId="18EA97DD"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barvil in pigmentov</w:t>
            </w:r>
          </w:p>
        </w:tc>
      </w:tr>
      <w:tr w:rsidR="00DA6357" w:rsidRPr="00DA6357" w14:paraId="76A9AD40"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34D38BBE"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2013</w:t>
            </w:r>
          </w:p>
        </w:tc>
        <w:tc>
          <w:tcPr>
            <w:tcW w:w="0" w:type="auto"/>
            <w:tcBorders>
              <w:top w:val="single" w:sz="6" w:space="0" w:color="000000"/>
              <w:left w:val="single" w:sz="6" w:space="0" w:color="000000"/>
              <w:bottom w:val="single" w:sz="6" w:space="0" w:color="000000"/>
              <w:right w:val="single" w:sz="6" w:space="0" w:color="000000"/>
            </w:tcBorders>
            <w:hideMark/>
          </w:tcPr>
          <w:p w14:paraId="32A4C86C"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drugih anorganskih osnovnih kemikalij</w:t>
            </w:r>
          </w:p>
        </w:tc>
      </w:tr>
      <w:tr w:rsidR="00DA6357" w:rsidRPr="00DA6357" w14:paraId="684C6E80"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66685E2B"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2014</w:t>
            </w:r>
          </w:p>
        </w:tc>
        <w:tc>
          <w:tcPr>
            <w:tcW w:w="0" w:type="auto"/>
            <w:tcBorders>
              <w:top w:val="single" w:sz="6" w:space="0" w:color="000000"/>
              <w:left w:val="single" w:sz="6" w:space="0" w:color="000000"/>
              <w:bottom w:val="single" w:sz="6" w:space="0" w:color="000000"/>
              <w:right w:val="single" w:sz="6" w:space="0" w:color="000000"/>
            </w:tcBorders>
            <w:hideMark/>
          </w:tcPr>
          <w:p w14:paraId="4CF18371"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drugih organskih osnovnih kemikalij</w:t>
            </w:r>
          </w:p>
        </w:tc>
      </w:tr>
      <w:tr w:rsidR="00DA6357" w:rsidRPr="00DA6357" w14:paraId="46A25298"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57380648"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2015</w:t>
            </w:r>
          </w:p>
        </w:tc>
        <w:tc>
          <w:tcPr>
            <w:tcW w:w="0" w:type="auto"/>
            <w:tcBorders>
              <w:top w:val="single" w:sz="6" w:space="0" w:color="000000"/>
              <w:left w:val="single" w:sz="6" w:space="0" w:color="000000"/>
              <w:bottom w:val="single" w:sz="6" w:space="0" w:color="000000"/>
              <w:right w:val="single" w:sz="6" w:space="0" w:color="000000"/>
            </w:tcBorders>
            <w:hideMark/>
          </w:tcPr>
          <w:p w14:paraId="1B55D392"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gnojil in dušikovih spojin</w:t>
            </w:r>
          </w:p>
        </w:tc>
      </w:tr>
      <w:tr w:rsidR="00DA6357" w:rsidRPr="00DA6357" w14:paraId="2B7403A2"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5C4760CB"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2016</w:t>
            </w:r>
          </w:p>
        </w:tc>
        <w:tc>
          <w:tcPr>
            <w:tcW w:w="0" w:type="auto"/>
            <w:tcBorders>
              <w:top w:val="single" w:sz="6" w:space="0" w:color="000000"/>
              <w:left w:val="single" w:sz="6" w:space="0" w:color="000000"/>
              <w:bottom w:val="single" w:sz="6" w:space="0" w:color="000000"/>
              <w:right w:val="single" w:sz="6" w:space="0" w:color="000000"/>
            </w:tcBorders>
            <w:hideMark/>
          </w:tcPr>
          <w:p w14:paraId="395921D7"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plastičnih mas v primarni obliki</w:t>
            </w:r>
          </w:p>
        </w:tc>
      </w:tr>
      <w:tr w:rsidR="00DA6357" w:rsidRPr="00DA6357" w14:paraId="129147B6"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1CBC1F1E"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2017</w:t>
            </w:r>
          </w:p>
        </w:tc>
        <w:tc>
          <w:tcPr>
            <w:tcW w:w="0" w:type="auto"/>
            <w:tcBorders>
              <w:top w:val="single" w:sz="6" w:space="0" w:color="000000"/>
              <w:left w:val="single" w:sz="6" w:space="0" w:color="000000"/>
              <w:bottom w:val="single" w:sz="6" w:space="0" w:color="000000"/>
              <w:right w:val="single" w:sz="6" w:space="0" w:color="000000"/>
            </w:tcBorders>
            <w:hideMark/>
          </w:tcPr>
          <w:p w14:paraId="78027D63"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sintetičnega kavčuka v primarni obliki</w:t>
            </w:r>
          </w:p>
        </w:tc>
      </w:tr>
      <w:tr w:rsidR="00DA6357" w:rsidRPr="00DA6357" w14:paraId="27103073"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6A78D79F"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2059</w:t>
            </w:r>
          </w:p>
        </w:tc>
        <w:tc>
          <w:tcPr>
            <w:tcW w:w="0" w:type="auto"/>
            <w:tcBorders>
              <w:top w:val="single" w:sz="6" w:space="0" w:color="000000"/>
              <w:left w:val="single" w:sz="6" w:space="0" w:color="000000"/>
              <w:bottom w:val="single" w:sz="6" w:space="0" w:color="000000"/>
              <w:right w:val="single" w:sz="6" w:space="0" w:color="000000"/>
            </w:tcBorders>
            <w:hideMark/>
          </w:tcPr>
          <w:p w14:paraId="38F4EC0B"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drugih kemičnih izdelkov</w:t>
            </w:r>
          </w:p>
        </w:tc>
      </w:tr>
      <w:tr w:rsidR="00DA6357" w:rsidRPr="00DA6357" w14:paraId="2C4FF7F6"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331F6613"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2060</w:t>
            </w:r>
          </w:p>
        </w:tc>
        <w:tc>
          <w:tcPr>
            <w:tcW w:w="0" w:type="auto"/>
            <w:tcBorders>
              <w:top w:val="single" w:sz="6" w:space="0" w:color="000000"/>
              <w:left w:val="single" w:sz="6" w:space="0" w:color="000000"/>
              <w:bottom w:val="single" w:sz="6" w:space="0" w:color="000000"/>
              <w:right w:val="single" w:sz="6" w:space="0" w:color="000000"/>
            </w:tcBorders>
            <w:hideMark/>
          </w:tcPr>
          <w:p w14:paraId="569BA684"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umetnih vlaken</w:t>
            </w:r>
          </w:p>
        </w:tc>
      </w:tr>
      <w:tr w:rsidR="00DA6357" w:rsidRPr="00DA6357" w14:paraId="36E2A8AB"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12E86253"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2110</w:t>
            </w:r>
          </w:p>
        </w:tc>
        <w:tc>
          <w:tcPr>
            <w:tcW w:w="0" w:type="auto"/>
            <w:tcBorders>
              <w:top w:val="single" w:sz="6" w:space="0" w:color="000000"/>
              <w:left w:val="single" w:sz="6" w:space="0" w:color="000000"/>
              <w:bottom w:val="single" w:sz="6" w:space="0" w:color="000000"/>
              <w:right w:val="single" w:sz="6" w:space="0" w:color="000000"/>
            </w:tcBorders>
            <w:hideMark/>
          </w:tcPr>
          <w:p w14:paraId="7810C857"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farmacevtskih surovin</w:t>
            </w:r>
          </w:p>
        </w:tc>
      </w:tr>
      <w:tr w:rsidR="00DA6357" w:rsidRPr="00DA6357" w14:paraId="21099DCC"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306D73BA"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2211</w:t>
            </w:r>
          </w:p>
        </w:tc>
        <w:tc>
          <w:tcPr>
            <w:tcW w:w="0" w:type="auto"/>
            <w:tcBorders>
              <w:top w:val="single" w:sz="6" w:space="0" w:color="000000"/>
              <w:left w:val="single" w:sz="6" w:space="0" w:color="000000"/>
              <w:bottom w:val="single" w:sz="6" w:space="0" w:color="000000"/>
              <w:right w:val="single" w:sz="6" w:space="0" w:color="000000"/>
            </w:tcBorders>
            <w:hideMark/>
          </w:tcPr>
          <w:p w14:paraId="71FD649C"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in obnavljanje gumijastih plaščev in zračnic za vozila</w:t>
            </w:r>
          </w:p>
        </w:tc>
      </w:tr>
      <w:tr w:rsidR="00DA6357" w:rsidRPr="00DA6357" w14:paraId="1BC2AF6B"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08F76EF5"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2219</w:t>
            </w:r>
          </w:p>
        </w:tc>
        <w:tc>
          <w:tcPr>
            <w:tcW w:w="0" w:type="auto"/>
            <w:tcBorders>
              <w:top w:val="single" w:sz="6" w:space="0" w:color="000000"/>
              <w:left w:val="single" w:sz="6" w:space="0" w:color="000000"/>
              <w:bottom w:val="single" w:sz="6" w:space="0" w:color="000000"/>
              <w:right w:val="single" w:sz="6" w:space="0" w:color="000000"/>
            </w:tcBorders>
            <w:hideMark/>
          </w:tcPr>
          <w:p w14:paraId="17686A4C"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drugih izdelkov iz gume</w:t>
            </w:r>
          </w:p>
        </w:tc>
      </w:tr>
      <w:tr w:rsidR="00DA6357" w:rsidRPr="00DA6357" w14:paraId="748AC574"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16D04C21"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lastRenderedPageBreak/>
              <w:t>2221</w:t>
            </w:r>
          </w:p>
        </w:tc>
        <w:tc>
          <w:tcPr>
            <w:tcW w:w="0" w:type="auto"/>
            <w:tcBorders>
              <w:top w:val="single" w:sz="6" w:space="0" w:color="000000"/>
              <w:left w:val="single" w:sz="6" w:space="0" w:color="000000"/>
              <w:bottom w:val="single" w:sz="6" w:space="0" w:color="000000"/>
              <w:right w:val="single" w:sz="6" w:space="0" w:color="000000"/>
            </w:tcBorders>
            <w:hideMark/>
          </w:tcPr>
          <w:p w14:paraId="50054090"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plošč, folij, cevi in profilov iz plastičnih mas</w:t>
            </w:r>
          </w:p>
        </w:tc>
      </w:tr>
      <w:tr w:rsidR="00DA6357" w:rsidRPr="00DA6357" w14:paraId="54CE694B"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0AC5D79F"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2222</w:t>
            </w:r>
          </w:p>
        </w:tc>
        <w:tc>
          <w:tcPr>
            <w:tcW w:w="0" w:type="auto"/>
            <w:tcBorders>
              <w:top w:val="single" w:sz="6" w:space="0" w:color="000000"/>
              <w:left w:val="single" w:sz="6" w:space="0" w:color="000000"/>
              <w:bottom w:val="single" w:sz="6" w:space="0" w:color="000000"/>
              <w:right w:val="single" w:sz="6" w:space="0" w:color="000000"/>
            </w:tcBorders>
            <w:hideMark/>
          </w:tcPr>
          <w:p w14:paraId="62EDB890"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embalaže iz plastičnih mas</w:t>
            </w:r>
          </w:p>
        </w:tc>
      </w:tr>
      <w:tr w:rsidR="00DA6357" w:rsidRPr="00DA6357" w14:paraId="55F70175"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0DAA3B30"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2229</w:t>
            </w:r>
          </w:p>
        </w:tc>
        <w:tc>
          <w:tcPr>
            <w:tcW w:w="0" w:type="auto"/>
            <w:tcBorders>
              <w:top w:val="single" w:sz="6" w:space="0" w:color="000000"/>
              <w:left w:val="single" w:sz="6" w:space="0" w:color="000000"/>
              <w:bottom w:val="single" w:sz="6" w:space="0" w:color="000000"/>
              <w:right w:val="single" w:sz="6" w:space="0" w:color="000000"/>
            </w:tcBorders>
            <w:hideMark/>
          </w:tcPr>
          <w:p w14:paraId="56AD6B37"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drugih izdelkov iz plastičnih mas</w:t>
            </w:r>
          </w:p>
        </w:tc>
      </w:tr>
      <w:tr w:rsidR="00DA6357" w:rsidRPr="00DA6357" w14:paraId="103E9A93"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7FFFD598"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2311</w:t>
            </w:r>
          </w:p>
        </w:tc>
        <w:tc>
          <w:tcPr>
            <w:tcW w:w="0" w:type="auto"/>
            <w:tcBorders>
              <w:top w:val="single" w:sz="6" w:space="0" w:color="000000"/>
              <w:left w:val="single" w:sz="6" w:space="0" w:color="000000"/>
              <w:bottom w:val="single" w:sz="6" w:space="0" w:color="000000"/>
              <w:right w:val="single" w:sz="6" w:space="0" w:color="000000"/>
            </w:tcBorders>
            <w:hideMark/>
          </w:tcPr>
          <w:p w14:paraId="14B21E3C"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ravnega stekla</w:t>
            </w:r>
          </w:p>
        </w:tc>
      </w:tr>
      <w:tr w:rsidR="00DA6357" w:rsidRPr="00DA6357" w14:paraId="1564A8E4"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4CBCA469"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2312</w:t>
            </w:r>
          </w:p>
        </w:tc>
        <w:tc>
          <w:tcPr>
            <w:tcW w:w="0" w:type="auto"/>
            <w:tcBorders>
              <w:top w:val="single" w:sz="6" w:space="0" w:color="000000"/>
              <w:left w:val="single" w:sz="6" w:space="0" w:color="000000"/>
              <w:bottom w:val="single" w:sz="6" w:space="0" w:color="000000"/>
              <w:right w:val="single" w:sz="6" w:space="0" w:color="000000"/>
            </w:tcBorders>
            <w:hideMark/>
          </w:tcPr>
          <w:p w14:paraId="7BFC3405"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Oblikovanje in obdelava ravnega stekla</w:t>
            </w:r>
          </w:p>
        </w:tc>
      </w:tr>
      <w:tr w:rsidR="00DA6357" w:rsidRPr="00DA6357" w14:paraId="23C7B4E1"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51AFFD15"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2313</w:t>
            </w:r>
          </w:p>
        </w:tc>
        <w:tc>
          <w:tcPr>
            <w:tcW w:w="0" w:type="auto"/>
            <w:tcBorders>
              <w:top w:val="single" w:sz="6" w:space="0" w:color="000000"/>
              <w:left w:val="single" w:sz="6" w:space="0" w:color="000000"/>
              <w:bottom w:val="single" w:sz="6" w:space="0" w:color="000000"/>
              <w:right w:val="single" w:sz="6" w:space="0" w:color="000000"/>
            </w:tcBorders>
            <w:hideMark/>
          </w:tcPr>
          <w:p w14:paraId="678CE8B1"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votlega stekla</w:t>
            </w:r>
          </w:p>
        </w:tc>
      </w:tr>
      <w:tr w:rsidR="00DA6357" w:rsidRPr="00DA6357" w14:paraId="7AC8E6C5"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3F72E8C4"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2314</w:t>
            </w:r>
          </w:p>
        </w:tc>
        <w:tc>
          <w:tcPr>
            <w:tcW w:w="0" w:type="auto"/>
            <w:tcBorders>
              <w:top w:val="single" w:sz="6" w:space="0" w:color="000000"/>
              <w:left w:val="single" w:sz="6" w:space="0" w:color="000000"/>
              <w:bottom w:val="single" w:sz="6" w:space="0" w:color="000000"/>
              <w:right w:val="single" w:sz="6" w:space="0" w:color="000000"/>
            </w:tcBorders>
            <w:hideMark/>
          </w:tcPr>
          <w:p w14:paraId="3658768E"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steklenih vlaken</w:t>
            </w:r>
          </w:p>
        </w:tc>
      </w:tr>
      <w:tr w:rsidR="00DA6357" w:rsidRPr="00DA6357" w14:paraId="296E2DE4"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084A14D2"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2319</w:t>
            </w:r>
          </w:p>
        </w:tc>
        <w:tc>
          <w:tcPr>
            <w:tcW w:w="0" w:type="auto"/>
            <w:tcBorders>
              <w:top w:val="single" w:sz="6" w:space="0" w:color="000000"/>
              <w:left w:val="single" w:sz="6" w:space="0" w:color="000000"/>
              <w:bottom w:val="single" w:sz="6" w:space="0" w:color="000000"/>
              <w:right w:val="single" w:sz="6" w:space="0" w:color="000000"/>
            </w:tcBorders>
            <w:hideMark/>
          </w:tcPr>
          <w:p w14:paraId="1D0D7C81"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in oblikovanje drugih vrst stekla ter tehničnih steklenih izdelkov</w:t>
            </w:r>
          </w:p>
        </w:tc>
      </w:tr>
      <w:tr w:rsidR="00DA6357" w:rsidRPr="00DA6357" w14:paraId="61936E71"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02E3532E"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2320</w:t>
            </w:r>
          </w:p>
        </w:tc>
        <w:tc>
          <w:tcPr>
            <w:tcW w:w="0" w:type="auto"/>
            <w:tcBorders>
              <w:top w:val="single" w:sz="6" w:space="0" w:color="000000"/>
              <w:left w:val="single" w:sz="6" w:space="0" w:color="000000"/>
              <w:bottom w:val="single" w:sz="6" w:space="0" w:color="000000"/>
              <w:right w:val="single" w:sz="6" w:space="0" w:color="000000"/>
            </w:tcBorders>
            <w:hideMark/>
          </w:tcPr>
          <w:p w14:paraId="65FACCE6"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ognjevzdržne keramike</w:t>
            </w:r>
          </w:p>
        </w:tc>
      </w:tr>
      <w:tr w:rsidR="00DA6357" w:rsidRPr="00DA6357" w14:paraId="3E61A5FF"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7000E28E"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2331</w:t>
            </w:r>
          </w:p>
        </w:tc>
        <w:tc>
          <w:tcPr>
            <w:tcW w:w="0" w:type="auto"/>
            <w:tcBorders>
              <w:top w:val="single" w:sz="6" w:space="0" w:color="000000"/>
              <w:left w:val="single" w:sz="6" w:space="0" w:color="000000"/>
              <w:bottom w:val="single" w:sz="6" w:space="0" w:color="000000"/>
              <w:right w:val="single" w:sz="6" w:space="0" w:color="000000"/>
            </w:tcBorders>
            <w:hideMark/>
          </w:tcPr>
          <w:p w14:paraId="6D0044F0"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keramičnih ploščic in oblog</w:t>
            </w:r>
          </w:p>
        </w:tc>
      </w:tr>
      <w:tr w:rsidR="00DA6357" w:rsidRPr="00DA6357" w14:paraId="50378FD8"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4329F663"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2342</w:t>
            </w:r>
          </w:p>
        </w:tc>
        <w:tc>
          <w:tcPr>
            <w:tcW w:w="0" w:type="auto"/>
            <w:tcBorders>
              <w:top w:val="single" w:sz="6" w:space="0" w:color="000000"/>
              <w:left w:val="single" w:sz="6" w:space="0" w:color="000000"/>
              <w:bottom w:val="single" w:sz="6" w:space="0" w:color="000000"/>
              <w:right w:val="single" w:sz="6" w:space="0" w:color="000000"/>
            </w:tcBorders>
            <w:hideMark/>
          </w:tcPr>
          <w:p w14:paraId="3BDE0A22"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sanitarne keramike</w:t>
            </w:r>
          </w:p>
        </w:tc>
      </w:tr>
      <w:tr w:rsidR="00DA6357" w:rsidRPr="00DA6357" w14:paraId="04223CE0"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7E9634F8"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2343</w:t>
            </w:r>
          </w:p>
        </w:tc>
        <w:tc>
          <w:tcPr>
            <w:tcW w:w="0" w:type="auto"/>
            <w:tcBorders>
              <w:top w:val="single" w:sz="6" w:space="0" w:color="000000"/>
              <w:left w:val="single" w:sz="6" w:space="0" w:color="000000"/>
              <w:bottom w:val="single" w:sz="6" w:space="0" w:color="000000"/>
              <w:right w:val="single" w:sz="6" w:space="0" w:color="000000"/>
            </w:tcBorders>
            <w:hideMark/>
          </w:tcPr>
          <w:p w14:paraId="637B16B0"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izolatorjev in izolacijskih elementov iz keramike</w:t>
            </w:r>
          </w:p>
        </w:tc>
      </w:tr>
      <w:tr w:rsidR="00DA6357" w:rsidRPr="00DA6357" w14:paraId="53B61846"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3086162C"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2344</w:t>
            </w:r>
          </w:p>
        </w:tc>
        <w:tc>
          <w:tcPr>
            <w:tcW w:w="0" w:type="auto"/>
            <w:tcBorders>
              <w:top w:val="single" w:sz="6" w:space="0" w:color="000000"/>
              <w:left w:val="single" w:sz="6" w:space="0" w:color="000000"/>
              <w:bottom w:val="single" w:sz="6" w:space="0" w:color="000000"/>
              <w:right w:val="single" w:sz="6" w:space="0" w:color="000000"/>
            </w:tcBorders>
            <w:hideMark/>
          </w:tcPr>
          <w:p w14:paraId="230D63B0"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druge tehnične keramike</w:t>
            </w:r>
          </w:p>
        </w:tc>
      </w:tr>
      <w:tr w:rsidR="00DA6357" w:rsidRPr="00DA6357" w14:paraId="2062352F"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0BCE1E42"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2349</w:t>
            </w:r>
          </w:p>
        </w:tc>
        <w:tc>
          <w:tcPr>
            <w:tcW w:w="0" w:type="auto"/>
            <w:tcBorders>
              <w:top w:val="single" w:sz="6" w:space="0" w:color="000000"/>
              <w:left w:val="single" w:sz="6" w:space="0" w:color="000000"/>
              <w:bottom w:val="single" w:sz="6" w:space="0" w:color="000000"/>
              <w:right w:val="single" w:sz="6" w:space="0" w:color="000000"/>
            </w:tcBorders>
            <w:hideMark/>
          </w:tcPr>
          <w:p w14:paraId="7D6B81DF"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drugih keramičnih izdelkov</w:t>
            </w:r>
          </w:p>
        </w:tc>
      </w:tr>
      <w:tr w:rsidR="00DA6357" w:rsidRPr="00DA6357" w14:paraId="02677311"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729F1893"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2351</w:t>
            </w:r>
          </w:p>
        </w:tc>
        <w:tc>
          <w:tcPr>
            <w:tcW w:w="0" w:type="auto"/>
            <w:tcBorders>
              <w:top w:val="single" w:sz="6" w:space="0" w:color="000000"/>
              <w:left w:val="single" w:sz="6" w:space="0" w:color="000000"/>
              <w:bottom w:val="single" w:sz="6" w:space="0" w:color="000000"/>
              <w:right w:val="single" w:sz="6" w:space="0" w:color="000000"/>
            </w:tcBorders>
            <w:hideMark/>
          </w:tcPr>
          <w:p w14:paraId="5C7EAAB3"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cementa</w:t>
            </w:r>
          </w:p>
        </w:tc>
      </w:tr>
      <w:tr w:rsidR="00DA6357" w:rsidRPr="00DA6357" w14:paraId="327B784C"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55B60514"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2391</w:t>
            </w:r>
          </w:p>
        </w:tc>
        <w:tc>
          <w:tcPr>
            <w:tcW w:w="0" w:type="auto"/>
            <w:tcBorders>
              <w:top w:val="single" w:sz="6" w:space="0" w:color="000000"/>
              <w:left w:val="single" w:sz="6" w:space="0" w:color="000000"/>
              <w:bottom w:val="single" w:sz="6" w:space="0" w:color="000000"/>
              <w:right w:val="single" w:sz="6" w:space="0" w:color="000000"/>
            </w:tcBorders>
            <w:hideMark/>
          </w:tcPr>
          <w:p w14:paraId="42EDA90F"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brusilnih sredstev</w:t>
            </w:r>
          </w:p>
        </w:tc>
      </w:tr>
      <w:tr w:rsidR="00DA6357" w:rsidRPr="00DA6357" w14:paraId="546572D3"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45C2B8E7"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2399</w:t>
            </w:r>
          </w:p>
        </w:tc>
        <w:tc>
          <w:tcPr>
            <w:tcW w:w="0" w:type="auto"/>
            <w:tcBorders>
              <w:top w:val="single" w:sz="6" w:space="0" w:color="000000"/>
              <w:left w:val="single" w:sz="6" w:space="0" w:color="000000"/>
              <w:bottom w:val="single" w:sz="6" w:space="0" w:color="000000"/>
              <w:right w:val="single" w:sz="6" w:space="0" w:color="000000"/>
            </w:tcBorders>
            <w:hideMark/>
          </w:tcPr>
          <w:p w14:paraId="5A3C3FB9"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drugih nekovinskih mineralnih izdelkov</w:t>
            </w:r>
          </w:p>
        </w:tc>
      </w:tr>
      <w:tr w:rsidR="00DA6357" w:rsidRPr="00DA6357" w14:paraId="0E74711E"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52F2E197"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2410</w:t>
            </w:r>
          </w:p>
        </w:tc>
        <w:tc>
          <w:tcPr>
            <w:tcW w:w="0" w:type="auto"/>
            <w:tcBorders>
              <w:top w:val="single" w:sz="6" w:space="0" w:color="000000"/>
              <w:left w:val="single" w:sz="6" w:space="0" w:color="000000"/>
              <w:bottom w:val="single" w:sz="6" w:space="0" w:color="000000"/>
              <w:right w:val="single" w:sz="6" w:space="0" w:color="000000"/>
            </w:tcBorders>
            <w:hideMark/>
          </w:tcPr>
          <w:p w14:paraId="4AC54EFF"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surovega železa, jekla, ferozlitin</w:t>
            </w:r>
          </w:p>
        </w:tc>
      </w:tr>
      <w:tr w:rsidR="00DA6357" w:rsidRPr="00DA6357" w14:paraId="116508C7"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242455A1"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2420</w:t>
            </w:r>
          </w:p>
        </w:tc>
        <w:tc>
          <w:tcPr>
            <w:tcW w:w="0" w:type="auto"/>
            <w:tcBorders>
              <w:top w:val="single" w:sz="6" w:space="0" w:color="000000"/>
              <w:left w:val="single" w:sz="6" w:space="0" w:color="000000"/>
              <w:bottom w:val="single" w:sz="6" w:space="0" w:color="000000"/>
              <w:right w:val="single" w:sz="6" w:space="0" w:color="000000"/>
            </w:tcBorders>
            <w:hideMark/>
          </w:tcPr>
          <w:p w14:paraId="20F5D124"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jeklenih cevi, votlih profilov in fitingov</w:t>
            </w:r>
          </w:p>
        </w:tc>
      </w:tr>
      <w:tr w:rsidR="00DA6357" w:rsidRPr="00DA6357" w14:paraId="6358C017"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6C0E84B2"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2431</w:t>
            </w:r>
          </w:p>
        </w:tc>
        <w:tc>
          <w:tcPr>
            <w:tcW w:w="0" w:type="auto"/>
            <w:tcBorders>
              <w:top w:val="single" w:sz="6" w:space="0" w:color="000000"/>
              <w:left w:val="single" w:sz="6" w:space="0" w:color="000000"/>
              <w:bottom w:val="single" w:sz="6" w:space="0" w:color="000000"/>
              <w:right w:val="single" w:sz="6" w:space="0" w:color="000000"/>
            </w:tcBorders>
            <w:hideMark/>
          </w:tcPr>
          <w:p w14:paraId="040588AB"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Hladno vlečenje profilov</w:t>
            </w:r>
          </w:p>
        </w:tc>
      </w:tr>
      <w:tr w:rsidR="00DA6357" w:rsidRPr="00DA6357" w14:paraId="2A7639C2"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5ECE267E"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2432</w:t>
            </w:r>
          </w:p>
        </w:tc>
        <w:tc>
          <w:tcPr>
            <w:tcW w:w="0" w:type="auto"/>
            <w:tcBorders>
              <w:top w:val="single" w:sz="6" w:space="0" w:color="000000"/>
              <w:left w:val="single" w:sz="6" w:space="0" w:color="000000"/>
              <w:bottom w:val="single" w:sz="6" w:space="0" w:color="000000"/>
              <w:right w:val="single" w:sz="6" w:space="0" w:color="000000"/>
            </w:tcBorders>
            <w:hideMark/>
          </w:tcPr>
          <w:p w14:paraId="25A79E72"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Hladno valjanje traku</w:t>
            </w:r>
          </w:p>
        </w:tc>
      </w:tr>
      <w:tr w:rsidR="00DA6357" w:rsidRPr="00DA6357" w14:paraId="3343B375"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14927FC0"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2434</w:t>
            </w:r>
          </w:p>
        </w:tc>
        <w:tc>
          <w:tcPr>
            <w:tcW w:w="0" w:type="auto"/>
            <w:tcBorders>
              <w:top w:val="single" w:sz="6" w:space="0" w:color="000000"/>
              <w:left w:val="single" w:sz="6" w:space="0" w:color="000000"/>
              <w:bottom w:val="single" w:sz="6" w:space="0" w:color="000000"/>
              <w:right w:val="single" w:sz="6" w:space="0" w:color="000000"/>
            </w:tcBorders>
            <w:hideMark/>
          </w:tcPr>
          <w:p w14:paraId="533BAC09"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Hladno vlečenje žice</w:t>
            </w:r>
          </w:p>
        </w:tc>
      </w:tr>
      <w:tr w:rsidR="00DA6357" w:rsidRPr="00DA6357" w14:paraId="1AABB2E9"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47484F58"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2442</w:t>
            </w:r>
          </w:p>
        </w:tc>
        <w:tc>
          <w:tcPr>
            <w:tcW w:w="0" w:type="auto"/>
            <w:tcBorders>
              <w:top w:val="single" w:sz="6" w:space="0" w:color="000000"/>
              <w:left w:val="single" w:sz="6" w:space="0" w:color="000000"/>
              <w:bottom w:val="single" w:sz="6" w:space="0" w:color="000000"/>
              <w:right w:val="single" w:sz="6" w:space="0" w:color="000000"/>
            </w:tcBorders>
            <w:hideMark/>
          </w:tcPr>
          <w:p w14:paraId="3C18B384"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aluminija</w:t>
            </w:r>
          </w:p>
        </w:tc>
      </w:tr>
      <w:tr w:rsidR="00DA6357" w:rsidRPr="00DA6357" w14:paraId="57F56AF0"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47FB53F5"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2443</w:t>
            </w:r>
          </w:p>
        </w:tc>
        <w:tc>
          <w:tcPr>
            <w:tcW w:w="0" w:type="auto"/>
            <w:tcBorders>
              <w:top w:val="single" w:sz="6" w:space="0" w:color="000000"/>
              <w:left w:val="single" w:sz="6" w:space="0" w:color="000000"/>
              <w:bottom w:val="single" w:sz="6" w:space="0" w:color="000000"/>
              <w:right w:val="single" w:sz="6" w:space="0" w:color="000000"/>
            </w:tcBorders>
            <w:hideMark/>
          </w:tcPr>
          <w:p w14:paraId="0FD0CA81"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svinca, cinka in kositra</w:t>
            </w:r>
          </w:p>
        </w:tc>
      </w:tr>
      <w:tr w:rsidR="00DA6357" w:rsidRPr="00DA6357" w14:paraId="1D23C900"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7D145C3D"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2444</w:t>
            </w:r>
          </w:p>
        </w:tc>
        <w:tc>
          <w:tcPr>
            <w:tcW w:w="0" w:type="auto"/>
            <w:tcBorders>
              <w:top w:val="single" w:sz="6" w:space="0" w:color="000000"/>
              <w:left w:val="single" w:sz="6" w:space="0" w:color="000000"/>
              <w:bottom w:val="single" w:sz="6" w:space="0" w:color="000000"/>
              <w:right w:val="single" w:sz="6" w:space="0" w:color="000000"/>
            </w:tcBorders>
            <w:hideMark/>
          </w:tcPr>
          <w:p w14:paraId="11239550"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bakra</w:t>
            </w:r>
          </w:p>
        </w:tc>
      </w:tr>
      <w:tr w:rsidR="00DA6357" w:rsidRPr="00DA6357" w14:paraId="18566C2F"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00E2BB8D"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2445</w:t>
            </w:r>
          </w:p>
        </w:tc>
        <w:tc>
          <w:tcPr>
            <w:tcW w:w="0" w:type="auto"/>
            <w:tcBorders>
              <w:top w:val="single" w:sz="6" w:space="0" w:color="000000"/>
              <w:left w:val="single" w:sz="6" w:space="0" w:color="000000"/>
              <w:bottom w:val="single" w:sz="6" w:space="0" w:color="000000"/>
              <w:right w:val="single" w:sz="6" w:space="0" w:color="000000"/>
            </w:tcBorders>
            <w:hideMark/>
          </w:tcPr>
          <w:p w14:paraId="1541CCB1"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drugih neželeznih kovin</w:t>
            </w:r>
          </w:p>
        </w:tc>
      </w:tr>
      <w:tr w:rsidR="00DA6357" w:rsidRPr="00DA6357" w14:paraId="433F8B4B"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468109CC"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2446</w:t>
            </w:r>
          </w:p>
        </w:tc>
        <w:tc>
          <w:tcPr>
            <w:tcW w:w="0" w:type="auto"/>
            <w:tcBorders>
              <w:top w:val="single" w:sz="6" w:space="0" w:color="000000"/>
              <w:left w:val="single" w:sz="6" w:space="0" w:color="000000"/>
              <w:bottom w:val="single" w:sz="6" w:space="0" w:color="000000"/>
              <w:right w:val="single" w:sz="6" w:space="0" w:color="000000"/>
            </w:tcBorders>
            <w:hideMark/>
          </w:tcPr>
          <w:p w14:paraId="5F61BA93"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jedrskega goriva</w:t>
            </w:r>
          </w:p>
        </w:tc>
      </w:tr>
      <w:tr w:rsidR="00DA6357" w:rsidRPr="00DA6357" w14:paraId="3F3D7D0D"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77CF99AE"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2451</w:t>
            </w:r>
          </w:p>
        </w:tc>
        <w:tc>
          <w:tcPr>
            <w:tcW w:w="0" w:type="auto"/>
            <w:tcBorders>
              <w:top w:val="single" w:sz="6" w:space="0" w:color="000000"/>
              <w:left w:val="single" w:sz="6" w:space="0" w:color="000000"/>
              <w:bottom w:val="single" w:sz="6" w:space="0" w:color="000000"/>
              <w:right w:val="single" w:sz="6" w:space="0" w:color="000000"/>
            </w:tcBorders>
            <w:hideMark/>
          </w:tcPr>
          <w:p w14:paraId="72479574"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Litje železa</w:t>
            </w:r>
          </w:p>
        </w:tc>
      </w:tr>
      <w:tr w:rsidR="00DA6357" w:rsidRPr="00DA6357" w14:paraId="5BC1A52D"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34F32394"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2550</w:t>
            </w:r>
          </w:p>
        </w:tc>
        <w:tc>
          <w:tcPr>
            <w:tcW w:w="0" w:type="auto"/>
            <w:tcBorders>
              <w:top w:val="single" w:sz="6" w:space="0" w:color="000000"/>
              <w:left w:val="single" w:sz="6" w:space="0" w:color="000000"/>
              <w:bottom w:val="single" w:sz="6" w:space="0" w:color="000000"/>
              <w:right w:val="single" w:sz="6" w:space="0" w:color="000000"/>
            </w:tcBorders>
            <w:hideMark/>
          </w:tcPr>
          <w:p w14:paraId="6EA8C605"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Kovanje, stiskanje, vtiskovanje in valjanje kovin; prašna metalurgija</w:t>
            </w:r>
          </w:p>
        </w:tc>
      </w:tr>
      <w:tr w:rsidR="00DA6357" w:rsidRPr="00DA6357" w14:paraId="0421FBAA"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2EEA96D3"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2561</w:t>
            </w:r>
          </w:p>
        </w:tc>
        <w:tc>
          <w:tcPr>
            <w:tcW w:w="0" w:type="auto"/>
            <w:tcBorders>
              <w:top w:val="single" w:sz="6" w:space="0" w:color="000000"/>
              <w:left w:val="single" w:sz="6" w:space="0" w:color="000000"/>
              <w:bottom w:val="single" w:sz="6" w:space="0" w:color="000000"/>
              <w:right w:val="single" w:sz="6" w:space="0" w:color="000000"/>
            </w:tcBorders>
            <w:hideMark/>
          </w:tcPr>
          <w:p w14:paraId="78A8F092"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Površinska obdelava in prekrivanje kovin</w:t>
            </w:r>
          </w:p>
        </w:tc>
      </w:tr>
      <w:tr w:rsidR="00DA6357" w:rsidRPr="00DA6357" w14:paraId="5ED6314E"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26C06E85"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lastRenderedPageBreak/>
              <w:t>2571</w:t>
            </w:r>
          </w:p>
        </w:tc>
        <w:tc>
          <w:tcPr>
            <w:tcW w:w="0" w:type="auto"/>
            <w:tcBorders>
              <w:top w:val="single" w:sz="6" w:space="0" w:color="000000"/>
              <w:left w:val="single" w:sz="6" w:space="0" w:color="000000"/>
              <w:bottom w:val="single" w:sz="6" w:space="0" w:color="000000"/>
              <w:right w:val="single" w:sz="6" w:space="0" w:color="000000"/>
            </w:tcBorders>
            <w:hideMark/>
          </w:tcPr>
          <w:p w14:paraId="3F5C9BEA"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rezil in jedilnega pribora</w:t>
            </w:r>
          </w:p>
        </w:tc>
      </w:tr>
      <w:tr w:rsidR="00DA6357" w:rsidRPr="00DA6357" w14:paraId="6F6D2DB8"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5A2E5A3F"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2593</w:t>
            </w:r>
          </w:p>
        </w:tc>
        <w:tc>
          <w:tcPr>
            <w:tcW w:w="0" w:type="auto"/>
            <w:tcBorders>
              <w:top w:val="single" w:sz="6" w:space="0" w:color="000000"/>
              <w:left w:val="single" w:sz="6" w:space="0" w:color="000000"/>
              <w:bottom w:val="single" w:sz="6" w:space="0" w:color="000000"/>
              <w:right w:val="single" w:sz="6" w:space="0" w:color="000000"/>
            </w:tcBorders>
            <w:hideMark/>
          </w:tcPr>
          <w:p w14:paraId="3F4905B8"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izdelkov iz žice, verig in vzmeti</w:t>
            </w:r>
          </w:p>
        </w:tc>
      </w:tr>
      <w:tr w:rsidR="00DA6357" w:rsidRPr="00DA6357" w14:paraId="28414CB4"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4A7FEFCB"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2594</w:t>
            </w:r>
          </w:p>
        </w:tc>
        <w:tc>
          <w:tcPr>
            <w:tcW w:w="0" w:type="auto"/>
            <w:tcBorders>
              <w:top w:val="single" w:sz="6" w:space="0" w:color="000000"/>
              <w:left w:val="single" w:sz="6" w:space="0" w:color="000000"/>
              <w:bottom w:val="single" w:sz="6" w:space="0" w:color="000000"/>
              <w:right w:val="single" w:sz="6" w:space="0" w:color="000000"/>
            </w:tcBorders>
            <w:hideMark/>
          </w:tcPr>
          <w:p w14:paraId="291F13A4"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vijačnega materiala, vezi</w:t>
            </w:r>
          </w:p>
        </w:tc>
      </w:tr>
      <w:tr w:rsidR="00DA6357" w:rsidRPr="00DA6357" w14:paraId="6DE434F4"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6C284BDC"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2611</w:t>
            </w:r>
          </w:p>
        </w:tc>
        <w:tc>
          <w:tcPr>
            <w:tcW w:w="0" w:type="auto"/>
            <w:tcBorders>
              <w:top w:val="single" w:sz="6" w:space="0" w:color="000000"/>
              <w:left w:val="single" w:sz="6" w:space="0" w:color="000000"/>
              <w:bottom w:val="single" w:sz="6" w:space="0" w:color="000000"/>
              <w:right w:val="single" w:sz="6" w:space="0" w:color="000000"/>
            </w:tcBorders>
            <w:hideMark/>
          </w:tcPr>
          <w:p w14:paraId="60F33925"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elektronskih komponent</w:t>
            </w:r>
          </w:p>
        </w:tc>
      </w:tr>
      <w:tr w:rsidR="00DA6357" w:rsidRPr="00DA6357" w14:paraId="4FA746EF"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66D05FC9"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2720</w:t>
            </w:r>
          </w:p>
        </w:tc>
        <w:tc>
          <w:tcPr>
            <w:tcW w:w="0" w:type="auto"/>
            <w:tcBorders>
              <w:top w:val="single" w:sz="6" w:space="0" w:color="000000"/>
              <w:left w:val="single" w:sz="6" w:space="0" w:color="000000"/>
              <w:bottom w:val="single" w:sz="6" w:space="0" w:color="000000"/>
              <w:right w:val="single" w:sz="6" w:space="0" w:color="000000"/>
            </w:tcBorders>
            <w:hideMark/>
          </w:tcPr>
          <w:p w14:paraId="62F798A1"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baterij in akumulatorjev</w:t>
            </w:r>
          </w:p>
        </w:tc>
      </w:tr>
      <w:tr w:rsidR="00DA6357" w:rsidRPr="00DA6357" w14:paraId="79F8FF00"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5F590E9F"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2731</w:t>
            </w:r>
          </w:p>
        </w:tc>
        <w:tc>
          <w:tcPr>
            <w:tcW w:w="0" w:type="auto"/>
            <w:tcBorders>
              <w:top w:val="single" w:sz="6" w:space="0" w:color="000000"/>
              <w:left w:val="single" w:sz="6" w:space="0" w:color="000000"/>
              <w:bottom w:val="single" w:sz="6" w:space="0" w:color="000000"/>
              <w:right w:val="single" w:sz="6" w:space="0" w:color="000000"/>
            </w:tcBorders>
            <w:hideMark/>
          </w:tcPr>
          <w:p w14:paraId="7692D4C2"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kablov iz optičnih vlaken</w:t>
            </w:r>
          </w:p>
        </w:tc>
      </w:tr>
      <w:tr w:rsidR="00DA6357" w:rsidRPr="00DA6357" w14:paraId="0742E6B1"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605B8BD3"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2732</w:t>
            </w:r>
          </w:p>
        </w:tc>
        <w:tc>
          <w:tcPr>
            <w:tcW w:w="0" w:type="auto"/>
            <w:tcBorders>
              <w:top w:val="single" w:sz="6" w:space="0" w:color="000000"/>
              <w:left w:val="single" w:sz="6" w:space="0" w:color="000000"/>
              <w:bottom w:val="single" w:sz="6" w:space="0" w:color="000000"/>
              <w:right w:val="single" w:sz="6" w:space="0" w:color="000000"/>
            </w:tcBorders>
            <w:hideMark/>
          </w:tcPr>
          <w:p w14:paraId="330FFBFD"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drugih električnih kablov in žic</w:t>
            </w:r>
          </w:p>
        </w:tc>
      </w:tr>
      <w:tr w:rsidR="00DA6357" w:rsidRPr="00DA6357" w14:paraId="496388B4"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2C98B63F"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2790</w:t>
            </w:r>
          </w:p>
        </w:tc>
        <w:tc>
          <w:tcPr>
            <w:tcW w:w="0" w:type="auto"/>
            <w:tcBorders>
              <w:top w:val="single" w:sz="6" w:space="0" w:color="000000"/>
              <w:left w:val="single" w:sz="6" w:space="0" w:color="000000"/>
              <w:bottom w:val="single" w:sz="6" w:space="0" w:color="000000"/>
              <w:right w:val="single" w:sz="6" w:space="0" w:color="000000"/>
            </w:tcBorders>
            <w:hideMark/>
          </w:tcPr>
          <w:p w14:paraId="79944D39"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drugih električnih naprav</w:t>
            </w:r>
          </w:p>
        </w:tc>
      </w:tr>
      <w:tr w:rsidR="00DA6357" w:rsidRPr="00DA6357" w14:paraId="6A924E04"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0A804B1E"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2815</w:t>
            </w:r>
          </w:p>
        </w:tc>
        <w:tc>
          <w:tcPr>
            <w:tcW w:w="0" w:type="auto"/>
            <w:tcBorders>
              <w:top w:val="single" w:sz="6" w:space="0" w:color="000000"/>
              <w:left w:val="single" w:sz="6" w:space="0" w:color="000000"/>
              <w:bottom w:val="single" w:sz="6" w:space="0" w:color="000000"/>
              <w:right w:val="single" w:sz="6" w:space="0" w:color="000000"/>
            </w:tcBorders>
            <w:hideMark/>
          </w:tcPr>
          <w:p w14:paraId="76CE7CAF"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ležajev, zobnikov in elementov za mehanski prenos energije</w:t>
            </w:r>
          </w:p>
        </w:tc>
      </w:tr>
      <w:tr w:rsidR="00DA6357" w:rsidRPr="00DA6357" w14:paraId="61A1F0AE"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09C7E6D1"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3091</w:t>
            </w:r>
          </w:p>
        </w:tc>
        <w:tc>
          <w:tcPr>
            <w:tcW w:w="0" w:type="auto"/>
            <w:tcBorders>
              <w:top w:val="single" w:sz="6" w:space="0" w:color="000000"/>
              <w:left w:val="single" w:sz="6" w:space="0" w:color="000000"/>
              <w:bottom w:val="single" w:sz="6" w:space="0" w:color="000000"/>
              <w:right w:val="single" w:sz="6" w:space="0" w:color="000000"/>
            </w:tcBorders>
            <w:hideMark/>
          </w:tcPr>
          <w:p w14:paraId="54EEA0F6"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motornih koles</w:t>
            </w:r>
          </w:p>
        </w:tc>
      </w:tr>
      <w:tr w:rsidR="00DA6357" w:rsidRPr="00DA6357" w14:paraId="6C815C93"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1C9B31F5"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3099</w:t>
            </w:r>
          </w:p>
        </w:tc>
        <w:tc>
          <w:tcPr>
            <w:tcW w:w="0" w:type="auto"/>
            <w:tcBorders>
              <w:top w:val="single" w:sz="6" w:space="0" w:color="000000"/>
              <w:left w:val="single" w:sz="6" w:space="0" w:color="000000"/>
              <w:bottom w:val="single" w:sz="6" w:space="0" w:color="000000"/>
              <w:right w:val="single" w:sz="6" w:space="0" w:color="000000"/>
            </w:tcBorders>
            <w:hideMark/>
          </w:tcPr>
          <w:p w14:paraId="08D84951"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vprežnih in drugih vozil</w:t>
            </w:r>
          </w:p>
        </w:tc>
      </w:tr>
    </w:tbl>
    <w:p w14:paraId="39C95D6D" w14:textId="77777777" w:rsidR="00DA6357" w:rsidRPr="00DA6357" w:rsidRDefault="00DA6357" w:rsidP="00DA6357">
      <w:pPr>
        <w:rPr>
          <w:rFonts w:eastAsia="Times New Roman" w:cs="Arial"/>
          <w:szCs w:val="20"/>
          <w:lang w:eastAsia="ar-SA"/>
        </w:rPr>
      </w:pPr>
    </w:p>
    <w:tbl>
      <w:tblPr>
        <w:tblW w:w="5000" w:type="pct"/>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89"/>
        <w:gridCol w:w="7267"/>
      </w:tblGrid>
      <w:tr w:rsidR="00DA6357" w:rsidRPr="00DA6357" w14:paraId="043843A7"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7D11F955" w14:textId="77777777" w:rsidR="00DA6357" w:rsidRPr="00DA6357" w:rsidRDefault="00DA6357" w:rsidP="00DA6357">
            <w:pPr>
              <w:spacing w:before="60" w:after="60" w:line="312" w:lineRule="atLeast"/>
              <w:ind w:right="195"/>
              <w:jc w:val="center"/>
              <w:rPr>
                <w:rFonts w:ascii="Times New Roman" w:eastAsia="Times New Roman" w:hAnsi="Times New Roman" w:cs="Times New Roman"/>
                <w:b/>
                <w:bCs/>
                <w:sz w:val="22"/>
                <w:lang w:eastAsia="sl-SI"/>
              </w:rPr>
            </w:pPr>
            <w:r w:rsidRPr="00DA6357">
              <w:rPr>
                <w:rFonts w:ascii="Times New Roman" w:eastAsia="Times New Roman" w:hAnsi="Times New Roman" w:cs="Times New Roman"/>
                <w:b/>
                <w:bCs/>
                <w:sz w:val="22"/>
                <w:lang w:eastAsia="sl-SI"/>
              </w:rPr>
              <w:t>Oznaka NACE</w:t>
            </w:r>
          </w:p>
        </w:tc>
        <w:tc>
          <w:tcPr>
            <w:tcW w:w="0" w:type="auto"/>
            <w:tcBorders>
              <w:top w:val="single" w:sz="6" w:space="0" w:color="000000"/>
              <w:left w:val="single" w:sz="6" w:space="0" w:color="000000"/>
              <w:bottom w:val="single" w:sz="6" w:space="0" w:color="000000"/>
              <w:right w:val="single" w:sz="6" w:space="0" w:color="000000"/>
            </w:tcBorders>
            <w:hideMark/>
          </w:tcPr>
          <w:p w14:paraId="359730CF" w14:textId="77777777" w:rsidR="00DA6357" w:rsidRPr="00DA6357" w:rsidRDefault="00DA6357" w:rsidP="00DA6357">
            <w:pPr>
              <w:spacing w:before="60" w:after="60" w:line="312" w:lineRule="atLeast"/>
              <w:ind w:right="195"/>
              <w:jc w:val="center"/>
              <w:rPr>
                <w:rFonts w:ascii="Times New Roman" w:eastAsia="Times New Roman" w:hAnsi="Times New Roman" w:cs="Times New Roman"/>
                <w:b/>
                <w:bCs/>
                <w:sz w:val="22"/>
                <w:lang w:eastAsia="sl-SI"/>
              </w:rPr>
            </w:pPr>
            <w:r w:rsidRPr="00DA6357">
              <w:rPr>
                <w:rFonts w:ascii="Times New Roman" w:eastAsia="Times New Roman" w:hAnsi="Times New Roman" w:cs="Times New Roman"/>
                <w:b/>
                <w:bCs/>
                <w:sz w:val="22"/>
                <w:lang w:eastAsia="sl-SI"/>
              </w:rPr>
              <w:t>Poimenovanje</w:t>
            </w:r>
          </w:p>
        </w:tc>
      </w:tr>
      <w:tr w:rsidR="00DA6357" w:rsidRPr="00DA6357" w14:paraId="10F4F80E"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7D8817F5"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1011</w:t>
            </w:r>
          </w:p>
        </w:tc>
        <w:tc>
          <w:tcPr>
            <w:tcW w:w="0" w:type="auto"/>
            <w:tcBorders>
              <w:top w:val="single" w:sz="6" w:space="0" w:color="000000"/>
              <w:left w:val="single" w:sz="6" w:space="0" w:color="000000"/>
              <w:bottom w:val="single" w:sz="6" w:space="0" w:color="000000"/>
              <w:right w:val="single" w:sz="6" w:space="0" w:color="000000"/>
            </w:tcBorders>
            <w:hideMark/>
          </w:tcPr>
          <w:p w14:paraId="690C1E58"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mesa, razen perutninskega</w:t>
            </w:r>
          </w:p>
        </w:tc>
      </w:tr>
      <w:tr w:rsidR="00DA6357" w:rsidRPr="00DA6357" w14:paraId="4CB718F2"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20DCDBA6"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1012</w:t>
            </w:r>
          </w:p>
        </w:tc>
        <w:tc>
          <w:tcPr>
            <w:tcW w:w="0" w:type="auto"/>
            <w:tcBorders>
              <w:top w:val="single" w:sz="6" w:space="0" w:color="000000"/>
              <w:left w:val="single" w:sz="6" w:space="0" w:color="000000"/>
              <w:bottom w:val="single" w:sz="6" w:space="0" w:color="000000"/>
              <w:right w:val="single" w:sz="6" w:space="0" w:color="000000"/>
            </w:tcBorders>
            <w:hideMark/>
          </w:tcPr>
          <w:p w14:paraId="53E32960"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perutninskega mesa</w:t>
            </w:r>
          </w:p>
        </w:tc>
      </w:tr>
      <w:tr w:rsidR="00DA6357" w:rsidRPr="00DA6357" w14:paraId="440C3473"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2744EA49"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1042</w:t>
            </w:r>
          </w:p>
        </w:tc>
        <w:tc>
          <w:tcPr>
            <w:tcW w:w="0" w:type="auto"/>
            <w:tcBorders>
              <w:top w:val="single" w:sz="6" w:space="0" w:color="000000"/>
              <w:left w:val="single" w:sz="6" w:space="0" w:color="000000"/>
              <w:bottom w:val="single" w:sz="6" w:space="0" w:color="000000"/>
              <w:right w:val="single" w:sz="6" w:space="0" w:color="000000"/>
            </w:tcBorders>
            <w:hideMark/>
          </w:tcPr>
          <w:p w14:paraId="19DCBB5A"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margarine in podobnih jedilnih maščob</w:t>
            </w:r>
          </w:p>
        </w:tc>
      </w:tr>
      <w:tr w:rsidR="00DA6357" w:rsidRPr="00DA6357" w14:paraId="0CB1310C"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234507EE"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1051</w:t>
            </w:r>
          </w:p>
        </w:tc>
        <w:tc>
          <w:tcPr>
            <w:tcW w:w="0" w:type="auto"/>
            <w:tcBorders>
              <w:top w:val="single" w:sz="6" w:space="0" w:color="000000"/>
              <w:left w:val="single" w:sz="6" w:space="0" w:color="000000"/>
              <w:bottom w:val="single" w:sz="6" w:space="0" w:color="000000"/>
              <w:right w:val="single" w:sz="6" w:space="0" w:color="000000"/>
            </w:tcBorders>
            <w:hideMark/>
          </w:tcPr>
          <w:p w14:paraId="2A4DFB5F"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Mlekarstvo in sirarstvo</w:t>
            </w:r>
          </w:p>
        </w:tc>
      </w:tr>
      <w:tr w:rsidR="00DA6357" w:rsidRPr="00DA6357" w14:paraId="7736FF68"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04B3626B"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1061</w:t>
            </w:r>
          </w:p>
        </w:tc>
        <w:tc>
          <w:tcPr>
            <w:tcW w:w="0" w:type="auto"/>
            <w:tcBorders>
              <w:top w:val="single" w:sz="6" w:space="0" w:color="000000"/>
              <w:left w:val="single" w:sz="6" w:space="0" w:color="000000"/>
              <w:bottom w:val="single" w:sz="6" w:space="0" w:color="000000"/>
              <w:right w:val="single" w:sz="6" w:space="0" w:color="000000"/>
            </w:tcBorders>
            <w:hideMark/>
          </w:tcPr>
          <w:p w14:paraId="70D35A2A"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Mlinarstvo</w:t>
            </w:r>
          </w:p>
        </w:tc>
      </w:tr>
      <w:tr w:rsidR="00DA6357" w:rsidRPr="00DA6357" w14:paraId="548FCDF0"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13F12641"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1072</w:t>
            </w:r>
          </w:p>
        </w:tc>
        <w:tc>
          <w:tcPr>
            <w:tcW w:w="0" w:type="auto"/>
            <w:tcBorders>
              <w:top w:val="single" w:sz="6" w:space="0" w:color="000000"/>
              <w:left w:val="single" w:sz="6" w:space="0" w:color="000000"/>
              <w:bottom w:val="single" w:sz="6" w:space="0" w:color="000000"/>
              <w:right w:val="single" w:sz="6" w:space="0" w:color="000000"/>
            </w:tcBorders>
            <w:hideMark/>
          </w:tcPr>
          <w:p w14:paraId="25554DA1"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prepečenca in piškotov; proizvodnja trajnega peciva in slaščic</w:t>
            </w:r>
          </w:p>
        </w:tc>
      </w:tr>
      <w:tr w:rsidR="00DA6357" w:rsidRPr="00DA6357" w14:paraId="03924710"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2BDC4FB9"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1073</w:t>
            </w:r>
          </w:p>
        </w:tc>
        <w:tc>
          <w:tcPr>
            <w:tcW w:w="0" w:type="auto"/>
            <w:tcBorders>
              <w:top w:val="single" w:sz="6" w:space="0" w:color="000000"/>
              <w:left w:val="single" w:sz="6" w:space="0" w:color="000000"/>
              <w:bottom w:val="single" w:sz="6" w:space="0" w:color="000000"/>
              <w:right w:val="single" w:sz="6" w:space="0" w:color="000000"/>
            </w:tcBorders>
            <w:hideMark/>
          </w:tcPr>
          <w:p w14:paraId="3DEB3663"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testenin</w:t>
            </w:r>
          </w:p>
        </w:tc>
      </w:tr>
      <w:tr w:rsidR="00DA6357" w:rsidRPr="00DA6357" w14:paraId="54C77E60"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1DBCF526"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1082</w:t>
            </w:r>
          </w:p>
        </w:tc>
        <w:tc>
          <w:tcPr>
            <w:tcW w:w="0" w:type="auto"/>
            <w:tcBorders>
              <w:top w:val="single" w:sz="6" w:space="0" w:color="000000"/>
              <w:left w:val="single" w:sz="6" w:space="0" w:color="000000"/>
              <w:bottom w:val="single" w:sz="6" w:space="0" w:color="000000"/>
              <w:right w:val="single" w:sz="6" w:space="0" w:color="000000"/>
            </w:tcBorders>
            <w:hideMark/>
          </w:tcPr>
          <w:p w14:paraId="75157F74"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kakava, čokolade in sladkornih izdelkov</w:t>
            </w:r>
          </w:p>
        </w:tc>
      </w:tr>
      <w:tr w:rsidR="00DA6357" w:rsidRPr="00DA6357" w14:paraId="0F9B473F"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0447FED2"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1085</w:t>
            </w:r>
          </w:p>
        </w:tc>
        <w:tc>
          <w:tcPr>
            <w:tcW w:w="0" w:type="auto"/>
            <w:tcBorders>
              <w:top w:val="single" w:sz="6" w:space="0" w:color="000000"/>
              <w:left w:val="single" w:sz="6" w:space="0" w:color="000000"/>
              <w:bottom w:val="single" w:sz="6" w:space="0" w:color="000000"/>
              <w:right w:val="single" w:sz="6" w:space="0" w:color="000000"/>
            </w:tcBorders>
            <w:hideMark/>
          </w:tcPr>
          <w:p w14:paraId="59077EE0"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pripravljenih jedi in obrokov</w:t>
            </w:r>
          </w:p>
        </w:tc>
      </w:tr>
      <w:tr w:rsidR="00DA6357" w:rsidRPr="00DA6357" w14:paraId="50A14549"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5308F6A1"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1089</w:t>
            </w:r>
          </w:p>
        </w:tc>
        <w:tc>
          <w:tcPr>
            <w:tcW w:w="0" w:type="auto"/>
            <w:tcBorders>
              <w:top w:val="single" w:sz="6" w:space="0" w:color="000000"/>
              <w:left w:val="single" w:sz="6" w:space="0" w:color="000000"/>
              <w:bottom w:val="single" w:sz="6" w:space="0" w:color="000000"/>
              <w:right w:val="single" w:sz="6" w:space="0" w:color="000000"/>
            </w:tcBorders>
            <w:hideMark/>
          </w:tcPr>
          <w:p w14:paraId="19EA67EA"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drugih prehrambenih izdelkov, drugje nerazvrščenih</w:t>
            </w:r>
          </w:p>
        </w:tc>
      </w:tr>
      <w:tr w:rsidR="00DA6357" w:rsidRPr="00DA6357" w14:paraId="095F3408"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55EBF415"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1091</w:t>
            </w:r>
          </w:p>
        </w:tc>
        <w:tc>
          <w:tcPr>
            <w:tcW w:w="0" w:type="auto"/>
            <w:tcBorders>
              <w:top w:val="single" w:sz="6" w:space="0" w:color="000000"/>
              <w:left w:val="single" w:sz="6" w:space="0" w:color="000000"/>
              <w:bottom w:val="single" w:sz="6" w:space="0" w:color="000000"/>
              <w:right w:val="single" w:sz="6" w:space="0" w:color="000000"/>
            </w:tcBorders>
            <w:hideMark/>
          </w:tcPr>
          <w:p w14:paraId="57FFBF6A"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krmi</w:t>
            </w:r>
          </w:p>
        </w:tc>
      </w:tr>
      <w:tr w:rsidR="00DA6357" w:rsidRPr="00DA6357" w14:paraId="6627D84D"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245BC750"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1092</w:t>
            </w:r>
          </w:p>
        </w:tc>
        <w:tc>
          <w:tcPr>
            <w:tcW w:w="0" w:type="auto"/>
            <w:tcBorders>
              <w:top w:val="single" w:sz="6" w:space="0" w:color="000000"/>
              <w:left w:val="single" w:sz="6" w:space="0" w:color="000000"/>
              <w:bottom w:val="single" w:sz="6" w:space="0" w:color="000000"/>
              <w:right w:val="single" w:sz="6" w:space="0" w:color="000000"/>
            </w:tcBorders>
            <w:hideMark/>
          </w:tcPr>
          <w:p w14:paraId="6FFA0893"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hrane za hišne živali</w:t>
            </w:r>
          </w:p>
        </w:tc>
      </w:tr>
      <w:tr w:rsidR="00DA6357" w:rsidRPr="00DA6357" w14:paraId="47319291"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21A1E734"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1107</w:t>
            </w:r>
          </w:p>
        </w:tc>
        <w:tc>
          <w:tcPr>
            <w:tcW w:w="0" w:type="auto"/>
            <w:tcBorders>
              <w:top w:val="single" w:sz="6" w:space="0" w:color="000000"/>
              <w:left w:val="single" w:sz="6" w:space="0" w:color="000000"/>
              <w:bottom w:val="single" w:sz="6" w:space="0" w:color="000000"/>
              <w:right w:val="single" w:sz="6" w:space="0" w:color="000000"/>
            </w:tcBorders>
            <w:hideMark/>
          </w:tcPr>
          <w:p w14:paraId="5B2F7893"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brezalkoholnih pijač, mineralnih in drugih stekleničenih vod</w:t>
            </w:r>
          </w:p>
        </w:tc>
      </w:tr>
      <w:tr w:rsidR="00DA6357" w:rsidRPr="00DA6357" w14:paraId="11B8EE59"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53D0A57B"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1723</w:t>
            </w:r>
          </w:p>
        </w:tc>
        <w:tc>
          <w:tcPr>
            <w:tcW w:w="0" w:type="auto"/>
            <w:tcBorders>
              <w:top w:val="single" w:sz="6" w:space="0" w:color="000000"/>
              <w:left w:val="single" w:sz="6" w:space="0" w:color="000000"/>
              <w:bottom w:val="single" w:sz="6" w:space="0" w:color="000000"/>
              <w:right w:val="single" w:sz="6" w:space="0" w:color="000000"/>
            </w:tcBorders>
            <w:hideMark/>
          </w:tcPr>
          <w:p w14:paraId="0669539A"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pisarniških potrebščin iz papirja</w:t>
            </w:r>
          </w:p>
        </w:tc>
      </w:tr>
      <w:tr w:rsidR="00DA6357" w:rsidRPr="00DA6357" w14:paraId="38C5F382"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7E9C9708"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1729</w:t>
            </w:r>
          </w:p>
        </w:tc>
        <w:tc>
          <w:tcPr>
            <w:tcW w:w="0" w:type="auto"/>
            <w:tcBorders>
              <w:top w:val="single" w:sz="6" w:space="0" w:color="000000"/>
              <w:left w:val="single" w:sz="6" w:space="0" w:color="000000"/>
              <w:bottom w:val="single" w:sz="6" w:space="0" w:color="000000"/>
              <w:right w:val="single" w:sz="6" w:space="0" w:color="000000"/>
            </w:tcBorders>
            <w:hideMark/>
          </w:tcPr>
          <w:p w14:paraId="585B11C7"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drugih izdelkov iz papirja in kartona</w:t>
            </w:r>
          </w:p>
        </w:tc>
      </w:tr>
      <w:tr w:rsidR="00DA6357" w:rsidRPr="00DA6357" w14:paraId="1BA150A4"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1D1B9181"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2051</w:t>
            </w:r>
          </w:p>
        </w:tc>
        <w:tc>
          <w:tcPr>
            <w:tcW w:w="0" w:type="auto"/>
            <w:tcBorders>
              <w:top w:val="single" w:sz="6" w:space="0" w:color="000000"/>
              <w:left w:val="single" w:sz="6" w:space="0" w:color="000000"/>
              <w:bottom w:val="single" w:sz="6" w:space="0" w:color="000000"/>
              <w:right w:val="single" w:sz="6" w:space="0" w:color="000000"/>
            </w:tcBorders>
            <w:hideMark/>
          </w:tcPr>
          <w:p w14:paraId="45A9BC15"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razstreliv</w:t>
            </w:r>
          </w:p>
        </w:tc>
      </w:tr>
      <w:tr w:rsidR="00DA6357" w:rsidRPr="00DA6357" w14:paraId="1AC312F0"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169F6358"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2052</w:t>
            </w:r>
          </w:p>
        </w:tc>
        <w:tc>
          <w:tcPr>
            <w:tcW w:w="0" w:type="auto"/>
            <w:tcBorders>
              <w:top w:val="single" w:sz="6" w:space="0" w:color="000000"/>
              <w:left w:val="single" w:sz="6" w:space="0" w:color="000000"/>
              <w:bottom w:val="single" w:sz="6" w:space="0" w:color="000000"/>
              <w:right w:val="single" w:sz="6" w:space="0" w:color="000000"/>
            </w:tcBorders>
            <w:hideMark/>
          </w:tcPr>
          <w:p w14:paraId="7BB2F08C"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sredstev za lepljenje</w:t>
            </w:r>
          </w:p>
        </w:tc>
      </w:tr>
      <w:tr w:rsidR="00DA6357" w:rsidRPr="00DA6357" w14:paraId="5C1B1B83"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48BA4034"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lastRenderedPageBreak/>
              <w:t>2332</w:t>
            </w:r>
          </w:p>
        </w:tc>
        <w:tc>
          <w:tcPr>
            <w:tcW w:w="0" w:type="auto"/>
            <w:tcBorders>
              <w:top w:val="single" w:sz="6" w:space="0" w:color="000000"/>
              <w:left w:val="single" w:sz="6" w:space="0" w:color="000000"/>
              <w:bottom w:val="single" w:sz="6" w:space="0" w:color="000000"/>
              <w:right w:val="single" w:sz="6" w:space="0" w:color="000000"/>
            </w:tcBorders>
            <w:hideMark/>
          </w:tcPr>
          <w:p w14:paraId="2C3DDB84"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strešnikov, opeke in drugih gradbenih izdelkov iz žgane gline</w:t>
            </w:r>
          </w:p>
        </w:tc>
      </w:tr>
      <w:tr w:rsidR="00DA6357" w:rsidRPr="00DA6357" w14:paraId="737BCDFA"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16FB5226"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2352</w:t>
            </w:r>
          </w:p>
        </w:tc>
        <w:tc>
          <w:tcPr>
            <w:tcW w:w="0" w:type="auto"/>
            <w:tcBorders>
              <w:top w:val="single" w:sz="6" w:space="0" w:color="000000"/>
              <w:left w:val="single" w:sz="6" w:space="0" w:color="000000"/>
              <w:bottom w:val="single" w:sz="6" w:space="0" w:color="000000"/>
              <w:right w:val="single" w:sz="6" w:space="0" w:color="000000"/>
            </w:tcBorders>
            <w:hideMark/>
          </w:tcPr>
          <w:p w14:paraId="428B4250"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apna in mavca</w:t>
            </w:r>
          </w:p>
        </w:tc>
      </w:tr>
      <w:tr w:rsidR="00DA6357" w:rsidRPr="00DA6357" w14:paraId="54947026"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6F99E4A2"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2365</w:t>
            </w:r>
          </w:p>
        </w:tc>
        <w:tc>
          <w:tcPr>
            <w:tcW w:w="0" w:type="auto"/>
            <w:tcBorders>
              <w:top w:val="single" w:sz="6" w:space="0" w:color="000000"/>
              <w:left w:val="single" w:sz="6" w:space="0" w:color="000000"/>
              <w:bottom w:val="single" w:sz="6" w:space="0" w:color="000000"/>
              <w:right w:val="single" w:sz="6" w:space="0" w:color="000000"/>
            </w:tcBorders>
            <w:hideMark/>
          </w:tcPr>
          <w:p w14:paraId="7DE4FB95"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izdelkov iz vlaknatega cementa</w:t>
            </w:r>
          </w:p>
        </w:tc>
      </w:tr>
      <w:tr w:rsidR="00DA6357" w:rsidRPr="00DA6357" w14:paraId="60B36A3E"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5D9F46BB"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2452</w:t>
            </w:r>
          </w:p>
        </w:tc>
        <w:tc>
          <w:tcPr>
            <w:tcW w:w="0" w:type="auto"/>
            <w:tcBorders>
              <w:top w:val="single" w:sz="6" w:space="0" w:color="000000"/>
              <w:left w:val="single" w:sz="6" w:space="0" w:color="000000"/>
              <w:bottom w:val="single" w:sz="6" w:space="0" w:color="000000"/>
              <w:right w:val="single" w:sz="6" w:space="0" w:color="000000"/>
            </w:tcBorders>
            <w:hideMark/>
          </w:tcPr>
          <w:p w14:paraId="42696779"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Litje jekla</w:t>
            </w:r>
          </w:p>
        </w:tc>
      </w:tr>
      <w:tr w:rsidR="00DA6357" w:rsidRPr="00DA6357" w14:paraId="43D806E9"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5DFFABD5"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2453</w:t>
            </w:r>
          </w:p>
        </w:tc>
        <w:tc>
          <w:tcPr>
            <w:tcW w:w="0" w:type="auto"/>
            <w:tcBorders>
              <w:top w:val="single" w:sz="6" w:space="0" w:color="000000"/>
              <w:left w:val="single" w:sz="6" w:space="0" w:color="000000"/>
              <w:bottom w:val="single" w:sz="6" w:space="0" w:color="000000"/>
              <w:right w:val="single" w:sz="6" w:space="0" w:color="000000"/>
            </w:tcBorders>
            <w:hideMark/>
          </w:tcPr>
          <w:p w14:paraId="346FE604"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Litje lahkih kovin</w:t>
            </w:r>
          </w:p>
        </w:tc>
      </w:tr>
      <w:tr w:rsidR="00DA6357" w:rsidRPr="00DA6357" w14:paraId="76945945"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518E0238"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2591</w:t>
            </w:r>
          </w:p>
        </w:tc>
        <w:tc>
          <w:tcPr>
            <w:tcW w:w="0" w:type="auto"/>
            <w:tcBorders>
              <w:top w:val="single" w:sz="6" w:space="0" w:color="000000"/>
              <w:left w:val="single" w:sz="6" w:space="0" w:color="000000"/>
              <w:bottom w:val="single" w:sz="6" w:space="0" w:color="000000"/>
              <w:right w:val="single" w:sz="6" w:space="0" w:color="000000"/>
            </w:tcBorders>
            <w:hideMark/>
          </w:tcPr>
          <w:p w14:paraId="4FF7F58F"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jeklenih bobnov, sodov in podobnih posod</w:t>
            </w:r>
          </w:p>
        </w:tc>
      </w:tr>
      <w:tr w:rsidR="00DA6357" w:rsidRPr="00DA6357" w14:paraId="4C0923E5"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3431A29B"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2592</w:t>
            </w:r>
          </w:p>
        </w:tc>
        <w:tc>
          <w:tcPr>
            <w:tcW w:w="0" w:type="auto"/>
            <w:tcBorders>
              <w:top w:val="single" w:sz="6" w:space="0" w:color="000000"/>
              <w:left w:val="single" w:sz="6" w:space="0" w:color="000000"/>
              <w:bottom w:val="single" w:sz="6" w:space="0" w:color="000000"/>
              <w:right w:val="single" w:sz="6" w:space="0" w:color="000000"/>
            </w:tcBorders>
            <w:hideMark/>
          </w:tcPr>
          <w:p w14:paraId="6F37D592"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lahke kovinske embalaže</w:t>
            </w:r>
          </w:p>
        </w:tc>
      </w:tr>
      <w:tr w:rsidR="00DA6357" w:rsidRPr="00DA6357" w14:paraId="3407E879" w14:textId="77777777" w:rsidTr="00F67126">
        <w:tc>
          <w:tcPr>
            <w:tcW w:w="0" w:type="auto"/>
            <w:tcBorders>
              <w:top w:val="single" w:sz="6" w:space="0" w:color="000000"/>
              <w:left w:val="single" w:sz="6" w:space="0" w:color="000000"/>
              <w:bottom w:val="single" w:sz="6" w:space="0" w:color="000000"/>
              <w:right w:val="single" w:sz="6" w:space="0" w:color="000000"/>
            </w:tcBorders>
            <w:hideMark/>
          </w:tcPr>
          <w:p w14:paraId="15B2EABA" w14:textId="77777777" w:rsidR="00DA6357" w:rsidRPr="00DA6357" w:rsidRDefault="00DA6357" w:rsidP="00DA6357">
            <w:pPr>
              <w:spacing w:before="60" w:after="60" w:line="312" w:lineRule="atLeast"/>
              <w:ind w:right="195"/>
              <w:jc w:val="center"/>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2932</w:t>
            </w:r>
          </w:p>
        </w:tc>
        <w:tc>
          <w:tcPr>
            <w:tcW w:w="0" w:type="auto"/>
            <w:tcBorders>
              <w:top w:val="single" w:sz="6" w:space="0" w:color="000000"/>
              <w:left w:val="single" w:sz="6" w:space="0" w:color="000000"/>
              <w:bottom w:val="single" w:sz="6" w:space="0" w:color="000000"/>
              <w:right w:val="single" w:sz="6" w:space="0" w:color="000000"/>
            </w:tcBorders>
            <w:hideMark/>
          </w:tcPr>
          <w:p w14:paraId="0BE38F94" w14:textId="77777777" w:rsidR="00DA6357" w:rsidRPr="00DA6357" w:rsidRDefault="00DA6357" w:rsidP="00DA6357">
            <w:pPr>
              <w:spacing w:before="60" w:after="60" w:line="312" w:lineRule="atLeast"/>
              <w:jc w:val="left"/>
              <w:rPr>
                <w:rFonts w:ascii="Times New Roman" w:eastAsia="Times New Roman" w:hAnsi="Times New Roman" w:cs="Times New Roman"/>
                <w:sz w:val="22"/>
                <w:lang w:eastAsia="sl-SI"/>
              </w:rPr>
            </w:pPr>
            <w:r w:rsidRPr="00DA6357">
              <w:rPr>
                <w:rFonts w:ascii="Times New Roman" w:eastAsia="Times New Roman" w:hAnsi="Times New Roman" w:cs="Times New Roman"/>
                <w:sz w:val="22"/>
                <w:lang w:eastAsia="sl-SI"/>
              </w:rPr>
              <w:t>Proizvodnja drugih delov in opreme za motorna vozila</w:t>
            </w:r>
          </w:p>
        </w:tc>
      </w:tr>
    </w:tbl>
    <w:p w14:paraId="2E6E3D47" w14:textId="77777777" w:rsidR="00DA6357" w:rsidRPr="00DA6357" w:rsidRDefault="00DA6357" w:rsidP="00DA6357">
      <w:pPr>
        <w:rPr>
          <w:rFonts w:eastAsia="Times New Roman" w:cs="Arial"/>
          <w:szCs w:val="20"/>
          <w:lang w:eastAsia="ar-SA"/>
        </w:rPr>
      </w:pPr>
    </w:p>
    <w:p w14:paraId="5631A608" w14:textId="77777777" w:rsidR="00DA6357" w:rsidRPr="00DA6357" w:rsidRDefault="00DA6357" w:rsidP="00DA6357">
      <w:pPr>
        <w:rPr>
          <w:rFonts w:eastAsia="Times New Roman" w:cs="Arial"/>
          <w:szCs w:val="20"/>
          <w:lang w:eastAsia="ar-SA"/>
        </w:rPr>
      </w:pPr>
    </w:p>
    <w:p w14:paraId="49BB678F" w14:textId="1EEA6E91" w:rsidR="00DA6357" w:rsidRPr="00DA6357" w:rsidRDefault="00DA6357" w:rsidP="00DA6357">
      <w:pPr>
        <w:rPr>
          <w:rFonts w:eastAsia="Arial" w:cs="Arial"/>
          <w:b/>
          <w:bCs/>
          <w:szCs w:val="20"/>
        </w:rPr>
      </w:pPr>
      <w:r w:rsidRPr="00DA6357">
        <w:rPr>
          <w:rFonts w:eastAsia="Arial" w:cs="Arial"/>
          <w:b/>
          <w:bCs/>
          <w:szCs w:val="20"/>
        </w:rPr>
        <w:t xml:space="preserve">K </w:t>
      </w:r>
      <w:r w:rsidR="00EE7959">
        <w:rPr>
          <w:rFonts w:eastAsia="Arial" w:cs="Arial"/>
          <w:b/>
          <w:bCs/>
          <w:szCs w:val="20"/>
        </w:rPr>
        <w:t>3</w:t>
      </w:r>
      <w:r w:rsidRPr="00DA6357">
        <w:rPr>
          <w:rFonts w:eastAsia="Arial" w:cs="Arial"/>
          <w:b/>
          <w:bCs/>
          <w:szCs w:val="20"/>
        </w:rPr>
        <w:t>. členu (upravičenci do spodbude)</w:t>
      </w:r>
    </w:p>
    <w:p w14:paraId="3580ACF2" w14:textId="07FFD61E" w:rsidR="00DA6357" w:rsidRPr="00DA6357" w:rsidRDefault="00EE7959" w:rsidP="00DA6357">
      <w:pPr>
        <w:rPr>
          <w:rFonts w:eastAsia="Times New Roman" w:cs="Times New Roman"/>
        </w:rPr>
      </w:pPr>
      <w:r>
        <w:rPr>
          <w:rFonts w:eastAsia="Times New Roman" w:cs="Times New Roman"/>
        </w:rPr>
        <w:t>Ta</w:t>
      </w:r>
      <w:r w:rsidR="00DA6357" w:rsidRPr="00DA6357">
        <w:rPr>
          <w:rFonts w:eastAsia="Times New Roman" w:cs="Times New Roman"/>
        </w:rPr>
        <w:t xml:space="preserve"> člen določa pogoje upravičenosti za pridobitev spodbude. V skladu z zakonom so upravičenci elektrointenzivna podjetja iz upravičenih sektorjev, ki izpolnjujejo kumulativne pogoje:</w:t>
      </w:r>
    </w:p>
    <w:p w14:paraId="24778B25" w14:textId="77777777" w:rsidR="00DA6357" w:rsidRPr="00DA6357" w:rsidRDefault="00DA6357" w:rsidP="00DA6357">
      <w:pPr>
        <w:rPr>
          <w:rFonts w:eastAsia="Times New Roman" w:cs="Times New Roman"/>
        </w:rPr>
      </w:pPr>
      <w:r w:rsidRPr="00DA6357">
        <w:rPr>
          <w:rFonts w:eastAsia="Times New Roman" w:cs="Times New Roman"/>
        </w:rPr>
        <w:t xml:space="preserve">- vsaj 15 GWh letnega odjema električne energije, da se izloči manjše odjemalce in usmerja ukrep v podjetja, kjer ima cena električne energije sistemski vpliv na konkurenčnost, </w:t>
      </w:r>
    </w:p>
    <w:p w14:paraId="1921CC02" w14:textId="77777777" w:rsidR="00DA6357" w:rsidRPr="00DA6357" w:rsidRDefault="00DA6357" w:rsidP="00DA6357">
      <w:pPr>
        <w:rPr>
          <w:rFonts w:eastAsia="Times New Roman" w:cs="Times New Roman"/>
        </w:rPr>
      </w:pPr>
      <w:r w:rsidRPr="00DA6357">
        <w:rPr>
          <w:rFonts w:eastAsia="Times New Roman" w:cs="Times New Roman"/>
        </w:rPr>
        <w:t>- najmanj 5 % delež stroškov električne energije v dodani vrednosti, je pogoj v vidika elektrointenzivnosti in še dodatno cilja pomoč v podjetja z dejansko visokim bremenom stroškov energije,</w:t>
      </w:r>
    </w:p>
    <w:p w14:paraId="409C19BB" w14:textId="6C2F5134" w:rsidR="00DA6357" w:rsidRDefault="00DA6357" w:rsidP="00DA6357">
      <w:pPr>
        <w:rPr>
          <w:rFonts w:eastAsia="Times New Roman" w:cs="Times New Roman"/>
        </w:rPr>
      </w:pPr>
      <w:r w:rsidRPr="00DA6357">
        <w:rPr>
          <w:rFonts w:eastAsia="Times New Roman" w:cs="Times New Roman"/>
        </w:rPr>
        <w:t>- vzpostavljen sistem upravljanja z energijo (</w:t>
      </w:r>
      <w:r w:rsidR="008B733F">
        <w:rPr>
          <w:rFonts w:eastAsia="Times New Roman" w:cs="Times New Roman"/>
        </w:rPr>
        <w:t xml:space="preserve">SIST EN </w:t>
      </w:r>
      <w:r w:rsidRPr="00DA6357">
        <w:rPr>
          <w:rFonts w:eastAsia="Times New Roman" w:cs="Times New Roman"/>
        </w:rPr>
        <w:t>ISO 50001)</w:t>
      </w:r>
      <w:r w:rsidR="008B733F">
        <w:rPr>
          <w:rFonts w:eastAsia="Times New Roman" w:cs="Times New Roman"/>
        </w:rPr>
        <w:t xml:space="preserve"> oziroma izvajanje energetskih pregledov v skladu z zakonom, ki ureja učinkovito rabo energije, </w:t>
      </w:r>
      <w:r w:rsidRPr="00DA6357">
        <w:rPr>
          <w:rFonts w:eastAsia="Times New Roman" w:cs="Times New Roman"/>
        </w:rPr>
        <w:t xml:space="preserve">s čimer se spodbuja sistematično upravljanje z energijo in energetsko učinkovitost kot predpogoj prejemanja pomoči. </w:t>
      </w:r>
    </w:p>
    <w:p w14:paraId="7E0F2F28" w14:textId="77BF2B57" w:rsidR="00B469F6" w:rsidRPr="00B469F6" w:rsidRDefault="003A053A" w:rsidP="00B469F6">
      <w:pPr>
        <w:rPr>
          <w:rFonts w:eastAsia="Times New Roman" w:cs="Times New Roman"/>
        </w:rPr>
      </w:pPr>
      <w:r>
        <w:rPr>
          <w:rFonts w:eastAsia="Times New Roman" w:cs="Times New Roman"/>
        </w:rPr>
        <w:t>V tem členu</w:t>
      </w:r>
      <w:r w:rsidR="00CC5AB8">
        <w:rPr>
          <w:rFonts w:eastAsia="Times New Roman" w:cs="Times New Roman"/>
        </w:rPr>
        <w:t xml:space="preserve"> je</w:t>
      </w:r>
      <w:r>
        <w:rPr>
          <w:rFonts w:eastAsia="Times New Roman" w:cs="Times New Roman"/>
        </w:rPr>
        <w:t xml:space="preserve"> tudi</w:t>
      </w:r>
      <w:r w:rsidR="00CC5AB8">
        <w:rPr>
          <w:rFonts w:eastAsia="Times New Roman" w:cs="Times New Roman"/>
        </w:rPr>
        <w:t xml:space="preserve"> določeno, da mora e</w:t>
      </w:r>
      <w:r w:rsidR="00CC5AB8" w:rsidRPr="00CC5AB8">
        <w:rPr>
          <w:rFonts w:eastAsia="Times New Roman" w:cs="Times New Roman"/>
        </w:rPr>
        <w:t>lektrointenzivno podjetje, ki izvaja svojo dejavnost v sektorju, ki ni upravičeni sektor iz Priloge 1 Smernic o državni pomoči za podnebje, varstvo okolja in energijo za leto 2022, v vlogi s podatki za obdobje vsaj treh let dokazati, da ta sektor ali podsektor na ravni Unije izpolnjuje merila za upravičenost, kar je preveril in potrdil neodvisni strokovnjak.</w:t>
      </w:r>
      <w:r w:rsidR="00B469F6">
        <w:rPr>
          <w:rFonts w:eastAsia="Times New Roman" w:cs="Times New Roman"/>
        </w:rPr>
        <w:t xml:space="preserve"> </w:t>
      </w:r>
      <w:r w:rsidR="00B469F6" w:rsidRPr="00B469F6">
        <w:rPr>
          <w:rFonts w:eastAsia="Times New Roman" w:cs="Times New Roman"/>
        </w:rPr>
        <w:t>Neodvisni strokovnjak</w:t>
      </w:r>
      <w:r w:rsidR="00B469F6">
        <w:rPr>
          <w:rFonts w:eastAsia="Times New Roman" w:cs="Times New Roman"/>
        </w:rPr>
        <w:t>,</w:t>
      </w:r>
      <w:r w:rsidR="00B469F6" w:rsidRPr="00B469F6">
        <w:rPr>
          <w:rFonts w:eastAsia="Times New Roman" w:cs="Times New Roman"/>
        </w:rPr>
        <w:t xml:space="preserve"> ki ga navaj</w:t>
      </w:r>
      <w:r w:rsidR="00B469F6">
        <w:rPr>
          <w:rFonts w:eastAsia="Times New Roman" w:cs="Times New Roman"/>
        </w:rPr>
        <w:t>a</w:t>
      </w:r>
      <w:r w:rsidR="00B469F6" w:rsidRPr="00B469F6">
        <w:rPr>
          <w:rFonts w:eastAsia="Times New Roman" w:cs="Times New Roman"/>
        </w:rPr>
        <w:t xml:space="preserve"> zakon</w:t>
      </w:r>
      <w:r w:rsidR="00B469F6">
        <w:rPr>
          <w:rFonts w:eastAsia="Times New Roman" w:cs="Times New Roman"/>
        </w:rPr>
        <w:t>,</w:t>
      </w:r>
      <w:r w:rsidR="00B469F6" w:rsidRPr="00B469F6">
        <w:rPr>
          <w:rFonts w:eastAsia="Times New Roman" w:cs="Times New Roman"/>
        </w:rPr>
        <w:t xml:space="preserve"> je pravna ali fizična oseba oziroma skupina takih oseb, ki:</w:t>
      </w:r>
    </w:p>
    <w:p w14:paraId="27910479" w14:textId="2DC24D2E" w:rsidR="00B469F6" w:rsidRPr="00B469F6" w:rsidRDefault="00B469F6" w:rsidP="00B469F6">
      <w:pPr>
        <w:rPr>
          <w:rFonts w:eastAsia="Times New Roman" w:cs="Times New Roman"/>
        </w:rPr>
      </w:pPr>
      <w:r w:rsidRPr="00B469F6">
        <w:rPr>
          <w:rFonts w:eastAsia="Times New Roman" w:cs="Times New Roman"/>
        </w:rPr>
        <w:t>-</w:t>
      </w:r>
      <w:r>
        <w:rPr>
          <w:rFonts w:eastAsia="Times New Roman" w:cs="Times New Roman"/>
        </w:rPr>
        <w:t xml:space="preserve"> </w:t>
      </w:r>
      <w:r w:rsidRPr="00B469F6">
        <w:rPr>
          <w:rFonts w:eastAsia="Times New Roman" w:cs="Times New Roman"/>
        </w:rPr>
        <w:t>ima dokazljive strokovne izkušnje na področju ekonomske in energetske statistike, industrijske ekonomike ali sorodnih disciplin ter izkušnje z obdelavo statističnih podatkov na ravni sektorjev in podsektorjev v skladu z NACE klasifikacijo;</w:t>
      </w:r>
    </w:p>
    <w:p w14:paraId="6E69B38B" w14:textId="5BD4065F" w:rsidR="00B469F6" w:rsidRPr="00B469F6" w:rsidRDefault="00B469F6" w:rsidP="00B469F6">
      <w:pPr>
        <w:rPr>
          <w:rFonts w:eastAsia="Times New Roman" w:cs="Times New Roman"/>
        </w:rPr>
      </w:pPr>
      <w:r>
        <w:rPr>
          <w:rFonts w:eastAsia="Times New Roman" w:cs="Times New Roman"/>
        </w:rPr>
        <w:t xml:space="preserve">- </w:t>
      </w:r>
      <w:r w:rsidRPr="00B469F6">
        <w:rPr>
          <w:rFonts w:eastAsia="Times New Roman" w:cs="Times New Roman"/>
        </w:rPr>
        <w:t>je funkcionalno in organizacijsko neodvisna od organa, ki dodeljuje državno pomoč v skladu s CISAF, ter od potencialnih upravičencev in njihovih interesnih združenj;</w:t>
      </w:r>
    </w:p>
    <w:p w14:paraId="6819CF98" w14:textId="7AB4376E" w:rsidR="00B469F6" w:rsidRPr="00B469F6" w:rsidRDefault="00B469F6" w:rsidP="00B469F6">
      <w:pPr>
        <w:rPr>
          <w:rFonts w:eastAsia="Times New Roman" w:cs="Times New Roman"/>
        </w:rPr>
      </w:pPr>
      <w:r w:rsidRPr="00B469F6">
        <w:rPr>
          <w:rFonts w:eastAsia="Times New Roman" w:cs="Times New Roman"/>
        </w:rPr>
        <w:t>-</w:t>
      </w:r>
      <w:r>
        <w:rPr>
          <w:rFonts w:eastAsia="Times New Roman" w:cs="Times New Roman"/>
        </w:rPr>
        <w:t xml:space="preserve"> </w:t>
      </w:r>
      <w:r w:rsidRPr="00B469F6">
        <w:rPr>
          <w:rFonts w:eastAsia="Times New Roman" w:cs="Times New Roman"/>
        </w:rPr>
        <w:t>ni v nasprotju interesov, pri čemer nasprotje interesov pomeni vsako situacijo, v kateri je nepristransko in objektivno opravljanje naloge ogroženo zaradi gospodarskega interesa ali drugih osebnih interesov strokovnjaka oziroma oseb, ki z njim sodelujejo;</w:t>
      </w:r>
    </w:p>
    <w:p w14:paraId="0177D604" w14:textId="32F5B1B5" w:rsidR="00B469F6" w:rsidRPr="00B469F6" w:rsidRDefault="00B469F6" w:rsidP="00B469F6">
      <w:pPr>
        <w:rPr>
          <w:rFonts w:eastAsia="Times New Roman" w:cs="Times New Roman"/>
        </w:rPr>
      </w:pPr>
      <w:r>
        <w:rPr>
          <w:rFonts w:eastAsia="Times New Roman" w:cs="Times New Roman"/>
        </w:rPr>
        <w:t xml:space="preserve">- </w:t>
      </w:r>
      <w:r w:rsidRPr="00B469F6">
        <w:rPr>
          <w:rFonts w:eastAsia="Times New Roman" w:cs="Times New Roman"/>
        </w:rPr>
        <w:t>je izbrana na podlagi odprtih, objektivnih in nediskriminatornih kriterijev, ki zagotavljajo strokovno usposobljenost in neodvisnost;</w:t>
      </w:r>
    </w:p>
    <w:p w14:paraId="58DB3260" w14:textId="6089E46C" w:rsidR="00CC5AB8" w:rsidRDefault="00B469F6" w:rsidP="00B469F6">
      <w:pPr>
        <w:rPr>
          <w:rFonts w:eastAsia="Times New Roman" w:cs="Times New Roman"/>
        </w:rPr>
      </w:pPr>
      <w:r>
        <w:rPr>
          <w:rFonts w:eastAsia="Times New Roman" w:cs="Times New Roman"/>
        </w:rPr>
        <w:t xml:space="preserve">- </w:t>
      </w:r>
      <w:r w:rsidRPr="00B469F6">
        <w:rPr>
          <w:rFonts w:eastAsia="Times New Roman" w:cs="Times New Roman"/>
        </w:rPr>
        <w:t>pri preverjanju podatkov uporablja reprezentativne podatke za zadevni sektor ali podsektor na ravni Unije, ki pokrivajo obdobje vsaj zadnjih treh let, za katera so podatki na voljo, in ki so usklajeni z zahtevami točke 117 CISAF in točke 406 CEEAG.</w:t>
      </w:r>
    </w:p>
    <w:p w14:paraId="5DBB2826" w14:textId="1CF8B639" w:rsidR="003A053A" w:rsidRPr="00DA6357" w:rsidRDefault="003A053A" w:rsidP="00B469F6">
      <w:pPr>
        <w:rPr>
          <w:rFonts w:eastAsia="Times New Roman" w:cs="Times New Roman"/>
        </w:rPr>
      </w:pPr>
      <w:r>
        <w:rPr>
          <w:rFonts w:eastAsia="Times New Roman" w:cs="Times New Roman"/>
        </w:rPr>
        <w:t>Ta člen ureja tudi problematiko elektrointenzivnih podjetij, ki so zaradi ukrepov za prehod v razogljičenje svojo porabo električne energije znižali pod 15 GWh v</w:t>
      </w:r>
      <w:r w:rsidRPr="003A053A">
        <w:rPr>
          <w:rFonts w:eastAsia="Times New Roman" w:cs="Times New Roman"/>
        </w:rPr>
        <w:t xml:space="preserve"> zadnjih petih letih pred oddajo vloge </w:t>
      </w:r>
      <w:r>
        <w:rPr>
          <w:rFonts w:eastAsia="Times New Roman" w:cs="Times New Roman"/>
        </w:rPr>
        <w:t xml:space="preserve">in </w:t>
      </w:r>
      <w:r w:rsidRPr="003A053A">
        <w:rPr>
          <w:rFonts w:eastAsia="Times New Roman" w:cs="Times New Roman"/>
        </w:rPr>
        <w:t>svojo specifično porabo na enoto proizvodnje</w:t>
      </w:r>
      <w:r>
        <w:rPr>
          <w:rFonts w:eastAsia="Times New Roman" w:cs="Times New Roman"/>
        </w:rPr>
        <w:t xml:space="preserve"> s tem znižali. Z</w:t>
      </w:r>
      <w:r w:rsidRPr="003A053A">
        <w:rPr>
          <w:rFonts w:eastAsia="Times New Roman" w:cs="Times New Roman"/>
        </w:rPr>
        <w:t xml:space="preserve">a izračun elektrointenzivnosti </w:t>
      </w:r>
      <w:r w:rsidR="0093739F">
        <w:rPr>
          <w:rFonts w:eastAsia="Times New Roman" w:cs="Times New Roman"/>
        </w:rPr>
        <w:t xml:space="preserve">lahko </w:t>
      </w:r>
      <w:r w:rsidRPr="003A053A">
        <w:rPr>
          <w:rFonts w:eastAsia="Times New Roman" w:cs="Times New Roman"/>
        </w:rPr>
        <w:t xml:space="preserve">uporabljajo povprečne vrednosti porabe, do katere bi prišlo brez upoštevanja učinkov omenjenih naložb. Če se v času izvajanja ukrepa po tem zakonu upravičencu zaradi izvedenih trajnostnih naložb poraba električne </w:t>
      </w:r>
      <w:r w:rsidRPr="003A053A">
        <w:rPr>
          <w:rFonts w:eastAsia="Times New Roman" w:cs="Times New Roman"/>
        </w:rPr>
        <w:lastRenderedPageBreak/>
        <w:t>energije tako zniža, da zahtevani pogoj elektrointenzivnosti ni izpolnjen, se za njen izračun uporablja podatek o porabi, do katere bi prišlo brez izvedenih naložb. Če gre za odjemalca električne energije, ki posluje manj kot eno leto, se v prvem letu poslovanja uporabijo projekcije podatkov, za drugo leto podatki za preteklo leto poslovanja, za tretje leto pa se uporabi povprečje podatkov za prvo in drugo leto poslovanja.</w:t>
      </w:r>
    </w:p>
    <w:p w14:paraId="514811EC" w14:textId="232E415A" w:rsidR="00DA6357" w:rsidRDefault="00CB2D3F" w:rsidP="00DA6357">
      <w:pPr>
        <w:rPr>
          <w:rFonts w:eastAsia="Times New Roman" w:cs="Times New Roman"/>
        </w:rPr>
      </w:pPr>
      <w:r>
        <w:rPr>
          <w:rFonts w:eastAsia="Times New Roman" w:cs="Times New Roman"/>
        </w:rPr>
        <w:t>Ta člen</w:t>
      </w:r>
      <w:r w:rsidR="00DA6357" w:rsidRPr="00DA6357">
        <w:rPr>
          <w:rFonts w:eastAsia="Times New Roman" w:cs="Times New Roman"/>
        </w:rPr>
        <w:t xml:space="preserve"> iz upravičenosti izključuje podjetja v težavah v skladu z zakonom, ki ureja reševanje in prestrukturiranje podjetij v težavah</w:t>
      </w:r>
      <w:r w:rsidR="00B4625E">
        <w:rPr>
          <w:rFonts w:eastAsia="Times New Roman" w:cs="Times New Roman"/>
        </w:rPr>
        <w:t xml:space="preserve">, </w:t>
      </w:r>
      <w:r w:rsidR="00B4625E" w:rsidRPr="00B4625E">
        <w:rPr>
          <w:rFonts w:eastAsia="Times New Roman" w:cs="Times New Roman"/>
        </w:rPr>
        <w:t>razen če Evropska komisija ugotovi združljivost tovrstne pomoči z notranjim trgom Evropske unije</w:t>
      </w:r>
      <w:r w:rsidR="00DA6357" w:rsidRPr="00DA6357">
        <w:rPr>
          <w:rFonts w:eastAsia="Times New Roman" w:cs="Times New Roman"/>
        </w:rPr>
        <w:t xml:space="preserve">. </w:t>
      </w:r>
      <w:r w:rsidR="005524E2" w:rsidRPr="005524E2">
        <w:rPr>
          <w:rFonts w:eastAsia="Times New Roman" w:cs="Times New Roman"/>
        </w:rPr>
        <w:t>Tovrstni ukrepi pomoči zaradi svoje narave ne morejo biti dodeljeni po Uredbi o splošnih skupinskih izjemah (uredba GBER), zato Slovenija sama ne more izdati mnenja o skladnosti pomoči. Zakon se bo izvajal na podlagi Okvira za ukrepe državne pomoči v podporo dogovoru o čisti industriji (CISAF), ki zahteva, da do tovrstne pomoči niso upravičena podjetja v težavah. Predvidena pomoč je operativna (pokriva ceno el</w:t>
      </w:r>
      <w:r w:rsidR="005D7136">
        <w:rPr>
          <w:rFonts w:eastAsia="Times New Roman" w:cs="Times New Roman"/>
        </w:rPr>
        <w:t>ektrične</w:t>
      </w:r>
      <w:r w:rsidR="005524E2" w:rsidRPr="005524E2">
        <w:rPr>
          <w:rFonts w:eastAsia="Times New Roman" w:cs="Times New Roman"/>
        </w:rPr>
        <w:t xml:space="preserve"> energije), kar običajno ni dovoljeno, vendar pa CISAF državam članicam izjemoma omogoča, da v omejenem obsegu in pod strogimi pogoji podprejo energetsko intenzivna podjetja pri soočanju z visokimi stroški el</w:t>
      </w:r>
      <w:r w:rsidR="005524E2">
        <w:rPr>
          <w:rFonts w:eastAsia="Times New Roman" w:cs="Times New Roman"/>
        </w:rPr>
        <w:t>ektrične</w:t>
      </w:r>
      <w:r w:rsidR="005524E2" w:rsidRPr="005524E2">
        <w:rPr>
          <w:rFonts w:eastAsia="Times New Roman" w:cs="Times New Roman"/>
        </w:rPr>
        <w:t xml:space="preserve"> energije, hkrati pa jih zavežejo k vlaganjem v razogljičenje in prehod na čistejše tehnologije (v višini vsaj  50% prejete pomoči). O skladnosti tovrstne državne pomoči odloča Evropska komisija, zato je priglasitev njene pravne podlage obvezna in se brez pozitivnega soglasja Evropske komisije shema ne more izvajati.</w:t>
      </w:r>
    </w:p>
    <w:p w14:paraId="2FCB4D7A" w14:textId="7D8CA31D" w:rsidR="004E06FA" w:rsidRDefault="004E06FA" w:rsidP="00DA6357">
      <w:pPr>
        <w:rPr>
          <w:rFonts w:eastAsia="Times New Roman" w:cs="Times New Roman"/>
        </w:rPr>
      </w:pPr>
      <w:r>
        <w:rPr>
          <w:rFonts w:eastAsia="Times New Roman" w:cs="Times New Roman"/>
        </w:rPr>
        <w:t>Ta člen določa tudi, da se n</w:t>
      </w:r>
      <w:r w:rsidRPr="004E06FA">
        <w:rPr>
          <w:rFonts w:eastAsia="Times New Roman" w:cs="Times New Roman"/>
        </w:rPr>
        <w:t>a poziv lahko prijavi vsak upravičenec, ki izpolnjuje pogoje iz tega člena in nima zapadlih neporavnanih obveznosti do države. Upravičenci tudi ne smejo imeti neporavnanih obveznosti iz odločb o vračilu nezakonite državne pomoči ter nima zapadlih in neporavnanih obveznosti iz naslova dobave električne energije, plačila omrežnine in obveznih prispevkov, in s tem povezanih poslov.</w:t>
      </w:r>
    </w:p>
    <w:p w14:paraId="07B8F9DC" w14:textId="469EA596" w:rsidR="005E626B" w:rsidRPr="005E626B" w:rsidRDefault="005E626B" w:rsidP="005E626B">
      <w:pPr>
        <w:rPr>
          <w:rFonts w:eastAsia="Times New Roman" w:cs="Times New Roman"/>
        </w:rPr>
      </w:pPr>
      <w:r>
        <w:rPr>
          <w:rFonts w:eastAsia="Times New Roman" w:cs="Times New Roman"/>
        </w:rPr>
        <w:t>S tem členom se</w:t>
      </w:r>
      <w:r w:rsidRPr="005E626B">
        <w:rPr>
          <w:rFonts w:eastAsia="Times New Roman" w:cs="Times New Roman"/>
        </w:rPr>
        <w:t xml:space="preserve"> zagotavlja</w:t>
      </w:r>
      <w:r>
        <w:rPr>
          <w:rFonts w:eastAsia="Times New Roman" w:cs="Times New Roman"/>
        </w:rPr>
        <w:t xml:space="preserve"> tudi</w:t>
      </w:r>
      <w:r w:rsidRPr="005E626B">
        <w:rPr>
          <w:rFonts w:eastAsia="Times New Roman" w:cs="Times New Roman"/>
        </w:rPr>
        <w:t xml:space="preserve">, da prejeta spodbuda za financiranje stroška električne energije, ni uporabljena za dejansko financiranje povezanih oseb (lastnikov). Namen državne pomoči je, da se skladno s pravili EU zagotovi zgolj v nujnem obsegu. Brez omejitve bi bilo v diskreciji prejemnika pomoči, da namesto izterjave terjatev do povezanih oseb (lastnikov) financiranje svojega poslovanja zagotavlja iz naslova prejete pomoči, kar bi v nasprotju s pravili EU o državnih pomočeh zviševalo znesek potrebne pomoči. Skladno s tem je torej postavljena zahteva, da mora pred prejemom pomoči podjetje zagotoviti izterjavo finančnih naložb do lastnikov. </w:t>
      </w:r>
    </w:p>
    <w:p w14:paraId="1C8991B0" w14:textId="5E5624D1" w:rsidR="005E626B" w:rsidRDefault="005E626B" w:rsidP="005E626B">
      <w:pPr>
        <w:rPr>
          <w:rFonts w:eastAsia="Times New Roman" w:cs="Times New Roman"/>
        </w:rPr>
      </w:pPr>
      <w:r w:rsidRPr="005E626B">
        <w:rPr>
          <w:rFonts w:eastAsia="Times New Roman" w:cs="Times New Roman"/>
        </w:rPr>
        <w:t>Ta omejitev ne velja za aranžmaje, katerih namen je kratkoročno upravljanje likvidnosti (t.i. cashpool).</w:t>
      </w:r>
    </w:p>
    <w:p w14:paraId="36029A9E" w14:textId="77777777" w:rsidR="005E626B" w:rsidRPr="00DA6357" w:rsidRDefault="005E626B" w:rsidP="00DA6357">
      <w:pPr>
        <w:rPr>
          <w:rFonts w:eastAsia="Times New Roman" w:cs="Times New Roman"/>
        </w:rPr>
      </w:pPr>
    </w:p>
    <w:p w14:paraId="54E47DF9" w14:textId="2C5511B1" w:rsidR="00DA6357" w:rsidRPr="00DA6357" w:rsidRDefault="00DA6357" w:rsidP="00DA6357">
      <w:pPr>
        <w:rPr>
          <w:rFonts w:eastAsia="Arial" w:cs="Arial"/>
          <w:b/>
          <w:bCs/>
          <w:szCs w:val="20"/>
        </w:rPr>
      </w:pPr>
      <w:r w:rsidRPr="00DA6357">
        <w:rPr>
          <w:rFonts w:eastAsia="Arial" w:cs="Arial"/>
          <w:b/>
          <w:bCs/>
          <w:szCs w:val="20"/>
        </w:rPr>
        <w:t xml:space="preserve">K </w:t>
      </w:r>
      <w:r w:rsidR="001C2BCA">
        <w:rPr>
          <w:rFonts w:eastAsia="Arial" w:cs="Arial"/>
          <w:b/>
          <w:bCs/>
          <w:szCs w:val="20"/>
        </w:rPr>
        <w:t>4</w:t>
      </w:r>
      <w:r w:rsidRPr="00DA6357">
        <w:rPr>
          <w:rFonts w:eastAsia="Arial" w:cs="Arial"/>
          <w:b/>
          <w:bCs/>
          <w:szCs w:val="20"/>
        </w:rPr>
        <w:t>. členu (</w:t>
      </w:r>
      <w:r w:rsidR="002E4D7A" w:rsidRPr="002E4D7A">
        <w:rPr>
          <w:rFonts w:eastAsia="Arial" w:cs="Arial"/>
          <w:b/>
          <w:bCs/>
          <w:szCs w:val="20"/>
        </w:rPr>
        <w:t>pravila za določitev višine in dodelitev spodbude</w:t>
      </w:r>
      <w:r w:rsidRPr="00DA6357">
        <w:rPr>
          <w:rFonts w:eastAsia="Arial" w:cs="Arial"/>
          <w:b/>
          <w:bCs/>
          <w:szCs w:val="20"/>
        </w:rPr>
        <w:t>)</w:t>
      </w:r>
    </w:p>
    <w:p w14:paraId="5CC1A13B" w14:textId="04769A34" w:rsidR="00DA6357" w:rsidRPr="00DA6357" w:rsidRDefault="001C2BCA" w:rsidP="00DA6357">
      <w:pPr>
        <w:rPr>
          <w:rFonts w:eastAsia="Times New Roman" w:cs="Times New Roman"/>
        </w:rPr>
      </w:pPr>
      <w:r>
        <w:rPr>
          <w:rFonts w:eastAsia="Times New Roman" w:cs="Times New Roman"/>
        </w:rPr>
        <w:t>Ta</w:t>
      </w:r>
      <w:r w:rsidR="00DA6357" w:rsidRPr="00DA6357">
        <w:rPr>
          <w:rFonts w:eastAsia="Times New Roman" w:cs="Times New Roman"/>
        </w:rPr>
        <w:t xml:space="preserve"> člen določa način izračuna in omejitve višine spodbude ter časovni okvir, v katerem se lahko spodbude dodeljujejo.</w:t>
      </w:r>
    </w:p>
    <w:p w14:paraId="0B53443B" w14:textId="77777777" w:rsidR="00DA6357" w:rsidRPr="00DA6357" w:rsidRDefault="00DA6357" w:rsidP="00DA6357">
      <w:pPr>
        <w:rPr>
          <w:rFonts w:eastAsia="Times New Roman" w:cs="Times New Roman"/>
        </w:rPr>
      </w:pPr>
      <w:r w:rsidRPr="00DA6357">
        <w:rPr>
          <w:rFonts w:eastAsia="Times New Roman" w:cs="Times New Roman"/>
        </w:rPr>
        <w:t xml:space="preserve">V prvem odstavku so določene ključne varovalke, da lahko spodbuda pokrije del stroškov za 50 % letne porabe električne energije za posamezno leto, in da se mora paziti, da po prejemu spodbude stroški za ta delež elektrike ne smejo pasti pod 50 % stroškov, ki bi nastali ob plačilu referenčne tržne cene. </w:t>
      </w:r>
    </w:p>
    <w:p w14:paraId="146D3F36" w14:textId="77777777" w:rsidR="00DA6357" w:rsidRPr="00DA6357" w:rsidRDefault="00DA6357" w:rsidP="00DA6357">
      <w:pPr>
        <w:rPr>
          <w:rFonts w:eastAsia="Times New Roman" w:cs="Times New Roman"/>
        </w:rPr>
      </w:pPr>
      <w:r w:rsidRPr="00DA6357">
        <w:rPr>
          <w:rFonts w:eastAsia="Times New Roman" w:cs="Times New Roman"/>
        </w:rPr>
        <w:t xml:space="preserve">Hkrati se določa, da za upravičence, ki so prejeli spodbudo, povprečni strošek podprtega dela električne energije (brez omrežnin in drugih dajatev) ne sme biti v nobenem primeru nižji od 50 EUR/MWh, tudi ko se upoštevajo še vse druge oblike prejete pomoči za znižanje stroškov električne energije. </w:t>
      </w:r>
    </w:p>
    <w:p w14:paraId="3E1EC1CD" w14:textId="77777777" w:rsidR="00DA6357" w:rsidRPr="00DA6357" w:rsidRDefault="00DA6357" w:rsidP="00DA6357">
      <w:pPr>
        <w:rPr>
          <w:rFonts w:eastAsia="Times New Roman" w:cs="Times New Roman"/>
        </w:rPr>
      </w:pPr>
      <w:r w:rsidRPr="00DA6357">
        <w:rPr>
          <w:rFonts w:eastAsia="Times New Roman" w:cs="Times New Roman"/>
        </w:rPr>
        <w:t>S temi določbami se preprečuje prekomerno nadomestilo in zagotavlja, da upravičenci kljub spodbudam nosijo bistveni del tržnega tveganja pri nakupih električne energije na trgu.</w:t>
      </w:r>
    </w:p>
    <w:p w14:paraId="7AE541C7" w14:textId="1912D065" w:rsidR="000F2046" w:rsidRDefault="000F2046" w:rsidP="00DA6357">
      <w:pPr>
        <w:rPr>
          <w:rFonts w:eastAsia="Times New Roman" w:cs="Times New Roman"/>
        </w:rPr>
      </w:pPr>
      <w:r w:rsidRPr="000F2046">
        <w:rPr>
          <w:rFonts w:eastAsia="Times New Roman" w:cs="Times New Roman"/>
        </w:rPr>
        <w:t>Podpora za stroške za električno energijo se zagotavlja poleg ukrepa po tem zakonu še z nadomestilom posrednih stroškov emisij iz predpisa, ki ureja nadomestilo za kritje posrednih stroškov zaradi stroškov emisij toplogrednih plinov. Glede na to, da zakon predvideva, da se spodbuda za stroške električne energije izplačuje kot akontacija za stroške električne energije iz napovedi, nadomestilo za pokrivanje posrednih stroškov emisij pa za nazaj za preteklo leto, je jasno, da bodo prve odločbe po tem zakonu. Pri ugotavljanju, kolikšno nadomestilo za pokrivanje posrednih stroškov emisij pripada upravičencu bo potrebno upoštevati, koliko spodbude je upravičenec prejel po tem zakonu, drugače bi bilo kršeno pravilo kumulacije iz točke 125 CISAF.</w:t>
      </w:r>
    </w:p>
    <w:p w14:paraId="3CFD9E61" w14:textId="7CB9B1C1" w:rsidR="00DA6357" w:rsidRPr="00DA6357" w:rsidRDefault="00DA6357" w:rsidP="00DA6357">
      <w:pPr>
        <w:rPr>
          <w:rFonts w:eastAsia="Times New Roman" w:cs="Times New Roman"/>
        </w:rPr>
      </w:pPr>
      <w:r w:rsidRPr="00DA6357">
        <w:rPr>
          <w:rFonts w:eastAsia="Times New Roman" w:cs="Times New Roman"/>
        </w:rPr>
        <w:lastRenderedPageBreak/>
        <w:t xml:space="preserve">Ta člen določa še, da se spodbuda podeljuje za porabo električne energije v letih 2026, 2027 in 2028 in da mora biti električna energija fizično porabljena v Republiki Sloveniji. Podprte električne energije upravičenec ne sme prodajati ali posredno prenašati tretjim osebam, zato je dodana obveznost vodenja natančne evidence nabave in porabe električne energije. S tem se zagotovi, da je pomoč geografsko vezana na ozemlje Republike Slovenije in povezana z dejansko porabo upravičencev, ne pa za kakšne druge neupravičene namene. </w:t>
      </w:r>
    </w:p>
    <w:p w14:paraId="68B1BEF6" w14:textId="77777777" w:rsidR="00DA6357" w:rsidRPr="00DA6357" w:rsidRDefault="00DA6357" w:rsidP="00DA6357">
      <w:pPr>
        <w:rPr>
          <w:rFonts w:eastAsia="Times New Roman" w:cs="Times New Roman"/>
        </w:rPr>
      </w:pPr>
    </w:p>
    <w:p w14:paraId="03FC85B9" w14:textId="52CAA159" w:rsidR="00DA6357" w:rsidRPr="00DA6357" w:rsidRDefault="00DA6357" w:rsidP="00DA6357">
      <w:pPr>
        <w:rPr>
          <w:rFonts w:eastAsia="Arial" w:cs="Arial"/>
          <w:b/>
          <w:bCs/>
          <w:szCs w:val="20"/>
        </w:rPr>
      </w:pPr>
      <w:r w:rsidRPr="00DA6357">
        <w:rPr>
          <w:rFonts w:eastAsia="Arial" w:cs="Arial"/>
          <w:b/>
          <w:bCs/>
          <w:szCs w:val="20"/>
        </w:rPr>
        <w:t xml:space="preserve">K </w:t>
      </w:r>
      <w:r w:rsidR="00CB2D3F">
        <w:rPr>
          <w:rFonts w:eastAsia="Arial" w:cs="Arial"/>
          <w:b/>
          <w:bCs/>
          <w:szCs w:val="20"/>
        </w:rPr>
        <w:t>5</w:t>
      </w:r>
      <w:r w:rsidRPr="00DA6357">
        <w:rPr>
          <w:rFonts w:eastAsia="Arial" w:cs="Arial"/>
          <w:b/>
          <w:bCs/>
          <w:szCs w:val="20"/>
        </w:rPr>
        <w:t>. členu (vloga in dokumentacija)</w:t>
      </w:r>
    </w:p>
    <w:p w14:paraId="09A2C927" w14:textId="4E3D66BC" w:rsidR="00DA6357" w:rsidRPr="00DA6357" w:rsidRDefault="00CB2D3F" w:rsidP="00DA6357">
      <w:pPr>
        <w:rPr>
          <w:rFonts w:eastAsia="Arial" w:cs="Arial"/>
          <w:szCs w:val="20"/>
        </w:rPr>
      </w:pPr>
      <w:r>
        <w:rPr>
          <w:rFonts w:eastAsia="Arial" w:cs="Arial"/>
          <w:szCs w:val="20"/>
        </w:rPr>
        <w:t xml:space="preserve">Ta </w:t>
      </w:r>
      <w:r w:rsidR="00DA6357" w:rsidRPr="00DA6357">
        <w:rPr>
          <w:rFonts w:eastAsia="Arial" w:cs="Arial"/>
          <w:szCs w:val="20"/>
        </w:rPr>
        <w:t>člen ureja postopek javnega poziva in vsebino vloge.</w:t>
      </w:r>
      <w:r w:rsidR="00EE10F3">
        <w:rPr>
          <w:rFonts w:eastAsia="Arial" w:cs="Arial"/>
          <w:szCs w:val="20"/>
        </w:rPr>
        <w:t xml:space="preserve"> Celoten postopek se izvaja skladno z zakonom, ki ureja splošni upravni postopek.</w:t>
      </w:r>
    </w:p>
    <w:p w14:paraId="22DF6977" w14:textId="77777777" w:rsidR="003A4147" w:rsidRDefault="00DA6357" w:rsidP="00DA6357">
      <w:pPr>
        <w:rPr>
          <w:rFonts w:eastAsia="Arial" w:cs="Arial"/>
          <w:szCs w:val="20"/>
        </w:rPr>
      </w:pPr>
      <w:r w:rsidRPr="00DA6357">
        <w:rPr>
          <w:rFonts w:eastAsia="Arial" w:cs="Arial"/>
          <w:szCs w:val="20"/>
        </w:rPr>
        <w:t xml:space="preserve">Operater trga mora vsako leto najkasneje v roku 10 dni od objave sklepa vlade objaviti javni poziv za dodelitev spodbud. </w:t>
      </w:r>
    </w:p>
    <w:p w14:paraId="3604F5B6" w14:textId="49EEC207" w:rsidR="006B3125" w:rsidRDefault="00DA6357" w:rsidP="00DA6357">
      <w:pPr>
        <w:rPr>
          <w:rFonts w:eastAsia="Arial" w:cs="Arial"/>
          <w:szCs w:val="20"/>
        </w:rPr>
      </w:pPr>
      <w:r w:rsidRPr="00DA6357">
        <w:rPr>
          <w:rFonts w:eastAsia="Arial" w:cs="Arial"/>
          <w:szCs w:val="20"/>
        </w:rPr>
        <w:t>Vlogi se predpisuje podrobna vsebina, ki jo je potrebno zagotoviti za odločanje: napoved</w:t>
      </w:r>
      <w:r w:rsidR="003A4147">
        <w:rPr>
          <w:rFonts w:eastAsia="Arial" w:cs="Arial"/>
          <w:szCs w:val="20"/>
        </w:rPr>
        <w:t xml:space="preserve"> </w:t>
      </w:r>
      <w:r w:rsidRPr="00DA6357">
        <w:rPr>
          <w:rFonts w:eastAsia="Arial" w:cs="Arial"/>
          <w:szCs w:val="20"/>
        </w:rPr>
        <w:t xml:space="preserve">porabe električne energije za tekoče leto, podatke in dokazila o porabi za zadnja tri leta, izračun elektrointenzivnosti in ustrezne računovodske izkaze, </w:t>
      </w:r>
      <w:r w:rsidR="00921C40">
        <w:rPr>
          <w:rFonts w:eastAsia="Arial" w:cs="Arial"/>
          <w:szCs w:val="20"/>
        </w:rPr>
        <w:t>dokazila</w:t>
      </w:r>
      <w:r w:rsidRPr="00DA6357">
        <w:rPr>
          <w:rFonts w:eastAsia="Arial" w:cs="Arial"/>
          <w:szCs w:val="20"/>
        </w:rPr>
        <w:t xml:space="preserve"> </w:t>
      </w:r>
      <w:r w:rsidR="00921C40">
        <w:rPr>
          <w:rFonts w:eastAsia="Arial" w:cs="Arial"/>
          <w:szCs w:val="20"/>
        </w:rPr>
        <w:t>glede sistema upravljanja z energijo, energetskih pregledov</w:t>
      </w:r>
      <w:r w:rsidRPr="00DA6357">
        <w:rPr>
          <w:rFonts w:eastAsia="Arial" w:cs="Arial"/>
          <w:szCs w:val="20"/>
        </w:rPr>
        <w:t>,</w:t>
      </w:r>
      <w:r w:rsidR="00921C40">
        <w:rPr>
          <w:rFonts w:eastAsia="Arial" w:cs="Arial"/>
          <w:szCs w:val="20"/>
        </w:rPr>
        <w:t xml:space="preserve"> dokazila v zvezi z opravljanjem dejavnosti v upravičenem sektorju,</w:t>
      </w:r>
      <w:r w:rsidRPr="00DA6357">
        <w:rPr>
          <w:rFonts w:eastAsia="Arial" w:cs="Arial"/>
          <w:szCs w:val="20"/>
        </w:rPr>
        <w:t xml:space="preserve"> okvirni načrt naložb v razogljičenje z opisom naložb, rokom začetka obratovanja, oceno vrednosti in pričakovanimi rezultati, kot na primer </w:t>
      </w:r>
      <w:r w:rsidR="003D04B4" w:rsidRPr="003D04B4">
        <w:rPr>
          <w:rFonts w:eastAsia="Arial" w:cs="Arial"/>
          <w:szCs w:val="20"/>
        </w:rPr>
        <w:t>dodatna proizvodnja energije iz obnovljivih virov energije, prihranek električne energije, zmanjšanje izpustov toplogrednih plinov ali znižanje porabe fosilnih energentov</w:t>
      </w:r>
      <w:r w:rsidR="003D04B4" w:rsidRPr="00DA6357">
        <w:rPr>
          <w:rFonts w:eastAsia="Arial" w:cs="Arial"/>
          <w:szCs w:val="20"/>
        </w:rPr>
        <w:t xml:space="preserve"> </w:t>
      </w:r>
      <w:r w:rsidRPr="00DA6357">
        <w:rPr>
          <w:rFonts w:eastAsia="Arial" w:cs="Arial"/>
          <w:szCs w:val="20"/>
        </w:rPr>
        <w:t>itd. Vloga mora vsebovati tudi kontaktne osebe, ki bodo na razpolago za komunikacijo z operaterjem trga ves čas postopka, do zaključka naložbe ter druge sestavine, določene v javnem pozivu.</w:t>
      </w:r>
    </w:p>
    <w:p w14:paraId="64034B06" w14:textId="77777777" w:rsidR="00DA6357" w:rsidRPr="00DA6357" w:rsidRDefault="00DA6357" w:rsidP="00DA6357">
      <w:pPr>
        <w:rPr>
          <w:rFonts w:eastAsia="Arial" w:cs="Arial"/>
          <w:szCs w:val="20"/>
        </w:rPr>
      </w:pPr>
    </w:p>
    <w:p w14:paraId="6D6210B3" w14:textId="58ECD746" w:rsidR="00DA6357" w:rsidRPr="00DA6357" w:rsidRDefault="00DA6357" w:rsidP="00DA6357">
      <w:pPr>
        <w:rPr>
          <w:rFonts w:eastAsia="Arial" w:cs="Arial"/>
          <w:b/>
          <w:bCs/>
          <w:szCs w:val="20"/>
        </w:rPr>
      </w:pPr>
      <w:r w:rsidRPr="00DA6357">
        <w:rPr>
          <w:rFonts w:eastAsia="Arial" w:cs="Arial"/>
          <w:b/>
          <w:bCs/>
          <w:szCs w:val="20"/>
        </w:rPr>
        <w:t xml:space="preserve">K </w:t>
      </w:r>
      <w:r w:rsidR="00CB2D3F">
        <w:rPr>
          <w:rFonts w:eastAsia="Arial" w:cs="Arial"/>
          <w:b/>
          <w:bCs/>
          <w:szCs w:val="20"/>
        </w:rPr>
        <w:t>6</w:t>
      </w:r>
      <w:r w:rsidRPr="00DA6357">
        <w:rPr>
          <w:rFonts w:eastAsia="Arial" w:cs="Arial"/>
          <w:b/>
          <w:bCs/>
          <w:szCs w:val="20"/>
        </w:rPr>
        <w:t>. členu (odločanje in način izvrš</w:t>
      </w:r>
      <w:r w:rsidR="00FF3576">
        <w:rPr>
          <w:rFonts w:eastAsia="Arial" w:cs="Arial"/>
          <w:b/>
          <w:bCs/>
          <w:szCs w:val="20"/>
        </w:rPr>
        <w:t>itve</w:t>
      </w:r>
      <w:r w:rsidRPr="00DA6357">
        <w:rPr>
          <w:rFonts w:eastAsia="Arial" w:cs="Arial"/>
          <w:b/>
          <w:bCs/>
          <w:szCs w:val="20"/>
        </w:rPr>
        <w:t xml:space="preserve"> odločbe)</w:t>
      </w:r>
    </w:p>
    <w:p w14:paraId="662795F7" w14:textId="5EAE098B" w:rsidR="00DA6357" w:rsidRPr="00DA6357" w:rsidRDefault="00CB2D3F" w:rsidP="00DA6357">
      <w:pPr>
        <w:rPr>
          <w:rFonts w:eastAsia="Arial" w:cs="Arial"/>
          <w:szCs w:val="20"/>
        </w:rPr>
      </w:pPr>
      <w:r>
        <w:rPr>
          <w:rFonts w:eastAsia="Arial" w:cs="Arial"/>
          <w:szCs w:val="20"/>
        </w:rPr>
        <w:t>Ta</w:t>
      </w:r>
      <w:r w:rsidR="00DA6357" w:rsidRPr="00DA6357">
        <w:rPr>
          <w:rFonts w:eastAsia="Arial" w:cs="Arial"/>
          <w:szCs w:val="20"/>
        </w:rPr>
        <w:t xml:space="preserve"> člen ureja odločanje o dodelitvi spodbud in način izplačevanja ter poračuna. O dodelitvi spodbude odloči operater trga z odločbo za vsako leto posebej. Z odločb</w:t>
      </w:r>
      <w:r w:rsidR="00617299">
        <w:rPr>
          <w:rFonts w:eastAsia="Arial" w:cs="Arial"/>
          <w:szCs w:val="20"/>
        </w:rPr>
        <w:t>o</w:t>
      </w:r>
      <w:r w:rsidR="00DA6357" w:rsidRPr="00DA6357">
        <w:rPr>
          <w:rFonts w:eastAsia="Arial" w:cs="Arial"/>
          <w:szCs w:val="20"/>
        </w:rPr>
        <w:t xml:space="preserve"> določi največjo letno višino spodbude, dinamiko izplačila akontacij in način poračuna. Spodbuda se izplača v dveh akontacijah (do 30. maja in do 30. novembra). Poračun za preteklo leto se opravi na podlagi poročil upravičencev za preteklo leto do konca aprila. </w:t>
      </w:r>
      <w:r w:rsidR="00727189" w:rsidRPr="00727189">
        <w:rPr>
          <w:rFonts w:eastAsia="Arial" w:cs="Arial"/>
          <w:szCs w:val="20"/>
        </w:rPr>
        <w:t>Višina spodbude na podlagi sklepa o poračunu ne more biti višja kot je višina, določena v odločbi iz tretjega odstavka tega člena.</w:t>
      </w:r>
    </w:p>
    <w:p w14:paraId="17B11726" w14:textId="77777777" w:rsidR="00DA6357" w:rsidRPr="00DA6357" w:rsidRDefault="00DA6357" w:rsidP="00DA6357">
      <w:pPr>
        <w:rPr>
          <w:rFonts w:eastAsia="Arial" w:cs="Arial"/>
          <w:szCs w:val="20"/>
        </w:rPr>
      </w:pPr>
      <w:r w:rsidRPr="00DA6357">
        <w:rPr>
          <w:rFonts w:eastAsia="Arial" w:cs="Arial"/>
          <w:szCs w:val="20"/>
        </w:rPr>
        <w:t>Pritožba zoper odločbo in zoper vse sklepe, ki jih izda operater trga, ni možna, omogočen pa je upravni spor. S tem se zagotovi hitrost postopka in pravno varstvo v skladu s pravili upravnega spora.</w:t>
      </w:r>
    </w:p>
    <w:p w14:paraId="7FD1CE4A" w14:textId="77777777" w:rsidR="00DA6357" w:rsidRPr="00DA6357" w:rsidRDefault="00DA6357" w:rsidP="00DA6357">
      <w:pPr>
        <w:rPr>
          <w:rFonts w:eastAsia="Arial" w:cs="Arial"/>
          <w:szCs w:val="20"/>
        </w:rPr>
      </w:pPr>
    </w:p>
    <w:p w14:paraId="2EE3E3A5" w14:textId="47C103B8" w:rsidR="00DA6357" w:rsidRPr="00DA6357" w:rsidRDefault="00DA6357" w:rsidP="00DA6357">
      <w:pPr>
        <w:rPr>
          <w:rFonts w:eastAsia="Arial" w:cs="Arial"/>
          <w:szCs w:val="20"/>
        </w:rPr>
      </w:pPr>
      <w:r w:rsidRPr="00DA6357">
        <w:rPr>
          <w:rFonts w:eastAsia="Arial" w:cs="Arial"/>
          <w:b/>
          <w:bCs/>
          <w:szCs w:val="20"/>
        </w:rPr>
        <w:t xml:space="preserve">K </w:t>
      </w:r>
      <w:r w:rsidR="00CB2D3F">
        <w:rPr>
          <w:rFonts w:eastAsia="Arial" w:cs="Arial"/>
          <w:b/>
          <w:bCs/>
          <w:szCs w:val="20"/>
        </w:rPr>
        <w:t>7</w:t>
      </w:r>
      <w:r w:rsidRPr="00DA6357">
        <w:rPr>
          <w:rFonts w:eastAsia="Arial" w:cs="Arial"/>
          <w:b/>
          <w:bCs/>
          <w:szCs w:val="20"/>
        </w:rPr>
        <w:t xml:space="preserve">. členu (sprememba okoliščin in </w:t>
      </w:r>
      <w:r w:rsidR="004B027F">
        <w:rPr>
          <w:rFonts w:eastAsia="Arial" w:cs="Arial"/>
          <w:b/>
          <w:bCs/>
          <w:szCs w:val="20"/>
        </w:rPr>
        <w:t xml:space="preserve">vrnitev </w:t>
      </w:r>
      <w:r w:rsidRPr="00DA6357">
        <w:rPr>
          <w:rFonts w:eastAsia="Arial" w:cs="Arial"/>
          <w:b/>
          <w:bCs/>
          <w:szCs w:val="20"/>
        </w:rPr>
        <w:t>neupravičen</w:t>
      </w:r>
      <w:r w:rsidR="004B027F">
        <w:rPr>
          <w:rFonts w:eastAsia="Arial" w:cs="Arial"/>
          <w:b/>
          <w:bCs/>
          <w:szCs w:val="20"/>
        </w:rPr>
        <w:t>e</w:t>
      </w:r>
      <w:r w:rsidRPr="00DA6357">
        <w:rPr>
          <w:rFonts w:eastAsia="Arial" w:cs="Arial"/>
          <w:b/>
          <w:bCs/>
          <w:szCs w:val="20"/>
        </w:rPr>
        <w:t xml:space="preserve"> spodbud</w:t>
      </w:r>
      <w:r w:rsidR="004B027F">
        <w:rPr>
          <w:rFonts w:eastAsia="Arial" w:cs="Arial"/>
          <w:b/>
          <w:bCs/>
          <w:szCs w:val="20"/>
        </w:rPr>
        <w:t>e</w:t>
      </w:r>
      <w:r w:rsidRPr="00DA6357">
        <w:rPr>
          <w:rFonts w:eastAsia="Arial" w:cs="Arial"/>
          <w:b/>
          <w:bCs/>
          <w:szCs w:val="20"/>
        </w:rPr>
        <w:t>)</w:t>
      </w:r>
    </w:p>
    <w:p w14:paraId="77A10708" w14:textId="39069CC7" w:rsidR="00DA6357" w:rsidRPr="00DA6357" w:rsidRDefault="006B3125" w:rsidP="00DA6357">
      <w:pPr>
        <w:rPr>
          <w:rFonts w:eastAsia="Arial" w:cs="Arial"/>
          <w:szCs w:val="20"/>
        </w:rPr>
      </w:pPr>
      <w:r>
        <w:rPr>
          <w:rFonts w:eastAsia="Arial" w:cs="Arial"/>
          <w:szCs w:val="20"/>
        </w:rPr>
        <w:t>Ta</w:t>
      </w:r>
      <w:r w:rsidR="00DA6357" w:rsidRPr="00DA6357">
        <w:rPr>
          <w:rFonts w:eastAsia="Arial" w:cs="Arial"/>
          <w:szCs w:val="20"/>
        </w:rPr>
        <w:t xml:space="preserve"> člen določa, da morajo prejemniki spodbud sporočati najkasneje v osmih dneh o vseh pomembnih spremembah ali novih dejstvih, ki vplivajo na upravičenost do prejete spodbude. Zajete so </w:t>
      </w:r>
      <w:r w:rsidR="00FB01EA">
        <w:rPr>
          <w:rFonts w:eastAsia="Arial" w:cs="Arial"/>
          <w:szCs w:val="20"/>
        </w:rPr>
        <w:t xml:space="preserve">tudi </w:t>
      </w:r>
      <w:r w:rsidR="00DA6357" w:rsidRPr="00DA6357">
        <w:rPr>
          <w:rFonts w:eastAsia="Arial" w:cs="Arial"/>
          <w:szCs w:val="20"/>
        </w:rPr>
        <w:t>določbe, ki v primeru seznanitve s spremembami stanja nalagajo odločanje operaterju trga po uradni dolžnosti, ki mora ugotoviti novo višino spodbude oziroma določiti pogoje za vrnitev neupravičenega dela spodbude.</w:t>
      </w:r>
    </w:p>
    <w:p w14:paraId="59D690EC" w14:textId="5B5C4D6F" w:rsidR="00FB7DA9" w:rsidRDefault="00FB7DA9" w:rsidP="00FB7DA9">
      <w:pPr>
        <w:rPr>
          <w:rFonts w:eastAsia="Arial" w:cs="Arial"/>
          <w:szCs w:val="20"/>
        </w:rPr>
      </w:pPr>
      <w:r>
        <w:rPr>
          <w:rFonts w:eastAsia="Arial" w:cs="Arial"/>
          <w:szCs w:val="20"/>
        </w:rPr>
        <w:t>Č</w:t>
      </w:r>
      <w:r w:rsidR="00DA6357" w:rsidRPr="00DA6357">
        <w:rPr>
          <w:rFonts w:eastAsia="Arial" w:cs="Arial"/>
          <w:szCs w:val="20"/>
        </w:rPr>
        <w:t>len določa</w:t>
      </w:r>
      <w:r>
        <w:rPr>
          <w:rFonts w:eastAsia="Arial" w:cs="Arial"/>
          <w:szCs w:val="20"/>
        </w:rPr>
        <w:t xml:space="preserve"> tudi</w:t>
      </w:r>
      <w:r w:rsidR="00DA6357" w:rsidRPr="00DA6357">
        <w:rPr>
          <w:rFonts w:eastAsia="Arial" w:cs="Arial"/>
          <w:szCs w:val="20"/>
        </w:rPr>
        <w:t>, da je potrebno prejemniku</w:t>
      </w:r>
      <w:r w:rsidR="00D96D58">
        <w:rPr>
          <w:rFonts w:eastAsia="Arial" w:cs="Arial"/>
          <w:szCs w:val="20"/>
        </w:rPr>
        <w:t xml:space="preserve"> </w:t>
      </w:r>
      <w:r w:rsidR="00DA6357" w:rsidRPr="00DA6357">
        <w:rPr>
          <w:rFonts w:eastAsia="Arial" w:cs="Arial"/>
          <w:szCs w:val="20"/>
        </w:rPr>
        <w:t>neupravičeno izplačane spodbude v primeru, ko je ta izvedena zaradi neresničnih navedb in podatkov prejemnika</w:t>
      </w:r>
      <w:r w:rsidR="00D96D58">
        <w:rPr>
          <w:rFonts w:eastAsia="Arial" w:cs="Arial"/>
          <w:szCs w:val="20"/>
        </w:rPr>
        <w:t xml:space="preserve">, </w:t>
      </w:r>
      <w:r w:rsidR="00D96D58" w:rsidRPr="00D96D58">
        <w:rPr>
          <w:rFonts w:eastAsia="Arial" w:cs="Arial"/>
          <w:szCs w:val="20"/>
        </w:rPr>
        <w:t>z odločbo operaterja trga</w:t>
      </w:r>
      <w:r w:rsidR="00D96D58">
        <w:rPr>
          <w:rFonts w:eastAsia="Arial" w:cs="Arial"/>
          <w:szCs w:val="20"/>
        </w:rPr>
        <w:t xml:space="preserve"> o odpravi odločbe o dodelitvi spodbude,</w:t>
      </w:r>
      <w:r w:rsidR="00DA6357" w:rsidRPr="00DA6357">
        <w:rPr>
          <w:rFonts w:eastAsia="Arial" w:cs="Arial"/>
          <w:szCs w:val="20"/>
        </w:rPr>
        <w:t xml:space="preserve"> naložiti vračilo neupravičeno izplačane spodbude skupaj z zakonskimi zamudnimi obrestmi, ki tečejo od dneva izdaje odločbe</w:t>
      </w:r>
      <w:r w:rsidR="00D96D58">
        <w:rPr>
          <w:rFonts w:eastAsia="Arial" w:cs="Arial"/>
          <w:szCs w:val="20"/>
        </w:rPr>
        <w:t xml:space="preserve"> o dodelitvi spodbude</w:t>
      </w:r>
      <w:r w:rsidR="00DA6357" w:rsidRPr="00DA6357">
        <w:rPr>
          <w:rFonts w:eastAsia="Arial" w:cs="Arial"/>
          <w:szCs w:val="20"/>
        </w:rPr>
        <w:t xml:space="preserve"> dalje do plačila</w:t>
      </w:r>
      <w:r w:rsidR="00DA6357" w:rsidRPr="00D96D58">
        <w:rPr>
          <w:rFonts w:eastAsia="Arial" w:cs="Arial"/>
          <w:szCs w:val="20"/>
        </w:rPr>
        <w:t>.</w:t>
      </w:r>
      <w:r w:rsidRPr="00D96D58">
        <w:rPr>
          <w:rFonts w:eastAsia="Arial" w:cs="Arial"/>
          <w:szCs w:val="20"/>
        </w:rPr>
        <w:t xml:space="preserve"> G</w:t>
      </w:r>
      <w:r w:rsidRPr="00FB7DA9">
        <w:rPr>
          <w:rFonts w:eastAsia="Arial" w:cs="Arial"/>
          <w:szCs w:val="20"/>
        </w:rPr>
        <w:t xml:space="preserve">re za posledice neresničnih podatkov ali neizpolnjevanja pogojev: odvzem spodbude in obveznost vračila neupravičeno prejetih sredstev z zamudnimi obrestmi. To je bistven instrument za varovanje integritete ukrepa. </w:t>
      </w:r>
    </w:p>
    <w:p w14:paraId="6B0386EE" w14:textId="02103533" w:rsidR="00D96D58" w:rsidRDefault="00D96D58" w:rsidP="00FB7DA9">
      <w:pPr>
        <w:rPr>
          <w:rFonts w:eastAsia="Arial" w:cs="Arial"/>
          <w:szCs w:val="20"/>
        </w:rPr>
      </w:pPr>
      <w:r>
        <w:rPr>
          <w:rFonts w:eastAsia="Arial" w:cs="Arial"/>
          <w:szCs w:val="20"/>
        </w:rPr>
        <w:t>Člen ureja tudi razmere, ko se okoliščine pri poslovanju prejemnika spodbude v letu, ko je bila zagotovljena spodbuda, spremenijo glede na napovedi iz vloge, ki imajo za posledico</w:t>
      </w:r>
      <w:r w:rsidR="00B32796">
        <w:rPr>
          <w:rFonts w:eastAsia="Arial" w:cs="Arial"/>
          <w:szCs w:val="20"/>
        </w:rPr>
        <w:t>, da npr. ni dosežena napovedana letna poraba električne energije</w:t>
      </w:r>
      <w:r w:rsidR="00031254">
        <w:rPr>
          <w:rFonts w:eastAsia="Arial" w:cs="Arial"/>
          <w:szCs w:val="20"/>
        </w:rPr>
        <w:t xml:space="preserve"> </w:t>
      </w:r>
      <w:r w:rsidR="00B373B1">
        <w:rPr>
          <w:rFonts w:eastAsia="Arial" w:cs="Arial"/>
          <w:szCs w:val="20"/>
        </w:rPr>
        <w:t xml:space="preserve">ali kak drug pogoj in je posledično </w:t>
      </w:r>
      <w:r w:rsidRPr="00D96D58">
        <w:rPr>
          <w:rFonts w:eastAsia="Arial" w:cs="Arial"/>
          <w:szCs w:val="20"/>
        </w:rPr>
        <w:t xml:space="preserve">prejemnik spodbude dolžan vrniti neupravičeno prejeta sredstva skupaj z zamudnimi obrestmi, določenimi v skladu </w:t>
      </w:r>
      <w:r w:rsidRPr="00D96D58">
        <w:rPr>
          <w:rFonts w:eastAsia="Arial" w:cs="Arial"/>
          <w:szCs w:val="20"/>
        </w:rPr>
        <w:lastRenderedPageBreak/>
        <w:t xml:space="preserve">z zakonom, ki ureja obrestno mero zamudnih obresti, na način, kot je določeno v </w:t>
      </w:r>
      <w:r w:rsidR="00E301C4">
        <w:rPr>
          <w:rFonts w:eastAsia="Arial" w:cs="Arial"/>
          <w:szCs w:val="20"/>
        </w:rPr>
        <w:t xml:space="preserve">odločbi </w:t>
      </w:r>
      <w:r w:rsidRPr="00D96D58">
        <w:rPr>
          <w:rFonts w:eastAsia="Arial" w:cs="Arial"/>
          <w:szCs w:val="20"/>
        </w:rPr>
        <w:t>operater</w:t>
      </w:r>
      <w:r w:rsidR="00E301C4">
        <w:rPr>
          <w:rFonts w:eastAsia="Arial" w:cs="Arial"/>
          <w:szCs w:val="20"/>
        </w:rPr>
        <w:t>ja</w:t>
      </w:r>
      <w:r w:rsidRPr="00D96D58">
        <w:rPr>
          <w:rFonts w:eastAsia="Arial" w:cs="Arial"/>
          <w:szCs w:val="20"/>
        </w:rPr>
        <w:t xml:space="preserve"> trga. Neupravičeno prejeta sredstva mora vrniti v 30 dneh po vročitvi </w:t>
      </w:r>
      <w:r w:rsidR="00E301C4">
        <w:rPr>
          <w:rFonts w:eastAsia="Arial" w:cs="Arial"/>
          <w:szCs w:val="20"/>
        </w:rPr>
        <w:t>odločbe</w:t>
      </w:r>
      <w:r w:rsidRPr="00D96D58">
        <w:rPr>
          <w:rFonts w:eastAsia="Arial" w:cs="Arial"/>
          <w:szCs w:val="20"/>
        </w:rPr>
        <w:t>, skupaj z zakonskimi zamudnimi obrestmi po zakonu, ki ureja predpisano obrestno mero zamudnih obresti, ki tečejo od dneva poteka roka za vračilo neupravičeno prejetih sredstev do dneva vračila.</w:t>
      </w:r>
    </w:p>
    <w:p w14:paraId="498DBC81" w14:textId="33A38FEC" w:rsidR="00796DC9" w:rsidRDefault="00796DC9" w:rsidP="00FB7DA9">
      <w:pPr>
        <w:rPr>
          <w:rFonts w:eastAsia="Arial" w:cs="Arial"/>
          <w:szCs w:val="20"/>
        </w:rPr>
      </w:pPr>
      <w:r w:rsidRPr="00796DC9">
        <w:rPr>
          <w:rFonts w:eastAsia="Arial" w:cs="Arial"/>
          <w:szCs w:val="20"/>
        </w:rPr>
        <w:t>Šesti odstavek eksplicitno določa, da se med spremenjene okoliščine v primeru podjetja v težavah, zaradi katere mora vrniti vsa prejeta sredstva, uvršča tudi sklenitev pravnega posla prejemnika spodbude v obdobju petih let od dodelitve spodbude o prenosu več kot 50 odstotkov v osnovnem kapitalu prejemnika spodbude, in sicer bodisi v obliki prodaje poslovnega deleža, delnic ali dokapitalizacije bodisi v obliki prenosa glasovalnih ali drugih pravic, na podlagi katerih je podana udeležba pri upravljanju prejemnika spodbude, na novega imetnika ali če dosedanji imetnik doseže omenjeni prag.</w:t>
      </w:r>
    </w:p>
    <w:p w14:paraId="1D3A2455" w14:textId="45E79F63" w:rsidR="00796DC9" w:rsidRDefault="00796DC9" w:rsidP="00FB7DA9">
      <w:pPr>
        <w:rPr>
          <w:rFonts w:eastAsia="Arial" w:cs="Arial"/>
          <w:szCs w:val="20"/>
        </w:rPr>
      </w:pPr>
      <w:r w:rsidRPr="00796DC9">
        <w:rPr>
          <w:rFonts w:eastAsia="Arial" w:cs="Arial"/>
          <w:szCs w:val="20"/>
        </w:rPr>
        <w:t>Sedmi odstavek določa, da mora prejemnik spodbude, ki je bil v času prejema le-te podjetje v težavah, le-to vrniti z zakonsko določenimi obrestmi v roku 30 dni tudi v primeru izplačila nagrad poslovodstvu oziroma dela plač za poslovno uspešnost poslovodstvu prejemnika ali njegove odvisne družbe v letih ali za leta, v katerih je bila dodeljena spodbuda.</w:t>
      </w:r>
    </w:p>
    <w:p w14:paraId="4909F1C4" w14:textId="77777777" w:rsidR="00D96D58" w:rsidRDefault="00D96D58" w:rsidP="00FB7DA9">
      <w:pPr>
        <w:rPr>
          <w:rFonts w:eastAsia="Arial" w:cs="Arial"/>
          <w:szCs w:val="20"/>
          <w:highlight w:val="yellow"/>
        </w:rPr>
      </w:pPr>
    </w:p>
    <w:p w14:paraId="2C71DE7F" w14:textId="7F085FA5" w:rsidR="008328E2" w:rsidRPr="0022423E" w:rsidRDefault="00E16E82" w:rsidP="008328E2">
      <w:pPr>
        <w:rPr>
          <w:rFonts w:eastAsia="Arial" w:cs="Arial"/>
          <w:b/>
          <w:bCs/>
          <w:szCs w:val="20"/>
        </w:rPr>
      </w:pPr>
      <w:r>
        <w:rPr>
          <w:rFonts w:eastAsia="Arial" w:cs="Arial"/>
          <w:b/>
          <w:bCs/>
          <w:szCs w:val="20"/>
        </w:rPr>
        <w:t>K 8. členu</w:t>
      </w:r>
      <w:r w:rsidR="008328E2" w:rsidRPr="0022423E">
        <w:rPr>
          <w:rFonts w:eastAsia="Arial" w:cs="Arial"/>
          <w:b/>
          <w:bCs/>
          <w:szCs w:val="20"/>
        </w:rPr>
        <w:t xml:space="preserve"> (pridobivanje in obdelava podatkov ter hramba)</w:t>
      </w:r>
    </w:p>
    <w:p w14:paraId="7797B2CB" w14:textId="1B5E78CC" w:rsidR="00DA6357" w:rsidRDefault="008328E2" w:rsidP="008328E2">
      <w:pPr>
        <w:rPr>
          <w:rFonts w:eastAsia="Arial" w:cs="Arial"/>
          <w:szCs w:val="20"/>
        </w:rPr>
      </w:pPr>
      <w:r>
        <w:rPr>
          <w:rFonts w:eastAsia="Arial" w:cs="Arial"/>
          <w:szCs w:val="20"/>
        </w:rPr>
        <w:t>Ta člen</w:t>
      </w:r>
      <w:r w:rsidRPr="008328E2">
        <w:rPr>
          <w:rFonts w:eastAsia="Arial" w:cs="Arial"/>
          <w:szCs w:val="20"/>
        </w:rPr>
        <w:t xml:space="preserve"> določa, da operater trga lahko za izvajanje tega zakona dostopa do podatkov o merilnih mestih in o porabi upravičencev, kar morajo brezplačno zagotoviti operater prenosnega in distribucijskega omrežja in elektrodistribucijska podjetja. </w:t>
      </w:r>
    </w:p>
    <w:p w14:paraId="11B2FD60" w14:textId="74F279C4" w:rsidR="00DA6357" w:rsidRDefault="0022423E" w:rsidP="00DA6357">
      <w:pPr>
        <w:rPr>
          <w:rFonts w:eastAsia="Arial" w:cs="Arial"/>
          <w:szCs w:val="20"/>
        </w:rPr>
      </w:pPr>
      <w:r w:rsidRPr="0022423E">
        <w:rPr>
          <w:rFonts w:eastAsia="Arial" w:cs="Arial"/>
          <w:szCs w:val="20"/>
        </w:rPr>
        <w:t>V tem členu je določen tudi 10 letni rok hrambe dokumentacije v zvezi z dodeljenimi spodbudami iz tega zakona.</w:t>
      </w:r>
    </w:p>
    <w:p w14:paraId="3C02C32E" w14:textId="77777777" w:rsidR="00DB4F66" w:rsidRDefault="00DB4F66" w:rsidP="00CD24FA">
      <w:pPr>
        <w:rPr>
          <w:rFonts w:eastAsia="Times New Roman" w:cs="Times New Roman"/>
          <w:b/>
          <w:bCs/>
        </w:rPr>
      </w:pPr>
    </w:p>
    <w:p w14:paraId="225DF194" w14:textId="68345DE3" w:rsidR="00CD24FA" w:rsidRPr="00DA6357" w:rsidRDefault="00CD24FA" w:rsidP="00CD24FA">
      <w:pPr>
        <w:rPr>
          <w:rFonts w:eastAsia="Arial" w:cs="Arial"/>
          <w:b/>
          <w:bCs/>
          <w:szCs w:val="20"/>
        </w:rPr>
      </w:pPr>
      <w:r w:rsidRPr="00DA6357">
        <w:rPr>
          <w:rFonts w:eastAsia="Times New Roman" w:cs="Times New Roman"/>
          <w:b/>
          <w:bCs/>
        </w:rPr>
        <w:t xml:space="preserve">K </w:t>
      </w:r>
      <w:r w:rsidR="00BE1F55">
        <w:rPr>
          <w:rFonts w:eastAsia="Times New Roman" w:cs="Times New Roman"/>
          <w:b/>
          <w:bCs/>
        </w:rPr>
        <w:t>9</w:t>
      </w:r>
      <w:r w:rsidRPr="00DA6357">
        <w:rPr>
          <w:rFonts w:eastAsia="Times New Roman" w:cs="Times New Roman"/>
          <w:b/>
          <w:bCs/>
        </w:rPr>
        <w:t xml:space="preserve">. </w:t>
      </w:r>
      <w:r w:rsidRPr="00DA6357">
        <w:rPr>
          <w:rFonts w:eastAsia="Arial" w:cs="Arial"/>
          <w:b/>
          <w:bCs/>
          <w:szCs w:val="20"/>
        </w:rPr>
        <w:t>členu (upravičene naložbe v razogljičenje)</w:t>
      </w:r>
    </w:p>
    <w:p w14:paraId="09098A7E" w14:textId="7821409D" w:rsidR="00CD24FA" w:rsidRPr="00DA6357" w:rsidRDefault="00CD24FA" w:rsidP="00CD24FA">
      <w:pPr>
        <w:rPr>
          <w:rFonts w:eastAsia="Arial" w:cs="Arial"/>
          <w:szCs w:val="20"/>
        </w:rPr>
      </w:pPr>
      <w:r>
        <w:rPr>
          <w:rFonts w:eastAsia="Arial" w:cs="Arial"/>
          <w:szCs w:val="20"/>
        </w:rPr>
        <w:t>Ta</w:t>
      </w:r>
      <w:r w:rsidRPr="00DA6357">
        <w:rPr>
          <w:rFonts w:eastAsia="Arial" w:cs="Arial"/>
          <w:szCs w:val="20"/>
        </w:rPr>
        <w:t xml:space="preserve"> člen natančno določa, za kakšne naložbe v razogljičenje morajo prejemniki uporabiti vsaj 50 % </w:t>
      </w:r>
      <w:r w:rsidR="00BE1F55">
        <w:rPr>
          <w:rFonts w:eastAsia="Arial" w:cs="Arial"/>
          <w:szCs w:val="20"/>
        </w:rPr>
        <w:t xml:space="preserve">višine zneska </w:t>
      </w:r>
      <w:r w:rsidRPr="00DA6357">
        <w:rPr>
          <w:rFonts w:eastAsia="Arial" w:cs="Arial"/>
          <w:szCs w:val="20"/>
        </w:rPr>
        <w:t xml:space="preserve">prejetih spodbud. </w:t>
      </w:r>
    </w:p>
    <w:p w14:paraId="4E12C170" w14:textId="77777777" w:rsidR="00CD24FA" w:rsidRPr="00DA6357" w:rsidRDefault="00CD24FA" w:rsidP="001C6D70">
      <w:pPr>
        <w:rPr>
          <w:rFonts w:eastAsia="Arial" w:cs="Arial"/>
          <w:szCs w:val="20"/>
        </w:rPr>
      </w:pPr>
      <w:r w:rsidRPr="00DA6357">
        <w:rPr>
          <w:rFonts w:eastAsia="Arial" w:cs="Arial"/>
          <w:szCs w:val="20"/>
        </w:rPr>
        <w:t>Kot upravičene naložbe so opredeljene naložbe v trajnostne tehnologije, kot so na primer:</w:t>
      </w:r>
    </w:p>
    <w:p w14:paraId="4093D255" w14:textId="77777777" w:rsidR="00CD24FA" w:rsidRPr="00DA6357" w:rsidRDefault="00CD24FA" w:rsidP="001C6D70">
      <w:pPr>
        <w:numPr>
          <w:ilvl w:val="0"/>
          <w:numId w:val="94"/>
        </w:numPr>
        <w:spacing w:after="160" w:line="259" w:lineRule="auto"/>
        <w:contextualSpacing/>
        <w:rPr>
          <w:rFonts w:eastAsia="Arial" w:cs="Arial"/>
          <w:kern w:val="2"/>
          <w:szCs w:val="20"/>
          <w14:ligatures w14:val="standardContextual"/>
        </w:rPr>
      </w:pPr>
      <w:r w:rsidRPr="00DA6357">
        <w:rPr>
          <w:rFonts w:eastAsia="Arial" w:cs="Arial"/>
          <w:kern w:val="2"/>
          <w:szCs w:val="20"/>
          <w14:ligatures w14:val="standardContextual"/>
        </w:rPr>
        <w:t xml:space="preserve">naprave za proizvodnjo energije iz obnovljivih virov, </w:t>
      </w:r>
    </w:p>
    <w:p w14:paraId="01F8EF42" w14:textId="77777777" w:rsidR="00CD24FA" w:rsidRPr="00DA6357" w:rsidRDefault="00CD24FA" w:rsidP="001C6D70">
      <w:pPr>
        <w:numPr>
          <w:ilvl w:val="0"/>
          <w:numId w:val="94"/>
        </w:numPr>
        <w:spacing w:after="160" w:line="259" w:lineRule="auto"/>
        <w:contextualSpacing/>
        <w:rPr>
          <w:rFonts w:eastAsia="Arial" w:cs="Arial"/>
          <w:kern w:val="2"/>
          <w:szCs w:val="20"/>
          <w14:ligatures w14:val="standardContextual"/>
        </w:rPr>
      </w:pPr>
      <w:r w:rsidRPr="00DA6357">
        <w:rPr>
          <w:rFonts w:eastAsia="Arial" w:cs="Arial"/>
          <w:kern w:val="2"/>
          <w:szCs w:val="20"/>
          <w14:ligatures w14:val="standardContextual"/>
        </w:rPr>
        <w:t>baterijski hranilniki električne energije in druge tehnološke rešitve za shranjevanje energije,</w:t>
      </w:r>
    </w:p>
    <w:p w14:paraId="45FF6B6D" w14:textId="77777777" w:rsidR="00CD24FA" w:rsidRPr="00DA6357" w:rsidRDefault="00CD24FA" w:rsidP="001C6D70">
      <w:pPr>
        <w:numPr>
          <w:ilvl w:val="0"/>
          <w:numId w:val="94"/>
        </w:numPr>
        <w:spacing w:after="160" w:line="259" w:lineRule="auto"/>
        <w:contextualSpacing/>
        <w:rPr>
          <w:rFonts w:eastAsia="Arial" w:cs="Arial"/>
          <w:kern w:val="2"/>
          <w:szCs w:val="20"/>
          <w14:ligatures w14:val="standardContextual"/>
        </w:rPr>
      </w:pPr>
      <w:r w:rsidRPr="00DA6357">
        <w:rPr>
          <w:rFonts w:eastAsia="Arial" w:cs="Arial"/>
          <w:kern w:val="2"/>
          <w:szCs w:val="20"/>
          <w14:ligatures w14:val="standardContextual"/>
        </w:rPr>
        <w:t xml:space="preserve">ukrepi za povečanje prožnost na strani povpraševanja po električni energiji, </w:t>
      </w:r>
    </w:p>
    <w:p w14:paraId="72C91421" w14:textId="77777777" w:rsidR="00CD24FA" w:rsidRPr="00DA6357" w:rsidRDefault="00CD24FA" w:rsidP="001C6D70">
      <w:pPr>
        <w:numPr>
          <w:ilvl w:val="0"/>
          <w:numId w:val="94"/>
        </w:numPr>
        <w:spacing w:after="160" w:line="259" w:lineRule="auto"/>
        <w:contextualSpacing/>
        <w:rPr>
          <w:rFonts w:eastAsia="Arial" w:cs="Arial"/>
          <w:kern w:val="2"/>
          <w:szCs w:val="20"/>
          <w14:ligatures w14:val="standardContextual"/>
        </w:rPr>
      </w:pPr>
      <w:r w:rsidRPr="00DA6357">
        <w:rPr>
          <w:rFonts w:eastAsia="Arial" w:cs="Arial"/>
          <w:kern w:val="2"/>
          <w:szCs w:val="20"/>
          <w14:ligatures w14:val="standardContextual"/>
        </w:rPr>
        <w:t xml:space="preserve">zamenjava transformatorjev z bolj energetsko učinkovitimi in posodobitve VN/SN/NN razdelilnih naprav ter ostali ukrepi za izboljšanja energetske učinkovitosti, ki vplivajo na znižanje porabe električne energije, </w:t>
      </w:r>
    </w:p>
    <w:p w14:paraId="27163D89" w14:textId="77777777" w:rsidR="00CD24FA" w:rsidRPr="00DA6357" w:rsidRDefault="00CD24FA" w:rsidP="001C6D70">
      <w:pPr>
        <w:numPr>
          <w:ilvl w:val="0"/>
          <w:numId w:val="94"/>
        </w:numPr>
        <w:spacing w:after="160" w:line="259" w:lineRule="auto"/>
        <w:contextualSpacing/>
        <w:rPr>
          <w:rFonts w:eastAsia="Arial" w:cs="Arial"/>
          <w:kern w:val="2"/>
          <w:szCs w:val="20"/>
          <w14:ligatures w14:val="standardContextual"/>
        </w:rPr>
      </w:pPr>
      <w:r w:rsidRPr="00DA6357">
        <w:rPr>
          <w:rFonts w:eastAsia="Arial" w:cs="Arial"/>
          <w:kern w:val="2"/>
          <w:szCs w:val="20"/>
          <w14:ligatures w14:val="standardContextual"/>
        </w:rPr>
        <w:t>sistemi izrabe odvečne toplote,</w:t>
      </w:r>
    </w:p>
    <w:p w14:paraId="1B437AE0" w14:textId="77777777" w:rsidR="00CD24FA" w:rsidRPr="00DA6357" w:rsidRDefault="00CD24FA" w:rsidP="001C6D70">
      <w:pPr>
        <w:numPr>
          <w:ilvl w:val="0"/>
          <w:numId w:val="94"/>
        </w:numPr>
        <w:spacing w:after="160" w:line="259" w:lineRule="auto"/>
        <w:contextualSpacing/>
        <w:rPr>
          <w:rFonts w:eastAsia="Arial" w:cs="Arial"/>
          <w:kern w:val="2"/>
          <w:szCs w:val="20"/>
          <w14:ligatures w14:val="standardContextual"/>
        </w:rPr>
      </w:pPr>
      <w:r w:rsidRPr="00DA6357">
        <w:rPr>
          <w:rFonts w:eastAsia="Arial" w:cs="Arial"/>
          <w:kern w:val="2"/>
          <w:szCs w:val="20"/>
          <w14:ligatures w14:val="standardContextual"/>
        </w:rPr>
        <w:t>elektrolizatorji in pripadajoča oprema za proizvodnjo obnovljivega ali nizkoogljičnega vodika ali drugih zelenih goriv,</w:t>
      </w:r>
    </w:p>
    <w:p w14:paraId="06CDAF82" w14:textId="77777777" w:rsidR="00CD24FA" w:rsidRPr="00DA6357" w:rsidRDefault="00CD24FA" w:rsidP="001C6D70">
      <w:pPr>
        <w:numPr>
          <w:ilvl w:val="0"/>
          <w:numId w:val="94"/>
        </w:numPr>
        <w:spacing w:after="160" w:line="259" w:lineRule="auto"/>
        <w:contextualSpacing/>
        <w:rPr>
          <w:rFonts w:eastAsia="Arial" w:cs="Arial"/>
          <w:kern w:val="2"/>
          <w:szCs w:val="20"/>
          <w14:ligatures w14:val="standardContextual"/>
        </w:rPr>
      </w:pPr>
      <w:r w:rsidRPr="00DA6357">
        <w:rPr>
          <w:rFonts w:eastAsia="Arial" w:cs="Arial"/>
          <w:kern w:val="2"/>
          <w:szCs w:val="20"/>
          <w14:ligatures w14:val="standardContextual"/>
        </w:rPr>
        <w:t xml:space="preserve">naložbe v elektrifikacijo, s katerimi se zmanjšuje poraba fosilnih energentov. </w:t>
      </w:r>
    </w:p>
    <w:p w14:paraId="0C70D67C" w14:textId="77777777" w:rsidR="001C6D70" w:rsidRDefault="001C6D70" w:rsidP="001C6D70">
      <w:pPr>
        <w:rPr>
          <w:rFonts w:eastAsia="Arial" w:cs="Arial"/>
          <w:szCs w:val="20"/>
        </w:rPr>
      </w:pPr>
    </w:p>
    <w:p w14:paraId="1BD2B052" w14:textId="2D7D4463" w:rsidR="00CD24FA" w:rsidRDefault="001C6D70" w:rsidP="001C6D70">
      <w:pPr>
        <w:rPr>
          <w:rFonts w:eastAsia="Arial" w:cs="Arial"/>
          <w:szCs w:val="20"/>
        </w:rPr>
      </w:pPr>
      <w:r>
        <w:rPr>
          <w:rFonts w:eastAsia="Arial" w:cs="Arial"/>
          <w:szCs w:val="20"/>
        </w:rPr>
        <w:t>Ta člen</w:t>
      </w:r>
      <w:r w:rsidR="00CD24FA" w:rsidRPr="00DA6357">
        <w:rPr>
          <w:rFonts w:eastAsia="Arial" w:cs="Arial"/>
          <w:szCs w:val="20"/>
        </w:rPr>
        <w:t xml:space="preserve"> določa </w:t>
      </w:r>
      <w:r>
        <w:rPr>
          <w:rFonts w:eastAsia="Arial" w:cs="Arial"/>
          <w:szCs w:val="20"/>
        </w:rPr>
        <w:t xml:space="preserve">tudi </w:t>
      </w:r>
      <w:r w:rsidR="00CD24FA" w:rsidRPr="00DA6357">
        <w:rPr>
          <w:rFonts w:eastAsia="Arial" w:cs="Arial"/>
          <w:szCs w:val="20"/>
        </w:rPr>
        <w:t xml:space="preserve">prepoved dvojnega financiranja. Skladno s točko 122 CISAF za naložbe, ki jih morajo izpeljati, upravičenci ne smejo prejemati pomoči iz nobenega drugega ukrepa državnih pomoči. </w:t>
      </w:r>
    </w:p>
    <w:p w14:paraId="22D2F527" w14:textId="77777777" w:rsidR="00CD24FA" w:rsidRPr="00DA6357" w:rsidRDefault="00CD24FA" w:rsidP="00CD24FA">
      <w:pPr>
        <w:rPr>
          <w:rFonts w:eastAsia="Arial" w:cs="Arial"/>
          <w:szCs w:val="20"/>
        </w:rPr>
      </w:pPr>
    </w:p>
    <w:p w14:paraId="121390EB" w14:textId="05720BF8" w:rsidR="00CD24FA" w:rsidRPr="00DA6357" w:rsidRDefault="00CD24FA" w:rsidP="00CD24FA">
      <w:pPr>
        <w:rPr>
          <w:rFonts w:eastAsia="Arial" w:cs="Arial"/>
          <w:b/>
          <w:bCs/>
          <w:szCs w:val="20"/>
        </w:rPr>
      </w:pPr>
      <w:r w:rsidRPr="00DA6357">
        <w:rPr>
          <w:rFonts w:eastAsia="Arial" w:cs="Arial"/>
          <w:b/>
          <w:bCs/>
          <w:szCs w:val="20"/>
        </w:rPr>
        <w:t xml:space="preserve">K </w:t>
      </w:r>
      <w:r w:rsidR="000C096B">
        <w:rPr>
          <w:rFonts w:eastAsia="Arial" w:cs="Arial"/>
          <w:b/>
          <w:bCs/>
          <w:szCs w:val="20"/>
        </w:rPr>
        <w:t>10</w:t>
      </w:r>
      <w:r w:rsidRPr="00DA6357">
        <w:rPr>
          <w:rFonts w:eastAsia="Arial" w:cs="Arial"/>
          <w:b/>
          <w:bCs/>
          <w:szCs w:val="20"/>
        </w:rPr>
        <w:t>. členu (obveznosti glede naložb)</w:t>
      </w:r>
    </w:p>
    <w:p w14:paraId="13AB403F" w14:textId="546343F6" w:rsidR="00CD24FA" w:rsidRDefault="00CD24FA" w:rsidP="00CD24FA">
      <w:pPr>
        <w:rPr>
          <w:rFonts w:eastAsia="Arial" w:cs="Arial"/>
          <w:szCs w:val="20"/>
        </w:rPr>
      </w:pPr>
      <w:r w:rsidRPr="00DA6357">
        <w:rPr>
          <w:rFonts w:eastAsia="Arial" w:cs="Arial"/>
          <w:szCs w:val="20"/>
        </w:rPr>
        <w:t xml:space="preserve">Zakon upošteva, da gre pri trajnostnih naložbah pogosto za kapitalsko zahtevne in kompleksne projekte, ki zahtevajo večletno načrtovanje, hkrati pa zagotavlja, da bodo naložbe časovno omejene, da se izogne nepotrebnemu odlašanju. </w:t>
      </w:r>
      <w:r w:rsidR="00CB0B58">
        <w:rPr>
          <w:rFonts w:eastAsia="Arial" w:cs="Arial"/>
          <w:szCs w:val="20"/>
        </w:rPr>
        <w:t>Ta</w:t>
      </w:r>
      <w:r w:rsidRPr="00DA6357">
        <w:rPr>
          <w:rFonts w:eastAsia="Arial" w:cs="Arial"/>
          <w:szCs w:val="20"/>
        </w:rPr>
        <w:t xml:space="preserve"> člen tako določa časovne in vsebinske obveznosti glede uresničevanja naložb v razogljičenje. Naložbe je treba začeti izvajati najkasneje v 48 mesecih od dodelitve spodbude, z možnostjo podaljšanja roka iz tehničnih razlogov, ki jih upravičenec obrazloži v vlogi. </w:t>
      </w:r>
      <w:r w:rsidR="00235ABF">
        <w:rPr>
          <w:rFonts w:eastAsia="Arial" w:cs="Arial"/>
          <w:szCs w:val="20"/>
        </w:rPr>
        <w:t>Kot tehnični razlogi so v skladu s 122. točko CISAF mišljeni razlogi</w:t>
      </w:r>
      <w:r w:rsidR="007B33BE">
        <w:rPr>
          <w:rFonts w:eastAsia="Arial" w:cs="Arial"/>
          <w:szCs w:val="20"/>
        </w:rPr>
        <w:t xml:space="preserve">, ki niso posledica ravnanja ali opustitev </w:t>
      </w:r>
      <w:r w:rsidR="006F7898">
        <w:rPr>
          <w:rFonts w:eastAsia="Arial" w:cs="Arial"/>
          <w:szCs w:val="20"/>
        </w:rPr>
        <w:lastRenderedPageBreak/>
        <w:t>prejemnika spodbude, ampak do zamud prihaja zaradi težav pri pridobivanju dovoljenj, izpolnjevanja rokov s strani dobaviteljev ali izvajalcev tehnologij, pridobivanje kreditnih možnosti itd.</w:t>
      </w:r>
      <w:r w:rsidR="00235ABF">
        <w:rPr>
          <w:rFonts w:eastAsia="Arial" w:cs="Arial"/>
          <w:szCs w:val="20"/>
        </w:rPr>
        <w:t xml:space="preserve"> </w:t>
      </w:r>
      <w:r w:rsidRPr="00DA6357">
        <w:rPr>
          <w:rFonts w:eastAsia="Arial" w:cs="Arial"/>
          <w:szCs w:val="20"/>
        </w:rPr>
        <w:t xml:space="preserve">Zagotavlja se tudi možnost, da se spodbude iz več let kumulativno namenijo za eno naložbo, saj se mora upoštevati, da gre pogosto za kapitalsko zahtevne in kompleksne projekte, ki zahtevajo večletno načrtovanje, hkrati pa so naložbe časovno omejene. </w:t>
      </w:r>
      <w:r w:rsidR="00CB0B58">
        <w:rPr>
          <w:rFonts w:eastAsia="Arial" w:cs="Arial"/>
          <w:szCs w:val="20"/>
        </w:rPr>
        <w:t xml:space="preserve">Člen določa tudi, da mora </w:t>
      </w:r>
      <w:r w:rsidR="00CB0B58" w:rsidRPr="00CB0B58">
        <w:rPr>
          <w:rFonts w:eastAsia="Arial" w:cs="Arial"/>
          <w:szCs w:val="20"/>
        </w:rPr>
        <w:t>u</w:t>
      </w:r>
      <w:r w:rsidR="001C6D70" w:rsidRPr="00CB0B58">
        <w:rPr>
          <w:rFonts w:eastAsia="Arial" w:cs="Arial"/>
          <w:szCs w:val="20"/>
        </w:rPr>
        <w:t>pravičenec, ki prejme spodbudo po tem zakonu, ostati lastnik naložbe še najmanj 5 let po njenem dokončanju.</w:t>
      </w:r>
    </w:p>
    <w:p w14:paraId="1B9D3DBE" w14:textId="77777777" w:rsidR="00CE33CD" w:rsidRPr="00CE33CD" w:rsidRDefault="00CE33CD" w:rsidP="00CE33CD">
      <w:pPr>
        <w:rPr>
          <w:rFonts w:eastAsia="Arial" w:cs="Arial"/>
          <w:szCs w:val="20"/>
        </w:rPr>
      </w:pPr>
      <w:r w:rsidRPr="00CE33CD">
        <w:rPr>
          <w:rFonts w:eastAsia="Arial" w:cs="Arial"/>
          <w:szCs w:val="20"/>
        </w:rPr>
        <w:t>Ta člen uvaja tudi pomembno omejitev razdelitve dobička in finančnih transakcij do izvedbe naložb v razogljičenje, na katere se je upravičenec zavezal v vlogi, tako da se omejuje izplačilo dividend in odkup lastnih deležev, omejuje se odobritev posojil lastnikom ali povezanim osebam, hkrati pa se določa, da spodbuda ne sme biti vir sredstev za takšna izplačila ali posojila. S tem zakon zasleduje cilj, da bodo imele spodbude dejansko funkcijo blaženja stroškov električne energije in financiranja razogljičenja, ne pa povečanja drugih koristi lastnikom.</w:t>
      </w:r>
    </w:p>
    <w:p w14:paraId="43E1E2B9" w14:textId="7A566D40" w:rsidR="00CE33CD" w:rsidRPr="00DA6357" w:rsidRDefault="00CE33CD" w:rsidP="00CE33CD">
      <w:pPr>
        <w:rPr>
          <w:rFonts w:eastAsia="Arial" w:cs="Arial"/>
          <w:szCs w:val="20"/>
        </w:rPr>
      </w:pPr>
      <w:r w:rsidRPr="00CE33CD">
        <w:rPr>
          <w:rFonts w:eastAsia="Arial" w:cs="Arial"/>
          <w:szCs w:val="20"/>
        </w:rPr>
        <w:t>Ta člen je ključni element povezave med kratkoročno pomočjo za ceno elektrike in dolgoročnim razogljičenjem industrije ter sledi zahtevam CISAF, da se takšne pomoči vežejo na konkretne naložbene zaveze. Določeno je, da se kot primerne naložbe priznajo le naložbe v novo opremo. Investicije za nakup rabljenih, obnovljenih, pilotnih in prototipnih naprav, ukrepov se ne štejejo za naložbe po tem zakonu.</w:t>
      </w:r>
    </w:p>
    <w:p w14:paraId="62639563" w14:textId="77777777" w:rsidR="00CD24FA" w:rsidRPr="00DA6357" w:rsidRDefault="00CD24FA" w:rsidP="00DA6357">
      <w:pPr>
        <w:rPr>
          <w:rFonts w:eastAsia="Arial" w:cs="Arial"/>
          <w:szCs w:val="20"/>
        </w:rPr>
      </w:pPr>
    </w:p>
    <w:p w14:paraId="1AAF0772" w14:textId="03083F4F" w:rsidR="00DA6357" w:rsidRPr="00DA6357" w:rsidRDefault="00DA6357" w:rsidP="00DA6357">
      <w:pPr>
        <w:rPr>
          <w:rFonts w:eastAsia="Arial" w:cs="Arial"/>
          <w:b/>
          <w:bCs/>
          <w:szCs w:val="20"/>
        </w:rPr>
      </w:pPr>
      <w:bookmarkStart w:id="49" w:name="_Hlk214966503"/>
      <w:r w:rsidRPr="00DA6357">
        <w:rPr>
          <w:rFonts w:eastAsia="Arial" w:cs="Arial"/>
          <w:b/>
          <w:bCs/>
          <w:szCs w:val="20"/>
        </w:rPr>
        <w:t>K 1</w:t>
      </w:r>
      <w:r w:rsidR="00280958">
        <w:rPr>
          <w:rFonts w:eastAsia="Arial" w:cs="Arial"/>
          <w:b/>
          <w:bCs/>
          <w:szCs w:val="20"/>
        </w:rPr>
        <w:t>1</w:t>
      </w:r>
      <w:r w:rsidRPr="00DA6357">
        <w:rPr>
          <w:rFonts w:eastAsia="Arial" w:cs="Arial"/>
          <w:b/>
          <w:bCs/>
          <w:szCs w:val="20"/>
        </w:rPr>
        <w:t xml:space="preserve">. členu </w:t>
      </w:r>
      <w:bookmarkEnd w:id="49"/>
      <w:r w:rsidRPr="00DA6357">
        <w:rPr>
          <w:rFonts w:eastAsia="Arial" w:cs="Arial"/>
          <w:b/>
          <w:bCs/>
          <w:szCs w:val="20"/>
        </w:rPr>
        <w:t>(zagotavljanje sredstev)</w:t>
      </w:r>
    </w:p>
    <w:p w14:paraId="47BD6366" w14:textId="395D3977" w:rsidR="00DA6357" w:rsidRPr="00DA6357" w:rsidRDefault="00B57C8E" w:rsidP="00DA6357">
      <w:pPr>
        <w:rPr>
          <w:rFonts w:eastAsia="Arial" w:cs="Arial"/>
          <w:szCs w:val="20"/>
        </w:rPr>
      </w:pPr>
      <w:r>
        <w:rPr>
          <w:rFonts w:eastAsia="Arial" w:cs="Arial"/>
          <w:szCs w:val="20"/>
        </w:rPr>
        <w:t>Ta</w:t>
      </w:r>
      <w:r w:rsidR="00DA6357" w:rsidRPr="00DA6357">
        <w:rPr>
          <w:rFonts w:eastAsia="Arial" w:cs="Arial"/>
          <w:szCs w:val="20"/>
        </w:rPr>
        <w:t xml:space="preserve"> člen ureja višino in razpoložljivost sredstev za izvajanje ukrepa ter določa vlogo vlade.</w:t>
      </w:r>
    </w:p>
    <w:p w14:paraId="26765E42" w14:textId="2975D9FB" w:rsidR="00DA6357" w:rsidRPr="00DA6357" w:rsidRDefault="00DA6357" w:rsidP="00DA6357">
      <w:pPr>
        <w:rPr>
          <w:rFonts w:eastAsia="Arial" w:cs="Arial"/>
          <w:szCs w:val="20"/>
        </w:rPr>
      </w:pPr>
      <w:r w:rsidRPr="00DA6357">
        <w:rPr>
          <w:rFonts w:eastAsia="Arial" w:cs="Arial"/>
          <w:szCs w:val="20"/>
        </w:rPr>
        <w:t xml:space="preserve">Vlada </w:t>
      </w:r>
      <w:r w:rsidR="00492ACA">
        <w:rPr>
          <w:rFonts w:eastAsia="Arial" w:cs="Arial"/>
          <w:szCs w:val="20"/>
        </w:rPr>
        <w:t>(</w:t>
      </w:r>
      <w:r w:rsidRPr="00DA6357">
        <w:rPr>
          <w:rFonts w:eastAsia="Arial" w:cs="Arial"/>
          <w:szCs w:val="20"/>
        </w:rPr>
        <w:t>do vključno leta 2028</w:t>
      </w:r>
      <w:r w:rsidR="00492ACA">
        <w:rPr>
          <w:rFonts w:eastAsia="Arial" w:cs="Arial"/>
          <w:szCs w:val="20"/>
        </w:rPr>
        <w:t>)</w:t>
      </w:r>
      <w:r w:rsidRPr="00DA6357">
        <w:rPr>
          <w:rFonts w:eastAsia="Arial" w:cs="Arial"/>
          <w:szCs w:val="20"/>
        </w:rPr>
        <w:t xml:space="preserve"> vsako leto najkasneje do 31. januarja s sklepom določi razpoložljiv letni skupni znesek sredstev in najvišjo možno spodbudo v EUR/MWh, ki je odvisna od ocene potrebne količine električne energije, ki jo bo potrebno v določenem letu podpreti.</w:t>
      </w:r>
      <w:r w:rsidR="00492ACA">
        <w:rPr>
          <w:rFonts w:eastAsia="Arial" w:cs="Arial"/>
          <w:szCs w:val="20"/>
        </w:rPr>
        <w:t xml:space="preserve"> </w:t>
      </w:r>
      <w:r w:rsidRPr="00DA6357">
        <w:rPr>
          <w:rFonts w:eastAsia="Arial" w:cs="Arial"/>
          <w:szCs w:val="20"/>
        </w:rPr>
        <w:t>Sklep se objavi v Uradnem listu, kar zagotavlja transparentnost.</w:t>
      </w:r>
    </w:p>
    <w:p w14:paraId="0934AD39" w14:textId="3CCF9FDF" w:rsidR="00DA6357" w:rsidRPr="00DA6357" w:rsidRDefault="00DA6357" w:rsidP="00DA6357">
      <w:pPr>
        <w:rPr>
          <w:rFonts w:eastAsia="Arial" w:cs="Arial"/>
          <w:szCs w:val="20"/>
        </w:rPr>
      </w:pPr>
      <w:r w:rsidRPr="00DA6357">
        <w:rPr>
          <w:rFonts w:eastAsia="Arial" w:cs="Arial"/>
          <w:szCs w:val="20"/>
        </w:rPr>
        <w:t>Operater trga na podlagi prejetih vlog preveri napoved porabe in ugotovi morebitna odstopanja od razpoložljivih sredstev. Če so potrebe večje, mora sorazmerno znižati najvišjo spodbudo v EUR/MWh in objaviti povprečno spodbudo v EUR/MWh na svoji spletni strani.</w:t>
      </w:r>
      <w:r w:rsidR="00761453">
        <w:rPr>
          <w:rFonts w:eastAsia="Arial" w:cs="Arial"/>
          <w:szCs w:val="20"/>
        </w:rPr>
        <w:t xml:space="preserve"> </w:t>
      </w:r>
      <w:r w:rsidRPr="00DA6357">
        <w:rPr>
          <w:rFonts w:eastAsia="Arial" w:cs="Arial"/>
          <w:szCs w:val="20"/>
        </w:rPr>
        <w:t>S tem se zagotavlja, da je ukrep omejen z razpoložljivim proračunom in da so morebitna preseganja rešena sorazmerno in transparentno.</w:t>
      </w:r>
    </w:p>
    <w:p w14:paraId="44E628B7" w14:textId="7D789D0A" w:rsidR="00DA6357" w:rsidRDefault="00DA6357" w:rsidP="00DA6357">
      <w:pPr>
        <w:rPr>
          <w:rFonts w:eastAsia="Arial" w:cs="Arial"/>
          <w:szCs w:val="20"/>
        </w:rPr>
      </w:pPr>
      <w:r w:rsidRPr="00AE488F">
        <w:rPr>
          <w:rFonts w:eastAsia="Arial" w:cs="Arial"/>
          <w:szCs w:val="20"/>
        </w:rPr>
        <w:t>V nadaljevanju člen določa zavezance za zagotavljanje sredstev: to so tiste družbe v 100 % državni lasti, ki imajo v neposredni ali posredni lasti elektrarne s skupno močjo nad 400 MW</w:t>
      </w:r>
      <w:r w:rsidRPr="00AE488F">
        <w:rPr>
          <w:rFonts w:eastAsia="Times New Roman" w:cs="Times New Roman"/>
        </w:rPr>
        <w:t xml:space="preserve"> in ne</w:t>
      </w:r>
      <w:r w:rsidRPr="00AE488F">
        <w:rPr>
          <w:rFonts w:eastAsia="Arial" w:cs="Arial"/>
          <w:szCs w:val="20"/>
        </w:rPr>
        <w:t xml:space="preserve"> izvajajo pretežno gospodarske javne službe.</w:t>
      </w:r>
      <w:r w:rsidRPr="00DA6357">
        <w:rPr>
          <w:rFonts w:eastAsia="Arial" w:cs="Arial"/>
          <w:szCs w:val="20"/>
        </w:rPr>
        <w:t xml:space="preserve"> Vsi zavezanci morajo zagotoviti sredstva v enaki višini. Zavezanci morajo z operaterjem trga skleniti pogodbo, ki uredi način plačila sredstev.</w:t>
      </w:r>
    </w:p>
    <w:p w14:paraId="2E735A8B" w14:textId="0817347A" w:rsidR="00552DC6" w:rsidRDefault="00552DC6" w:rsidP="00552DC6">
      <w:pPr>
        <w:rPr>
          <w:rFonts w:eastAsia="Arial" w:cs="Arial"/>
          <w:szCs w:val="20"/>
        </w:rPr>
      </w:pPr>
      <w:r w:rsidRPr="00552DC6">
        <w:rPr>
          <w:rFonts w:eastAsia="Arial" w:cs="Arial"/>
          <w:szCs w:val="20"/>
        </w:rPr>
        <w:t>Vir sredstev za pomoč po tem zakonu so družbe, ki so veliki proizvajalci. V primeru, da gre za skupino družb, sredstva zagotavlja obvladujoča družba in odvisne družbe niso še enkrat (dvojno) dolžne zagotavljati sredstev po tem odstavku. Breme se med skupine družb deli na način, da je vsaka skupina družb oz. družba (če ni del skupine) zavezana k zagotavljanju enakega zneska. Iz tega so izključeni proizvajalci, ki izvajajo gospodarsko javno službo, saj so aktivni v regulirani dejavnosti. Poleg tega so iz obveznosti izključeni vsi manjši proizvajalci, za katere bi takšna dajatev predstavljala nesorazmerno veliko breme. Glede na ocenjeno višino potrebnih sredstev za izvajanje zakona 30 milijonov EUR letno in količino vseh proizvajalcev, bi enakomerna dajatev med vse proizvajalce nepravično bistveno nesorazmerno obremenila manjše med njimi. Zagotovitev sredstev bi pri njih namreč predstavljala bistveno večji delež prihodka, kot pri velikih proizvajalcih.</w:t>
      </w:r>
    </w:p>
    <w:p w14:paraId="4CB4D97C" w14:textId="7C244636" w:rsidR="00DA6357" w:rsidRPr="00DA6357" w:rsidRDefault="00DA6357" w:rsidP="00DA6357">
      <w:pPr>
        <w:rPr>
          <w:rFonts w:eastAsia="Arial" w:cs="Arial"/>
          <w:szCs w:val="20"/>
        </w:rPr>
      </w:pPr>
      <w:r w:rsidRPr="00DA6357">
        <w:rPr>
          <w:rFonts w:eastAsia="Arial" w:cs="Arial"/>
          <w:szCs w:val="20"/>
        </w:rPr>
        <w:t>Država zasleduje logiko, da se del naj energetskih prihodkov namenja za industrijsko konkurenčnost in njeno razogljičenje.</w:t>
      </w:r>
    </w:p>
    <w:p w14:paraId="51083E31" w14:textId="77777777" w:rsidR="00DA6357" w:rsidRPr="00DA6357" w:rsidRDefault="00DA6357" w:rsidP="00DA6357">
      <w:pPr>
        <w:rPr>
          <w:rFonts w:eastAsia="Arial" w:cs="Arial"/>
          <w:szCs w:val="20"/>
        </w:rPr>
      </w:pPr>
    </w:p>
    <w:p w14:paraId="4446B6F7" w14:textId="6135CDF2" w:rsidR="00DA6357" w:rsidRPr="00DA6357" w:rsidRDefault="00DA6357" w:rsidP="00DA6357">
      <w:pPr>
        <w:rPr>
          <w:rFonts w:eastAsia="Arial" w:cs="Arial"/>
          <w:b/>
          <w:bCs/>
          <w:szCs w:val="20"/>
        </w:rPr>
      </w:pPr>
      <w:r w:rsidRPr="00DA6357">
        <w:rPr>
          <w:rFonts w:eastAsia="Arial" w:cs="Arial"/>
          <w:b/>
          <w:bCs/>
          <w:szCs w:val="20"/>
        </w:rPr>
        <w:t>K 1</w:t>
      </w:r>
      <w:r w:rsidR="00891EC7">
        <w:rPr>
          <w:rFonts w:eastAsia="Arial" w:cs="Arial"/>
          <w:b/>
          <w:bCs/>
          <w:szCs w:val="20"/>
        </w:rPr>
        <w:t>2</w:t>
      </w:r>
      <w:r w:rsidRPr="00DA6357">
        <w:rPr>
          <w:rFonts w:eastAsia="Arial" w:cs="Arial"/>
          <w:b/>
          <w:bCs/>
          <w:szCs w:val="20"/>
        </w:rPr>
        <w:t>. členu (</w:t>
      </w:r>
      <w:r w:rsidR="00993AC8">
        <w:rPr>
          <w:rFonts w:eastAsia="Arial" w:cs="Arial"/>
          <w:b/>
          <w:bCs/>
          <w:szCs w:val="20"/>
        </w:rPr>
        <w:t>višina nadomestila operaterju trga za izvajanje ukrepa</w:t>
      </w:r>
      <w:r w:rsidRPr="00DA6357">
        <w:rPr>
          <w:rFonts w:eastAsia="Arial" w:cs="Arial"/>
          <w:b/>
          <w:bCs/>
          <w:szCs w:val="20"/>
        </w:rPr>
        <w:t>)</w:t>
      </w:r>
    </w:p>
    <w:p w14:paraId="67E60169" w14:textId="4692E3F6" w:rsidR="00DA6357" w:rsidRDefault="0022146A" w:rsidP="00DA6357">
      <w:pPr>
        <w:rPr>
          <w:rFonts w:eastAsia="Arial" w:cs="Arial"/>
          <w:szCs w:val="20"/>
        </w:rPr>
      </w:pPr>
      <w:r>
        <w:rPr>
          <w:rFonts w:eastAsia="Arial" w:cs="Arial"/>
          <w:szCs w:val="20"/>
        </w:rPr>
        <w:t>Ta</w:t>
      </w:r>
      <w:r w:rsidR="00DA6357" w:rsidRPr="00DA6357">
        <w:rPr>
          <w:rFonts w:eastAsia="Arial" w:cs="Arial"/>
          <w:szCs w:val="20"/>
        </w:rPr>
        <w:t xml:space="preserve"> člen določa, da je operater trga upravičen do sredstev za svoje stroške pri izvajanju ukrepa v višini 0,2 EUR/MWh za vsako MWh porabe upravičencev do spodbude, pri čemer se ta sredstva zagotavljajo iz istih virov kot spodbude</w:t>
      </w:r>
      <w:r w:rsidR="00204425">
        <w:rPr>
          <w:rFonts w:eastAsia="Arial" w:cs="Arial"/>
          <w:szCs w:val="20"/>
        </w:rPr>
        <w:t>, in sicer samo v letih 2026, 2027 in 2028.</w:t>
      </w:r>
      <w:r w:rsidR="00D76D5D">
        <w:rPr>
          <w:rFonts w:eastAsia="Arial" w:cs="Arial"/>
          <w:szCs w:val="20"/>
        </w:rPr>
        <w:t xml:space="preserve"> Kasneje bodo stroški nižji</w:t>
      </w:r>
      <w:r w:rsidR="00B61495">
        <w:rPr>
          <w:rFonts w:eastAsia="Arial" w:cs="Arial"/>
          <w:szCs w:val="20"/>
        </w:rPr>
        <w:t xml:space="preserve"> in si jih </w:t>
      </w:r>
      <w:r w:rsidR="00B61495">
        <w:rPr>
          <w:rFonts w:eastAsia="Arial" w:cs="Arial"/>
          <w:szCs w:val="20"/>
        </w:rPr>
        <w:lastRenderedPageBreak/>
        <w:t>bo operater trga pokrival iz nadomestila za izvajanje GJS operater trga</w:t>
      </w:r>
      <w:r w:rsidR="00D76D5D">
        <w:rPr>
          <w:rFonts w:eastAsia="Arial" w:cs="Arial"/>
          <w:szCs w:val="20"/>
        </w:rPr>
        <w:t xml:space="preserve">, </w:t>
      </w:r>
      <w:r w:rsidR="00B61495">
        <w:rPr>
          <w:rFonts w:eastAsia="Arial" w:cs="Arial"/>
          <w:szCs w:val="20"/>
        </w:rPr>
        <w:t xml:space="preserve">ker vlada ne bo več določala novih obveznosti po tem zakonu. </w:t>
      </w:r>
    </w:p>
    <w:p w14:paraId="4F6F36FB" w14:textId="61A0F1BF" w:rsidR="00BE7C0C" w:rsidRPr="00DA6357" w:rsidRDefault="00792DB6" w:rsidP="00DA6357">
      <w:pPr>
        <w:rPr>
          <w:rFonts w:eastAsia="Arial" w:cs="Arial"/>
          <w:szCs w:val="20"/>
        </w:rPr>
      </w:pPr>
      <w:r>
        <w:rPr>
          <w:rFonts w:eastAsia="Arial" w:cs="Arial"/>
          <w:szCs w:val="20"/>
        </w:rPr>
        <w:t>Na podlagi</w:t>
      </w:r>
      <w:r w:rsidR="00BE7C0C">
        <w:rPr>
          <w:rFonts w:eastAsia="Arial" w:cs="Arial"/>
          <w:szCs w:val="20"/>
        </w:rPr>
        <w:t xml:space="preserve"> pobude GZS Vladi RS, da naj zagotovi ukrep za zagotavljanje konkurenčnosti </w:t>
      </w:r>
      <w:r w:rsidR="000B475D">
        <w:rPr>
          <w:rFonts w:eastAsia="Arial" w:cs="Arial"/>
          <w:szCs w:val="20"/>
        </w:rPr>
        <w:t>za elektrointenzivna podjetja</w:t>
      </w:r>
      <w:r w:rsidR="00083459">
        <w:rPr>
          <w:rFonts w:eastAsia="Arial" w:cs="Arial"/>
          <w:szCs w:val="20"/>
        </w:rPr>
        <w:t xml:space="preserve">, je bila narejena ocena, da bi bilo letno treba podpreti do cca. 1TWh električne energije s spodbudo. Glede na podobne primere iz preteklosti, ko je bilo operaterju trga z interventno zakonodajo naloženo izvajanje dodatnih nalog, </w:t>
      </w:r>
      <w:r>
        <w:rPr>
          <w:rFonts w:eastAsia="Arial" w:cs="Arial"/>
          <w:szCs w:val="20"/>
        </w:rPr>
        <w:t xml:space="preserve">je bilo ocenjeno, da bi za dodatne stroške dela, IT podpore itd. operater trga potreboval cca. 200.000 eurov, kar bi mu zagotovili z nadomestilom </w:t>
      </w:r>
      <w:r w:rsidRPr="00792DB6">
        <w:rPr>
          <w:rFonts w:eastAsia="Arial" w:cs="Arial"/>
          <w:szCs w:val="20"/>
        </w:rPr>
        <w:t>v višini 0,2 EUR/MWh za vsako MWh porabe</w:t>
      </w:r>
      <w:r>
        <w:rPr>
          <w:rFonts w:eastAsia="Arial" w:cs="Arial"/>
          <w:szCs w:val="20"/>
        </w:rPr>
        <w:t>.</w:t>
      </w:r>
    </w:p>
    <w:p w14:paraId="7DD1179F" w14:textId="77777777" w:rsidR="00DA6357" w:rsidRPr="00DA6357" w:rsidRDefault="00DA6357" w:rsidP="00DA6357">
      <w:pPr>
        <w:rPr>
          <w:rFonts w:eastAsia="Arial" w:cs="Arial"/>
          <w:szCs w:val="20"/>
        </w:rPr>
      </w:pPr>
      <w:r w:rsidRPr="00DA6357">
        <w:rPr>
          <w:rFonts w:eastAsia="Arial" w:cs="Arial"/>
          <w:szCs w:val="20"/>
        </w:rPr>
        <w:t>Gre za standardno ureditev povračila stroškov izvajalca javnega ukrepa, ki zagotavlja, da ima operater trga ustrezno zagotovljena potrebna sredstva za administracijo, nadzor in poročanje vezano na ukrepe po tem zakonu, ne da bi bilo treba posegati po drugih virih oziroma, da bi se dodatno obremenjevali zavezanci, ki plačujejo prispevke za delo operaterja trga na podlagi drugih pravnih podlag in obstoječih razmerij.</w:t>
      </w:r>
    </w:p>
    <w:p w14:paraId="59841FFA" w14:textId="77777777" w:rsidR="00DA6357" w:rsidRPr="00DA6357" w:rsidRDefault="00DA6357" w:rsidP="00DA6357">
      <w:pPr>
        <w:rPr>
          <w:rFonts w:eastAsia="Arial" w:cs="Arial"/>
          <w:szCs w:val="20"/>
        </w:rPr>
      </w:pPr>
    </w:p>
    <w:p w14:paraId="3CCBA558" w14:textId="4443F59B" w:rsidR="00DA6357" w:rsidRPr="00DA6357" w:rsidRDefault="00DA6357" w:rsidP="00DA6357">
      <w:pPr>
        <w:rPr>
          <w:rFonts w:eastAsia="Arial" w:cs="Arial"/>
          <w:b/>
          <w:bCs/>
          <w:szCs w:val="20"/>
        </w:rPr>
      </w:pPr>
      <w:r w:rsidRPr="00DA6357">
        <w:rPr>
          <w:rFonts w:eastAsia="Arial" w:cs="Arial"/>
          <w:b/>
          <w:bCs/>
          <w:szCs w:val="20"/>
        </w:rPr>
        <w:t>K 1</w:t>
      </w:r>
      <w:r w:rsidR="00E24155">
        <w:rPr>
          <w:rFonts w:eastAsia="Arial" w:cs="Arial"/>
          <w:b/>
          <w:bCs/>
          <w:szCs w:val="20"/>
        </w:rPr>
        <w:t>3</w:t>
      </w:r>
      <w:r w:rsidRPr="00DA6357">
        <w:rPr>
          <w:rFonts w:eastAsia="Arial" w:cs="Arial"/>
          <w:b/>
          <w:bCs/>
          <w:szCs w:val="20"/>
        </w:rPr>
        <w:t>. členu (poročanje</w:t>
      </w:r>
      <w:r w:rsidR="003D14F5">
        <w:rPr>
          <w:rFonts w:eastAsia="Arial" w:cs="Arial"/>
          <w:b/>
          <w:bCs/>
          <w:szCs w:val="20"/>
        </w:rPr>
        <w:t xml:space="preserve"> prejemnika spodbude</w:t>
      </w:r>
      <w:r w:rsidRPr="00DA6357">
        <w:rPr>
          <w:rFonts w:eastAsia="Arial" w:cs="Arial"/>
          <w:b/>
          <w:bCs/>
          <w:szCs w:val="20"/>
        </w:rPr>
        <w:t>)</w:t>
      </w:r>
    </w:p>
    <w:p w14:paraId="6B92ED8B" w14:textId="4C418412" w:rsidR="00DA6357" w:rsidRPr="00DA6357" w:rsidRDefault="00DA6357" w:rsidP="00DA6357">
      <w:pPr>
        <w:rPr>
          <w:rFonts w:eastAsia="Arial" w:cs="Arial"/>
          <w:szCs w:val="20"/>
        </w:rPr>
      </w:pPr>
      <w:r w:rsidRPr="00DA6357">
        <w:rPr>
          <w:rFonts w:eastAsia="Arial" w:cs="Arial"/>
          <w:szCs w:val="20"/>
        </w:rPr>
        <w:t xml:space="preserve">Ta člen vzpostavlja podatkovno podlago za poračune, nadzor in izpolnjevanje obveznosti do Evropske komisije. </w:t>
      </w:r>
      <w:r w:rsidR="00834171">
        <w:rPr>
          <w:rFonts w:eastAsia="Arial" w:cs="Arial"/>
          <w:szCs w:val="20"/>
        </w:rPr>
        <w:t>V povezavi s tem členom je v prehodni določbi tega zakona urejeno, kdaj se zadnjič poroča o posameznih podatkih.</w:t>
      </w:r>
      <w:r w:rsidRPr="00DA6357">
        <w:rPr>
          <w:rFonts w:eastAsia="Arial" w:cs="Arial"/>
          <w:szCs w:val="20"/>
        </w:rPr>
        <w:t xml:space="preserve"> </w:t>
      </w:r>
    </w:p>
    <w:p w14:paraId="7EAFDFC2" w14:textId="11FE10B4" w:rsidR="00DA6357" w:rsidRPr="00DA6357" w:rsidRDefault="00DA6357" w:rsidP="00DA6357">
      <w:pPr>
        <w:rPr>
          <w:rFonts w:eastAsia="Arial" w:cs="Arial"/>
          <w:szCs w:val="20"/>
        </w:rPr>
      </w:pPr>
      <w:r w:rsidRPr="00DA6357">
        <w:rPr>
          <w:rFonts w:eastAsia="Arial" w:cs="Arial"/>
          <w:szCs w:val="20"/>
        </w:rPr>
        <w:t>Upravičenec mora operaterju trga do 1. aprila poročati za preteklo leto (do leta 2029) o porabi električne energije in (do leta 2033) o izvajanju naložb v razogljičenje in doseženih rezultatih (proizvodnja OVE, prihranki, emisije itd.).</w:t>
      </w:r>
      <w:r w:rsidR="00834171" w:rsidRPr="00834171">
        <w:rPr>
          <w:rFonts w:eastAsia="Arial" w:cs="Arial"/>
          <w:szCs w:val="20"/>
        </w:rPr>
        <w:t xml:space="preserve"> </w:t>
      </w:r>
      <w:r w:rsidR="00834171" w:rsidRPr="00DA6357">
        <w:rPr>
          <w:rFonts w:eastAsia="Arial" w:cs="Arial"/>
          <w:szCs w:val="20"/>
        </w:rPr>
        <w:t>Poročanje do 2033 je usklajeno z obdobjem, v katerem se naložbe v razogljičenje še izvajajo in spremljajo.</w:t>
      </w:r>
    </w:p>
    <w:p w14:paraId="3C2815D4" w14:textId="10E2420F" w:rsidR="00DA6357" w:rsidRPr="00DA6357" w:rsidRDefault="00DA6357" w:rsidP="00DA6357">
      <w:pPr>
        <w:rPr>
          <w:rFonts w:eastAsia="Arial" w:cs="Arial"/>
          <w:szCs w:val="20"/>
        </w:rPr>
      </w:pPr>
      <w:r w:rsidRPr="00DA6357">
        <w:rPr>
          <w:rFonts w:eastAsia="Arial" w:cs="Arial"/>
          <w:szCs w:val="20"/>
        </w:rPr>
        <w:t xml:space="preserve">Ta člen </w:t>
      </w:r>
      <w:r w:rsidR="00CE3527">
        <w:rPr>
          <w:rFonts w:eastAsia="Arial" w:cs="Arial"/>
          <w:szCs w:val="20"/>
        </w:rPr>
        <w:t xml:space="preserve">zaradi jasnosti </w:t>
      </w:r>
      <w:r w:rsidRPr="00DA6357">
        <w:rPr>
          <w:rFonts w:eastAsia="Arial" w:cs="Arial"/>
          <w:szCs w:val="20"/>
        </w:rPr>
        <w:t xml:space="preserve">določa tudi, da operater trga </w:t>
      </w:r>
      <w:r w:rsidR="001561FA">
        <w:rPr>
          <w:rFonts w:eastAsia="Arial" w:cs="Arial"/>
          <w:szCs w:val="20"/>
        </w:rPr>
        <w:t>pripravi</w:t>
      </w:r>
      <w:r w:rsidRPr="00DA6357">
        <w:rPr>
          <w:rFonts w:eastAsia="Arial" w:cs="Arial"/>
          <w:szCs w:val="20"/>
        </w:rPr>
        <w:t xml:space="preserve"> </w:t>
      </w:r>
      <w:r w:rsidR="001561FA">
        <w:rPr>
          <w:rFonts w:eastAsia="Arial" w:cs="Arial"/>
          <w:szCs w:val="20"/>
        </w:rPr>
        <w:t>navodila in obrazce za</w:t>
      </w:r>
      <w:r w:rsidRPr="00DA6357">
        <w:rPr>
          <w:rFonts w:eastAsia="Arial" w:cs="Arial"/>
          <w:szCs w:val="20"/>
        </w:rPr>
        <w:t xml:space="preserve"> obvezn</w:t>
      </w:r>
      <w:r w:rsidR="001561FA">
        <w:rPr>
          <w:rFonts w:eastAsia="Arial" w:cs="Arial"/>
          <w:szCs w:val="20"/>
        </w:rPr>
        <w:t>o</w:t>
      </w:r>
      <w:r w:rsidRPr="00DA6357">
        <w:rPr>
          <w:rFonts w:eastAsia="Arial" w:cs="Arial"/>
          <w:szCs w:val="20"/>
        </w:rPr>
        <w:t xml:space="preserve"> poročanj</w:t>
      </w:r>
      <w:r w:rsidR="001561FA">
        <w:rPr>
          <w:rFonts w:eastAsia="Arial" w:cs="Arial"/>
          <w:szCs w:val="20"/>
        </w:rPr>
        <w:t>e</w:t>
      </w:r>
      <w:r w:rsidRPr="00DA6357">
        <w:rPr>
          <w:rFonts w:eastAsia="Arial" w:cs="Arial"/>
          <w:szCs w:val="20"/>
        </w:rPr>
        <w:t>, ter jih objavi na svoji spletni strani.</w:t>
      </w:r>
      <w:r w:rsidR="00834171">
        <w:rPr>
          <w:rFonts w:eastAsia="Arial" w:cs="Arial"/>
          <w:szCs w:val="20"/>
        </w:rPr>
        <w:t xml:space="preserve"> </w:t>
      </w:r>
    </w:p>
    <w:p w14:paraId="68DA45B2" w14:textId="77777777" w:rsidR="00DA6357" w:rsidRPr="00DA6357" w:rsidRDefault="00DA6357" w:rsidP="00DA6357">
      <w:pPr>
        <w:rPr>
          <w:rFonts w:eastAsia="Arial" w:cs="Arial"/>
          <w:szCs w:val="20"/>
        </w:rPr>
      </w:pPr>
    </w:p>
    <w:p w14:paraId="18B0BC25" w14:textId="14DA72E0" w:rsidR="00DA6357" w:rsidRPr="00DA6357" w:rsidRDefault="00DA6357" w:rsidP="00DA6357">
      <w:pPr>
        <w:rPr>
          <w:rFonts w:eastAsia="Arial" w:cs="Arial"/>
          <w:b/>
          <w:bCs/>
          <w:szCs w:val="20"/>
        </w:rPr>
      </w:pPr>
      <w:r w:rsidRPr="00DA6357">
        <w:rPr>
          <w:rFonts w:eastAsia="Arial" w:cs="Arial"/>
          <w:b/>
          <w:bCs/>
          <w:szCs w:val="20"/>
        </w:rPr>
        <w:t>K 1</w:t>
      </w:r>
      <w:r w:rsidR="00754213">
        <w:rPr>
          <w:rFonts w:eastAsia="Arial" w:cs="Arial"/>
          <w:b/>
          <w:bCs/>
          <w:szCs w:val="20"/>
        </w:rPr>
        <w:t>4</w:t>
      </w:r>
      <w:r w:rsidRPr="00DA6357">
        <w:rPr>
          <w:rFonts w:eastAsia="Arial" w:cs="Arial"/>
          <w:b/>
          <w:bCs/>
          <w:szCs w:val="20"/>
        </w:rPr>
        <w:t>. členu (ukrepi v primeru neizpolnjevanja</w:t>
      </w:r>
      <w:r w:rsidR="003D14F5">
        <w:rPr>
          <w:rFonts w:eastAsia="Arial" w:cs="Arial"/>
          <w:b/>
          <w:bCs/>
          <w:szCs w:val="20"/>
        </w:rPr>
        <w:t xml:space="preserve"> obveznosti prejemnika spodbude</w:t>
      </w:r>
      <w:r w:rsidRPr="00DA6357">
        <w:rPr>
          <w:rFonts w:eastAsia="Arial" w:cs="Arial"/>
          <w:b/>
          <w:bCs/>
          <w:szCs w:val="20"/>
        </w:rPr>
        <w:t>)</w:t>
      </w:r>
    </w:p>
    <w:p w14:paraId="4F2EA24B" w14:textId="4ED76B79" w:rsidR="00DA6357" w:rsidRPr="00DA6357" w:rsidRDefault="00006BE3" w:rsidP="00DA6357">
      <w:pPr>
        <w:rPr>
          <w:rFonts w:eastAsia="Arial" w:cs="Arial"/>
          <w:szCs w:val="20"/>
        </w:rPr>
      </w:pPr>
      <w:r>
        <w:rPr>
          <w:rFonts w:eastAsia="Arial" w:cs="Arial"/>
          <w:szCs w:val="20"/>
        </w:rPr>
        <w:t>Ta</w:t>
      </w:r>
      <w:r w:rsidR="00DA6357" w:rsidRPr="00DA6357">
        <w:rPr>
          <w:rFonts w:eastAsia="Arial" w:cs="Arial"/>
          <w:szCs w:val="20"/>
        </w:rPr>
        <w:t xml:space="preserve"> člen je ključen za resnost naložbenih zavez in omogoča tudi delno vračilo sredstev glede na dejansko neizpolnitev, ker določa posledice neizpolnjevanja napovedi porabe ali naložbenih zavez.</w:t>
      </w:r>
    </w:p>
    <w:p w14:paraId="6F82C1A4" w14:textId="5F1E7BB3" w:rsidR="00942FDC" w:rsidRDefault="00AA1B79" w:rsidP="00DA6357">
      <w:pPr>
        <w:rPr>
          <w:rFonts w:eastAsia="Arial" w:cs="Arial"/>
          <w:szCs w:val="20"/>
        </w:rPr>
      </w:pPr>
      <w:r>
        <w:rPr>
          <w:rFonts w:eastAsia="Arial" w:cs="Arial"/>
          <w:szCs w:val="20"/>
        </w:rPr>
        <w:t>Ker gre za javna sredstva, je njihova poraba podvržena različnim kontrolam.</w:t>
      </w:r>
      <w:r w:rsidRPr="00DA6357">
        <w:rPr>
          <w:rFonts w:eastAsia="Arial" w:cs="Arial"/>
          <w:szCs w:val="20"/>
        </w:rPr>
        <w:t xml:space="preserve"> </w:t>
      </w:r>
      <w:r w:rsidR="00DA6357" w:rsidRPr="00DA6357">
        <w:rPr>
          <w:rFonts w:eastAsia="Arial" w:cs="Arial"/>
          <w:szCs w:val="20"/>
        </w:rPr>
        <w:t xml:space="preserve">Operater trga mora na podlagi poročil upravičencev, izvedenih revizij ali ugotovitev inšpekcije ves čas preverjati ali je bila dodeljena previsoka spodbuda npr. zaradi manjše dejanske porabe električne energije ali neporabe električne energije za upravičene namene. Spremljati mora ali je upravičenec izpolnil zaveze iz svojega naložbenega načrta. </w:t>
      </w:r>
      <w:r w:rsidR="00942FDC">
        <w:rPr>
          <w:rFonts w:eastAsia="Arial" w:cs="Arial"/>
          <w:szCs w:val="20"/>
        </w:rPr>
        <w:t>N</w:t>
      </w:r>
      <w:r w:rsidR="00942FDC" w:rsidRPr="00942FDC">
        <w:rPr>
          <w:rFonts w:eastAsia="Arial" w:cs="Arial"/>
          <w:szCs w:val="20"/>
        </w:rPr>
        <w:t>eupravičeno izplačane spodbude je potrebno z odločbo operaterja trga naložiti vračilo neupravičeno izplačane spodbude</w:t>
      </w:r>
    </w:p>
    <w:p w14:paraId="47504974" w14:textId="05D5BA4D" w:rsidR="00DA6357" w:rsidRPr="00DA6357" w:rsidRDefault="00DA6357" w:rsidP="00DA6357">
      <w:pPr>
        <w:rPr>
          <w:rFonts w:eastAsia="Arial" w:cs="Arial"/>
          <w:szCs w:val="20"/>
        </w:rPr>
      </w:pPr>
      <w:r w:rsidRPr="00DA6357">
        <w:rPr>
          <w:rFonts w:eastAsia="Arial" w:cs="Arial"/>
          <w:szCs w:val="20"/>
        </w:rPr>
        <w:t>V primeru zamud pri izvajanju naložb mora operater trga upravičenca pozvati k pripravi in posredovanju novega terminskega načrta, s katerim bo mogoče zagotoviti dokončanje napovedanih trajnostnih naložb najpozneje do 31. decembra 2032.</w:t>
      </w:r>
    </w:p>
    <w:p w14:paraId="6E1EC0AE" w14:textId="48E95BDB" w:rsidR="00DA6357" w:rsidRPr="00DA6357" w:rsidRDefault="00DA6357" w:rsidP="00DA6357">
      <w:pPr>
        <w:rPr>
          <w:rFonts w:eastAsia="Arial" w:cs="Arial"/>
          <w:szCs w:val="20"/>
        </w:rPr>
      </w:pPr>
      <w:r w:rsidRPr="00DA6357">
        <w:rPr>
          <w:rFonts w:eastAsia="Arial" w:cs="Arial"/>
          <w:szCs w:val="20"/>
        </w:rPr>
        <w:t>Če bo operater trga pri ponovnem nadzoru ugotovil, da naložbe niso bile dokončane, bo moral ugotoviti delež neizpolnitve in zaračunati zamudne obresti na sorazmerni del neupravičeno prejete spodbude.</w:t>
      </w:r>
      <w:r w:rsidR="00394FB5">
        <w:rPr>
          <w:rFonts w:eastAsia="Arial" w:cs="Arial"/>
          <w:szCs w:val="20"/>
        </w:rPr>
        <w:t xml:space="preserve"> Zamudne obresti začnejo teči po poteku roka, ki ga je operater trga določil za vrnitev preveč plačane spodbude.</w:t>
      </w:r>
    </w:p>
    <w:p w14:paraId="2CD2BD03" w14:textId="77777777" w:rsidR="00DA6357" w:rsidRPr="00DA6357" w:rsidRDefault="00DA6357" w:rsidP="00DA6357">
      <w:pPr>
        <w:rPr>
          <w:rFonts w:eastAsia="Arial" w:cs="Arial"/>
          <w:b/>
          <w:bCs/>
          <w:szCs w:val="20"/>
        </w:rPr>
      </w:pPr>
    </w:p>
    <w:p w14:paraId="2BA9E1DA" w14:textId="0EF7E682" w:rsidR="00DA6357" w:rsidRPr="00DA6357" w:rsidRDefault="00DA6357" w:rsidP="00DA6357">
      <w:pPr>
        <w:rPr>
          <w:rFonts w:eastAsia="Arial" w:cs="Arial"/>
          <w:b/>
          <w:bCs/>
          <w:szCs w:val="20"/>
        </w:rPr>
      </w:pPr>
      <w:r w:rsidRPr="00DA6357">
        <w:rPr>
          <w:rFonts w:eastAsia="Arial" w:cs="Arial"/>
          <w:b/>
          <w:bCs/>
          <w:szCs w:val="20"/>
        </w:rPr>
        <w:t>K 1</w:t>
      </w:r>
      <w:r w:rsidR="00754213">
        <w:rPr>
          <w:rFonts w:eastAsia="Arial" w:cs="Arial"/>
          <w:b/>
          <w:bCs/>
          <w:szCs w:val="20"/>
        </w:rPr>
        <w:t>5</w:t>
      </w:r>
      <w:r w:rsidRPr="00DA6357">
        <w:rPr>
          <w:rFonts w:eastAsia="Arial" w:cs="Arial"/>
          <w:b/>
          <w:bCs/>
          <w:szCs w:val="20"/>
        </w:rPr>
        <w:t>. členu (nadzor)</w:t>
      </w:r>
    </w:p>
    <w:p w14:paraId="2F4A1FCB" w14:textId="56247757" w:rsidR="00DA6357" w:rsidRPr="00DA6357" w:rsidRDefault="00754213" w:rsidP="00DA6357">
      <w:pPr>
        <w:rPr>
          <w:rFonts w:eastAsia="Arial" w:cs="Arial"/>
          <w:szCs w:val="20"/>
        </w:rPr>
      </w:pPr>
      <w:r>
        <w:rPr>
          <w:rFonts w:eastAsia="Arial" w:cs="Arial"/>
          <w:szCs w:val="20"/>
        </w:rPr>
        <w:t>Ta</w:t>
      </w:r>
      <w:r w:rsidR="00DA6357" w:rsidRPr="00DA6357">
        <w:rPr>
          <w:rFonts w:eastAsia="Arial" w:cs="Arial"/>
          <w:szCs w:val="20"/>
        </w:rPr>
        <w:t xml:space="preserve"> člen določa, da inšpektorat, pristojen za energijo, izvaja nadzor nad izpolnjevanjem obveznosti upravičencev po tem zakonu in upravičenostjo porabe sredstev skladno z odločbami o spodbudah.</w:t>
      </w:r>
    </w:p>
    <w:p w14:paraId="49B2800B" w14:textId="77777777" w:rsidR="00DA6357" w:rsidRPr="00DA6357" w:rsidRDefault="00DA6357" w:rsidP="00DA6357">
      <w:pPr>
        <w:rPr>
          <w:rFonts w:eastAsia="Arial" w:cs="Arial"/>
          <w:szCs w:val="20"/>
        </w:rPr>
      </w:pPr>
      <w:r w:rsidRPr="00DA6357">
        <w:rPr>
          <w:rFonts w:eastAsia="Arial" w:cs="Arial"/>
          <w:szCs w:val="20"/>
        </w:rPr>
        <w:t>S tem se naloge nadzora povezujejo z že obstoječo pristojnostjo na področju energetike, kar omogoča učinkovito izvajanje nadzora nad porabo električne energije, izpolnjevanjem pogojev in pravilno porabo spodbud.</w:t>
      </w:r>
    </w:p>
    <w:p w14:paraId="5FE702E8" w14:textId="77777777" w:rsidR="00DA6357" w:rsidRPr="00DA6357" w:rsidRDefault="00DA6357" w:rsidP="00DA6357">
      <w:pPr>
        <w:rPr>
          <w:rFonts w:eastAsia="Arial" w:cs="Arial"/>
          <w:szCs w:val="20"/>
        </w:rPr>
      </w:pPr>
    </w:p>
    <w:p w14:paraId="3C67611D" w14:textId="6B52D226" w:rsidR="00DA6357" w:rsidRPr="00DA6357" w:rsidRDefault="00DA6357" w:rsidP="00DA6357">
      <w:pPr>
        <w:rPr>
          <w:rFonts w:eastAsia="Arial" w:cs="Arial"/>
          <w:b/>
          <w:bCs/>
          <w:szCs w:val="20"/>
        </w:rPr>
      </w:pPr>
      <w:r w:rsidRPr="00DA6357">
        <w:rPr>
          <w:rFonts w:eastAsia="Arial" w:cs="Arial"/>
          <w:b/>
          <w:bCs/>
          <w:szCs w:val="20"/>
        </w:rPr>
        <w:t>K 1</w:t>
      </w:r>
      <w:r w:rsidR="009E1640">
        <w:rPr>
          <w:rFonts w:eastAsia="Arial" w:cs="Arial"/>
          <w:b/>
          <w:bCs/>
          <w:szCs w:val="20"/>
        </w:rPr>
        <w:t>6</w:t>
      </w:r>
      <w:r w:rsidRPr="00DA6357">
        <w:rPr>
          <w:rFonts w:eastAsia="Arial" w:cs="Arial"/>
          <w:b/>
          <w:bCs/>
          <w:szCs w:val="20"/>
        </w:rPr>
        <w:t>. členu (</w:t>
      </w:r>
      <w:r w:rsidR="00134175">
        <w:rPr>
          <w:rFonts w:eastAsia="Arial" w:cs="Arial"/>
          <w:b/>
          <w:bCs/>
          <w:szCs w:val="20"/>
        </w:rPr>
        <w:t xml:space="preserve">vodenje evidence, objava podatkov in </w:t>
      </w:r>
      <w:r w:rsidRPr="00DA6357">
        <w:rPr>
          <w:rFonts w:eastAsia="Arial" w:cs="Arial"/>
          <w:b/>
          <w:bCs/>
          <w:szCs w:val="20"/>
        </w:rPr>
        <w:t>poročanje)</w:t>
      </w:r>
    </w:p>
    <w:p w14:paraId="65055F6A" w14:textId="77777777" w:rsidR="00DA6357" w:rsidRPr="00DA6357" w:rsidRDefault="00DA6357" w:rsidP="00DA6357">
      <w:pPr>
        <w:rPr>
          <w:rFonts w:eastAsia="Arial" w:cs="Arial"/>
          <w:szCs w:val="20"/>
        </w:rPr>
      </w:pPr>
      <w:r w:rsidRPr="00DA6357">
        <w:rPr>
          <w:rFonts w:eastAsia="Arial" w:cs="Arial"/>
          <w:szCs w:val="20"/>
        </w:rPr>
        <w:t xml:space="preserve">Z določbami tega člena zakon omogoča izpolnjevanje obveznosti poročanja o državnih pomočeh v skladu s pravom EU ter prispeva k javni preglednosti porabe sredstev in učinkov ukrepa. </w:t>
      </w:r>
    </w:p>
    <w:p w14:paraId="1A2A4319" w14:textId="77777777" w:rsidR="00DA6357" w:rsidRPr="00DA6357" w:rsidRDefault="00DA6357" w:rsidP="00DA6357">
      <w:pPr>
        <w:rPr>
          <w:rFonts w:eastAsia="Arial" w:cs="Arial"/>
          <w:szCs w:val="20"/>
        </w:rPr>
      </w:pPr>
      <w:r w:rsidRPr="00DA6357">
        <w:rPr>
          <w:rFonts w:eastAsia="Arial" w:cs="Arial"/>
          <w:szCs w:val="20"/>
        </w:rPr>
        <w:t>Podrobneje se ureja podatkovni in poročevalski vidik državnih pomoči. Operater trga mora voditi evidenco dodeljenih spodbud in na svoji spletni strani objavljati pregleden seznam upravičencev in zneskov letnih prejetih spodbud, s čimer se zagotavlja transparentnost.</w:t>
      </w:r>
    </w:p>
    <w:p w14:paraId="625CC489" w14:textId="77777777" w:rsidR="00DA6357" w:rsidRPr="00DA6357" w:rsidRDefault="00DA6357" w:rsidP="00DA6357">
      <w:pPr>
        <w:rPr>
          <w:rFonts w:eastAsia="Arial" w:cs="Arial"/>
          <w:szCs w:val="20"/>
        </w:rPr>
      </w:pPr>
      <w:r w:rsidRPr="00DA6357">
        <w:rPr>
          <w:rFonts w:eastAsia="Arial" w:cs="Arial"/>
          <w:szCs w:val="20"/>
        </w:rPr>
        <w:t>Na podlagi zbranih podatkov mora operater trga pripravljati letna poročila o podeljenih pomočeh po tem zakonu za ministrstvo, pristojno za finance.</w:t>
      </w:r>
    </w:p>
    <w:p w14:paraId="1BECAD4A" w14:textId="77777777" w:rsidR="00DA6357" w:rsidRPr="00DA6357" w:rsidRDefault="00DA6357" w:rsidP="00ED3982">
      <w:pPr>
        <w:spacing w:after="0"/>
        <w:rPr>
          <w:rFonts w:eastAsia="Arial" w:cs="Arial"/>
          <w:szCs w:val="20"/>
        </w:rPr>
      </w:pPr>
      <w:r w:rsidRPr="00DA6357">
        <w:rPr>
          <w:rFonts w:eastAsia="Arial" w:cs="Arial"/>
          <w:szCs w:val="20"/>
        </w:rPr>
        <w:t>Po zakonu bo moral operater trga do realizacije zadnjega naložbenega načrta objavljati tudi letno poročilo o naložbenih ukrepih in doseženih rezultatih razogljičenja.</w:t>
      </w:r>
    </w:p>
    <w:p w14:paraId="3758E5CF" w14:textId="77777777" w:rsidR="00DA6357" w:rsidRPr="00DA6357" w:rsidRDefault="00DA6357" w:rsidP="00ED3982">
      <w:pPr>
        <w:rPr>
          <w:rFonts w:eastAsia="Arial" w:cs="Arial"/>
          <w:szCs w:val="20"/>
        </w:rPr>
      </w:pPr>
    </w:p>
    <w:p w14:paraId="687507B8" w14:textId="2904A986" w:rsidR="00DA6357" w:rsidRPr="00DA6357" w:rsidRDefault="00DA6357" w:rsidP="00ED3982">
      <w:pPr>
        <w:rPr>
          <w:rFonts w:eastAsia="Arial" w:cs="Arial"/>
          <w:b/>
          <w:bCs/>
          <w:szCs w:val="20"/>
        </w:rPr>
      </w:pPr>
      <w:r w:rsidRPr="00DA6357">
        <w:rPr>
          <w:rFonts w:eastAsia="Arial" w:cs="Arial"/>
          <w:b/>
          <w:bCs/>
          <w:szCs w:val="20"/>
        </w:rPr>
        <w:t>K 1</w:t>
      </w:r>
      <w:r w:rsidR="00746186">
        <w:rPr>
          <w:rFonts w:eastAsia="Arial" w:cs="Arial"/>
          <w:b/>
          <w:bCs/>
          <w:szCs w:val="20"/>
        </w:rPr>
        <w:t>7</w:t>
      </w:r>
      <w:r w:rsidRPr="00DA6357">
        <w:rPr>
          <w:rFonts w:eastAsia="Arial" w:cs="Arial"/>
          <w:b/>
          <w:bCs/>
          <w:szCs w:val="20"/>
        </w:rPr>
        <w:t>. členu (prekrški)</w:t>
      </w:r>
    </w:p>
    <w:p w14:paraId="6CB60FA8" w14:textId="7B436FD9" w:rsidR="00DA6357" w:rsidRPr="00DA6357" w:rsidRDefault="00DA6357" w:rsidP="00ED3982">
      <w:pPr>
        <w:rPr>
          <w:rFonts w:eastAsia="Arial" w:cs="Arial"/>
          <w:szCs w:val="20"/>
        </w:rPr>
      </w:pPr>
      <w:r w:rsidRPr="00DA6357">
        <w:rPr>
          <w:rFonts w:eastAsia="Arial" w:cs="Arial"/>
          <w:szCs w:val="20"/>
        </w:rPr>
        <w:t>V tem členu je določen prekršek za</w:t>
      </w:r>
      <w:r w:rsidR="006A7170">
        <w:rPr>
          <w:rFonts w:eastAsia="Arial" w:cs="Arial"/>
          <w:szCs w:val="20"/>
        </w:rPr>
        <w:t xml:space="preserve"> opustitev dolžnosti poročanja.</w:t>
      </w:r>
    </w:p>
    <w:p w14:paraId="1F839CDD" w14:textId="77777777" w:rsidR="00DA6357" w:rsidRPr="00DA6357" w:rsidRDefault="00DA6357" w:rsidP="00ED3982">
      <w:pPr>
        <w:rPr>
          <w:rFonts w:eastAsia="Arial" w:cs="Arial"/>
          <w:szCs w:val="20"/>
        </w:rPr>
      </w:pPr>
    </w:p>
    <w:p w14:paraId="17259571" w14:textId="5E3860C3" w:rsidR="00DA6357" w:rsidRPr="00DA6357" w:rsidRDefault="00DA6357" w:rsidP="00ED3982">
      <w:pPr>
        <w:rPr>
          <w:rFonts w:eastAsia="Arial" w:cs="Arial"/>
          <w:b/>
          <w:bCs/>
          <w:szCs w:val="20"/>
        </w:rPr>
      </w:pPr>
      <w:r w:rsidRPr="00DA6357">
        <w:rPr>
          <w:rFonts w:eastAsia="Arial" w:cs="Arial"/>
          <w:b/>
          <w:bCs/>
          <w:szCs w:val="20"/>
        </w:rPr>
        <w:t>K 1</w:t>
      </w:r>
      <w:r w:rsidR="00ED3982">
        <w:rPr>
          <w:rFonts w:eastAsia="Arial" w:cs="Arial"/>
          <w:b/>
          <w:bCs/>
          <w:szCs w:val="20"/>
        </w:rPr>
        <w:t>8.</w:t>
      </w:r>
      <w:r w:rsidRPr="00DA6357">
        <w:rPr>
          <w:rFonts w:eastAsia="Arial" w:cs="Arial"/>
          <w:b/>
          <w:bCs/>
          <w:szCs w:val="20"/>
        </w:rPr>
        <w:t xml:space="preserve"> členu (višina globe v hitrem prekrškovnem postopku)</w:t>
      </w:r>
    </w:p>
    <w:p w14:paraId="17E2CAA6" w14:textId="1346A219" w:rsidR="00DA6357" w:rsidRPr="00DA6357" w:rsidRDefault="0089106A" w:rsidP="00ED3982">
      <w:pPr>
        <w:rPr>
          <w:rFonts w:eastAsia="Arial" w:cs="Arial"/>
          <w:szCs w:val="20"/>
        </w:rPr>
      </w:pPr>
      <w:r>
        <w:rPr>
          <w:rFonts w:eastAsia="Arial" w:cs="Arial"/>
          <w:szCs w:val="20"/>
        </w:rPr>
        <w:t xml:space="preserve">Ta </w:t>
      </w:r>
      <w:r w:rsidR="00DA6357" w:rsidRPr="00DA6357">
        <w:rPr>
          <w:rFonts w:eastAsia="Arial" w:cs="Arial"/>
          <w:szCs w:val="20"/>
        </w:rPr>
        <w:t>člen omogoča, da se za prekrške iz tega zakona v hitrem prekrškovnem postopku izreče tudi globa, ki je višja od najnižje predpisane.</w:t>
      </w:r>
    </w:p>
    <w:p w14:paraId="7284F76D" w14:textId="77777777" w:rsidR="00DA6357" w:rsidRPr="00DA6357" w:rsidRDefault="00DA6357" w:rsidP="00ED3982">
      <w:pPr>
        <w:rPr>
          <w:rFonts w:eastAsia="Arial" w:cs="Arial"/>
          <w:szCs w:val="20"/>
        </w:rPr>
      </w:pPr>
      <w:r w:rsidRPr="00DA6357">
        <w:rPr>
          <w:rFonts w:eastAsia="Arial" w:cs="Arial"/>
          <w:szCs w:val="20"/>
        </w:rPr>
        <w:t>Ta določba povečuje odvračilni učinek sankcij, saj ne omejuje organov samo na minimalno globo, tudi kadar okoliščine primera utemeljujejo izrek višje globe, čeprav se postopek vodi po hitrem postopku.</w:t>
      </w:r>
    </w:p>
    <w:p w14:paraId="7215087B" w14:textId="77777777" w:rsidR="00DA6357" w:rsidRPr="00DA6357" w:rsidRDefault="00DA6357" w:rsidP="00DA6357">
      <w:pPr>
        <w:rPr>
          <w:rFonts w:eastAsia="Arial" w:cs="Arial"/>
          <w:szCs w:val="20"/>
        </w:rPr>
      </w:pPr>
    </w:p>
    <w:p w14:paraId="2BF34880" w14:textId="3485A4FC" w:rsidR="00DA6357" w:rsidRPr="00DA6357" w:rsidRDefault="00DA6357" w:rsidP="00DA6357">
      <w:pPr>
        <w:rPr>
          <w:rFonts w:eastAsia="Arial" w:cs="Arial"/>
          <w:b/>
          <w:bCs/>
          <w:szCs w:val="20"/>
        </w:rPr>
      </w:pPr>
      <w:r w:rsidRPr="00DA6357">
        <w:rPr>
          <w:rFonts w:eastAsia="Arial" w:cs="Arial"/>
          <w:b/>
          <w:bCs/>
          <w:szCs w:val="20"/>
        </w:rPr>
        <w:t>K 1</w:t>
      </w:r>
      <w:r w:rsidR="00ED3982">
        <w:rPr>
          <w:rFonts w:eastAsia="Arial" w:cs="Arial"/>
          <w:b/>
          <w:bCs/>
          <w:szCs w:val="20"/>
        </w:rPr>
        <w:t>9</w:t>
      </w:r>
      <w:r w:rsidRPr="00DA6357">
        <w:rPr>
          <w:rFonts w:eastAsia="Arial" w:cs="Arial"/>
          <w:b/>
          <w:bCs/>
          <w:szCs w:val="20"/>
        </w:rPr>
        <w:t>. členu (trajanje ukrepa)</w:t>
      </w:r>
    </w:p>
    <w:p w14:paraId="2F312D0B" w14:textId="4B486133" w:rsidR="00DA6357" w:rsidRPr="00DA6357" w:rsidRDefault="00DA6357" w:rsidP="00DA6357">
      <w:pPr>
        <w:rPr>
          <w:rFonts w:eastAsia="Arial" w:cs="Arial"/>
          <w:szCs w:val="20"/>
        </w:rPr>
      </w:pPr>
      <w:r w:rsidRPr="00DA6357">
        <w:rPr>
          <w:rFonts w:eastAsia="Arial" w:cs="Arial"/>
          <w:szCs w:val="20"/>
        </w:rPr>
        <w:t>Ta člen je pomemben z vidika časovne omejenosti državne pomoči, kot jo terja CISAF</w:t>
      </w:r>
      <w:r w:rsidR="00ED3982">
        <w:rPr>
          <w:rFonts w:eastAsia="Arial" w:cs="Arial"/>
          <w:szCs w:val="20"/>
        </w:rPr>
        <w:t>. Ukrep se izvaja do 31. decembra 2028.</w:t>
      </w:r>
    </w:p>
    <w:p w14:paraId="26C2F44E" w14:textId="77777777" w:rsidR="000708BC" w:rsidRDefault="000708BC" w:rsidP="00DA6357">
      <w:pPr>
        <w:rPr>
          <w:rFonts w:eastAsia="Arial" w:cs="Arial"/>
          <w:szCs w:val="20"/>
        </w:rPr>
      </w:pPr>
    </w:p>
    <w:p w14:paraId="79BFD83F" w14:textId="0DC876FB" w:rsidR="000708BC" w:rsidRPr="000708BC" w:rsidRDefault="000708BC" w:rsidP="00DA6357">
      <w:pPr>
        <w:rPr>
          <w:rFonts w:eastAsia="Arial" w:cs="Arial"/>
          <w:b/>
          <w:bCs/>
          <w:szCs w:val="20"/>
        </w:rPr>
      </w:pPr>
      <w:r w:rsidRPr="000708BC">
        <w:rPr>
          <w:rFonts w:eastAsia="Arial" w:cs="Arial"/>
          <w:b/>
          <w:bCs/>
          <w:szCs w:val="20"/>
        </w:rPr>
        <w:t>K 20. členu (prehodna določba glede sklepa vlade)</w:t>
      </w:r>
    </w:p>
    <w:p w14:paraId="2A21CE8A" w14:textId="7A584A0D" w:rsidR="001E62FA" w:rsidRDefault="000708BC" w:rsidP="00DA6357">
      <w:pPr>
        <w:rPr>
          <w:rFonts w:eastAsia="Arial" w:cs="Arial"/>
          <w:szCs w:val="20"/>
        </w:rPr>
      </w:pPr>
      <w:r>
        <w:rPr>
          <w:rFonts w:eastAsia="Arial" w:cs="Arial"/>
          <w:szCs w:val="20"/>
        </w:rPr>
        <w:t>V tem členu je določeno, da vlada prvič s sklepom določbi razpoložljiv znesek in najvišjo spodbudo za električno energijo</w:t>
      </w:r>
      <w:r w:rsidR="003925BB">
        <w:rPr>
          <w:rFonts w:eastAsia="Arial" w:cs="Arial"/>
          <w:szCs w:val="20"/>
        </w:rPr>
        <w:t xml:space="preserve"> v letu 2026 najkasneje v tridesetih dneh </w:t>
      </w:r>
      <w:r w:rsidR="003925BB" w:rsidRPr="003925BB">
        <w:rPr>
          <w:rFonts w:eastAsia="Arial" w:cs="Arial"/>
          <w:szCs w:val="20"/>
        </w:rPr>
        <w:t>od pridobitve pozitivne odločbe Evropske komisije o združljivosti sheme pomoči z notranjim trgom Evropske unije</w:t>
      </w:r>
      <w:r w:rsidR="003925BB">
        <w:rPr>
          <w:rFonts w:eastAsia="Arial" w:cs="Arial"/>
          <w:szCs w:val="20"/>
        </w:rPr>
        <w:t>.</w:t>
      </w:r>
    </w:p>
    <w:p w14:paraId="191175C8" w14:textId="77777777" w:rsidR="003A72B6" w:rsidRDefault="003A72B6" w:rsidP="00DA6357">
      <w:pPr>
        <w:rPr>
          <w:rFonts w:eastAsia="Arial" w:cs="Arial"/>
          <w:szCs w:val="20"/>
        </w:rPr>
      </w:pPr>
    </w:p>
    <w:p w14:paraId="239E3AF1" w14:textId="681841CF" w:rsidR="001E62FA" w:rsidRPr="001E62FA" w:rsidRDefault="001E62FA" w:rsidP="00DA6357">
      <w:pPr>
        <w:rPr>
          <w:rFonts w:eastAsia="Arial" w:cs="Arial"/>
          <w:b/>
          <w:bCs/>
          <w:szCs w:val="20"/>
        </w:rPr>
      </w:pPr>
      <w:r w:rsidRPr="001E62FA">
        <w:rPr>
          <w:rFonts w:eastAsia="Arial" w:cs="Arial"/>
          <w:b/>
          <w:bCs/>
          <w:szCs w:val="20"/>
        </w:rPr>
        <w:t>K 21. členu (prehodna določba glede poročanja prejemnika spodbude)</w:t>
      </w:r>
    </w:p>
    <w:p w14:paraId="2DF419AA" w14:textId="1DF69B2B" w:rsidR="00DA6357" w:rsidRDefault="001E62FA" w:rsidP="00DA6357">
      <w:pPr>
        <w:rPr>
          <w:rFonts w:eastAsia="Arial" w:cs="Arial"/>
          <w:szCs w:val="20"/>
        </w:rPr>
      </w:pPr>
      <w:r>
        <w:rPr>
          <w:rFonts w:eastAsia="Arial" w:cs="Arial"/>
          <w:szCs w:val="20"/>
        </w:rPr>
        <w:t>Ta člen ureja, do kdaj mora p</w:t>
      </w:r>
      <w:r w:rsidRPr="001E62FA">
        <w:rPr>
          <w:rFonts w:eastAsia="Arial" w:cs="Arial"/>
          <w:szCs w:val="20"/>
        </w:rPr>
        <w:t>rejemnik spodbude operaterju trga zadnjič poroča</w:t>
      </w:r>
      <w:r>
        <w:rPr>
          <w:rFonts w:eastAsia="Arial" w:cs="Arial"/>
          <w:szCs w:val="20"/>
        </w:rPr>
        <w:t>ti</w:t>
      </w:r>
      <w:r w:rsidRPr="001E62FA">
        <w:rPr>
          <w:rFonts w:eastAsia="Arial" w:cs="Arial"/>
          <w:szCs w:val="20"/>
        </w:rPr>
        <w:t xml:space="preserve"> na podlagi 13. člena tega zakona</w:t>
      </w:r>
      <w:r>
        <w:rPr>
          <w:rFonts w:eastAsia="Arial" w:cs="Arial"/>
          <w:szCs w:val="20"/>
        </w:rPr>
        <w:t>, in sicer</w:t>
      </w:r>
      <w:r w:rsidRPr="001E62FA">
        <w:rPr>
          <w:rFonts w:eastAsia="Arial" w:cs="Arial"/>
          <w:szCs w:val="20"/>
        </w:rPr>
        <w:t xml:space="preserve"> najkasneje do 1. aprila 2029 o porabi električne energije, o izvajanju naložb pa najkasneje do 1. aprila 2033</w:t>
      </w:r>
      <w:r w:rsidR="003269B8">
        <w:rPr>
          <w:rFonts w:eastAsia="Arial" w:cs="Arial"/>
          <w:szCs w:val="20"/>
        </w:rPr>
        <w:t xml:space="preserve">. </w:t>
      </w:r>
    </w:p>
    <w:p w14:paraId="78296C80" w14:textId="77777777" w:rsidR="00DB4F66" w:rsidRDefault="00DB4F66" w:rsidP="00DA6357">
      <w:pPr>
        <w:rPr>
          <w:rFonts w:eastAsia="Arial" w:cs="Arial"/>
          <w:b/>
          <w:bCs/>
          <w:szCs w:val="20"/>
        </w:rPr>
      </w:pPr>
    </w:p>
    <w:p w14:paraId="77883029" w14:textId="4836C4D1" w:rsidR="0089106A" w:rsidRPr="0089106A" w:rsidRDefault="0089106A" w:rsidP="00DA6357">
      <w:pPr>
        <w:rPr>
          <w:rFonts w:eastAsia="Arial" w:cs="Arial"/>
          <w:b/>
          <w:bCs/>
          <w:szCs w:val="20"/>
        </w:rPr>
      </w:pPr>
      <w:r w:rsidRPr="0089106A">
        <w:rPr>
          <w:rFonts w:eastAsia="Arial" w:cs="Arial"/>
          <w:b/>
          <w:bCs/>
          <w:szCs w:val="20"/>
        </w:rPr>
        <w:t>K 2</w:t>
      </w:r>
      <w:r w:rsidR="00D36886">
        <w:rPr>
          <w:rFonts w:eastAsia="Arial" w:cs="Arial"/>
          <w:b/>
          <w:bCs/>
          <w:szCs w:val="20"/>
        </w:rPr>
        <w:t>2</w:t>
      </w:r>
      <w:r w:rsidRPr="0089106A">
        <w:rPr>
          <w:rFonts w:eastAsia="Arial" w:cs="Arial"/>
          <w:b/>
          <w:bCs/>
          <w:szCs w:val="20"/>
        </w:rPr>
        <w:t>. členu (uporaba zakona za namen poročanja, za obveznosti ter vračila)</w:t>
      </w:r>
    </w:p>
    <w:p w14:paraId="4C68DF2B" w14:textId="4D0932A8" w:rsidR="0089106A" w:rsidRDefault="0089106A" w:rsidP="00DA6357">
      <w:pPr>
        <w:rPr>
          <w:rFonts w:eastAsia="Arial" w:cs="Arial"/>
          <w:szCs w:val="20"/>
        </w:rPr>
      </w:pPr>
      <w:r>
        <w:rPr>
          <w:rFonts w:eastAsia="Arial" w:cs="Arial"/>
          <w:szCs w:val="20"/>
        </w:rPr>
        <w:t>Ta člen določa, da se zakon uporablja do 31. decembra 2033 za namene poročanja, za vse ostale obveznosti in za vračila neupravičeno prejete spodbude, pa se uporablja do 31. decembra 2037.</w:t>
      </w:r>
    </w:p>
    <w:p w14:paraId="35B1CC86" w14:textId="2CD78333" w:rsidR="0089106A" w:rsidRPr="00DA6357" w:rsidRDefault="0089106A" w:rsidP="00DA6357">
      <w:pPr>
        <w:rPr>
          <w:rFonts w:eastAsia="Arial" w:cs="Arial"/>
          <w:szCs w:val="20"/>
        </w:rPr>
      </w:pPr>
    </w:p>
    <w:p w14:paraId="088969F3" w14:textId="526A94DB" w:rsidR="00DA6357" w:rsidRPr="00DA6357" w:rsidRDefault="00DA6357" w:rsidP="00DA6357">
      <w:pPr>
        <w:rPr>
          <w:rFonts w:eastAsia="Arial" w:cs="Arial"/>
          <w:b/>
          <w:bCs/>
          <w:szCs w:val="20"/>
        </w:rPr>
      </w:pPr>
      <w:r w:rsidRPr="00DA6357">
        <w:rPr>
          <w:rFonts w:eastAsia="Arial" w:cs="Arial"/>
          <w:b/>
          <w:bCs/>
          <w:szCs w:val="20"/>
        </w:rPr>
        <w:t>K 2</w:t>
      </w:r>
      <w:r w:rsidR="00D36886">
        <w:rPr>
          <w:rFonts w:eastAsia="Arial" w:cs="Arial"/>
          <w:b/>
          <w:bCs/>
          <w:szCs w:val="20"/>
        </w:rPr>
        <w:t>3</w:t>
      </w:r>
      <w:r w:rsidRPr="00DA6357">
        <w:rPr>
          <w:rFonts w:eastAsia="Arial" w:cs="Arial"/>
          <w:b/>
          <w:bCs/>
          <w:szCs w:val="20"/>
        </w:rPr>
        <w:t>. členu (začetek uporabe)</w:t>
      </w:r>
    </w:p>
    <w:p w14:paraId="2E911BAC" w14:textId="2577700B" w:rsidR="000548A5" w:rsidRDefault="002922CF" w:rsidP="004F289B">
      <w:pPr>
        <w:rPr>
          <w:rFonts w:eastAsia="Arial" w:cs="Arial"/>
          <w:szCs w:val="20"/>
        </w:rPr>
      </w:pPr>
      <w:r>
        <w:rPr>
          <w:rFonts w:eastAsia="Arial" w:cs="Arial"/>
          <w:szCs w:val="20"/>
        </w:rPr>
        <w:t xml:space="preserve">Ta člen ureja tudi začetek uporabe, in sicer se začne uporabljati </w:t>
      </w:r>
      <w:r w:rsidRPr="002922CF">
        <w:rPr>
          <w:rFonts w:eastAsia="Arial" w:cs="Arial"/>
          <w:szCs w:val="20"/>
        </w:rPr>
        <w:t xml:space="preserve">po </w:t>
      </w:r>
      <w:r w:rsidR="00BC11A5">
        <w:rPr>
          <w:rFonts w:eastAsia="Arial" w:cs="Arial"/>
          <w:szCs w:val="20"/>
        </w:rPr>
        <w:t>pridobitvi pozitivne odločbe Evropske komisije o združljivosti sheme pomoči z notranjim trgom Evropske unije.</w:t>
      </w:r>
      <w:r w:rsidR="003A4147">
        <w:rPr>
          <w:rFonts w:eastAsia="Arial" w:cs="Arial"/>
          <w:szCs w:val="20"/>
        </w:rPr>
        <w:t xml:space="preserve"> Člen določa tudi, da m</w:t>
      </w:r>
      <w:r w:rsidR="003A4147" w:rsidRPr="003A4147">
        <w:rPr>
          <w:rFonts w:eastAsia="Arial" w:cs="Arial"/>
          <w:szCs w:val="20"/>
        </w:rPr>
        <w:t xml:space="preserve">inister, </w:t>
      </w:r>
      <w:r w:rsidR="003A4147" w:rsidRPr="003A4147">
        <w:rPr>
          <w:rFonts w:eastAsia="Arial" w:cs="Arial"/>
          <w:szCs w:val="20"/>
        </w:rPr>
        <w:lastRenderedPageBreak/>
        <w:t>pristojen za energijo, objavi naznanilo o prejetju odločbe</w:t>
      </w:r>
      <w:r w:rsidR="003A4147">
        <w:rPr>
          <w:rFonts w:eastAsia="Arial" w:cs="Arial"/>
          <w:szCs w:val="20"/>
        </w:rPr>
        <w:t xml:space="preserve"> (</w:t>
      </w:r>
      <w:r w:rsidR="003A4147" w:rsidRPr="003A4147">
        <w:rPr>
          <w:rFonts w:eastAsia="Arial" w:cs="Arial"/>
          <w:szCs w:val="20"/>
        </w:rPr>
        <w:t>odobritve sheme državne pomoči s strani Evropske komisije</w:t>
      </w:r>
      <w:r w:rsidR="003A4147">
        <w:rPr>
          <w:rFonts w:eastAsia="Arial" w:cs="Arial"/>
          <w:szCs w:val="20"/>
        </w:rPr>
        <w:t>)</w:t>
      </w:r>
      <w:r w:rsidR="00EA2287">
        <w:rPr>
          <w:rFonts w:eastAsia="Arial" w:cs="Arial"/>
          <w:szCs w:val="20"/>
        </w:rPr>
        <w:t xml:space="preserve"> v Uradnem listu Republike Slovenije</w:t>
      </w:r>
      <w:r w:rsidR="003A4147" w:rsidRPr="003A4147">
        <w:rPr>
          <w:rFonts w:eastAsia="Arial" w:cs="Arial"/>
          <w:szCs w:val="20"/>
        </w:rPr>
        <w:t>.</w:t>
      </w:r>
    </w:p>
    <w:p w14:paraId="7A36138C" w14:textId="77777777" w:rsidR="00EA2287" w:rsidRDefault="00EA2287" w:rsidP="004F289B">
      <w:pPr>
        <w:rPr>
          <w:rFonts w:eastAsia="Arial" w:cs="Arial"/>
          <w:szCs w:val="20"/>
        </w:rPr>
      </w:pPr>
    </w:p>
    <w:p w14:paraId="573CE612" w14:textId="25E511E8" w:rsidR="00EA2287" w:rsidRPr="00EA2287" w:rsidRDefault="00EA2287" w:rsidP="00EA2287">
      <w:pPr>
        <w:rPr>
          <w:rFonts w:eastAsia="Arial" w:cs="Arial"/>
          <w:b/>
          <w:bCs/>
          <w:szCs w:val="20"/>
        </w:rPr>
      </w:pPr>
      <w:r w:rsidRPr="00EA2287">
        <w:rPr>
          <w:rFonts w:eastAsia="Arial" w:cs="Arial"/>
          <w:b/>
          <w:bCs/>
          <w:szCs w:val="20"/>
        </w:rPr>
        <w:t>K 24. člen (začetek veljavnosti)</w:t>
      </w:r>
    </w:p>
    <w:p w14:paraId="0CF1EAE9" w14:textId="2BD1A48A" w:rsidR="00EA2287" w:rsidRPr="003A4147" w:rsidRDefault="00EA2287" w:rsidP="00EA2287">
      <w:pPr>
        <w:rPr>
          <w:rFonts w:eastAsia="Arial" w:cs="Arial"/>
          <w:szCs w:val="20"/>
        </w:rPr>
      </w:pPr>
      <w:r>
        <w:rPr>
          <w:rFonts w:eastAsia="Arial" w:cs="Arial"/>
          <w:szCs w:val="20"/>
        </w:rPr>
        <w:t>Ta člen določa veljavnost zakona, in sicer</w:t>
      </w:r>
      <w:r w:rsidRPr="00EA2287">
        <w:rPr>
          <w:rFonts w:eastAsia="Arial" w:cs="Arial"/>
          <w:szCs w:val="20"/>
        </w:rPr>
        <w:t xml:space="preserve"> začne veljati </w:t>
      </w:r>
      <w:r w:rsidR="00717DDE">
        <w:rPr>
          <w:rFonts w:eastAsia="Arial" w:cs="Arial"/>
          <w:szCs w:val="20"/>
        </w:rPr>
        <w:t>naslednji dan po objavi v Uradnem listu Republike Slovenije</w:t>
      </w:r>
      <w:r w:rsidRPr="00EA2287">
        <w:rPr>
          <w:rFonts w:eastAsia="Arial" w:cs="Arial"/>
          <w:szCs w:val="20"/>
        </w:rPr>
        <w:t xml:space="preserve"> in velja do 30. junija 2029</w:t>
      </w:r>
      <w:r>
        <w:rPr>
          <w:rFonts w:eastAsia="Arial" w:cs="Arial"/>
          <w:szCs w:val="20"/>
        </w:rPr>
        <w:t>.</w:t>
      </w:r>
    </w:p>
    <w:p w14:paraId="5EC1B7A2" w14:textId="4F2B58E5" w:rsidR="009F54B1" w:rsidRPr="00847EE9" w:rsidRDefault="00847EE9" w:rsidP="00847EE9">
      <w:pPr>
        <w:pStyle w:val="Naslov1"/>
        <w:jc w:val="both"/>
        <w:rPr>
          <w:rFonts w:eastAsia="Times New Roman" w:cs="Arial"/>
          <w:szCs w:val="20"/>
          <w:lang w:eastAsia="sl-SI"/>
        </w:rPr>
      </w:pPr>
      <w:r w:rsidRPr="00847EE9">
        <w:rPr>
          <w:rFonts w:eastAsia="Times New Roman" w:cs="Arial"/>
          <w:caps w:val="0"/>
          <w:szCs w:val="20"/>
          <w:lang w:eastAsia="sl-SI"/>
        </w:rPr>
        <w:t>IV.</w:t>
      </w:r>
      <w:r w:rsidRPr="00847EE9">
        <w:rPr>
          <w:rFonts w:eastAsia="Times New Roman" w:cs="Arial"/>
          <w:szCs w:val="20"/>
          <w:lang w:eastAsia="sl-SI"/>
        </w:rPr>
        <w:t xml:space="preserve"> </w:t>
      </w:r>
      <w:r w:rsidR="009F54B1" w:rsidRPr="00847EE9">
        <w:rPr>
          <w:rFonts w:eastAsia="Times New Roman" w:cs="Arial"/>
          <w:szCs w:val="20"/>
          <w:lang w:eastAsia="sl-SI"/>
        </w:rPr>
        <w:t>BESEDILO ČLENOV, KI SE SPREMINJAJO</w:t>
      </w:r>
    </w:p>
    <w:p w14:paraId="0278E917" w14:textId="7F246EF1" w:rsidR="009E6B77" w:rsidRPr="002C1EE7" w:rsidRDefault="00885CFB" w:rsidP="009E6B77">
      <w:pPr>
        <w:spacing w:before="100" w:beforeAutospacing="1" w:after="100" w:afterAutospacing="1" w:line="240" w:lineRule="auto"/>
        <w:rPr>
          <w:rFonts w:eastAsiaTheme="minorHAnsi" w:cs="Arial"/>
          <w:iCs/>
          <w:szCs w:val="20"/>
        </w:rPr>
      </w:pPr>
      <w:r w:rsidRPr="002C1EE7">
        <w:rPr>
          <w:rFonts w:eastAsiaTheme="minorHAnsi" w:cs="Arial"/>
          <w:iCs/>
          <w:szCs w:val="20"/>
        </w:rPr>
        <w:t>V predlaganem gradivu ne gre za novelo zakona, temveč za samostojen zakon, zato se ne navajajo razveljavljene določbe.</w:t>
      </w:r>
    </w:p>
    <w:p w14:paraId="6D330B7F" w14:textId="4A28D8B1" w:rsidR="009F54B1" w:rsidRPr="00620790" w:rsidRDefault="009F54B1" w:rsidP="008A6824">
      <w:pPr>
        <w:pStyle w:val="Naslov1"/>
        <w:jc w:val="both"/>
        <w:rPr>
          <w:rFonts w:eastAsia="Times New Roman" w:cs="Arial"/>
          <w:szCs w:val="20"/>
          <w:lang w:eastAsia="sl-SI"/>
        </w:rPr>
      </w:pPr>
      <w:r w:rsidRPr="00620790">
        <w:rPr>
          <w:rFonts w:eastAsia="Times New Roman" w:cs="Arial"/>
          <w:szCs w:val="20"/>
          <w:lang w:eastAsia="sl-SI"/>
        </w:rPr>
        <w:t>V. PREDLOG, DA SE PREDLOG ZAKONA OBRAVNAVA PO NUJNEM OZIROMA SKRAJŠANEM POSTOPKU</w:t>
      </w:r>
    </w:p>
    <w:p w14:paraId="768A541C" w14:textId="1A02963D" w:rsidR="00B01CE8" w:rsidRDefault="00B01CE8" w:rsidP="008A04D2">
      <w:pPr>
        <w:pStyle w:val="Naslov1"/>
        <w:jc w:val="both"/>
        <w:rPr>
          <w:rFonts w:eastAsiaTheme="minorEastAsia" w:cs="Arial"/>
          <w:b w:val="0"/>
          <w:bCs w:val="0"/>
          <w:caps w:val="0"/>
          <w:spacing w:val="0"/>
          <w:szCs w:val="20"/>
          <w:lang w:eastAsia="sl-SI"/>
        </w:rPr>
      </w:pPr>
      <w:r w:rsidRPr="00B01CE8">
        <w:rPr>
          <w:rFonts w:eastAsiaTheme="minorEastAsia" w:cs="Arial"/>
          <w:b w:val="0"/>
          <w:bCs w:val="0"/>
          <w:caps w:val="0"/>
          <w:spacing w:val="0"/>
          <w:szCs w:val="20"/>
          <w:lang w:eastAsia="sl-SI"/>
        </w:rPr>
        <w:t xml:space="preserve">Vlada Republike Slovenije predlaga Državnemu zboru Republike Slovenije, da predlog zakona obravnava po nujnem postopku, da se preprečijo težko popravljive posledice za delovanje države zaradi </w:t>
      </w:r>
      <w:r>
        <w:rPr>
          <w:rFonts w:eastAsiaTheme="minorEastAsia" w:cs="Arial"/>
          <w:b w:val="0"/>
          <w:bCs w:val="0"/>
          <w:caps w:val="0"/>
          <w:spacing w:val="0"/>
          <w:szCs w:val="20"/>
          <w:lang w:eastAsia="sl-SI"/>
        </w:rPr>
        <w:t>poslabšanja stanja v gospodarstvu in posledično socialni</w:t>
      </w:r>
      <w:r w:rsidR="00D002C8">
        <w:rPr>
          <w:rFonts w:eastAsiaTheme="minorEastAsia" w:cs="Arial"/>
          <w:b w:val="0"/>
          <w:bCs w:val="0"/>
          <w:caps w:val="0"/>
          <w:spacing w:val="0"/>
          <w:szCs w:val="20"/>
          <w:lang w:eastAsia="sl-SI"/>
        </w:rPr>
        <w:t>h</w:t>
      </w:r>
      <w:r>
        <w:rPr>
          <w:rFonts w:eastAsiaTheme="minorEastAsia" w:cs="Arial"/>
          <w:b w:val="0"/>
          <w:bCs w:val="0"/>
          <w:caps w:val="0"/>
          <w:spacing w:val="0"/>
          <w:szCs w:val="20"/>
          <w:lang w:eastAsia="sl-SI"/>
        </w:rPr>
        <w:t xml:space="preserve"> razmer, do katerih lahko pripelje nekonkurenčnost slovenskih energetsko intenzivnih podjetij</w:t>
      </w:r>
      <w:r w:rsidR="00D002C8">
        <w:rPr>
          <w:rFonts w:eastAsiaTheme="minorEastAsia" w:cs="Arial"/>
          <w:b w:val="0"/>
          <w:bCs w:val="0"/>
          <w:caps w:val="0"/>
          <w:spacing w:val="0"/>
          <w:szCs w:val="20"/>
          <w:lang w:eastAsia="sl-SI"/>
        </w:rPr>
        <w:t>,</w:t>
      </w:r>
      <w:r>
        <w:rPr>
          <w:rFonts w:eastAsiaTheme="minorEastAsia" w:cs="Arial"/>
          <w:b w:val="0"/>
          <w:bCs w:val="0"/>
          <w:caps w:val="0"/>
          <w:spacing w:val="0"/>
          <w:szCs w:val="20"/>
          <w:lang w:eastAsia="sl-SI"/>
        </w:rPr>
        <w:t xml:space="preserve"> izpostavljenih mednarodni trgovini, ki s strani države nimajo podpore, ki jo imajo njihova konkurenčna podjetja iz drugih držav članic EU</w:t>
      </w:r>
      <w:r w:rsidR="00D002C8">
        <w:rPr>
          <w:rFonts w:eastAsiaTheme="minorEastAsia" w:cs="Arial"/>
          <w:b w:val="0"/>
          <w:bCs w:val="0"/>
          <w:caps w:val="0"/>
          <w:spacing w:val="0"/>
          <w:szCs w:val="20"/>
          <w:lang w:eastAsia="sl-SI"/>
        </w:rPr>
        <w:t>.</w:t>
      </w:r>
    </w:p>
    <w:p w14:paraId="1F692FAD" w14:textId="51623362" w:rsidR="008A04D2" w:rsidRPr="008A04D2" w:rsidRDefault="00B01CE8" w:rsidP="008A04D2">
      <w:pPr>
        <w:pStyle w:val="Naslov1"/>
        <w:jc w:val="both"/>
        <w:rPr>
          <w:rFonts w:eastAsiaTheme="minorEastAsia" w:cs="Arial"/>
          <w:b w:val="0"/>
          <w:bCs w:val="0"/>
          <w:caps w:val="0"/>
          <w:spacing w:val="0"/>
          <w:szCs w:val="20"/>
          <w:lang w:eastAsia="sl-SI"/>
        </w:rPr>
      </w:pPr>
      <w:r>
        <w:rPr>
          <w:rFonts w:eastAsiaTheme="minorEastAsia" w:cs="Arial"/>
          <w:b w:val="0"/>
          <w:bCs w:val="0"/>
          <w:caps w:val="0"/>
          <w:spacing w:val="0"/>
          <w:szCs w:val="20"/>
          <w:lang w:eastAsia="sl-SI"/>
        </w:rPr>
        <w:t>Ker je treba zagotoviti</w:t>
      </w:r>
      <w:r w:rsidR="008A04D2" w:rsidRPr="008A04D2">
        <w:rPr>
          <w:rFonts w:eastAsiaTheme="minorEastAsia" w:cs="Arial"/>
          <w:b w:val="0"/>
          <w:bCs w:val="0"/>
          <w:caps w:val="0"/>
          <w:spacing w:val="0"/>
          <w:szCs w:val="20"/>
          <w:lang w:eastAsia="sl-SI"/>
        </w:rPr>
        <w:t xml:space="preserve"> </w:t>
      </w:r>
      <w:r>
        <w:rPr>
          <w:rFonts w:eastAsiaTheme="minorEastAsia" w:cs="Arial"/>
          <w:b w:val="0"/>
          <w:bCs w:val="0"/>
          <w:caps w:val="0"/>
          <w:spacing w:val="0"/>
          <w:szCs w:val="20"/>
          <w:lang w:eastAsia="sl-SI"/>
        </w:rPr>
        <w:t>čim hitrejšo</w:t>
      </w:r>
      <w:r w:rsidR="008A04D2" w:rsidRPr="008A04D2">
        <w:rPr>
          <w:rFonts w:eastAsiaTheme="minorEastAsia" w:cs="Arial"/>
          <w:b w:val="0"/>
          <w:bCs w:val="0"/>
          <w:caps w:val="0"/>
          <w:spacing w:val="0"/>
          <w:szCs w:val="20"/>
          <w:lang w:eastAsia="sl-SI"/>
        </w:rPr>
        <w:t xml:space="preserve"> odobrit</w:t>
      </w:r>
      <w:r>
        <w:rPr>
          <w:rFonts w:eastAsiaTheme="minorEastAsia" w:cs="Arial"/>
          <w:b w:val="0"/>
          <w:bCs w:val="0"/>
          <w:caps w:val="0"/>
          <w:spacing w:val="0"/>
          <w:szCs w:val="20"/>
          <w:lang w:eastAsia="sl-SI"/>
        </w:rPr>
        <w:t>e</w:t>
      </w:r>
      <w:r w:rsidR="008A04D2" w:rsidRPr="008A04D2">
        <w:rPr>
          <w:rFonts w:eastAsiaTheme="minorEastAsia" w:cs="Arial"/>
          <w:b w:val="0"/>
          <w:bCs w:val="0"/>
          <w:caps w:val="0"/>
          <w:spacing w:val="0"/>
          <w:szCs w:val="20"/>
          <w:lang w:eastAsia="sl-SI"/>
        </w:rPr>
        <w:t>v</w:t>
      </w:r>
      <w:r>
        <w:rPr>
          <w:rFonts w:eastAsiaTheme="minorEastAsia" w:cs="Arial"/>
          <w:b w:val="0"/>
          <w:bCs w:val="0"/>
          <w:caps w:val="0"/>
          <w:spacing w:val="0"/>
          <w:szCs w:val="20"/>
          <w:lang w:eastAsia="sl-SI"/>
        </w:rPr>
        <w:t xml:space="preserve"> tega predloga zakona za zagotavljanje </w:t>
      </w:r>
      <w:r w:rsidR="008A04D2" w:rsidRPr="008A04D2">
        <w:rPr>
          <w:rFonts w:eastAsiaTheme="minorEastAsia" w:cs="Arial"/>
          <w:b w:val="0"/>
          <w:bCs w:val="0"/>
          <w:caps w:val="0"/>
          <w:spacing w:val="0"/>
          <w:szCs w:val="20"/>
          <w:lang w:eastAsia="sl-SI"/>
        </w:rPr>
        <w:t>državne pomoči s strani Evropske komisije in izvajanj</w:t>
      </w:r>
      <w:r>
        <w:rPr>
          <w:rFonts w:eastAsiaTheme="minorEastAsia" w:cs="Arial"/>
          <w:b w:val="0"/>
          <w:bCs w:val="0"/>
          <w:caps w:val="0"/>
          <w:spacing w:val="0"/>
          <w:szCs w:val="20"/>
          <w:lang w:eastAsia="sl-SI"/>
        </w:rPr>
        <w:t>e ukrepa</w:t>
      </w:r>
      <w:r w:rsidR="008A04D2" w:rsidRPr="008A04D2">
        <w:rPr>
          <w:rFonts w:eastAsiaTheme="minorEastAsia" w:cs="Arial"/>
          <w:b w:val="0"/>
          <w:bCs w:val="0"/>
          <w:caps w:val="0"/>
          <w:spacing w:val="0"/>
          <w:szCs w:val="20"/>
          <w:lang w:eastAsia="sl-SI"/>
        </w:rPr>
        <w:t xml:space="preserve"> </w:t>
      </w:r>
      <w:r>
        <w:rPr>
          <w:rFonts w:eastAsiaTheme="minorEastAsia" w:cs="Arial"/>
          <w:b w:val="0"/>
          <w:bCs w:val="0"/>
          <w:caps w:val="0"/>
          <w:spacing w:val="0"/>
          <w:szCs w:val="20"/>
          <w:lang w:eastAsia="sl-SI"/>
        </w:rPr>
        <w:t>tudi</w:t>
      </w:r>
      <w:r w:rsidR="008A04D2" w:rsidRPr="008A04D2">
        <w:rPr>
          <w:rFonts w:eastAsiaTheme="minorEastAsia" w:cs="Arial"/>
          <w:b w:val="0"/>
          <w:bCs w:val="0"/>
          <w:caps w:val="0"/>
          <w:spacing w:val="0"/>
          <w:szCs w:val="20"/>
          <w:lang w:eastAsia="sl-SI"/>
        </w:rPr>
        <w:t xml:space="preserve"> za obdobje porabe električne energije od 1. januarja 2026 dalje</w:t>
      </w:r>
      <w:r>
        <w:rPr>
          <w:rFonts w:eastAsiaTheme="minorEastAsia" w:cs="Arial"/>
          <w:b w:val="0"/>
          <w:bCs w:val="0"/>
          <w:caps w:val="0"/>
          <w:spacing w:val="0"/>
          <w:szCs w:val="20"/>
          <w:lang w:eastAsia="sl-SI"/>
        </w:rPr>
        <w:t>,</w:t>
      </w:r>
      <w:r w:rsidR="008A04D2" w:rsidRPr="008A04D2">
        <w:rPr>
          <w:rFonts w:eastAsiaTheme="minorEastAsia" w:cs="Arial"/>
          <w:b w:val="0"/>
          <w:bCs w:val="0"/>
          <w:caps w:val="0"/>
          <w:spacing w:val="0"/>
          <w:szCs w:val="20"/>
          <w:lang w:eastAsia="sl-SI"/>
        </w:rPr>
        <w:t xml:space="preserve"> je potrebno, da se predlog zakona obravnava po </w:t>
      </w:r>
      <w:r>
        <w:rPr>
          <w:rFonts w:eastAsiaTheme="minorEastAsia" w:cs="Arial"/>
          <w:b w:val="0"/>
          <w:bCs w:val="0"/>
          <w:caps w:val="0"/>
          <w:spacing w:val="0"/>
          <w:szCs w:val="20"/>
          <w:lang w:eastAsia="sl-SI"/>
        </w:rPr>
        <w:t>nujnem</w:t>
      </w:r>
      <w:r w:rsidR="008A04D2" w:rsidRPr="008A04D2">
        <w:rPr>
          <w:rFonts w:eastAsiaTheme="minorEastAsia" w:cs="Arial"/>
          <w:b w:val="0"/>
          <w:bCs w:val="0"/>
          <w:caps w:val="0"/>
          <w:spacing w:val="0"/>
          <w:szCs w:val="20"/>
          <w:lang w:eastAsia="sl-SI"/>
        </w:rPr>
        <w:t xml:space="preserve"> postopku.</w:t>
      </w:r>
      <w:r w:rsidR="00A3185C">
        <w:rPr>
          <w:rFonts w:eastAsiaTheme="minorEastAsia" w:cs="Arial"/>
          <w:b w:val="0"/>
          <w:bCs w:val="0"/>
          <w:caps w:val="0"/>
          <w:spacing w:val="0"/>
          <w:szCs w:val="20"/>
          <w:lang w:eastAsia="sl-SI"/>
        </w:rPr>
        <w:t xml:space="preserve"> Komisija bo svoje odločitve sprejela, ko bo imela zagotovila, da se predlog zakona ne bo več spreminjal in bo poznala njegovo končno verzijo. </w:t>
      </w:r>
    </w:p>
    <w:p w14:paraId="2156C8D4" w14:textId="77777777" w:rsidR="008A04D2" w:rsidRPr="008A04D2" w:rsidRDefault="008A04D2" w:rsidP="008A04D2">
      <w:pPr>
        <w:pStyle w:val="Naslov1"/>
        <w:jc w:val="both"/>
        <w:rPr>
          <w:rFonts w:eastAsiaTheme="minorEastAsia" w:cs="Arial"/>
          <w:b w:val="0"/>
          <w:bCs w:val="0"/>
          <w:caps w:val="0"/>
          <w:spacing w:val="0"/>
          <w:szCs w:val="20"/>
          <w:lang w:eastAsia="sl-SI"/>
        </w:rPr>
      </w:pPr>
      <w:r w:rsidRPr="008A04D2">
        <w:rPr>
          <w:rFonts w:eastAsiaTheme="minorEastAsia" w:cs="Arial"/>
          <w:b w:val="0"/>
          <w:bCs w:val="0"/>
          <w:caps w:val="0"/>
          <w:spacing w:val="0"/>
          <w:szCs w:val="20"/>
          <w:lang w:eastAsia="sl-SI"/>
        </w:rPr>
        <w:t>Če zakon ne bi bil sprejet in uveljavljen pravočasno, elektrointenzivnim podjetjem v Republiki Sloveniji ne bi bilo mogoče zagotoviti ustreznega mehanizma blaženja visokih stroškov električne energije v skladu z okvirom CISAF, kar bi jih v razmerju do konkurentov v drugih državah lahko postavilo v bistveno slabši položaj, povečalo tveganje za zmanjšanje proizvodnje ali selitev proizvodnje ter s tem povzročilo resne posledice za gospodarsko in socialno stanje v državi.</w:t>
      </w:r>
    </w:p>
    <w:p w14:paraId="4505EDB0" w14:textId="43CDEF4C" w:rsidR="008A04D2" w:rsidRDefault="008A04D2" w:rsidP="008A04D2">
      <w:pPr>
        <w:pStyle w:val="Naslov1"/>
        <w:jc w:val="both"/>
        <w:rPr>
          <w:rFonts w:eastAsiaTheme="minorEastAsia" w:cs="Arial"/>
          <w:b w:val="0"/>
          <w:bCs w:val="0"/>
          <w:caps w:val="0"/>
          <w:spacing w:val="0"/>
          <w:szCs w:val="20"/>
          <w:lang w:eastAsia="sl-SI"/>
        </w:rPr>
      </w:pPr>
      <w:r w:rsidRPr="008A04D2">
        <w:rPr>
          <w:rFonts w:eastAsiaTheme="minorEastAsia" w:cs="Arial"/>
          <w:b w:val="0"/>
          <w:bCs w:val="0"/>
          <w:caps w:val="0"/>
          <w:spacing w:val="0"/>
          <w:szCs w:val="20"/>
          <w:lang w:eastAsia="sl-SI"/>
        </w:rPr>
        <w:t>Hkrati b</w:t>
      </w:r>
      <w:r w:rsidR="00B01CE8">
        <w:rPr>
          <w:rFonts w:eastAsiaTheme="minorEastAsia" w:cs="Arial"/>
          <w:b w:val="0"/>
          <w:bCs w:val="0"/>
          <w:caps w:val="0"/>
          <w:spacing w:val="0"/>
          <w:szCs w:val="20"/>
          <w:lang w:eastAsia="sl-SI"/>
        </w:rPr>
        <w:t>o</w:t>
      </w:r>
      <w:r w:rsidRPr="008A04D2">
        <w:rPr>
          <w:rFonts w:eastAsiaTheme="minorEastAsia" w:cs="Arial"/>
          <w:b w:val="0"/>
          <w:bCs w:val="0"/>
          <w:caps w:val="0"/>
          <w:spacing w:val="0"/>
          <w:szCs w:val="20"/>
          <w:lang w:eastAsia="sl-SI"/>
        </w:rPr>
        <w:t xml:space="preserve"> zamuda pri sprejemu zakona otežila doseganje ciljev razogljičenja industrije, saj so naložbene zaveze upravičencev neposredno vezane na prejeto pomoč v letih 2026–2028. Zato je nujna </w:t>
      </w:r>
      <w:r>
        <w:rPr>
          <w:rFonts w:eastAsiaTheme="minorEastAsia" w:cs="Arial"/>
          <w:b w:val="0"/>
          <w:bCs w:val="0"/>
          <w:caps w:val="0"/>
          <w:spacing w:val="0"/>
          <w:szCs w:val="20"/>
          <w:lang w:eastAsia="sl-SI"/>
        </w:rPr>
        <w:t>čim hitrejša</w:t>
      </w:r>
      <w:r w:rsidRPr="008A04D2">
        <w:rPr>
          <w:rFonts w:eastAsiaTheme="minorEastAsia" w:cs="Arial"/>
          <w:b w:val="0"/>
          <w:bCs w:val="0"/>
          <w:caps w:val="0"/>
          <w:spacing w:val="0"/>
          <w:szCs w:val="20"/>
          <w:lang w:eastAsia="sl-SI"/>
        </w:rPr>
        <w:t xml:space="preserve"> zakonodajna obravnava, ki omogoča pravočasno priglasitev in odobritev ukrepa s strani Evropske komisije ter začetek njegovega izvajanja.</w:t>
      </w:r>
    </w:p>
    <w:p w14:paraId="04A9B5BF" w14:textId="0D9916A2" w:rsidR="000A0AA3" w:rsidRDefault="00584C04" w:rsidP="008A04D2">
      <w:pPr>
        <w:pStyle w:val="Naslov1"/>
        <w:jc w:val="both"/>
        <w:rPr>
          <w:rFonts w:eastAsia="Times New Roman" w:cs="Arial"/>
          <w:szCs w:val="20"/>
          <w:lang w:eastAsia="sl-SI"/>
        </w:rPr>
      </w:pPr>
      <w:r w:rsidRPr="00620790">
        <w:rPr>
          <w:rFonts w:eastAsia="Times New Roman" w:cs="Arial"/>
          <w:szCs w:val="20"/>
          <w:lang w:eastAsia="sl-SI"/>
        </w:rPr>
        <w:t>VI. PRILOGE</w:t>
      </w:r>
      <w:r w:rsidR="00935359">
        <w:rPr>
          <w:rFonts w:eastAsia="Times New Roman" w:cs="Arial"/>
          <w:szCs w:val="20"/>
          <w:lang w:eastAsia="sl-SI"/>
        </w:rPr>
        <w:t xml:space="preserve"> </w:t>
      </w:r>
    </w:p>
    <w:p w14:paraId="6712BD7C" w14:textId="3A48CA66" w:rsidR="00922B07" w:rsidRPr="00922B07" w:rsidRDefault="00D002C8" w:rsidP="00922B07">
      <w:pPr>
        <w:rPr>
          <w:lang w:eastAsia="sl-SI"/>
        </w:rPr>
      </w:pPr>
      <w:r>
        <w:rPr>
          <w:lang w:eastAsia="sl-SI"/>
        </w:rPr>
        <w:t>/</w:t>
      </w:r>
    </w:p>
    <w:sectPr w:rsidR="00922B07" w:rsidRPr="00922B07">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675726" w14:textId="77777777" w:rsidR="001F1E46" w:rsidRDefault="001F1E46" w:rsidP="009F54B1">
      <w:pPr>
        <w:spacing w:after="0" w:line="240" w:lineRule="auto"/>
      </w:pPr>
      <w:r>
        <w:separator/>
      </w:r>
    </w:p>
    <w:p w14:paraId="70870B11" w14:textId="77777777" w:rsidR="001F1E46" w:rsidRDefault="001F1E46"/>
  </w:endnote>
  <w:endnote w:type="continuationSeparator" w:id="0">
    <w:p w14:paraId="005C7DD1" w14:textId="77777777" w:rsidR="001F1E46" w:rsidRDefault="001F1E46" w:rsidP="009F54B1">
      <w:pPr>
        <w:spacing w:after="0" w:line="240" w:lineRule="auto"/>
      </w:pPr>
      <w:r>
        <w:continuationSeparator/>
      </w:r>
    </w:p>
    <w:p w14:paraId="775359F1" w14:textId="77777777" w:rsidR="001F1E46" w:rsidRDefault="001F1E4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Tahoma">
    <w:panose1 w:val="020B0604030504040204"/>
    <w:charset w:val="EE"/>
    <w:family w:val="swiss"/>
    <w:pitch w:val="variable"/>
    <w:sig w:usb0="E1002EFF" w:usb1="C000605B" w:usb2="00000029" w:usb3="00000000" w:csb0="000101FF" w:csb1="00000000"/>
  </w:font>
  <w:font w:name="EYInterstate Light">
    <w:altName w:val="Calibri"/>
    <w:charset w:val="EE"/>
    <w:family w:val="auto"/>
    <w:pitch w:val="variable"/>
    <w:sig w:usb0="A00002AF" w:usb1="5000206A" w:usb2="00000000" w:usb3="00000000" w:csb0="0000009F" w:csb1="00000000"/>
  </w:font>
  <w:font w:name="Cambria">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787947"/>
      <w:docPartObj>
        <w:docPartGallery w:val="Page Numbers (Bottom of Page)"/>
        <w:docPartUnique/>
      </w:docPartObj>
    </w:sdtPr>
    <w:sdtEndPr/>
    <w:sdtContent>
      <w:p w14:paraId="5C7D7CE6" w14:textId="5BD809DB" w:rsidR="00F67126" w:rsidRDefault="00F67126">
        <w:pPr>
          <w:pStyle w:val="Noga"/>
          <w:jc w:val="right"/>
        </w:pPr>
        <w:r>
          <w:fldChar w:fldCharType="begin"/>
        </w:r>
        <w:r>
          <w:instrText>PAGE   \* MERGEFORMAT</w:instrText>
        </w:r>
        <w:r>
          <w:fldChar w:fldCharType="separate"/>
        </w:r>
        <w:r w:rsidR="00552285">
          <w:rPr>
            <w:noProof/>
          </w:rPr>
          <w:t>4</w:t>
        </w:r>
        <w:r>
          <w:fldChar w:fldCharType="end"/>
        </w:r>
      </w:p>
    </w:sdtContent>
  </w:sdt>
  <w:p w14:paraId="60B3E9C0" w14:textId="77777777" w:rsidR="00F67126" w:rsidRDefault="00F67126">
    <w:pPr>
      <w:pStyle w:val="Noga"/>
    </w:pPr>
  </w:p>
  <w:p w14:paraId="61EFA8C3" w14:textId="77777777" w:rsidR="00F67126" w:rsidRDefault="00F6712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B8CA209" w14:textId="77777777" w:rsidR="001F1E46" w:rsidRDefault="001F1E46" w:rsidP="009F54B1">
      <w:pPr>
        <w:spacing w:after="0" w:line="240" w:lineRule="auto"/>
      </w:pPr>
      <w:r>
        <w:separator/>
      </w:r>
    </w:p>
    <w:p w14:paraId="4D30F668" w14:textId="77777777" w:rsidR="001F1E46" w:rsidRDefault="001F1E46"/>
  </w:footnote>
  <w:footnote w:type="continuationSeparator" w:id="0">
    <w:p w14:paraId="76922EFC" w14:textId="77777777" w:rsidR="001F1E46" w:rsidRDefault="001F1E46" w:rsidP="009F54B1">
      <w:pPr>
        <w:spacing w:after="0" w:line="240" w:lineRule="auto"/>
      </w:pPr>
      <w:r>
        <w:continuationSeparator/>
      </w:r>
    </w:p>
    <w:p w14:paraId="61216FB5" w14:textId="77777777" w:rsidR="001F1E46" w:rsidRDefault="001F1E46"/>
  </w:footnote>
  <w:footnote w:id="1">
    <w:p w14:paraId="4207D533" w14:textId="1CD811FB" w:rsidR="00F67126" w:rsidRDefault="00F67126">
      <w:pPr>
        <w:pStyle w:val="Sprotnaopomba-besedilo"/>
      </w:pPr>
      <w:r>
        <w:rPr>
          <w:rStyle w:val="Sprotnaopomba-sklic"/>
        </w:rPr>
        <w:footnoteRef/>
      </w:r>
      <w:r>
        <w:t xml:space="preserve"> Vir: Študija upravičenosti državne pomoči energetsko intenzivnim sektorjem po CISAF direktivi; izvajalec: L.I.F.E. Institut d.o.o., 2025</w:t>
      </w:r>
    </w:p>
  </w:footnote>
  <w:footnote w:id="2">
    <w:p w14:paraId="534071E3" w14:textId="77777777" w:rsidR="00F67126" w:rsidRPr="00427DBE" w:rsidRDefault="00F67126" w:rsidP="001F1CE7">
      <w:pPr>
        <w:pStyle w:val="Sprotnaopomba-besedilo"/>
        <w:rPr>
          <w:sz w:val="24"/>
          <w:szCs w:val="24"/>
        </w:rPr>
      </w:pPr>
      <w:r w:rsidRPr="00427DBE">
        <w:rPr>
          <w:rStyle w:val="Sprotnaopomba-sklic"/>
        </w:rPr>
        <w:footnoteRef/>
      </w:r>
      <w:r w:rsidRPr="00427DBE">
        <w:t xml:space="preserve"> Le Monde</w:t>
      </w:r>
      <w:r>
        <w:t xml:space="preserve">, </w:t>
      </w:r>
      <w:hyperlink r:id="rId1" w:history="1">
        <w:r w:rsidRPr="002A3BDF">
          <w:rPr>
            <w:rStyle w:val="Hiperpovezava"/>
            <w:rFonts w:cstheme="minorHAnsi"/>
            <w:sz w:val="21"/>
            <w:szCs w:val="21"/>
          </w:rPr>
          <w:t>https://www.lemonde.fr/economie/article/2024/04/16/electricite-inquietude-des-industriels-sur-la-tarification-a-long-terme_6228097_3234.html</w:t>
        </w:r>
      </w:hyperlink>
      <w:r>
        <w:t xml:space="preserve"> </w:t>
      </w:r>
    </w:p>
  </w:footnote>
  <w:footnote w:id="3">
    <w:p w14:paraId="6A5DF2F2" w14:textId="77777777" w:rsidR="00F67126" w:rsidRDefault="00F67126" w:rsidP="001F1CE7">
      <w:pPr>
        <w:pStyle w:val="Sprotnaopomba-besedilo"/>
      </w:pPr>
    </w:p>
  </w:footnote>
  <w:footnote w:id="4">
    <w:p w14:paraId="313E13D1" w14:textId="77777777" w:rsidR="00F67126" w:rsidRPr="009767D1" w:rsidRDefault="00F67126" w:rsidP="001F1CE7">
      <w:pPr>
        <w:pStyle w:val="Sprotnaopomba-besedilo"/>
        <w:rPr>
          <w:rFonts w:cstheme="minorHAnsi"/>
        </w:rPr>
      </w:pPr>
      <w:r w:rsidRPr="009767D1">
        <w:rPr>
          <w:rStyle w:val="Sprotnaopomba-sklic"/>
          <w:rFonts w:cstheme="minorHAnsi"/>
        </w:rPr>
        <w:footnoteRef/>
      </w:r>
      <w:r w:rsidRPr="009767D1">
        <w:rPr>
          <w:rFonts w:cstheme="minorHAnsi"/>
        </w:rPr>
        <w:t xml:space="preserve"> </w:t>
      </w:r>
      <w:r>
        <w:rPr>
          <w:rFonts w:cstheme="minorHAnsi"/>
        </w:rPr>
        <w:t xml:space="preserve">Roedl (2025). </w:t>
      </w:r>
      <w:r w:rsidRPr="009767D1">
        <w:rPr>
          <w:rFonts w:cstheme="minorHAnsi"/>
        </w:rPr>
        <w:t>Energy Release 2.0 potential for producers</w:t>
      </w:r>
      <w:r>
        <w:rPr>
          <w:rFonts w:cstheme="minorHAnsi"/>
        </w:rPr>
        <w:t xml:space="preserve">. </w:t>
      </w:r>
      <w:hyperlink r:id="rId2" w:history="1">
        <w:r w:rsidRPr="000D65E9">
          <w:rPr>
            <w:rStyle w:val="Hiperpovezava"/>
            <w:rFonts w:cstheme="minorHAnsi"/>
          </w:rPr>
          <w:t>https://www.roedl.com/insights/renewable-energy/2025/april/italy-energy-release-two-zero-potential-for-producers</w:t>
        </w:r>
      </w:hyperlink>
      <w:r>
        <w:rPr>
          <w:rFonts w:cstheme="minorHAnsi"/>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multilevel"/>
    <w:tmpl w:val="00000002"/>
    <w:name w:val="WW8Num1"/>
    <w:lvl w:ilvl="0">
      <w:start w:val="1"/>
      <w:numFmt w:val="none"/>
      <w:pStyle w:val="rkovnatokazatevilnotokoi"/>
      <w:suff w:val="nothing"/>
      <w:lvlText w:val=""/>
      <w:lvlJc w:val="left"/>
      <w:pPr>
        <w:tabs>
          <w:tab w:val="num" w:pos="0"/>
        </w:tabs>
        <w:ind w:left="432" w:hanging="432"/>
      </w:pPr>
      <w:rPr>
        <w:rFonts w:ascii="Arial" w:eastAsia="Calibri" w:hAnsi="Arial" w:cs="Arial" w:hint="default"/>
        <w:lang w:val="sl-SI"/>
      </w:rPr>
    </w:lvl>
    <w:lvl w:ilvl="1">
      <w:start w:val="1"/>
      <w:numFmt w:val="none"/>
      <w:suff w:val="nothing"/>
      <w:lvlText w:val=""/>
      <w:lvlJc w:val="left"/>
      <w:pPr>
        <w:tabs>
          <w:tab w:val="num" w:pos="0"/>
        </w:tabs>
        <w:ind w:left="576" w:hanging="576"/>
      </w:pPr>
      <w:rPr>
        <w:rFonts w:ascii="Courier New" w:hAnsi="Courier New" w:cs="Courier New" w:hint="default"/>
      </w:rPr>
    </w:lvl>
    <w:lvl w:ilvl="2">
      <w:start w:val="1"/>
      <w:numFmt w:val="none"/>
      <w:suff w:val="nothing"/>
      <w:lvlText w:val=""/>
      <w:lvlJc w:val="left"/>
      <w:pPr>
        <w:tabs>
          <w:tab w:val="num" w:pos="0"/>
        </w:tabs>
        <w:ind w:left="720" w:hanging="720"/>
      </w:pPr>
      <w:rPr>
        <w:rFonts w:ascii="Wingdings" w:hAnsi="Wingdings" w:cs="Wingdings" w:hint="default"/>
      </w:rPr>
    </w:lvl>
    <w:lvl w:ilvl="3">
      <w:start w:val="1"/>
      <w:numFmt w:val="none"/>
      <w:suff w:val="nothing"/>
      <w:lvlText w:val=""/>
      <w:lvlJc w:val="left"/>
      <w:pPr>
        <w:tabs>
          <w:tab w:val="num" w:pos="0"/>
        </w:tabs>
        <w:ind w:left="864" w:hanging="864"/>
      </w:pPr>
      <w:rPr>
        <w:rFonts w:ascii="Symbol" w:hAnsi="Symbol" w:cs="Symbol" w:hint="default"/>
      </w:r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A62164"/>
    <w:multiLevelType w:val="hybridMultilevel"/>
    <w:tmpl w:val="6B6EBED4"/>
    <w:lvl w:ilvl="0" w:tplc="1B1C88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3C84A03"/>
    <w:multiLevelType w:val="hybridMultilevel"/>
    <w:tmpl w:val="EBBC50C8"/>
    <w:lvl w:ilvl="0" w:tplc="6EB8164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63D7622"/>
    <w:multiLevelType w:val="hybridMultilevel"/>
    <w:tmpl w:val="8228DB86"/>
    <w:lvl w:ilvl="0" w:tplc="12A4957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8F97C5E"/>
    <w:multiLevelType w:val="hybridMultilevel"/>
    <w:tmpl w:val="03D0812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9E54163"/>
    <w:multiLevelType w:val="multilevel"/>
    <w:tmpl w:val="07A473BE"/>
    <w:styleLink w:val="Trenutniseznam1"/>
    <w:lvl w:ilvl="0">
      <w:start w:val="1"/>
      <w:numFmt w:val="decimal"/>
      <w:lvlText w:val="%1."/>
      <w:lvlJc w:val="left"/>
      <w:pPr>
        <w:ind w:left="1741" w:hanging="360"/>
      </w:pPr>
      <w:rPr>
        <w:rFonts w:ascii="Arial" w:eastAsia="Times New Roman" w:hAnsi="Arial" w:cs="Arial"/>
      </w:rPr>
    </w:lvl>
    <w:lvl w:ilvl="1">
      <w:start w:val="1"/>
      <w:numFmt w:val="lowerLetter"/>
      <w:lvlText w:val="%2."/>
      <w:lvlJc w:val="left"/>
      <w:pPr>
        <w:ind w:left="2461" w:hanging="360"/>
      </w:pPr>
    </w:lvl>
    <w:lvl w:ilvl="2">
      <w:start w:val="1"/>
      <w:numFmt w:val="lowerRoman"/>
      <w:lvlText w:val="%3."/>
      <w:lvlJc w:val="right"/>
      <w:pPr>
        <w:ind w:left="3181" w:hanging="180"/>
      </w:pPr>
    </w:lvl>
    <w:lvl w:ilvl="3">
      <w:start w:val="1"/>
      <w:numFmt w:val="decimal"/>
      <w:lvlText w:val="%4."/>
      <w:lvlJc w:val="left"/>
      <w:pPr>
        <w:ind w:left="3901" w:hanging="360"/>
      </w:pPr>
    </w:lvl>
    <w:lvl w:ilvl="4">
      <w:start w:val="1"/>
      <w:numFmt w:val="lowerLetter"/>
      <w:lvlText w:val="%5."/>
      <w:lvlJc w:val="left"/>
      <w:pPr>
        <w:ind w:left="4621" w:hanging="360"/>
      </w:pPr>
    </w:lvl>
    <w:lvl w:ilvl="5">
      <w:start w:val="1"/>
      <w:numFmt w:val="lowerRoman"/>
      <w:lvlText w:val="%6."/>
      <w:lvlJc w:val="right"/>
      <w:pPr>
        <w:ind w:left="5341" w:hanging="180"/>
      </w:pPr>
    </w:lvl>
    <w:lvl w:ilvl="6">
      <w:start w:val="1"/>
      <w:numFmt w:val="decimal"/>
      <w:lvlText w:val="%7."/>
      <w:lvlJc w:val="left"/>
      <w:pPr>
        <w:ind w:left="6061" w:hanging="360"/>
      </w:pPr>
    </w:lvl>
    <w:lvl w:ilvl="7">
      <w:start w:val="1"/>
      <w:numFmt w:val="lowerLetter"/>
      <w:lvlText w:val="%8."/>
      <w:lvlJc w:val="left"/>
      <w:pPr>
        <w:ind w:left="6781" w:hanging="360"/>
      </w:pPr>
    </w:lvl>
    <w:lvl w:ilvl="8">
      <w:start w:val="1"/>
      <w:numFmt w:val="lowerRoman"/>
      <w:lvlText w:val="%9."/>
      <w:lvlJc w:val="right"/>
      <w:pPr>
        <w:ind w:left="7501" w:hanging="180"/>
      </w:pPr>
    </w:lvl>
  </w:abstractNum>
  <w:abstractNum w:abstractNumId="6" w15:restartNumberingAfterBreak="0">
    <w:nsid w:val="0A1C73EB"/>
    <w:multiLevelType w:val="hybridMultilevel"/>
    <w:tmpl w:val="A1C23964"/>
    <w:lvl w:ilvl="0" w:tplc="FFFFFFFF">
      <w:start w:val="1"/>
      <w:numFmt w:val="decimal"/>
      <w:lvlText w:val="%1."/>
      <w:lvlJc w:val="left"/>
      <w:pPr>
        <w:ind w:left="720" w:hanging="360"/>
      </w:pPr>
    </w:lvl>
    <w:lvl w:ilvl="1" w:tplc="FFFFFFFF">
      <w:numFmt w:val="bullet"/>
      <w:lvlText w:val="-"/>
      <w:lvlJc w:val="left"/>
      <w:pPr>
        <w:ind w:left="720" w:hanging="360"/>
      </w:pPr>
      <w:rPr>
        <w:rFonts w:ascii="Arial" w:eastAsia="Times New Roman" w:hAnsi="Arial" w:cs="Arial"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0E214611"/>
    <w:multiLevelType w:val="hybridMultilevel"/>
    <w:tmpl w:val="F9F6D95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04840F0"/>
    <w:multiLevelType w:val="hybridMultilevel"/>
    <w:tmpl w:val="3924939A"/>
    <w:lvl w:ilvl="0" w:tplc="3E6E677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1034D05"/>
    <w:multiLevelType w:val="hybridMultilevel"/>
    <w:tmpl w:val="09E2A7C8"/>
    <w:lvl w:ilvl="0" w:tplc="8E828DCA">
      <w:start w:val="3"/>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38A59F8"/>
    <w:multiLevelType w:val="hybridMultilevel"/>
    <w:tmpl w:val="2B0E06B0"/>
    <w:lvl w:ilvl="0" w:tplc="338E1BBA">
      <w:numFmt w:val="bullet"/>
      <w:lvlText w:val="-"/>
      <w:lvlJc w:val="left"/>
      <w:pPr>
        <w:ind w:left="1441" w:hanging="360"/>
      </w:pPr>
      <w:rPr>
        <w:rFonts w:ascii="Arial" w:eastAsia="Arial" w:hAnsi="Arial" w:cs="Arial" w:hint="default"/>
      </w:rPr>
    </w:lvl>
    <w:lvl w:ilvl="1" w:tplc="04240003" w:tentative="1">
      <w:start w:val="1"/>
      <w:numFmt w:val="bullet"/>
      <w:lvlText w:val="o"/>
      <w:lvlJc w:val="left"/>
      <w:pPr>
        <w:ind w:left="2161" w:hanging="360"/>
      </w:pPr>
      <w:rPr>
        <w:rFonts w:ascii="Courier New" w:hAnsi="Courier New" w:cs="Courier New" w:hint="default"/>
      </w:rPr>
    </w:lvl>
    <w:lvl w:ilvl="2" w:tplc="04240005" w:tentative="1">
      <w:start w:val="1"/>
      <w:numFmt w:val="bullet"/>
      <w:lvlText w:val=""/>
      <w:lvlJc w:val="left"/>
      <w:pPr>
        <w:ind w:left="2881" w:hanging="360"/>
      </w:pPr>
      <w:rPr>
        <w:rFonts w:ascii="Wingdings" w:hAnsi="Wingdings" w:hint="default"/>
      </w:rPr>
    </w:lvl>
    <w:lvl w:ilvl="3" w:tplc="04240001" w:tentative="1">
      <w:start w:val="1"/>
      <w:numFmt w:val="bullet"/>
      <w:lvlText w:val=""/>
      <w:lvlJc w:val="left"/>
      <w:pPr>
        <w:ind w:left="3601" w:hanging="360"/>
      </w:pPr>
      <w:rPr>
        <w:rFonts w:ascii="Symbol" w:hAnsi="Symbol" w:hint="default"/>
      </w:rPr>
    </w:lvl>
    <w:lvl w:ilvl="4" w:tplc="04240003" w:tentative="1">
      <w:start w:val="1"/>
      <w:numFmt w:val="bullet"/>
      <w:lvlText w:val="o"/>
      <w:lvlJc w:val="left"/>
      <w:pPr>
        <w:ind w:left="4321" w:hanging="360"/>
      </w:pPr>
      <w:rPr>
        <w:rFonts w:ascii="Courier New" w:hAnsi="Courier New" w:cs="Courier New" w:hint="default"/>
      </w:rPr>
    </w:lvl>
    <w:lvl w:ilvl="5" w:tplc="04240005" w:tentative="1">
      <w:start w:val="1"/>
      <w:numFmt w:val="bullet"/>
      <w:lvlText w:val=""/>
      <w:lvlJc w:val="left"/>
      <w:pPr>
        <w:ind w:left="5041" w:hanging="360"/>
      </w:pPr>
      <w:rPr>
        <w:rFonts w:ascii="Wingdings" w:hAnsi="Wingdings" w:hint="default"/>
      </w:rPr>
    </w:lvl>
    <w:lvl w:ilvl="6" w:tplc="04240001" w:tentative="1">
      <w:start w:val="1"/>
      <w:numFmt w:val="bullet"/>
      <w:lvlText w:val=""/>
      <w:lvlJc w:val="left"/>
      <w:pPr>
        <w:ind w:left="5761" w:hanging="360"/>
      </w:pPr>
      <w:rPr>
        <w:rFonts w:ascii="Symbol" w:hAnsi="Symbol" w:hint="default"/>
      </w:rPr>
    </w:lvl>
    <w:lvl w:ilvl="7" w:tplc="04240003" w:tentative="1">
      <w:start w:val="1"/>
      <w:numFmt w:val="bullet"/>
      <w:lvlText w:val="o"/>
      <w:lvlJc w:val="left"/>
      <w:pPr>
        <w:ind w:left="6481" w:hanging="360"/>
      </w:pPr>
      <w:rPr>
        <w:rFonts w:ascii="Courier New" w:hAnsi="Courier New" w:cs="Courier New" w:hint="default"/>
      </w:rPr>
    </w:lvl>
    <w:lvl w:ilvl="8" w:tplc="04240005" w:tentative="1">
      <w:start w:val="1"/>
      <w:numFmt w:val="bullet"/>
      <w:lvlText w:val=""/>
      <w:lvlJc w:val="left"/>
      <w:pPr>
        <w:ind w:left="7201" w:hanging="360"/>
      </w:pPr>
      <w:rPr>
        <w:rFonts w:ascii="Wingdings" w:hAnsi="Wingdings" w:hint="default"/>
      </w:rPr>
    </w:lvl>
  </w:abstractNum>
  <w:abstractNum w:abstractNumId="11" w15:restartNumberingAfterBreak="0">
    <w:nsid w:val="13C3468B"/>
    <w:multiLevelType w:val="hybridMultilevel"/>
    <w:tmpl w:val="F9F6D9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42B6618"/>
    <w:multiLevelType w:val="hybridMultilevel"/>
    <w:tmpl w:val="4F865230"/>
    <w:lvl w:ilvl="0" w:tplc="E7BEE37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5853B78"/>
    <w:multiLevelType w:val="hybridMultilevel"/>
    <w:tmpl w:val="B248FC52"/>
    <w:lvl w:ilvl="0" w:tplc="8548B81C">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A2B181E"/>
    <w:multiLevelType w:val="hybridMultilevel"/>
    <w:tmpl w:val="CCD471EA"/>
    <w:lvl w:ilvl="0" w:tplc="1B1C886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A3F28FB"/>
    <w:multiLevelType w:val="hybridMultilevel"/>
    <w:tmpl w:val="E3DC2C02"/>
    <w:lvl w:ilvl="0" w:tplc="8EBC32BC">
      <w:numFmt w:val="bullet"/>
      <w:lvlText w:val="−"/>
      <w:lvlJc w:val="left"/>
      <w:pPr>
        <w:ind w:left="720" w:hanging="360"/>
      </w:pPr>
      <w:rPr>
        <w:rFonts w:ascii="Segoe UI" w:eastAsiaTheme="minorHAnsi" w:hAnsi="Segoe U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1A6C5D8F"/>
    <w:multiLevelType w:val="hybridMultilevel"/>
    <w:tmpl w:val="07801D5C"/>
    <w:lvl w:ilvl="0" w:tplc="8EBC32BC">
      <w:numFmt w:val="bullet"/>
      <w:lvlText w:val="−"/>
      <w:lvlJc w:val="left"/>
      <w:pPr>
        <w:ind w:left="720" w:hanging="360"/>
      </w:pPr>
      <w:rPr>
        <w:rFonts w:ascii="Segoe UI" w:eastAsiaTheme="minorHAnsi" w:hAnsi="Segoe U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9" w15:restartNumberingAfterBreak="0">
    <w:nsid w:val="1B4F4AE6"/>
    <w:multiLevelType w:val="hybridMultilevel"/>
    <w:tmpl w:val="233C14D8"/>
    <w:lvl w:ilvl="0" w:tplc="1B1C88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1C203EE1"/>
    <w:multiLevelType w:val="hybridMultilevel"/>
    <w:tmpl w:val="6D5CD2F0"/>
    <w:lvl w:ilvl="0" w:tplc="0424000F">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1" w15:restartNumberingAfterBreak="0">
    <w:nsid w:val="1C3C5682"/>
    <w:multiLevelType w:val="multilevel"/>
    <w:tmpl w:val="F3E2ACAC"/>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22944A9D"/>
    <w:multiLevelType w:val="hybridMultilevel"/>
    <w:tmpl w:val="59685E36"/>
    <w:lvl w:ilvl="0" w:tplc="FFFFFFFF">
      <w:start w:val="1"/>
      <w:numFmt w:val="bullet"/>
      <w:lvlText w:val=""/>
      <w:lvlJc w:val="left"/>
      <w:pPr>
        <w:ind w:left="720" w:hanging="360"/>
      </w:pPr>
      <w:rPr>
        <w:rFonts w:ascii="Symbol" w:hAnsi="Symbol" w:hint="default"/>
      </w:rPr>
    </w:lvl>
    <w:lvl w:ilvl="1" w:tplc="1B1C8866">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23DD13C7"/>
    <w:multiLevelType w:val="hybridMultilevel"/>
    <w:tmpl w:val="B5FE3F9C"/>
    <w:lvl w:ilvl="0" w:tplc="8548B81C">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23E8326F"/>
    <w:multiLevelType w:val="hybridMultilevel"/>
    <w:tmpl w:val="261ED3B4"/>
    <w:lvl w:ilvl="0" w:tplc="1B1C88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23EE2726"/>
    <w:multiLevelType w:val="hybridMultilevel"/>
    <w:tmpl w:val="CD0CD77A"/>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E002693C">
      <w:start w:val="1"/>
      <w:numFmt w:val="lowerLetter"/>
      <w:lvlText w:val="%3."/>
      <w:lvlJc w:val="right"/>
      <w:pPr>
        <w:ind w:left="2160" w:hanging="180"/>
      </w:pPr>
      <w:rPr>
        <w:rFonts w:ascii="Arial" w:eastAsia="Arial" w:hAnsi="Arial" w:cs="Arial"/>
      </w:r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26" w15:restartNumberingAfterBreak="0">
    <w:nsid w:val="26C7531E"/>
    <w:multiLevelType w:val="multilevel"/>
    <w:tmpl w:val="F1D05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95738A8"/>
    <w:multiLevelType w:val="hybridMultilevel"/>
    <w:tmpl w:val="74AC4AE6"/>
    <w:lvl w:ilvl="0" w:tplc="755A8800">
      <w:start w:val="1"/>
      <w:numFmt w:val="decimal"/>
      <w:lvlText w:val="(%1) "/>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29CC4050"/>
    <w:multiLevelType w:val="multilevel"/>
    <w:tmpl w:val="53B22B82"/>
    <w:lvl w:ilvl="0">
      <w:start w:val="1"/>
      <w:numFmt w:val="bullet"/>
      <w:lvlText w:val="•"/>
      <w:lvlJc w:val="left"/>
      <w:pPr>
        <w:ind w:left="360" w:hanging="360"/>
      </w:pPr>
      <w:rPr>
        <w:rFonts w:ascii="Arial" w:hAnsi="Aria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9" w15:restartNumberingAfterBreak="0">
    <w:nsid w:val="2A0F4D00"/>
    <w:multiLevelType w:val="hybridMultilevel"/>
    <w:tmpl w:val="C02E5104"/>
    <w:lvl w:ilvl="0" w:tplc="5FE6570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2B912539"/>
    <w:multiLevelType w:val="hybridMultilevel"/>
    <w:tmpl w:val="D1B80846"/>
    <w:lvl w:ilvl="0" w:tplc="12A4957E">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2B965BBE"/>
    <w:multiLevelType w:val="hybridMultilevel"/>
    <w:tmpl w:val="A4A4C718"/>
    <w:lvl w:ilvl="0" w:tplc="1B1C886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2CFB51D4"/>
    <w:multiLevelType w:val="hybridMultilevel"/>
    <w:tmpl w:val="FA02B958"/>
    <w:lvl w:ilvl="0" w:tplc="FFFFFFFF">
      <w:start w:val="1"/>
      <w:numFmt w:val="bullet"/>
      <w:lvlText w:val=""/>
      <w:lvlJc w:val="left"/>
      <w:pPr>
        <w:ind w:left="720" w:hanging="360"/>
      </w:pPr>
      <w:rPr>
        <w:rFonts w:ascii="Symbol" w:hAnsi="Symbol" w:hint="default"/>
      </w:rPr>
    </w:lvl>
    <w:lvl w:ilvl="1" w:tplc="1B1C8866">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2D9F6635"/>
    <w:multiLevelType w:val="hybridMultilevel"/>
    <w:tmpl w:val="F2F68802"/>
    <w:lvl w:ilvl="0" w:tplc="CA8A89F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15:restartNumberingAfterBreak="0">
    <w:nsid w:val="2DAA10E3"/>
    <w:multiLevelType w:val="hybridMultilevel"/>
    <w:tmpl w:val="3152827E"/>
    <w:lvl w:ilvl="0" w:tplc="1B1C88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30AF5A23"/>
    <w:multiLevelType w:val="hybridMultilevel"/>
    <w:tmpl w:val="A1C23964"/>
    <w:lvl w:ilvl="0" w:tplc="0424000F">
      <w:start w:val="1"/>
      <w:numFmt w:val="decimal"/>
      <w:lvlText w:val="%1."/>
      <w:lvlJc w:val="left"/>
      <w:pPr>
        <w:ind w:left="720" w:hanging="360"/>
      </w:pPr>
    </w:lvl>
    <w:lvl w:ilvl="1" w:tplc="12A4957E">
      <w:numFmt w:val="bullet"/>
      <w:lvlText w:val="-"/>
      <w:lvlJc w:val="left"/>
      <w:pPr>
        <w:ind w:left="720" w:hanging="360"/>
      </w:pPr>
      <w:rPr>
        <w:rFonts w:ascii="Arial" w:eastAsia="Times New Roman" w:hAnsi="Arial" w:cs="Arial" w:hint="default"/>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31A1398E"/>
    <w:multiLevelType w:val="hybridMultilevel"/>
    <w:tmpl w:val="9C8885EC"/>
    <w:lvl w:ilvl="0" w:tplc="1B1C886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31DD22D3"/>
    <w:multiLevelType w:val="hybridMultilevel"/>
    <w:tmpl w:val="6180F76A"/>
    <w:lvl w:ilvl="0" w:tplc="D8469B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348A48C8"/>
    <w:multiLevelType w:val="hybridMultilevel"/>
    <w:tmpl w:val="B36CA55E"/>
    <w:lvl w:ilvl="0" w:tplc="B536615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9" w15:restartNumberingAfterBreak="0">
    <w:nsid w:val="351110FD"/>
    <w:multiLevelType w:val="hybridMultilevel"/>
    <w:tmpl w:val="F71EEBE6"/>
    <w:lvl w:ilvl="0" w:tplc="16A650AE">
      <w:start w:val="11"/>
      <w:numFmt w:val="decimal"/>
      <w:lvlText w:val="%1."/>
      <w:lvlJc w:val="left"/>
      <w:pPr>
        <w:ind w:left="64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35192F54"/>
    <w:multiLevelType w:val="hybridMultilevel"/>
    <w:tmpl w:val="6B08AB78"/>
    <w:lvl w:ilvl="0" w:tplc="755A8800">
      <w:start w:val="1"/>
      <w:numFmt w:val="decimal"/>
      <w:lvlText w:val="(%1) "/>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37671B34"/>
    <w:multiLevelType w:val="hybridMultilevel"/>
    <w:tmpl w:val="85C0A6D6"/>
    <w:lvl w:ilvl="0" w:tplc="0C0A3DC0">
      <w:start w:val="7"/>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385D7466"/>
    <w:multiLevelType w:val="hybridMultilevel"/>
    <w:tmpl w:val="5F163614"/>
    <w:lvl w:ilvl="0" w:tplc="76AC1A70">
      <w:start w:val="49"/>
      <w:numFmt w:val="bullet"/>
      <w:lvlText w:val=""/>
      <w:lvlJc w:val="left"/>
      <w:pPr>
        <w:ind w:left="720" w:hanging="360"/>
      </w:pPr>
      <w:rPr>
        <w:rFonts w:ascii="Symbol" w:eastAsia="Times New Roman" w:hAnsi="Symbol"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4" w15:restartNumberingAfterBreak="0">
    <w:nsid w:val="39745F03"/>
    <w:multiLevelType w:val="hybridMultilevel"/>
    <w:tmpl w:val="4D1A77E2"/>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5" w15:restartNumberingAfterBreak="0">
    <w:nsid w:val="3AC72E05"/>
    <w:multiLevelType w:val="hybridMultilevel"/>
    <w:tmpl w:val="AE12907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04240017">
      <w:start w:val="1"/>
      <w:numFmt w:val="lowerLetter"/>
      <w:lvlText w:val="%3)"/>
      <w:lvlJc w:val="left"/>
      <w:pPr>
        <w:ind w:left="720" w:hanging="36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6" w15:restartNumberingAfterBreak="0">
    <w:nsid w:val="3BD1746C"/>
    <w:multiLevelType w:val="hybridMultilevel"/>
    <w:tmpl w:val="B23ADCB6"/>
    <w:lvl w:ilvl="0" w:tplc="FFFFFFFF">
      <w:start w:val="1"/>
      <w:numFmt w:val="bullet"/>
      <w:lvlText w:val=""/>
      <w:lvlJc w:val="left"/>
      <w:pPr>
        <w:ind w:left="720" w:hanging="360"/>
      </w:pPr>
      <w:rPr>
        <w:rFonts w:ascii="Symbol" w:hAnsi="Symbol" w:hint="default"/>
      </w:rPr>
    </w:lvl>
    <w:lvl w:ilvl="1" w:tplc="1B1C8866">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7" w15:restartNumberingAfterBreak="0">
    <w:nsid w:val="3DC31C34"/>
    <w:multiLevelType w:val="hybridMultilevel"/>
    <w:tmpl w:val="7D5CB5C4"/>
    <w:lvl w:ilvl="0" w:tplc="9E3A9A0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48" w15:restartNumberingAfterBreak="0">
    <w:nsid w:val="3E453090"/>
    <w:multiLevelType w:val="hybridMultilevel"/>
    <w:tmpl w:val="76228B20"/>
    <w:lvl w:ilvl="0" w:tplc="86A4BD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413250BF"/>
    <w:multiLevelType w:val="hybridMultilevel"/>
    <w:tmpl w:val="F3E2BC46"/>
    <w:lvl w:ilvl="0" w:tplc="1B1C8866">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0" w15:restartNumberingAfterBreak="0">
    <w:nsid w:val="41370CB2"/>
    <w:multiLevelType w:val="hybridMultilevel"/>
    <w:tmpl w:val="0CDCAE22"/>
    <w:lvl w:ilvl="0" w:tplc="12A4957E">
      <w:numFmt w:val="bullet"/>
      <w:lvlText w:val="-"/>
      <w:lvlJc w:val="left"/>
      <w:pPr>
        <w:ind w:left="1695" w:hanging="360"/>
      </w:pPr>
      <w:rPr>
        <w:rFonts w:ascii="Arial" w:eastAsia="Times New Roman" w:hAnsi="Arial" w:cs="Arial" w:hint="default"/>
        <w:lang w:val="sl-SI"/>
      </w:rPr>
    </w:lvl>
    <w:lvl w:ilvl="1" w:tplc="FFFFFFFF" w:tentative="1">
      <w:start w:val="1"/>
      <w:numFmt w:val="bullet"/>
      <w:lvlText w:val="o"/>
      <w:lvlJc w:val="left"/>
      <w:pPr>
        <w:ind w:left="2415" w:hanging="360"/>
      </w:pPr>
      <w:rPr>
        <w:rFonts w:ascii="Courier New" w:hAnsi="Courier New" w:cs="Courier New" w:hint="default"/>
      </w:rPr>
    </w:lvl>
    <w:lvl w:ilvl="2" w:tplc="FFFFFFFF" w:tentative="1">
      <w:start w:val="1"/>
      <w:numFmt w:val="bullet"/>
      <w:lvlText w:val=""/>
      <w:lvlJc w:val="left"/>
      <w:pPr>
        <w:ind w:left="3135" w:hanging="360"/>
      </w:pPr>
      <w:rPr>
        <w:rFonts w:ascii="Wingdings" w:hAnsi="Wingdings" w:hint="default"/>
      </w:rPr>
    </w:lvl>
    <w:lvl w:ilvl="3" w:tplc="FFFFFFFF" w:tentative="1">
      <w:start w:val="1"/>
      <w:numFmt w:val="bullet"/>
      <w:lvlText w:val=""/>
      <w:lvlJc w:val="left"/>
      <w:pPr>
        <w:ind w:left="3855" w:hanging="360"/>
      </w:pPr>
      <w:rPr>
        <w:rFonts w:ascii="Symbol" w:hAnsi="Symbol" w:hint="default"/>
      </w:rPr>
    </w:lvl>
    <w:lvl w:ilvl="4" w:tplc="FFFFFFFF" w:tentative="1">
      <w:start w:val="1"/>
      <w:numFmt w:val="bullet"/>
      <w:lvlText w:val="o"/>
      <w:lvlJc w:val="left"/>
      <w:pPr>
        <w:ind w:left="4575" w:hanging="360"/>
      </w:pPr>
      <w:rPr>
        <w:rFonts w:ascii="Courier New" w:hAnsi="Courier New" w:cs="Courier New" w:hint="default"/>
      </w:rPr>
    </w:lvl>
    <w:lvl w:ilvl="5" w:tplc="FFFFFFFF" w:tentative="1">
      <w:start w:val="1"/>
      <w:numFmt w:val="bullet"/>
      <w:lvlText w:val=""/>
      <w:lvlJc w:val="left"/>
      <w:pPr>
        <w:ind w:left="5295" w:hanging="360"/>
      </w:pPr>
      <w:rPr>
        <w:rFonts w:ascii="Wingdings" w:hAnsi="Wingdings" w:hint="default"/>
      </w:rPr>
    </w:lvl>
    <w:lvl w:ilvl="6" w:tplc="FFFFFFFF" w:tentative="1">
      <w:start w:val="1"/>
      <w:numFmt w:val="bullet"/>
      <w:lvlText w:val=""/>
      <w:lvlJc w:val="left"/>
      <w:pPr>
        <w:ind w:left="6015" w:hanging="360"/>
      </w:pPr>
      <w:rPr>
        <w:rFonts w:ascii="Symbol" w:hAnsi="Symbol" w:hint="default"/>
      </w:rPr>
    </w:lvl>
    <w:lvl w:ilvl="7" w:tplc="FFFFFFFF" w:tentative="1">
      <w:start w:val="1"/>
      <w:numFmt w:val="bullet"/>
      <w:lvlText w:val="o"/>
      <w:lvlJc w:val="left"/>
      <w:pPr>
        <w:ind w:left="6735" w:hanging="360"/>
      </w:pPr>
      <w:rPr>
        <w:rFonts w:ascii="Courier New" w:hAnsi="Courier New" w:cs="Courier New" w:hint="default"/>
      </w:rPr>
    </w:lvl>
    <w:lvl w:ilvl="8" w:tplc="FFFFFFFF" w:tentative="1">
      <w:start w:val="1"/>
      <w:numFmt w:val="bullet"/>
      <w:lvlText w:val=""/>
      <w:lvlJc w:val="left"/>
      <w:pPr>
        <w:ind w:left="7455" w:hanging="360"/>
      </w:pPr>
      <w:rPr>
        <w:rFonts w:ascii="Wingdings" w:hAnsi="Wingdings" w:hint="default"/>
      </w:rPr>
    </w:lvl>
  </w:abstractNum>
  <w:abstractNum w:abstractNumId="51" w15:restartNumberingAfterBreak="0">
    <w:nsid w:val="41911754"/>
    <w:multiLevelType w:val="hybridMultilevel"/>
    <w:tmpl w:val="A1C23964"/>
    <w:lvl w:ilvl="0" w:tplc="FFFFFFFF">
      <w:start w:val="1"/>
      <w:numFmt w:val="decimal"/>
      <w:lvlText w:val="%1."/>
      <w:lvlJc w:val="left"/>
      <w:pPr>
        <w:ind w:left="720" w:hanging="360"/>
      </w:pPr>
    </w:lvl>
    <w:lvl w:ilvl="1" w:tplc="FFFFFFFF">
      <w:numFmt w:val="bullet"/>
      <w:lvlText w:val="-"/>
      <w:lvlJc w:val="left"/>
      <w:pPr>
        <w:ind w:left="720" w:hanging="360"/>
      </w:pPr>
      <w:rPr>
        <w:rFonts w:ascii="Arial" w:eastAsia="Times New Roman" w:hAnsi="Arial" w:cs="Arial"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3" w15:restartNumberingAfterBreak="0">
    <w:nsid w:val="441F1812"/>
    <w:multiLevelType w:val="hybridMultilevel"/>
    <w:tmpl w:val="CE10C1CC"/>
    <w:lvl w:ilvl="0" w:tplc="10F86562">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451A28D9"/>
    <w:multiLevelType w:val="hybridMultilevel"/>
    <w:tmpl w:val="03E0017E"/>
    <w:lvl w:ilvl="0" w:tplc="1B1C8866">
      <w:start w:val="1"/>
      <w:numFmt w:val="bullet"/>
      <w:lvlText w:val=""/>
      <w:lvlJc w:val="left"/>
      <w:pPr>
        <w:ind w:left="1068" w:hanging="360"/>
      </w:pPr>
      <w:rPr>
        <w:rFonts w:ascii="Symbol" w:hAnsi="Symbol" w:hint="default"/>
      </w:rPr>
    </w:lvl>
    <w:lvl w:ilvl="1" w:tplc="04240003">
      <w:start w:val="1"/>
      <w:numFmt w:val="bullet"/>
      <w:lvlText w:val="o"/>
      <w:lvlJc w:val="left"/>
      <w:pPr>
        <w:ind w:left="1788" w:hanging="360"/>
      </w:pPr>
      <w:rPr>
        <w:rFonts w:ascii="Courier New" w:hAnsi="Courier New" w:cs="Courier New" w:hint="default"/>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55" w15:restartNumberingAfterBreak="0">
    <w:nsid w:val="4561600E"/>
    <w:multiLevelType w:val="hybridMultilevel"/>
    <w:tmpl w:val="ACBAEF2C"/>
    <w:lvl w:ilvl="0" w:tplc="1B1C8866">
      <w:start w:val="1"/>
      <w:numFmt w:val="bullet"/>
      <w:lvlText w:val=""/>
      <w:lvlJc w:val="left"/>
      <w:pPr>
        <w:ind w:left="1068" w:hanging="360"/>
      </w:pPr>
      <w:rPr>
        <w:rFonts w:ascii="Symbol" w:hAnsi="Symbol"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56" w15:restartNumberingAfterBreak="0">
    <w:nsid w:val="4811799A"/>
    <w:multiLevelType w:val="hybridMultilevel"/>
    <w:tmpl w:val="B3EAA190"/>
    <w:lvl w:ilvl="0" w:tplc="1B1C88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4AD64229"/>
    <w:multiLevelType w:val="hybridMultilevel"/>
    <w:tmpl w:val="BEC66B96"/>
    <w:lvl w:ilvl="0" w:tplc="E51864AE">
      <w:start w:val="4"/>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4D852175"/>
    <w:multiLevelType w:val="hybridMultilevel"/>
    <w:tmpl w:val="F1BAFED0"/>
    <w:lvl w:ilvl="0" w:tplc="1B1C8866">
      <w:start w:val="1"/>
      <w:numFmt w:val="bullet"/>
      <w:lvlText w:val=""/>
      <w:lvlJc w:val="left"/>
      <w:pPr>
        <w:ind w:left="720" w:hanging="360"/>
      </w:pPr>
      <w:rPr>
        <w:rFonts w:ascii="Symbol" w:hAnsi="Symbol" w:hint="default"/>
      </w:rPr>
    </w:lvl>
    <w:lvl w:ilvl="1" w:tplc="0778C200">
      <w:numFmt w:val="bullet"/>
      <w:lvlText w:val="•"/>
      <w:lvlJc w:val="left"/>
      <w:pPr>
        <w:ind w:left="1440" w:hanging="360"/>
      </w:pPr>
      <w:rPr>
        <w:rFonts w:ascii="Arial" w:eastAsiaTheme="minorEastAsia"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4D8F290C"/>
    <w:multiLevelType w:val="hybridMultilevel"/>
    <w:tmpl w:val="4B821E9C"/>
    <w:lvl w:ilvl="0" w:tplc="755A8800">
      <w:start w:val="1"/>
      <w:numFmt w:val="decimal"/>
      <w:lvlText w:val="(%1) "/>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4D933A7B"/>
    <w:multiLevelType w:val="hybridMultilevel"/>
    <w:tmpl w:val="97F05D96"/>
    <w:lvl w:ilvl="0" w:tplc="1B1C88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4E5E286A"/>
    <w:multiLevelType w:val="hybridMultilevel"/>
    <w:tmpl w:val="222072A0"/>
    <w:lvl w:ilvl="0" w:tplc="FFFFFFFF">
      <w:numFmt w:val="bullet"/>
      <w:lvlText w:val="-"/>
      <w:lvlJc w:val="left"/>
      <w:pPr>
        <w:ind w:left="1429" w:hanging="360"/>
      </w:pPr>
      <w:rPr>
        <w:rFonts w:ascii="Arial" w:eastAsia="Times New Roman" w:hAnsi="Arial" w:cs="Arial" w:hint="default"/>
      </w:rPr>
    </w:lvl>
    <w:lvl w:ilvl="1" w:tplc="12A4957E">
      <w:numFmt w:val="bullet"/>
      <w:lvlText w:val="-"/>
      <w:lvlJc w:val="left"/>
      <w:pPr>
        <w:ind w:left="1776" w:hanging="360"/>
      </w:pPr>
      <w:rPr>
        <w:rFonts w:ascii="Arial" w:eastAsia="Times New Roman" w:hAnsi="Arial" w:cs="Arial"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62"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3" w15:restartNumberingAfterBreak="0">
    <w:nsid w:val="4FAE1641"/>
    <w:multiLevelType w:val="hybridMultilevel"/>
    <w:tmpl w:val="74AC4AE6"/>
    <w:lvl w:ilvl="0" w:tplc="755A8800">
      <w:start w:val="1"/>
      <w:numFmt w:val="decimal"/>
      <w:lvlText w:val="(%1) "/>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51295D07"/>
    <w:multiLevelType w:val="hybridMultilevel"/>
    <w:tmpl w:val="47563404"/>
    <w:lvl w:ilvl="0" w:tplc="1B1C88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5146422B"/>
    <w:multiLevelType w:val="hybridMultilevel"/>
    <w:tmpl w:val="E6D28206"/>
    <w:lvl w:ilvl="0" w:tplc="20968CFA">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52EA1031"/>
    <w:multiLevelType w:val="hybridMultilevel"/>
    <w:tmpl w:val="59242EEC"/>
    <w:lvl w:ilvl="0" w:tplc="FFFFFFFF">
      <w:start w:val="1"/>
      <w:numFmt w:val="decimal"/>
      <w:lvlText w:val="%1."/>
      <w:lvlJc w:val="left"/>
      <w:pPr>
        <w:ind w:left="720" w:hanging="360"/>
      </w:pPr>
    </w:lvl>
    <w:lvl w:ilvl="1" w:tplc="04240017">
      <w:start w:val="1"/>
      <w:numFmt w:val="lowerLetter"/>
      <w:lvlText w:val="%2)"/>
      <w:lvlJc w:val="left"/>
      <w:pPr>
        <w:ind w:left="720" w:hanging="360"/>
      </w:pPr>
    </w:lvl>
    <w:lvl w:ilvl="2" w:tplc="FFFFFFFF">
      <w:start w:val="1"/>
      <w:numFmt w:val="lowerLetter"/>
      <w:lvlText w:val="%3."/>
      <w:lvlJc w:val="right"/>
      <w:pPr>
        <w:ind w:left="2160" w:hanging="180"/>
      </w:pPr>
      <w:rPr>
        <w:rFonts w:ascii="Arial" w:eastAsia="Arial" w:hAnsi="Arial" w:cs="Arial"/>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7" w15:restartNumberingAfterBreak="0">
    <w:nsid w:val="53A46F13"/>
    <w:multiLevelType w:val="hybridMultilevel"/>
    <w:tmpl w:val="5560C7C4"/>
    <w:lvl w:ilvl="0" w:tplc="A628D1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5490689C"/>
    <w:multiLevelType w:val="hybridMultilevel"/>
    <w:tmpl w:val="44BAE11E"/>
    <w:lvl w:ilvl="0" w:tplc="755A8800">
      <w:start w:val="1"/>
      <w:numFmt w:val="decimal"/>
      <w:lvlText w:val="(%1) "/>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56D27F16"/>
    <w:multiLevelType w:val="hybridMultilevel"/>
    <w:tmpl w:val="11321B6C"/>
    <w:lvl w:ilvl="0" w:tplc="755A8800">
      <w:start w:val="1"/>
      <w:numFmt w:val="decimal"/>
      <w:lvlText w:val="(%1) "/>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5786075F"/>
    <w:multiLevelType w:val="hybridMultilevel"/>
    <w:tmpl w:val="F24CE08C"/>
    <w:lvl w:ilvl="0" w:tplc="1B1C88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5A066F17"/>
    <w:multiLevelType w:val="multilevel"/>
    <w:tmpl w:val="4D3077C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7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5B8F4334"/>
    <w:multiLevelType w:val="hybridMultilevel"/>
    <w:tmpl w:val="B97E93BC"/>
    <w:lvl w:ilvl="0" w:tplc="1B1C88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5D263CB5"/>
    <w:multiLevelType w:val="hybridMultilevel"/>
    <w:tmpl w:val="6C58EF4A"/>
    <w:lvl w:ilvl="0" w:tplc="FFFFFFFF">
      <w:numFmt w:val="bullet"/>
      <w:lvlText w:val="-"/>
      <w:lvlJc w:val="left"/>
      <w:pPr>
        <w:ind w:left="720" w:hanging="360"/>
      </w:pPr>
      <w:rPr>
        <w:rFonts w:ascii="Arial" w:eastAsia="Times New Roman" w:hAnsi="Arial" w:cs="Arial" w:hint="default"/>
      </w:rPr>
    </w:lvl>
    <w:lvl w:ilvl="1" w:tplc="12A4957E">
      <w:numFmt w:val="bullet"/>
      <w:lvlText w:val="-"/>
      <w:lvlJc w:val="left"/>
      <w:pPr>
        <w:ind w:left="1776" w:hanging="360"/>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5" w15:restartNumberingAfterBreak="0">
    <w:nsid w:val="5DF41807"/>
    <w:multiLevelType w:val="hybridMultilevel"/>
    <w:tmpl w:val="C8F4D0FA"/>
    <w:lvl w:ilvl="0" w:tplc="7C6A5C1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6" w15:restartNumberingAfterBreak="0">
    <w:nsid w:val="61722CFA"/>
    <w:multiLevelType w:val="hybridMultilevel"/>
    <w:tmpl w:val="7446FB82"/>
    <w:lvl w:ilvl="0" w:tplc="0448B066">
      <w:start w:val="1"/>
      <w:numFmt w:val="bullet"/>
      <w:lvlText w:val="•"/>
      <w:lvlJc w:val="left"/>
      <w:pPr>
        <w:ind w:left="360" w:hanging="360"/>
      </w:pPr>
      <w:rPr>
        <w:rFonts w:ascii="Arial" w:hAnsi="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7" w15:restartNumberingAfterBreak="0">
    <w:nsid w:val="61746783"/>
    <w:multiLevelType w:val="hybridMultilevel"/>
    <w:tmpl w:val="959E5D54"/>
    <w:lvl w:ilvl="0" w:tplc="150CC716">
      <w:start w:val="16"/>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15:restartNumberingAfterBreak="0">
    <w:nsid w:val="6293640C"/>
    <w:multiLevelType w:val="multilevel"/>
    <w:tmpl w:val="11765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65AB1CAC"/>
    <w:multiLevelType w:val="hybridMultilevel"/>
    <w:tmpl w:val="C330C5B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0" w15:restartNumberingAfterBreak="0">
    <w:nsid w:val="6601749A"/>
    <w:multiLevelType w:val="hybridMultilevel"/>
    <w:tmpl w:val="8C900612"/>
    <w:lvl w:ilvl="0" w:tplc="882C88FC">
      <w:start w:val="2"/>
      <w:numFmt w:val="bullet"/>
      <w:pStyle w:val="rkovnatokazaodstavkomi"/>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665E6265"/>
    <w:multiLevelType w:val="hybridMultilevel"/>
    <w:tmpl w:val="D09ED350"/>
    <w:lvl w:ilvl="0" w:tplc="1DF482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67FC779E"/>
    <w:multiLevelType w:val="hybridMultilevel"/>
    <w:tmpl w:val="A1C23964"/>
    <w:lvl w:ilvl="0" w:tplc="FFFFFFFF">
      <w:start w:val="1"/>
      <w:numFmt w:val="decimal"/>
      <w:lvlText w:val="%1."/>
      <w:lvlJc w:val="left"/>
      <w:pPr>
        <w:ind w:left="720" w:hanging="360"/>
      </w:pPr>
    </w:lvl>
    <w:lvl w:ilvl="1" w:tplc="FFFFFFFF">
      <w:numFmt w:val="bullet"/>
      <w:lvlText w:val="-"/>
      <w:lvlJc w:val="left"/>
      <w:pPr>
        <w:ind w:left="720" w:hanging="360"/>
      </w:pPr>
      <w:rPr>
        <w:rFonts w:ascii="Arial" w:eastAsia="Times New Roman" w:hAnsi="Arial" w:cs="Arial"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4" w15:restartNumberingAfterBreak="0">
    <w:nsid w:val="68072B61"/>
    <w:multiLevelType w:val="hybridMultilevel"/>
    <w:tmpl w:val="B4E665A6"/>
    <w:lvl w:ilvl="0" w:tplc="FFFFFFFF">
      <w:start w:val="1"/>
      <w:numFmt w:val="bullet"/>
      <w:lvlText w:val=""/>
      <w:lvlJc w:val="left"/>
      <w:pPr>
        <w:ind w:left="720" w:hanging="360"/>
      </w:pPr>
      <w:rPr>
        <w:rFonts w:ascii="Symbol" w:hAnsi="Symbol" w:hint="default"/>
      </w:rPr>
    </w:lvl>
    <w:lvl w:ilvl="1" w:tplc="1B1C8866">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5" w15:restartNumberingAfterBreak="0">
    <w:nsid w:val="68D928C1"/>
    <w:multiLevelType w:val="hybridMultilevel"/>
    <w:tmpl w:val="43B00388"/>
    <w:lvl w:ilvl="0" w:tplc="33325290">
      <w:start w:val="6"/>
      <w:numFmt w:val="decimal"/>
      <w:lvlText w:val="(%1) "/>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7" w15:restartNumberingAfterBreak="0">
    <w:nsid w:val="6B8E74CA"/>
    <w:multiLevelType w:val="hybridMultilevel"/>
    <w:tmpl w:val="C330C5B8"/>
    <w:lvl w:ilvl="0" w:tplc="CA8A89F6">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15:restartNumberingAfterBreak="0">
    <w:nsid w:val="6B9513DD"/>
    <w:multiLevelType w:val="hybridMultilevel"/>
    <w:tmpl w:val="75B05B52"/>
    <w:lvl w:ilvl="0" w:tplc="1B1C886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9" w15:restartNumberingAfterBreak="0">
    <w:nsid w:val="6D1E6113"/>
    <w:multiLevelType w:val="hybridMultilevel"/>
    <w:tmpl w:val="D6B0CB9A"/>
    <w:lvl w:ilvl="0" w:tplc="755A8800">
      <w:start w:val="1"/>
      <w:numFmt w:val="decimal"/>
      <w:lvlText w:val="(%1) "/>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15:restartNumberingAfterBreak="0">
    <w:nsid w:val="6D8F5FFB"/>
    <w:multiLevelType w:val="hybridMultilevel"/>
    <w:tmpl w:val="C59EE4E0"/>
    <w:lvl w:ilvl="0" w:tplc="755A8800">
      <w:start w:val="1"/>
      <w:numFmt w:val="decimal"/>
      <w:lvlText w:val="(%1) "/>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15:restartNumberingAfterBreak="0">
    <w:nsid w:val="703024E1"/>
    <w:multiLevelType w:val="hybridMultilevel"/>
    <w:tmpl w:val="40F08EAC"/>
    <w:lvl w:ilvl="0" w:tplc="1B1C8866">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2" w15:restartNumberingAfterBreak="0">
    <w:nsid w:val="70C200AB"/>
    <w:multiLevelType w:val="hybridMultilevel"/>
    <w:tmpl w:val="669CDCC6"/>
    <w:lvl w:ilvl="0" w:tplc="8ED635E2">
      <w:start w:val="6"/>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712B5B0D"/>
    <w:multiLevelType w:val="hybridMultilevel"/>
    <w:tmpl w:val="2BDAADC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4" w15:restartNumberingAfterBreak="0">
    <w:nsid w:val="713F4B51"/>
    <w:multiLevelType w:val="hybridMultilevel"/>
    <w:tmpl w:val="FA8201D8"/>
    <w:lvl w:ilvl="0" w:tplc="755A8800">
      <w:start w:val="1"/>
      <w:numFmt w:val="decimal"/>
      <w:lvlText w:val="(%1) "/>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15:restartNumberingAfterBreak="0">
    <w:nsid w:val="73BF323D"/>
    <w:multiLevelType w:val="hybridMultilevel"/>
    <w:tmpl w:val="C512F176"/>
    <w:lvl w:ilvl="0" w:tplc="FFFFFFFF">
      <w:start w:val="1"/>
      <w:numFmt w:val="decimal"/>
      <w:lvlText w:val="%1."/>
      <w:lvlJc w:val="left"/>
      <w:pPr>
        <w:ind w:left="720" w:hanging="360"/>
      </w:pPr>
    </w:lvl>
    <w:lvl w:ilvl="1" w:tplc="04240017">
      <w:start w:val="1"/>
      <w:numFmt w:val="lowerLetter"/>
      <w:lvlText w:val="%2)"/>
      <w:lvlJc w:val="left"/>
      <w:pPr>
        <w:ind w:left="720" w:hanging="360"/>
      </w:pPr>
    </w:lvl>
    <w:lvl w:ilvl="2" w:tplc="FFFFFFFF">
      <w:start w:val="1"/>
      <w:numFmt w:val="lowerLetter"/>
      <w:lvlText w:val="%3."/>
      <w:lvlJc w:val="right"/>
      <w:pPr>
        <w:ind w:left="2160" w:hanging="180"/>
      </w:pPr>
      <w:rPr>
        <w:rFonts w:ascii="Arial" w:eastAsia="Arial" w:hAnsi="Arial" w:cs="Arial"/>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6" w15:restartNumberingAfterBreak="0">
    <w:nsid w:val="73D21047"/>
    <w:multiLevelType w:val="multilevel"/>
    <w:tmpl w:val="A1B4FD3C"/>
    <w:styleLink w:val="Trenutniseznam2"/>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72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7" w15:restartNumberingAfterBreak="0">
    <w:nsid w:val="76A279F9"/>
    <w:multiLevelType w:val="hybridMultilevel"/>
    <w:tmpl w:val="1FB00614"/>
    <w:lvl w:ilvl="0" w:tplc="12A4957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8" w15:restartNumberingAfterBreak="0">
    <w:nsid w:val="777A548A"/>
    <w:multiLevelType w:val="hybridMultilevel"/>
    <w:tmpl w:val="F1587B94"/>
    <w:lvl w:ilvl="0" w:tplc="1B1C8866">
      <w:start w:val="1"/>
      <w:numFmt w:val="bullet"/>
      <w:lvlText w:val=""/>
      <w:lvlJc w:val="left"/>
      <w:pPr>
        <w:ind w:left="765" w:hanging="360"/>
      </w:pPr>
      <w:rPr>
        <w:rFonts w:ascii="Symbol" w:hAnsi="Symbol" w:hint="default"/>
      </w:rPr>
    </w:lvl>
    <w:lvl w:ilvl="1" w:tplc="04240003" w:tentative="1">
      <w:start w:val="1"/>
      <w:numFmt w:val="bullet"/>
      <w:lvlText w:val="o"/>
      <w:lvlJc w:val="left"/>
      <w:pPr>
        <w:ind w:left="1485" w:hanging="360"/>
      </w:pPr>
      <w:rPr>
        <w:rFonts w:ascii="Courier New" w:hAnsi="Courier New" w:cs="Courier New" w:hint="default"/>
      </w:rPr>
    </w:lvl>
    <w:lvl w:ilvl="2" w:tplc="04240005" w:tentative="1">
      <w:start w:val="1"/>
      <w:numFmt w:val="bullet"/>
      <w:lvlText w:val=""/>
      <w:lvlJc w:val="left"/>
      <w:pPr>
        <w:ind w:left="2205" w:hanging="360"/>
      </w:pPr>
      <w:rPr>
        <w:rFonts w:ascii="Wingdings" w:hAnsi="Wingdings" w:hint="default"/>
      </w:rPr>
    </w:lvl>
    <w:lvl w:ilvl="3" w:tplc="04240001" w:tentative="1">
      <w:start w:val="1"/>
      <w:numFmt w:val="bullet"/>
      <w:lvlText w:val=""/>
      <w:lvlJc w:val="left"/>
      <w:pPr>
        <w:ind w:left="2925" w:hanging="360"/>
      </w:pPr>
      <w:rPr>
        <w:rFonts w:ascii="Symbol" w:hAnsi="Symbol" w:hint="default"/>
      </w:rPr>
    </w:lvl>
    <w:lvl w:ilvl="4" w:tplc="04240003" w:tentative="1">
      <w:start w:val="1"/>
      <w:numFmt w:val="bullet"/>
      <w:lvlText w:val="o"/>
      <w:lvlJc w:val="left"/>
      <w:pPr>
        <w:ind w:left="3645" w:hanging="360"/>
      </w:pPr>
      <w:rPr>
        <w:rFonts w:ascii="Courier New" w:hAnsi="Courier New" w:cs="Courier New" w:hint="default"/>
      </w:rPr>
    </w:lvl>
    <w:lvl w:ilvl="5" w:tplc="04240005" w:tentative="1">
      <w:start w:val="1"/>
      <w:numFmt w:val="bullet"/>
      <w:lvlText w:val=""/>
      <w:lvlJc w:val="left"/>
      <w:pPr>
        <w:ind w:left="4365" w:hanging="360"/>
      </w:pPr>
      <w:rPr>
        <w:rFonts w:ascii="Wingdings" w:hAnsi="Wingdings" w:hint="default"/>
      </w:rPr>
    </w:lvl>
    <w:lvl w:ilvl="6" w:tplc="04240001" w:tentative="1">
      <w:start w:val="1"/>
      <w:numFmt w:val="bullet"/>
      <w:lvlText w:val=""/>
      <w:lvlJc w:val="left"/>
      <w:pPr>
        <w:ind w:left="5085" w:hanging="360"/>
      </w:pPr>
      <w:rPr>
        <w:rFonts w:ascii="Symbol" w:hAnsi="Symbol" w:hint="default"/>
      </w:rPr>
    </w:lvl>
    <w:lvl w:ilvl="7" w:tplc="04240003" w:tentative="1">
      <w:start w:val="1"/>
      <w:numFmt w:val="bullet"/>
      <w:lvlText w:val="o"/>
      <w:lvlJc w:val="left"/>
      <w:pPr>
        <w:ind w:left="5805" w:hanging="360"/>
      </w:pPr>
      <w:rPr>
        <w:rFonts w:ascii="Courier New" w:hAnsi="Courier New" w:cs="Courier New" w:hint="default"/>
      </w:rPr>
    </w:lvl>
    <w:lvl w:ilvl="8" w:tplc="04240005" w:tentative="1">
      <w:start w:val="1"/>
      <w:numFmt w:val="bullet"/>
      <w:lvlText w:val=""/>
      <w:lvlJc w:val="left"/>
      <w:pPr>
        <w:ind w:left="6525" w:hanging="360"/>
      </w:pPr>
      <w:rPr>
        <w:rFonts w:ascii="Wingdings" w:hAnsi="Wingdings" w:hint="default"/>
      </w:rPr>
    </w:lvl>
  </w:abstractNum>
  <w:abstractNum w:abstractNumId="99" w15:restartNumberingAfterBreak="0">
    <w:nsid w:val="78DE35E3"/>
    <w:multiLevelType w:val="hybridMultilevel"/>
    <w:tmpl w:val="0A828C1A"/>
    <w:lvl w:ilvl="0" w:tplc="12A4957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0" w15:restartNumberingAfterBreak="0">
    <w:nsid w:val="7BD900C3"/>
    <w:multiLevelType w:val="hybridMultilevel"/>
    <w:tmpl w:val="A8CE858E"/>
    <w:lvl w:ilvl="0" w:tplc="3AAE9286">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1" w15:restartNumberingAfterBreak="0">
    <w:nsid w:val="7C255943"/>
    <w:multiLevelType w:val="multilevel"/>
    <w:tmpl w:val="428C76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7D284008"/>
    <w:multiLevelType w:val="hybridMultilevel"/>
    <w:tmpl w:val="A84A893E"/>
    <w:lvl w:ilvl="0" w:tplc="12A4957E">
      <w:numFmt w:val="bullet"/>
      <w:lvlText w:val="-"/>
      <w:lvlJc w:val="left"/>
      <w:pPr>
        <w:ind w:left="1776" w:hanging="360"/>
      </w:pPr>
      <w:rPr>
        <w:rFonts w:ascii="Arial" w:eastAsia="Times New Roman" w:hAnsi="Arial" w:cs="Arial" w:hint="default"/>
      </w:rPr>
    </w:lvl>
    <w:lvl w:ilvl="1" w:tplc="8CAC0ED2">
      <w:start w:val="4"/>
      <w:numFmt w:val="bullet"/>
      <w:lvlText w:val="•"/>
      <w:lvlJc w:val="left"/>
      <w:pPr>
        <w:ind w:left="2841" w:hanging="705"/>
      </w:pPr>
      <w:rPr>
        <w:rFonts w:ascii="Arial" w:eastAsia="Times New Roman" w:hAnsi="Arial" w:cs="Arial" w:hint="default"/>
      </w:rPr>
    </w:lvl>
    <w:lvl w:ilvl="2" w:tplc="FFFFFFFF" w:tentative="1">
      <w:start w:val="1"/>
      <w:numFmt w:val="bullet"/>
      <w:lvlText w:val=""/>
      <w:lvlJc w:val="left"/>
      <w:pPr>
        <w:ind w:left="3216" w:hanging="360"/>
      </w:pPr>
      <w:rPr>
        <w:rFonts w:ascii="Wingdings" w:hAnsi="Wingdings" w:hint="default"/>
      </w:rPr>
    </w:lvl>
    <w:lvl w:ilvl="3" w:tplc="FFFFFFFF" w:tentative="1">
      <w:start w:val="1"/>
      <w:numFmt w:val="bullet"/>
      <w:lvlText w:val=""/>
      <w:lvlJc w:val="left"/>
      <w:pPr>
        <w:ind w:left="3936" w:hanging="360"/>
      </w:pPr>
      <w:rPr>
        <w:rFonts w:ascii="Symbol" w:hAnsi="Symbol" w:hint="default"/>
      </w:rPr>
    </w:lvl>
    <w:lvl w:ilvl="4" w:tplc="FFFFFFFF" w:tentative="1">
      <w:start w:val="1"/>
      <w:numFmt w:val="bullet"/>
      <w:lvlText w:val="o"/>
      <w:lvlJc w:val="left"/>
      <w:pPr>
        <w:ind w:left="4656" w:hanging="360"/>
      </w:pPr>
      <w:rPr>
        <w:rFonts w:ascii="Courier New" w:hAnsi="Courier New" w:cs="Courier New" w:hint="default"/>
      </w:rPr>
    </w:lvl>
    <w:lvl w:ilvl="5" w:tplc="FFFFFFFF" w:tentative="1">
      <w:start w:val="1"/>
      <w:numFmt w:val="bullet"/>
      <w:lvlText w:val=""/>
      <w:lvlJc w:val="left"/>
      <w:pPr>
        <w:ind w:left="5376" w:hanging="360"/>
      </w:pPr>
      <w:rPr>
        <w:rFonts w:ascii="Wingdings" w:hAnsi="Wingdings" w:hint="default"/>
      </w:rPr>
    </w:lvl>
    <w:lvl w:ilvl="6" w:tplc="FFFFFFFF" w:tentative="1">
      <w:start w:val="1"/>
      <w:numFmt w:val="bullet"/>
      <w:lvlText w:val=""/>
      <w:lvlJc w:val="left"/>
      <w:pPr>
        <w:ind w:left="6096" w:hanging="360"/>
      </w:pPr>
      <w:rPr>
        <w:rFonts w:ascii="Symbol" w:hAnsi="Symbol" w:hint="default"/>
      </w:rPr>
    </w:lvl>
    <w:lvl w:ilvl="7" w:tplc="FFFFFFFF" w:tentative="1">
      <w:start w:val="1"/>
      <w:numFmt w:val="bullet"/>
      <w:lvlText w:val="o"/>
      <w:lvlJc w:val="left"/>
      <w:pPr>
        <w:ind w:left="6816" w:hanging="360"/>
      </w:pPr>
      <w:rPr>
        <w:rFonts w:ascii="Courier New" w:hAnsi="Courier New" w:cs="Courier New" w:hint="default"/>
      </w:rPr>
    </w:lvl>
    <w:lvl w:ilvl="8" w:tplc="FFFFFFFF" w:tentative="1">
      <w:start w:val="1"/>
      <w:numFmt w:val="bullet"/>
      <w:lvlText w:val=""/>
      <w:lvlJc w:val="left"/>
      <w:pPr>
        <w:ind w:left="7536" w:hanging="360"/>
      </w:pPr>
      <w:rPr>
        <w:rFonts w:ascii="Wingdings" w:hAnsi="Wingdings" w:hint="default"/>
      </w:rPr>
    </w:lvl>
  </w:abstractNum>
  <w:abstractNum w:abstractNumId="10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4" w15:restartNumberingAfterBreak="0">
    <w:nsid w:val="7FE96629"/>
    <w:multiLevelType w:val="hybridMultilevel"/>
    <w:tmpl w:val="1E9CCA52"/>
    <w:lvl w:ilvl="0" w:tplc="C9D0DA48">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43"/>
  </w:num>
  <w:num w:numId="2">
    <w:abstractNumId w:val="21"/>
  </w:num>
  <w:num w:numId="3">
    <w:abstractNumId w:val="72"/>
  </w:num>
  <w:num w:numId="4">
    <w:abstractNumId w:val="82"/>
  </w:num>
  <w:num w:numId="5">
    <w:abstractNumId w:val="103"/>
  </w:num>
  <w:num w:numId="6">
    <w:abstractNumId w:val="52"/>
  </w:num>
  <w:num w:numId="7">
    <w:abstractNumId w:val="53"/>
  </w:num>
  <w:num w:numId="8">
    <w:abstractNumId w:val="12"/>
  </w:num>
  <w:num w:numId="9">
    <w:abstractNumId w:val="86"/>
  </w:num>
  <w:num w:numId="10">
    <w:abstractNumId w:val="44"/>
    <w:lvlOverride w:ilvl="0">
      <w:startOverride w:val="1"/>
    </w:lvlOverride>
  </w:num>
  <w:num w:numId="11">
    <w:abstractNumId w:val="18"/>
  </w:num>
  <w:num w:numId="12">
    <w:abstractNumId w:val="8"/>
  </w:num>
  <w:num w:numId="13">
    <w:abstractNumId w:val="4"/>
  </w:num>
  <w:num w:numId="14">
    <w:abstractNumId w:val="62"/>
  </w:num>
  <w:num w:numId="15">
    <w:abstractNumId w:val="5"/>
  </w:num>
  <w:num w:numId="16">
    <w:abstractNumId w:val="96"/>
  </w:num>
  <w:num w:numId="17">
    <w:abstractNumId w:val="80"/>
  </w:num>
  <w:num w:numId="18">
    <w:abstractNumId w:val="42"/>
  </w:num>
  <w:num w:numId="19">
    <w:abstractNumId w:val="104"/>
  </w:num>
  <w:num w:numId="20">
    <w:abstractNumId w:val="38"/>
  </w:num>
  <w:num w:numId="21">
    <w:abstractNumId w:val="0"/>
  </w:num>
  <w:num w:numId="22">
    <w:abstractNumId w:val="10"/>
  </w:num>
  <w:num w:numId="23">
    <w:abstractNumId w:val="93"/>
  </w:num>
  <w:num w:numId="24">
    <w:abstractNumId w:val="11"/>
  </w:num>
  <w:num w:numId="25">
    <w:abstractNumId w:val="7"/>
  </w:num>
  <w:num w:numId="26">
    <w:abstractNumId w:val="30"/>
  </w:num>
  <w:num w:numId="27">
    <w:abstractNumId w:val="99"/>
  </w:num>
  <w:num w:numId="28">
    <w:abstractNumId w:val="97"/>
  </w:num>
  <w:num w:numId="29">
    <w:abstractNumId w:val="3"/>
  </w:num>
  <w:num w:numId="30">
    <w:abstractNumId w:val="35"/>
  </w:num>
  <w:num w:numId="31">
    <w:abstractNumId w:val="102"/>
  </w:num>
  <w:num w:numId="32">
    <w:abstractNumId w:val="74"/>
  </w:num>
  <w:num w:numId="33">
    <w:abstractNumId w:val="50"/>
  </w:num>
  <w:num w:numId="34">
    <w:abstractNumId w:val="57"/>
  </w:num>
  <w:num w:numId="35">
    <w:abstractNumId w:val="61"/>
  </w:num>
  <w:num w:numId="36">
    <w:abstractNumId w:val="77"/>
  </w:num>
  <w:num w:numId="37">
    <w:abstractNumId w:val="83"/>
  </w:num>
  <w:num w:numId="38">
    <w:abstractNumId w:val="6"/>
  </w:num>
  <w:num w:numId="39">
    <w:abstractNumId w:val="51"/>
  </w:num>
  <w:num w:numId="40">
    <w:abstractNumId w:val="101"/>
  </w:num>
  <w:num w:numId="41">
    <w:abstractNumId w:val="47"/>
  </w:num>
  <w:num w:numId="4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5"/>
  </w:num>
  <w:num w:numId="44">
    <w:abstractNumId w:val="66"/>
  </w:num>
  <w:num w:numId="45">
    <w:abstractNumId w:val="45"/>
  </w:num>
  <w:num w:numId="46">
    <w:abstractNumId w:val="95"/>
  </w:num>
  <w:num w:numId="47">
    <w:abstractNumId w:val="17"/>
  </w:num>
  <w:num w:numId="48">
    <w:abstractNumId w:val="16"/>
  </w:num>
  <w:num w:numId="49">
    <w:abstractNumId w:val="26"/>
  </w:num>
  <w:num w:numId="50">
    <w:abstractNumId w:val="1"/>
  </w:num>
  <w:num w:numId="51">
    <w:abstractNumId w:val="58"/>
  </w:num>
  <w:num w:numId="52">
    <w:abstractNumId w:val="64"/>
  </w:num>
  <w:num w:numId="53">
    <w:abstractNumId w:val="70"/>
  </w:num>
  <w:num w:numId="54">
    <w:abstractNumId w:val="15"/>
  </w:num>
  <w:num w:numId="55">
    <w:abstractNumId w:val="32"/>
  </w:num>
  <w:num w:numId="56">
    <w:abstractNumId w:val="88"/>
  </w:num>
  <w:num w:numId="57">
    <w:abstractNumId w:val="84"/>
  </w:num>
  <w:num w:numId="58">
    <w:abstractNumId w:val="36"/>
  </w:num>
  <w:num w:numId="59">
    <w:abstractNumId w:val="22"/>
  </w:num>
  <w:num w:numId="60">
    <w:abstractNumId w:val="31"/>
  </w:num>
  <w:num w:numId="61">
    <w:abstractNumId w:val="46"/>
  </w:num>
  <w:num w:numId="62">
    <w:abstractNumId w:val="28"/>
  </w:num>
  <w:num w:numId="63">
    <w:abstractNumId w:val="76"/>
  </w:num>
  <w:num w:numId="64">
    <w:abstractNumId w:val="71"/>
  </w:num>
  <w:num w:numId="65">
    <w:abstractNumId w:val="78"/>
  </w:num>
  <w:num w:numId="66">
    <w:abstractNumId w:val="34"/>
  </w:num>
  <w:num w:numId="67">
    <w:abstractNumId w:val="24"/>
  </w:num>
  <w:num w:numId="68">
    <w:abstractNumId w:val="19"/>
  </w:num>
  <w:num w:numId="69">
    <w:abstractNumId w:val="56"/>
  </w:num>
  <w:num w:numId="70">
    <w:abstractNumId w:val="20"/>
  </w:num>
  <w:num w:numId="71">
    <w:abstractNumId w:val="69"/>
  </w:num>
  <w:num w:numId="72">
    <w:abstractNumId w:val="68"/>
  </w:num>
  <w:num w:numId="73">
    <w:abstractNumId w:val="73"/>
  </w:num>
  <w:num w:numId="74">
    <w:abstractNumId w:val="94"/>
  </w:num>
  <w:num w:numId="75">
    <w:abstractNumId w:val="48"/>
  </w:num>
  <w:num w:numId="76">
    <w:abstractNumId w:val="98"/>
  </w:num>
  <w:num w:numId="77">
    <w:abstractNumId w:val="90"/>
  </w:num>
  <w:num w:numId="78">
    <w:abstractNumId w:val="59"/>
  </w:num>
  <w:num w:numId="79">
    <w:abstractNumId w:val="14"/>
  </w:num>
  <w:num w:numId="80">
    <w:abstractNumId w:val="33"/>
  </w:num>
  <w:num w:numId="81">
    <w:abstractNumId w:val="40"/>
  </w:num>
  <w:num w:numId="82">
    <w:abstractNumId w:val="91"/>
  </w:num>
  <w:num w:numId="83">
    <w:abstractNumId w:val="89"/>
  </w:num>
  <w:num w:numId="84">
    <w:abstractNumId w:val="23"/>
  </w:num>
  <w:num w:numId="85">
    <w:abstractNumId w:val="9"/>
  </w:num>
  <w:num w:numId="86">
    <w:abstractNumId w:val="87"/>
  </w:num>
  <w:num w:numId="87">
    <w:abstractNumId w:val="39"/>
  </w:num>
  <w:num w:numId="88">
    <w:abstractNumId w:val="67"/>
  </w:num>
  <w:num w:numId="89">
    <w:abstractNumId w:val="27"/>
  </w:num>
  <w:num w:numId="90">
    <w:abstractNumId w:val="55"/>
  </w:num>
  <w:num w:numId="91">
    <w:abstractNumId w:val="54"/>
  </w:num>
  <w:num w:numId="92">
    <w:abstractNumId w:val="49"/>
  </w:num>
  <w:num w:numId="93">
    <w:abstractNumId w:val="60"/>
  </w:num>
  <w:num w:numId="94">
    <w:abstractNumId w:val="92"/>
  </w:num>
  <w:num w:numId="95">
    <w:abstractNumId w:val="81"/>
  </w:num>
  <w:num w:numId="96">
    <w:abstractNumId w:val="2"/>
  </w:num>
  <w:num w:numId="97">
    <w:abstractNumId w:val="37"/>
  </w:num>
  <w:num w:numId="98">
    <w:abstractNumId w:val="65"/>
  </w:num>
  <w:num w:numId="99">
    <w:abstractNumId w:val="13"/>
  </w:num>
  <w:num w:numId="100">
    <w:abstractNumId w:val="100"/>
  </w:num>
  <w:num w:numId="101">
    <w:abstractNumId w:val="29"/>
  </w:num>
  <w:num w:numId="102">
    <w:abstractNumId w:val="79"/>
  </w:num>
  <w:num w:numId="103">
    <w:abstractNumId w:val="75"/>
  </w:num>
  <w:num w:numId="104">
    <w:abstractNumId w:val="63"/>
  </w:num>
  <w:num w:numId="105">
    <w:abstractNumId w:val="85"/>
  </w:num>
  <w:num w:numId="106">
    <w:abstractNumId w:val="41"/>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displayBackgroundShape/>
  <w:hideGrammaticalErrors/>
  <w:defaultTabStop w:val="709"/>
  <w:hyphenationZone w:val="425"/>
  <w:characterSpacingControl w:val="doNotCompress"/>
  <w:hdrShapeDefaults>
    <o:shapedefaults v:ext="edit" spidmax="2050">
      <o:colormru v:ext="edit" colors="#eac2de"/>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97C"/>
    <w:rsid w:val="0000010B"/>
    <w:rsid w:val="000001A8"/>
    <w:rsid w:val="00000262"/>
    <w:rsid w:val="00000CE3"/>
    <w:rsid w:val="0000103B"/>
    <w:rsid w:val="000013AB"/>
    <w:rsid w:val="00001E63"/>
    <w:rsid w:val="000023B2"/>
    <w:rsid w:val="00003757"/>
    <w:rsid w:val="000038B8"/>
    <w:rsid w:val="00003E97"/>
    <w:rsid w:val="000040D2"/>
    <w:rsid w:val="000048C4"/>
    <w:rsid w:val="000049D6"/>
    <w:rsid w:val="00004F6F"/>
    <w:rsid w:val="00004F8E"/>
    <w:rsid w:val="00005A9E"/>
    <w:rsid w:val="00005C10"/>
    <w:rsid w:val="00005C47"/>
    <w:rsid w:val="00006BE3"/>
    <w:rsid w:val="00006F78"/>
    <w:rsid w:val="00007419"/>
    <w:rsid w:val="000074B7"/>
    <w:rsid w:val="00007F3D"/>
    <w:rsid w:val="00010187"/>
    <w:rsid w:val="00010302"/>
    <w:rsid w:val="00011177"/>
    <w:rsid w:val="00011A2B"/>
    <w:rsid w:val="00012025"/>
    <w:rsid w:val="000123D9"/>
    <w:rsid w:val="0001241F"/>
    <w:rsid w:val="00012D3A"/>
    <w:rsid w:val="00012E11"/>
    <w:rsid w:val="00013B32"/>
    <w:rsid w:val="00013E94"/>
    <w:rsid w:val="0001420F"/>
    <w:rsid w:val="0001492A"/>
    <w:rsid w:val="00015101"/>
    <w:rsid w:val="000153E7"/>
    <w:rsid w:val="00015825"/>
    <w:rsid w:val="00015A6B"/>
    <w:rsid w:val="00015EAE"/>
    <w:rsid w:val="00016559"/>
    <w:rsid w:val="000165A2"/>
    <w:rsid w:val="00016DCA"/>
    <w:rsid w:val="0001717D"/>
    <w:rsid w:val="00017B58"/>
    <w:rsid w:val="00017CDC"/>
    <w:rsid w:val="00020532"/>
    <w:rsid w:val="00020766"/>
    <w:rsid w:val="00020F22"/>
    <w:rsid w:val="0002137B"/>
    <w:rsid w:val="00021707"/>
    <w:rsid w:val="00021FA9"/>
    <w:rsid w:val="00022139"/>
    <w:rsid w:val="000222F9"/>
    <w:rsid w:val="00022683"/>
    <w:rsid w:val="00022717"/>
    <w:rsid w:val="0002282E"/>
    <w:rsid w:val="00022F28"/>
    <w:rsid w:val="00022FD2"/>
    <w:rsid w:val="0002307F"/>
    <w:rsid w:val="000236E5"/>
    <w:rsid w:val="000243FF"/>
    <w:rsid w:val="0002443E"/>
    <w:rsid w:val="00024DE4"/>
    <w:rsid w:val="00024E32"/>
    <w:rsid w:val="00024E33"/>
    <w:rsid w:val="000252C9"/>
    <w:rsid w:val="00025A02"/>
    <w:rsid w:val="00025D0D"/>
    <w:rsid w:val="00025EDE"/>
    <w:rsid w:val="0002613D"/>
    <w:rsid w:val="000263BC"/>
    <w:rsid w:val="000267CA"/>
    <w:rsid w:val="00026AE9"/>
    <w:rsid w:val="00026BA8"/>
    <w:rsid w:val="000271D4"/>
    <w:rsid w:val="000275E9"/>
    <w:rsid w:val="000277C6"/>
    <w:rsid w:val="00027B69"/>
    <w:rsid w:val="00031254"/>
    <w:rsid w:val="00031D5D"/>
    <w:rsid w:val="00032077"/>
    <w:rsid w:val="0003286B"/>
    <w:rsid w:val="00032C04"/>
    <w:rsid w:val="00032E59"/>
    <w:rsid w:val="00033DCB"/>
    <w:rsid w:val="0003423E"/>
    <w:rsid w:val="000343C6"/>
    <w:rsid w:val="000347AA"/>
    <w:rsid w:val="00034AF8"/>
    <w:rsid w:val="000355B1"/>
    <w:rsid w:val="0003596B"/>
    <w:rsid w:val="000359E2"/>
    <w:rsid w:val="00035CA5"/>
    <w:rsid w:val="00035D8B"/>
    <w:rsid w:val="0003603F"/>
    <w:rsid w:val="0003636C"/>
    <w:rsid w:val="000364A9"/>
    <w:rsid w:val="00036BBD"/>
    <w:rsid w:val="00037088"/>
    <w:rsid w:val="0003791C"/>
    <w:rsid w:val="00037C92"/>
    <w:rsid w:val="000403B5"/>
    <w:rsid w:val="00040430"/>
    <w:rsid w:val="00040AB5"/>
    <w:rsid w:val="000411BC"/>
    <w:rsid w:val="000416F4"/>
    <w:rsid w:val="00041D38"/>
    <w:rsid w:val="0004203D"/>
    <w:rsid w:val="00042DBD"/>
    <w:rsid w:val="00042F5B"/>
    <w:rsid w:val="00043281"/>
    <w:rsid w:val="000435B8"/>
    <w:rsid w:val="00043D98"/>
    <w:rsid w:val="000449FD"/>
    <w:rsid w:val="00045BEB"/>
    <w:rsid w:val="0004605C"/>
    <w:rsid w:val="000468A6"/>
    <w:rsid w:val="000471C3"/>
    <w:rsid w:val="00047A7B"/>
    <w:rsid w:val="00047B9A"/>
    <w:rsid w:val="00050071"/>
    <w:rsid w:val="0005044A"/>
    <w:rsid w:val="00050991"/>
    <w:rsid w:val="00051712"/>
    <w:rsid w:val="0005179F"/>
    <w:rsid w:val="00051F9A"/>
    <w:rsid w:val="0005229F"/>
    <w:rsid w:val="000523CC"/>
    <w:rsid w:val="000523CE"/>
    <w:rsid w:val="00052A3A"/>
    <w:rsid w:val="00053040"/>
    <w:rsid w:val="0005376F"/>
    <w:rsid w:val="00053D9A"/>
    <w:rsid w:val="00054180"/>
    <w:rsid w:val="00054394"/>
    <w:rsid w:val="000548A5"/>
    <w:rsid w:val="00054CC2"/>
    <w:rsid w:val="0005526C"/>
    <w:rsid w:val="00055676"/>
    <w:rsid w:val="00055D5C"/>
    <w:rsid w:val="00055E25"/>
    <w:rsid w:val="000563EF"/>
    <w:rsid w:val="000565DE"/>
    <w:rsid w:val="000569A5"/>
    <w:rsid w:val="00057239"/>
    <w:rsid w:val="000578C2"/>
    <w:rsid w:val="00057F0A"/>
    <w:rsid w:val="00060104"/>
    <w:rsid w:val="000602E3"/>
    <w:rsid w:val="00061236"/>
    <w:rsid w:val="000617E6"/>
    <w:rsid w:val="00061C09"/>
    <w:rsid w:val="00061CEF"/>
    <w:rsid w:val="00061E98"/>
    <w:rsid w:val="00062616"/>
    <w:rsid w:val="000629B4"/>
    <w:rsid w:val="000630F0"/>
    <w:rsid w:val="000633EB"/>
    <w:rsid w:val="0006346A"/>
    <w:rsid w:val="00063A69"/>
    <w:rsid w:val="00063C23"/>
    <w:rsid w:val="00063F3D"/>
    <w:rsid w:val="0006433A"/>
    <w:rsid w:val="00064B66"/>
    <w:rsid w:val="00064FC4"/>
    <w:rsid w:val="00065432"/>
    <w:rsid w:val="000657DE"/>
    <w:rsid w:val="00065A26"/>
    <w:rsid w:val="00065BB3"/>
    <w:rsid w:val="00066D54"/>
    <w:rsid w:val="00066D9E"/>
    <w:rsid w:val="00066E1E"/>
    <w:rsid w:val="000673E3"/>
    <w:rsid w:val="000679D3"/>
    <w:rsid w:val="000679DA"/>
    <w:rsid w:val="00067AAA"/>
    <w:rsid w:val="000708BC"/>
    <w:rsid w:val="000709EB"/>
    <w:rsid w:val="00070DFD"/>
    <w:rsid w:val="00071179"/>
    <w:rsid w:val="0007188C"/>
    <w:rsid w:val="0007198A"/>
    <w:rsid w:val="000722B5"/>
    <w:rsid w:val="00072762"/>
    <w:rsid w:val="000727DB"/>
    <w:rsid w:val="00072BA4"/>
    <w:rsid w:val="00072E0D"/>
    <w:rsid w:val="00073363"/>
    <w:rsid w:val="00073544"/>
    <w:rsid w:val="00073E00"/>
    <w:rsid w:val="00074111"/>
    <w:rsid w:val="00074886"/>
    <w:rsid w:val="00074A6A"/>
    <w:rsid w:val="00074C12"/>
    <w:rsid w:val="00075532"/>
    <w:rsid w:val="000758F1"/>
    <w:rsid w:val="00075909"/>
    <w:rsid w:val="00075A44"/>
    <w:rsid w:val="00075D9D"/>
    <w:rsid w:val="00076155"/>
    <w:rsid w:val="000768F2"/>
    <w:rsid w:val="00076953"/>
    <w:rsid w:val="00076A9A"/>
    <w:rsid w:val="00076C52"/>
    <w:rsid w:val="0007769C"/>
    <w:rsid w:val="00077A5E"/>
    <w:rsid w:val="00077F49"/>
    <w:rsid w:val="00080B0E"/>
    <w:rsid w:val="00080C9F"/>
    <w:rsid w:val="00081454"/>
    <w:rsid w:val="00081842"/>
    <w:rsid w:val="00081A00"/>
    <w:rsid w:val="00081F81"/>
    <w:rsid w:val="00082588"/>
    <w:rsid w:val="00082A07"/>
    <w:rsid w:val="00082D2C"/>
    <w:rsid w:val="00083459"/>
    <w:rsid w:val="0008347D"/>
    <w:rsid w:val="00083910"/>
    <w:rsid w:val="0008394B"/>
    <w:rsid w:val="00083CD9"/>
    <w:rsid w:val="0008443C"/>
    <w:rsid w:val="000844AD"/>
    <w:rsid w:val="000852EE"/>
    <w:rsid w:val="00085C70"/>
    <w:rsid w:val="00085D1F"/>
    <w:rsid w:val="00085DBC"/>
    <w:rsid w:val="00085F90"/>
    <w:rsid w:val="000865C3"/>
    <w:rsid w:val="00086669"/>
    <w:rsid w:val="00086931"/>
    <w:rsid w:val="0008694F"/>
    <w:rsid w:val="00086ACD"/>
    <w:rsid w:val="00087536"/>
    <w:rsid w:val="00087A76"/>
    <w:rsid w:val="00087C9C"/>
    <w:rsid w:val="00087E9F"/>
    <w:rsid w:val="000904DC"/>
    <w:rsid w:val="00090684"/>
    <w:rsid w:val="00090E88"/>
    <w:rsid w:val="0009117F"/>
    <w:rsid w:val="000911F2"/>
    <w:rsid w:val="0009222B"/>
    <w:rsid w:val="0009295B"/>
    <w:rsid w:val="00092A33"/>
    <w:rsid w:val="00092C4D"/>
    <w:rsid w:val="00092E20"/>
    <w:rsid w:val="00093327"/>
    <w:rsid w:val="000934CD"/>
    <w:rsid w:val="00093AF2"/>
    <w:rsid w:val="000943D4"/>
    <w:rsid w:val="00094FEA"/>
    <w:rsid w:val="00095856"/>
    <w:rsid w:val="00095982"/>
    <w:rsid w:val="00095CFA"/>
    <w:rsid w:val="00096151"/>
    <w:rsid w:val="000961BA"/>
    <w:rsid w:val="00096694"/>
    <w:rsid w:val="0009688F"/>
    <w:rsid w:val="00096DC5"/>
    <w:rsid w:val="000974B3"/>
    <w:rsid w:val="00097675"/>
    <w:rsid w:val="0009789B"/>
    <w:rsid w:val="00097E2E"/>
    <w:rsid w:val="00097F8E"/>
    <w:rsid w:val="000A0134"/>
    <w:rsid w:val="000A0531"/>
    <w:rsid w:val="000A0606"/>
    <w:rsid w:val="000A0701"/>
    <w:rsid w:val="000A0AA3"/>
    <w:rsid w:val="000A0CED"/>
    <w:rsid w:val="000A12FA"/>
    <w:rsid w:val="000A167F"/>
    <w:rsid w:val="000A16CE"/>
    <w:rsid w:val="000A1B98"/>
    <w:rsid w:val="000A1BA4"/>
    <w:rsid w:val="000A1F01"/>
    <w:rsid w:val="000A23EA"/>
    <w:rsid w:val="000A2567"/>
    <w:rsid w:val="000A3622"/>
    <w:rsid w:val="000A3ABA"/>
    <w:rsid w:val="000A3BA0"/>
    <w:rsid w:val="000A3BBF"/>
    <w:rsid w:val="000A4748"/>
    <w:rsid w:val="000A49D9"/>
    <w:rsid w:val="000A4A4A"/>
    <w:rsid w:val="000A4FD8"/>
    <w:rsid w:val="000A5C79"/>
    <w:rsid w:val="000A6196"/>
    <w:rsid w:val="000A71A3"/>
    <w:rsid w:val="000A7AED"/>
    <w:rsid w:val="000A7E42"/>
    <w:rsid w:val="000B05E2"/>
    <w:rsid w:val="000B08B9"/>
    <w:rsid w:val="000B0DFB"/>
    <w:rsid w:val="000B1187"/>
    <w:rsid w:val="000B1716"/>
    <w:rsid w:val="000B1CE0"/>
    <w:rsid w:val="000B1CE4"/>
    <w:rsid w:val="000B1ECB"/>
    <w:rsid w:val="000B28EE"/>
    <w:rsid w:val="000B2A62"/>
    <w:rsid w:val="000B30EA"/>
    <w:rsid w:val="000B30F6"/>
    <w:rsid w:val="000B33EE"/>
    <w:rsid w:val="000B43C7"/>
    <w:rsid w:val="000B475D"/>
    <w:rsid w:val="000B5166"/>
    <w:rsid w:val="000B5892"/>
    <w:rsid w:val="000B590A"/>
    <w:rsid w:val="000B6D79"/>
    <w:rsid w:val="000B6DA8"/>
    <w:rsid w:val="000B72EF"/>
    <w:rsid w:val="000B755E"/>
    <w:rsid w:val="000B7F5B"/>
    <w:rsid w:val="000C08F4"/>
    <w:rsid w:val="000C096B"/>
    <w:rsid w:val="000C09C6"/>
    <w:rsid w:val="000C0CB2"/>
    <w:rsid w:val="000C0D8C"/>
    <w:rsid w:val="000C10C9"/>
    <w:rsid w:val="000C16A3"/>
    <w:rsid w:val="000C19D9"/>
    <w:rsid w:val="000C21B9"/>
    <w:rsid w:val="000C24FA"/>
    <w:rsid w:val="000C26B9"/>
    <w:rsid w:val="000C279D"/>
    <w:rsid w:val="000C3659"/>
    <w:rsid w:val="000C367C"/>
    <w:rsid w:val="000C36FA"/>
    <w:rsid w:val="000C397B"/>
    <w:rsid w:val="000C3B57"/>
    <w:rsid w:val="000C3B8F"/>
    <w:rsid w:val="000C4788"/>
    <w:rsid w:val="000C4AE9"/>
    <w:rsid w:val="000C509D"/>
    <w:rsid w:val="000C5199"/>
    <w:rsid w:val="000C538A"/>
    <w:rsid w:val="000C5C67"/>
    <w:rsid w:val="000C5D92"/>
    <w:rsid w:val="000C6ABE"/>
    <w:rsid w:val="000C7242"/>
    <w:rsid w:val="000C7781"/>
    <w:rsid w:val="000C786C"/>
    <w:rsid w:val="000C7D36"/>
    <w:rsid w:val="000D0008"/>
    <w:rsid w:val="000D0097"/>
    <w:rsid w:val="000D0A7B"/>
    <w:rsid w:val="000D103B"/>
    <w:rsid w:val="000D1250"/>
    <w:rsid w:val="000D20E6"/>
    <w:rsid w:val="000D2236"/>
    <w:rsid w:val="000D2E8E"/>
    <w:rsid w:val="000D32E5"/>
    <w:rsid w:val="000D33B9"/>
    <w:rsid w:val="000D3EC7"/>
    <w:rsid w:val="000D43AB"/>
    <w:rsid w:val="000D4B46"/>
    <w:rsid w:val="000D5238"/>
    <w:rsid w:val="000D5255"/>
    <w:rsid w:val="000D536D"/>
    <w:rsid w:val="000D55ED"/>
    <w:rsid w:val="000D5F39"/>
    <w:rsid w:val="000D6456"/>
    <w:rsid w:val="000D65FC"/>
    <w:rsid w:val="000D6FAF"/>
    <w:rsid w:val="000E0045"/>
    <w:rsid w:val="000E0B8B"/>
    <w:rsid w:val="000E0E44"/>
    <w:rsid w:val="000E1446"/>
    <w:rsid w:val="000E1893"/>
    <w:rsid w:val="000E18AA"/>
    <w:rsid w:val="000E263C"/>
    <w:rsid w:val="000E28FA"/>
    <w:rsid w:val="000E3266"/>
    <w:rsid w:val="000E32DB"/>
    <w:rsid w:val="000E35DB"/>
    <w:rsid w:val="000E3766"/>
    <w:rsid w:val="000E451A"/>
    <w:rsid w:val="000E4B69"/>
    <w:rsid w:val="000E4EC6"/>
    <w:rsid w:val="000E511A"/>
    <w:rsid w:val="000E5454"/>
    <w:rsid w:val="000E58BA"/>
    <w:rsid w:val="000E58EB"/>
    <w:rsid w:val="000E5A38"/>
    <w:rsid w:val="000E6E20"/>
    <w:rsid w:val="000E6E30"/>
    <w:rsid w:val="000E7636"/>
    <w:rsid w:val="000E7774"/>
    <w:rsid w:val="000E7A23"/>
    <w:rsid w:val="000F0539"/>
    <w:rsid w:val="000F08FF"/>
    <w:rsid w:val="000F0924"/>
    <w:rsid w:val="000F0D92"/>
    <w:rsid w:val="000F124A"/>
    <w:rsid w:val="000F1332"/>
    <w:rsid w:val="000F14D6"/>
    <w:rsid w:val="000F15D7"/>
    <w:rsid w:val="000F2046"/>
    <w:rsid w:val="000F20CE"/>
    <w:rsid w:val="000F2400"/>
    <w:rsid w:val="000F2A32"/>
    <w:rsid w:val="000F2BC6"/>
    <w:rsid w:val="000F3081"/>
    <w:rsid w:val="000F330D"/>
    <w:rsid w:val="000F35BD"/>
    <w:rsid w:val="000F3940"/>
    <w:rsid w:val="000F4C34"/>
    <w:rsid w:val="000F4E93"/>
    <w:rsid w:val="000F4FCF"/>
    <w:rsid w:val="000F57EA"/>
    <w:rsid w:val="000F5A98"/>
    <w:rsid w:val="000F5C7C"/>
    <w:rsid w:val="000F60F4"/>
    <w:rsid w:val="000F6D50"/>
    <w:rsid w:val="000F6E15"/>
    <w:rsid w:val="000F7A3B"/>
    <w:rsid w:val="00100163"/>
    <w:rsid w:val="00100374"/>
    <w:rsid w:val="001006A9"/>
    <w:rsid w:val="00100780"/>
    <w:rsid w:val="00100CA5"/>
    <w:rsid w:val="00100F01"/>
    <w:rsid w:val="0010155C"/>
    <w:rsid w:val="001020F5"/>
    <w:rsid w:val="0010273F"/>
    <w:rsid w:val="0010301D"/>
    <w:rsid w:val="0010326D"/>
    <w:rsid w:val="001034EC"/>
    <w:rsid w:val="0010386C"/>
    <w:rsid w:val="00103A29"/>
    <w:rsid w:val="00104641"/>
    <w:rsid w:val="001052B6"/>
    <w:rsid w:val="00105401"/>
    <w:rsid w:val="001057BA"/>
    <w:rsid w:val="00105C13"/>
    <w:rsid w:val="00106054"/>
    <w:rsid w:val="00106189"/>
    <w:rsid w:val="001061E2"/>
    <w:rsid w:val="001063CE"/>
    <w:rsid w:val="00106661"/>
    <w:rsid w:val="00106EF1"/>
    <w:rsid w:val="00106F15"/>
    <w:rsid w:val="00106F17"/>
    <w:rsid w:val="00107393"/>
    <w:rsid w:val="00107CB3"/>
    <w:rsid w:val="00111096"/>
    <w:rsid w:val="001111BB"/>
    <w:rsid w:val="00111433"/>
    <w:rsid w:val="00111E45"/>
    <w:rsid w:val="00111F3E"/>
    <w:rsid w:val="00111F5F"/>
    <w:rsid w:val="0011208B"/>
    <w:rsid w:val="001127F6"/>
    <w:rsid w:val="001136A0"/>
    <w:rsid w:val="00113CD8"/>
    <w:rsid w:val="00113FDB"/>
    <w:rsid w:val="00114419"/>
    <w:rsid w:val="00114688"/>
    <w:rsid w:val="001146D8"/>
    <w:rsid w:val="0011477D"/>
    <w:rsid w:val="00115275"/>
    <w:rsid w:val="001152FB"/>
    <w:rsid w:val="001160F2"/>
    <w:rsid w:val="001163AB"/>
    <w:rsid w:val="00116A7A"/>
    <w:rsid w:val="00116B30"/>
    <w:rsid w:val="00116DDD"/>
    <w:rsid w:val="00116F84"/>
    <w:rsid w:val="0011702F"/>
    <w:rsid w:val="00117181"/>
    <w:rsid w:val="00117DBF"/>
    <w:rsid w:val="001201E5"/>
    <w:rsid w:val="00120F92"/>
    <w:rsid w:val="001211F0"/>
    <w:rsid w:val="0012142D"/>
    <w:rsid w:val="00121879"/>
    <w:rsid w:val="00121DEB"/>
    <w:rsid w:val="00121FD9"/>
    <w:rsid w:val="001227D1"/>
    <w:rsid w:val="00122FDF"/>
    <w:rsid w:val="0012339D"/>
    <w:rsid w:val="00123DF6"/>
    <w:rsid w:val="001244D7"/>
    <w:rsid w:val="0012533B"/>
    <w:rsid w:val="0012588C"/>
    <w:rsid w:val="00125BEC"/>
    <w:rsid w:val="00126221"/>
    <w:rsid w:val="001263F5"/>
    <w:rsid w:val="0012640A"/>
    <w:rsid w:val="001265DE"/>
    <w:rsid w:val="00126D72"/>
    <w:rsid w:val="0012750D"/>
    <w:rsid w:val="0012789C"/>
    <w:rsid w:val="00127C68"/>
    <w:rsid w:val="00130312"/>
    <w:rsid w:val="00130A28"/>
    <w:rsid w:val="00130BEA"/>
    <w:rsid w:val="00130F34"/>
    <w:rsid w:val="0013103A"/>
    <w:rsid w:val="0013117D"/>
    <w:rsid w:val="0013125F"/>
    <w:rsid w:val="001312C7"/>
    <w:rsid w:val="001314D9"/>
    <w:rsid w:val="0013214A"/>
    <w:rsid w:val="00132375"/>
    <w:rsid w:val="001329A3"/>
    <w:rsid w:val="001338D9"/>
    <w:rsid w:val="0013394B"/>
    <w:rsid w:val="001339F2"/>
    <w:rsid w:val="00133A84"/>
    <w:rsid w:val="00134175"/>
    <w:rsid w:val="001341FE"/>
    <w:rsid w:val="0013438A"/>
    <w:rsid w:val="001348A9"/>
    <w:rsid w:val="00134C08"/>
    <w:rsid w:val="00134E46"/>
    <w:rsid w:val="0013566E"/>
    <w:rsid w:val="001356A3"/>
    <w:rsid w:val="00135708"/>
    <w:rsid w:val="00135752"/>
    <w:rsid w:val="00135A34"/>
    <w:rsid w:val="0013656B"/>
    <w:rsid w:val="00136BC5"/>
    <w:rsid w:val="00136FA1"/>
    <w:rsid w:val="0013704C"/>
    <w:rsid w:val="00137661"/>
    <w:rsid w:val="001379AF"/>
    <w:rsid w:val="0014033E"/>
    <w:rsid w:val="001405B5"/>
    <w:rsid w:val="00140778"/>
    <w:rsid w:val="00140815"/>
    <w:rsid w:val="00140F0A"/>
    <w:rsid w:val="0014112C"/>
    <w:rsid w:val="00141478"/>
    <w:rsid w:val="001414D5"/>
    <w:rsid w:val="0014176E"/>
    <w:rsid w:val="00141AAE"/>
    <w:rsid w:val="00141BDC"/>
    <w:rsid w:val="00141C07"/>
    <w:rsid w:val="0014261E"/>
    <w:rsid w:val="001427AE"/>
    <w:rsid w:val="00142C17"/>
    <w:rsid w:val="00142C54"/>
    <w:rsid w:val="00143454"/>
    <w:rsid w:val="00143B3B"/>
    <w:rsid w:val="001441E0"/>
    <w:rsid w:val="001444C1"/>
    <w:rsid w:val="00144884"/>
    <w:rsid w:val="00144C87"/>
    <w:rsid w:val="00144D9D"/>
    <w:rsid w:val="001456EE"/>
    <w:rsid w:val="001459AF"/>
    <w:rsid w:val="00145FA5"/>
    <w:rsid w:val="00146BA0"/>
    <w:rsid w:val="00146BC9"/>
    <w:rsid w:val="00146D4B"/>
    <w:rsid w:val="00147CA1"/>
    <w:rsid w:val="00150651"/>
    <w:rsid w:val="00150925"/>
    <w:rsid w:val="001509E4"/>
    <w:rsid w:val="00150E5E"/>
    <w:rsid w:val="00151177"/>
    <w:rsid w:val="0015118A"/>
    <w:rsid w:val="001514B1"/>
    <w:rsid w:val="001526CD"/>
    <w:rsid w:val="001528AA"/>
    <w:rsid w:val="0015355E"/>
    <w:rsid w:val="00153CFF"/>
    <w:rsid w:val="00153EE2"/>
    <w:rsid w:val="00154510"/>
    <w:rsid w:val="0015452D"/>
    <w:rsid w:val="001545BF"/>
    <w:rsid w:val="00154925"/>
    <w:rsid w:val="00154A9D"/>
    <w:rsid w:val="00154C32"/>
    <w:rsid w:val="00154D88"/>
    <w:rsid w:val="00154FDB"/>
    <w:rsid w:val="001550A0"/>
    <w:rsid w:val="00155399"/>
    <w:rsid w:val="001556A5"/>
    <w:rsid w:val="00155EB3"/>
    <w:rsid w:val="001561FA"/>
    <w:rsid w:val="0015668A"/>
    <w:rsid w:val="00156EB2"/>
    <w:rsid w:val="00157D23"/>
    <w:rsid w:val="00160079"/>
    <w:rsid w:val="00160306"/>
    <w:rsid w:val="00160451"/>
    <w:rsid w:val="00160567"/>
    <w:rsid w:val="00160A62"/>
    <w:rsid w:val="00160A83"/>
    <w:rsid w:val="001614BB"/>
    <w:rsid w:val="00161557"/>
    <w:rsid w:val="001619B1"/>
    <w:rsid w:val="00161D3E"/>
    <w:rsid w:val="0016234C"/>
    <w:rsid w:val="00162F61"/>
    <w:rsid w:val="0016317A"/>
    <w:rsid w:val="00163AB1"/>
    <w:rsid w:val="00164207"/>
    <w:rsid w:val="0016424A"/>
    <w:rsid w:val="00164256"/>
    <w:rsid w:val="00164A07"/>
    <w:rsid w:val="00164C1D"/>
    <w:rsid w:val="0016521B"/>
    <w:rsid w:val="0016565D"/>
    <w:rsid w:val="00165BF7"/>
    <w:rsid w:val="00166329"/>
    <w:rsid w:val="00166B5B"/>
    <w:rsid w:val="00166B9E"/>
    <w:rsid w:val="00166F81"/>
    <w:rsid w:val="00166FD8"/>
    <w:rsid w:val="00167774"/>
    <w:rsid w:val="001678D6"/>
    <w:rsid w:val="00170045"/>
    <w:rsid w:val="00170257"/>
    <w:rsid w:val="0017052E"/>
    <w:rsid w:val="00170A7A"/>
    <w:rsid w:val="001713A7"/>
    <w:rsid w:val="00171DD0"/>
    <w:rsid w:val="00172203"/>
    <w:rsid w:val="001724AD"/>
    <w:rsid w:val="0017287A"/>
    <w:rsid w:val="00172BA5"/>
    <w:rsid w:val="00172E6C"/>
    <w:rsid w:val="00173238"/>
    <w:rsid w:val="001734C6"/>
    <w:rsid w:val="0017374D"/>
    <w:rsid w:val="001742F5"/>
    <w:rsid w:val="001744DD"/>
    <w:rsid w:val="00174BF8"/>
    <w:rsid w:val="00174D27"/>
    <w:rsid w:val="00175476"/>
    <w:rsid w:val="00175AA7"/>
    <w:rsid w:val="00175D95"/>
    <w:rsid w:val="001761F9"/>
    <w:rsid w:val="001766AF"/>
    <w:rsid w:val="00176A32"/>
    <w:rsid w:val="00176E7B"/>
    <w:rsid w:val="0017724C"/>
    <w:rsid w:val="00177712"/>
    <w:rsid w:val="0017780D"/>
    <w:rsid w:val="00177A8E"/>
    <w:rsid w:val="00177B35"/>
    <w:rsid w:val="00177C9F"/>
    <w:rsid w:val="00177DF1"/>
    <w:rsid w:val="00180F70"/>
    <w:rsid w:val="00181A79"/>
    <w:rsid w:val="00181DB4"/>
    <w:rsid w:val="001829EF"/>
    <w:rsid w:val="00182B88"/>
    <w:rsid w:val="00182E58"/>
    <w:rsid w:val="0018375C"/>
    <w:rsid w:val="00183B40"/>
    <w:rsid w:val="00183D4F"/>
    <w:rsid w:val="00183DDF"/>
    <w:rsid w:val="001840AB"/>
    <w:rsid w:val="00184224"/>
    <w:rsid w:val="001845AA"/>
    <w:rsid w:val="00184EBF"/>
    <w:rsid w:val="00185186"/>
    <w:rsid w:val="001852F6"/>
    <w:rsid w:val="001853FC"/>
    <w:rsid w:val="00185410"/>
    <w:rsid w:val="00186831"/>
    <w:rsid w:val="001872DB"/>
    <w:rsid w:val="00187D8D"/>
    <w:rsid w:val="00187F4D"/>
    <w:rsid w:val="00190086"/>
    <w:rsid w:val="0019095E"/>
    <w:rsid w:val="00190AA5"/>
    <w:rsid w:val="001914C1"/>
    <w:rsid w:val="0019150A"/>
    <w:rsid w:val="00191885"/>
    <w:rsid w:val="0019209A"/>
    <w:rsid w:val="0019232B"/>
    <w:rsid w:val="001929B7"/>
    <w:rsid w:val="00192D67"/>
    <w:rsid w:val="0019368E"/>
    <w:rsid w:val="00193B0F"/>
    <w:rsid w:val="00194961"/>
    <w:rsid w:val="00194B68"/>
    <w:rsid w:val="00195F24"/>
    <w:rsid w:val="001962D1"/>
    <w:rsid w:val="001966B6"/>
    <w:rsid w:val="00196703"/>
    <w:rsid w:val="00196A1E"/>
    <w:rsid w:val="00196E55"/>
    <w:rsid w:val="00197863"/>
    <w:rsid w:val="0019797D"/>
    <w:rsid w:val="00197B44"/>
    <w:rsid w:val="00197B86"/>
    <w:rsid w:val="00197CF2"/>
    <w:rsid w:val="001A0119"/>
    <w:rsid w:val="001A081E"/>
    <w:rsid w:val="001A0825"/>
    <w:rsid w:val="001A0A6A"/>
    <w:rsid w:val="001A0EB1"/>
    <w:rsid w:val="001A17EF"/>
    <w:rsid w:val="001A1E7B"/>
    <w:rsid w:val="001A1EA2"/>
    <w:rsid w:val="001A2010"/>
    <w:rsid w:val="001A230C"/>
    <w:rsid w:val="001A26A2"/>
    <w:rsid w:val="001A2955"/>
    <w:rsid w:val="001A2B2B"/>
    <w:rsid w:val="001A306E"/>
    <w:rsid w:val="001A3350"/>
    <w:rsid w:val="001A37CB"/>
    <w:rsid w:val="001A3BF9"/>
    <w:rsid w:val="001A3D74"/>
    <w:rsid w:val="001A4246"/>
    <w:rsid w:val="001A4CC3"/>
    <w:rsid w:val="001A4D40"/>
    <w:rsid w:val="001A4DF4"/>
    <w:rsid w:val="001A51B5"/>
    <w:rsid w:val="001A522E"/>
    <w:rsid w:val="001A5340"/>
    <w:rsid w:val="001A5370"/>
    <w:rsid w:val="001A5625"/>
    <w:rsid w:val="001A57DC"/>
    <w:rsid w:val="001A5C90"/>
    <w:rsid w:val="001A607D"/>
    <w:rsid w:val="001A67F3"/>
    <w:rsid w:val="001A6808"/>
    <w:rsid w:val="001A6C3E"/>
    <w:rsid w:val="001A76E1"/>
    <w:rsid w:val="001A7D32"/>
    <w:rsid w:val="001B077C"/>
    <w:rsid w:val="001B0DD7"/>
    <w:rsid w:val="001B1193"/>
    <w:rsid w:val="001B144D"/>
    <w:rsid w:val="001B15D8"/>
    <w:rsid w:val="001B1C10"/>
    <w:rsid w:val="001B1CCC"/>
    <w:rsid w:val="001B1FCF"/>
    <w:rsid w:val="001B274A"/>
    <w:rsid w:val="001B2785"/>
    <w:rsid w:val="001B2C53"/>
    <w:rsid w:val="001B38F6"/>
    <w:rsid w:val="001B3C30"/>
    <w:rsid w:val="001B46CA"/>
    <w:rsid w:val="001B5164"/>
    <w:rsid w:val="001B5185"/>
    <w:rsid w:val="001B526D"/>
    <w:rsid w:val="001B534D"/>
    <w:rsid w:val="001B63AC"/>
    <w:rsid w:val="001B649B"/>
    <w:rsid w:val="001B6D31"/>
    <w:rsid w:val="001B6E45"/>
    <w:rsid w:val="001B77BB"/>
    <w:rsid w:val="001B7B91"/>
    <w:rsid w:val="001B7C64"/>
    <w:rsid w:val="001B7CAA"/>
    <w:rsid w:val="001B7E6A"/>
    <w:rsid w:val="001C002A"/>
    <w:rsid w:val="001C0B9B"/>
    <w:rsid w:val="001C0E61"/>
    <w:rsid w:val="001C0E83"/>
    <w:rsid w:val="001C11AF"/>
    <w:rsid w:val="001C12FE"/>
    <w:rsid w:val="001C16E0"/>
    <w:rsid w:val="001C1CAD"/>
    <w:rsid w:val="001C2BCA"/>
    <w:rsid w:val="001C2C7E"/>
    <w:rsid w:val="001C2E47"/>
    <w:rsid w:val="001C3302"/>
    <w:rsid w:val="001C365D"/>
    <w:rsid w:val="001C3919"/>
    <w:rsid w:val="001C46FF"/>
    <w:rsid w:val="001C4890"/>
    <w:rsid w:val="001C4F81"/>
    <w:rsid w:val="001C5227"/>
    <w:rsid w:val="001C54D2"/>
    <w:rsid w:val="001C56B5"/>
    <w:rsid w:val="001C5E63"/>
    <w:rsid w:val="001C63A4"/>
    <w:rsid w:val="001C6486"/>
    <w:rsid w:val="001C64B9"/>
    <w:rsid w:val="001C64E4"/>
    <w:rsid w:val="001C65FB"/>
    <w:rsid w:val="001C671C"/>
    <w:rsid w:val="001C6978"/>
    <w:rsid w:val="001C6D70"/>
    <w:rsid w:val="001C70A8"/>
    <w:rsid w:val="001C76E8"/>
    <w:rsid w:val="001C7ACC"/>
    <w:rsid w:val="001D0850"/>
    <w:rsid w:val="001D0FA6"/>
    <w:rsid w:val="001D1184"/>
    <w:rsid w:val="001D124A"/>
    <w:rsid w:val="001D1563"/>
    <w:rsid w:val="001D1D9F"/>
    <w:rsid w:val="001D2467"/>
    <w:rsid w:val="001D26E3"/>
    <w:rsid w:val="001D2921"/>
    <w:rsid w:val="001D34B5"/>
    <w:rsid w:val="001D40EB"/>
    <w:rsid w:val="001D5D38"/>
    <w:rsid w:val="001D5F07"/>
    <w:rsid w:val="001D5F87"/>
    <w:rsid w:val="001D637D"/>
    <w:rsid w:val="001D68FA"/>
    <w:rsid w:val="001D6ADC"/>
    <w:rsid w:val="001D7836"/>
    <w:rsid w:val="001D7902"/>
    <w:rsid w:val="001D7C23"/>
    <w:rsid w:val="001D7ED4"/>
    <w:rsid w:val="001E066C"/>
    <w:rsid w:val="001E1617"/>
    <w:rsid w:val="001E1B0A"/>
    <w:rsid w:val="001E1C4B"/>
    <w:rsid w:val="001E2027"/>
    <w:rsid w:val="001E273C"/>
    <w:rsid w:val="001E311E"/>
    <w:rsid w:val="001E355B"/>
    <w:rsid w:val="001E3B79"/>
    <w:rsid w:val="001E3C02"/>
    <w:rsid w:val="001E40DF"/>
    <w:rsid w:val="001E458D"/>
    <w:rsid w:val="001E47D0"/>
    <w:rsid w:val="001E49CD"/>
    <w:rsid w:val="001E54C6"/>
    <w:rsid w:val="001E5560"/>
    <w:rsid w:val="001E57ED"/>
    <w:rsid w:val="001E58D6"/>
    <w:rsid w:val="001E62FA"/>
    <w:rsid w:val="001E6596"/>
    <w:rsid w:val="001E74AB"/>
    <w:rsid w:val="001E74D7"/>
    <w:rsid w:val="001E7778"/>
    <w:rsid w:val="001F03D2"/>
    <w:rsid w:val="001F09AA"/>
    <w:rsid w:val="001F1256"/>
    <w:rsid w:val="001F1760"/>
    <w:rsid w:val="001F1BF7"/>
    <w:rsid w:val="001F1CE7"/>
    <w:rsid w:val="001F1E46"/>
    <w:rsid w:val="001F21C6"/>
    <w:rsid w:val="001F27EC"/>
    <w:rsid w:val="001F2ADD"/>
    <w:rsid w:val="001F2BE4"/>
    <w:rsid w:val="001F2C63"/>
    <w:rsid w:val="001F2CE3"/>
    <w:rsid w:val="001F3A32"/>
    <w:rsid w:val="001F3AC1"/>
    <w:rsid w:val="001F44A3"/>
    <w:rsid w:val="001F4989"/>
    <w:rsid w:val="001F4E26"/>
    <w:rsid w:val="001F513C"/>
    <w:rsid w:val="001F5C9F"/>
    <w:rsid w:val="001F6CA6"/>
    <w:rsid w:val="001F6D68"/>
    <w:rsid w:val="001F7430"/>
    <w:rsid w:val="001F7688"/>
    <w:rsid w:val="002004EA"/>
    <w:rsid w:val="00200E99"/>
    <w:rsid w:val="00201524"/>
    <w:rsid w:val="00201DBA"/>
    <w:rsid w:val="00201F2B"/>
    <w:rsid w:val="002026C8"/>
    <w:rsid w:val="002029E9"/>
    <w:rsid w:val="00203794"/>
    <w:rsid w:val="00203923"/>
    <w:rsid w:val="002039E2"/>
    <w:rsid w:val="002039FF"/>
    <w:rsid w:val="002041F3"/>
    <w:rsid w:val="00204425"/>
    <w:rsid w:val="00204444"/>
    <w:rsid w:val="00204A7A"/>
    <w:rsid w:val="00204D12"/>
    <w:rsid w:val="00204F85"/>
    <w:rsid w:val="00205395"/>
    <w:rsid w:val="0020546C"/>
    <w:rsid w:val="002054F3"/>
    <w:rsid w:val="002060FD"/>
    <w:rsid w:val="00206396"/>
    <w:rsid w:val="0020649E"/>
    <w:rsid w:val="0020689B"/>
    <w:rsid w:val="00206F59"/>
    <w:rsid w:val="0020736B"/>
    <w:rsid w:val="002075FF"/>
    <w:rsid w:val="00207AA7"/>
    <w:rsid w:val="00207F6D"/>
    <w:rsid w:val="002108DF"/>
    <w:rsid w:val="00210951"/>
    <w:rsid w:val="00210D61"/>
    <w:rsid w:val="00210FF3"/>
    <w:rsid w:val="0021100D"/>
    <w:rsid w:val="00211105"/>
    <w:rsid w:val="00211974"/>
    <w:rsid w:val="00212060"/>
    <w:rsid w:val="002123C0"/>
    <w:rsid w:val="00212A61"/>
    <w:rsid w:val="00212F6C"/>
    <w:rsid w:val="0021343C"/>
    <w:rsid w:val="002136FC"/>
    <w:rsid w:val="00213E7C"/>
    <w:rsid w:val="002141FB"/>
    <w:rsid w:val="00214AEB"/>
    <w:rsid w:val="00215482"/>
    <w:rsid w:val="0021580D"/>
    <w:rsid w:val="0021668E"/>
    <w:rsid w:val="00216C22"/>
    <w:rsid w:val="00216DA1"/>
    <w:rsid w:val="00217AF0"/>
    <w:rsid w:val="00220848"/>
    <w:rsid w:val="00220960"/>
    <w:rsid w:val="00220BAB"/>
    <w:rsid w:val="00220D0F"/>
    <w:rsid w:val="002210EA"/>
    <w:rsid w:val="0022146A"/>
    <w:rsid w:val="00221788"/>
    <w:rsid w:val="002218B5"/>
    <w:rsid w:val="00221A6A"/>
    <w:rsid w:val="00221CA2"/>
    <w:rsid w:val="00221F4D"/>
    <w:rsid w:val="0022203B"/>
    <w:rsid w:val="002220E2"/>
    <w:rsid w:val="00222208"/>
    <w:rsid w:val="00222A72"/>
    <w:rsid w:val="00222B56"/>
    <w:rsid w:val="00223433"/>
    <w:rsid w:val="002240CA"/>
    <w:rsid w:val="0022410B"/>
    <w:rsid w:val="0022423E"/>
    <w:rsid w:val="00224D0E"/>
    <w:rsid w:val="002250DD"/>
    <w:rsid w:val="00225A02"/>
    <w:rsid w:val="00225F9B"/>
    <w:rsid w:val="002266A4"/>
    <w:rsid w:val="00226B30"/>
    <w:rsid w:val="00226E54"/>
    <w:rsid w:val="00227C5C"/>
    <w:rsid w:val="00230028"/>
    <w:rsid w:val="00230666"/>
    <w:rsid w:val="002307B9"/>
    <w:rsid w:val="002307EE"/>
    <w:rsid w:val="002308BC"/>
    <w:rsid w:val="00230DA4"/>
    <w:rsid w:val="0023297B"/>
    <w:rsid w:val="00232A2A"/>
    <w:rsid w:val="002330D6"/>
    <w:rsid w:val="00233755"/>
    <w:rsid w:val="00233A7E"/>
    <w:rsid w:val="00233CC5"/>
    <w:rsid w:val="002346EE"/>
    <w:rsid w:val="00234906"/>
    <w:rsid w:val="00234A09"/>
    <w:rsid w:val="00234AEB"/>
    <w:rsid w:val="00234FC1"/>
    <w:rsid w:val="002354CC"/>
    <w:rsid w:val="00235857"/>
    <w:rsid w:val="002358C8"/>
    <w:rsid w:val="00235ABF"/>
    <w:rsid w:val="00236348"/>
    <w:rsid w:val="00236A11"/>
    <w:rsid w:val="00236AA8"/>
    <w:rsid w:val="00237489"/>
    <w:rsid w:val="00237E3E"/>
    <w:rsid w:val="00240597"/>
    <w:rsid w:val="0024075E"/>
    <w:rsid w:val="002407EF"/>
    <w:rsid w:val="00240C18"/>
    <w:rsid w:val="00241D56"/>
    <w:rsid w:val="00243254"/>
    <w:rsid w:val="00243302"/>
    <w:rsid w:val="00243B48"/>
    <w:rsid w:val="00243EF1"/>
    <w:rsid w:val="002441C4"/>
    <w:rsid w:val="00244DAE"/>
    <w:rsid w:val="00245138"/>
    <w:rsid w:val="002456F1"/>
    <w:rsid w:val="00245CC8"/>
    <w:rsid w:val="00245E97"/>
    <w:rsid w:val="0024603E"/>
    <w:rsid w:val="002460CA"/>
    <w:rsid w:val="0024659E"/>
    <w:rsid w:val="002467FA"/>
    <w:rsid w:val="00246F8C"/>
    <w:rsid w:val="00247CCF"/>
    <w:rsid w:val="00250991"/>
    <w:rsid w:val="00250A92"/>
    <w:rsid w:val="002513A9"/>
    <w:rsid w:val="0025231E"/>
    <w:rsid w:val="002527FD"/>
    <w:rsid w:val="002532DE"/>
    <w:rsid w:val="002535AE"/>
    <w:rsid w:val="00253C99"/>
    <w:rsid w:val="00253E7E"/>
    <w:rsid w:val="00254038"/>
    <w:rsid w:val="002552EF"/>
    <w:rsid w:val="00255917"/>
    <w:rsid w:val="002559B7"/>
    <w:rsid w:val="00255C91"/>
    <w:rsid w:val="00256095"/>
    <w:rsid w:val="00256212"/>
    <w:rsid w:val="00256230"/>
    <w:rsid w:val="0025637C"/>
    <w:rsid w:val="00256AF9"/>
    <w:rsid w:val="00257118"/>
    <w:rsid w:val="00257626"/>
    <w:rsid w:val="00257B5D"/>
    <w:rsid w:val="00257D3C"/>
    <w:rsid w:val="002600BF"/>
    <w:rsid w:val="002602FA"/>
    <w:rsid w:val="00260530"/>
    <w:rsid w:val="00260C99"/>
    <w:rsid w:val="00260D30"/>
    <w:rsid w:val="00261625"/>
    <w:rsid w:val="00261732"/>
    <w:rsid w:val="00261924"/>
    <w:rsid w:val="00261A66"/>
    <w:rsid w:val="002621B0"/>
    <w:rsid w:val="00263522"/>
    <w:rsid w:val="002640CF"/>
    <w:rsid w:val="00264C62"/>
    <w:rsid w:val="00265064"/>
    <w:rsid w:val="002653CE"/>
    <w:rsid w:val="002653F7"/>
    <w:rsid w:val="00265D32"/>
    <w:rsid w:val="00265E45"/>
    <w:rsid w:val="002667C4"/>
    <w:rsid w:val="00266C79"/>
    <w:rsid w:val="0026726B"/>
    <w:rsid w:val="00267395"/>
    <w:rsid w:val="00267652"/>
    <w:rsid w:val="0027022B"/>
    <w:rsid w:val="002703FE"/>
    <w:rsid w:val="00270917"/>
    <w:rsid w:val="00270AB1"/>
    <w:rsid w:val="00270B24"/>
    <w:rsid w:val="00270BF9"/>
    <w:rsid w:val="00270E42"/>
    <w:rsid w:val="00271278"/>
    <w:rsid w:val="00272121"/>
    <w:rsid w:val="002724EC"/>
    <w:rsid w:val="002729D8"/>
    <w:rsid w:val="00272BA3"/>
    <w:rsid w:val="002730CA"/>
    <w:rsid w:val="002730FC"/>
    <w:rsid w:val="00273275"/>
    <w:rsid w:val="0027338E"/>
    <w:rsid w:val="002739DB"/>
    <w:rsid w:val="002743C4"/>
    <w:rsid w:val="00274457"/>
    <w:rsid w:val="0027454E"/>
    <w:rsid w:val="00274C2F"/>
    <w:rsid w:val="00274E4D"/>
    <w:rsid w:val="00274EA5"/>
    <w:rsid w:val="002750DF"/>
    <w:rsid w:val="002751C7"/>
    <w:rsid w:val="002752C7"/>
    <w:rsid w:val="00275642"/>
    <w:rsid w:val="00275750"/>
    <w:rsid w:val="0027592E"/>
    <w:rsid w:val="00275A02"/>
    <w:rsid w:val="002760F0"/>
    <w:rsid w:val="00276F0A"/>
    <w:rsid w:val="00277615"/>
    <w:rsid w:val="0028013B"/>
    <w:rsid w:val="00280958"/>
    <w:rsid w:val="00280A2E"/>
    <w:rsid w:val="002812C7"/>
    <w:rsid w:val="00281F16"/>
    <w:rsid w:val="00282450"/>
    <w:rsid w:val="00283035"/>
    <w:rsid w:val="0028330A"/>
    <w:rsid w:val="00283446"/>
    <w:rsid w:val="002840E5"/>
    <w:rsid w:val="0028430F"/>
    <w:rsid w:val="0028459E"/>
    <w:rsid w:val="0028467F"/>
    <w:rsid w:val="00284719"/>
    <w:rsid w:val="00284EF8"/>
    <w:rsid w:val="00285958"/>
    <w:rsid w:val="00285A0E"/>
    <w:rsid w:val="00285CC9"/>
    <w:rsid w:val="002864B4"/>
    <w:rsid w:val="00286EC5"/>
    <w:rsid w:val="002879CB"/>
    <w:rsid w:val="00287A57"/>
    <w:rsid w:val="00290181"/>
    <w:rsid w:val="002903CC"/>
    <w:rsid w:val="00290498"/>
    <w:rsid w:val="0029181F"/>
    <w:rsid w:val="002918C4"/>
    <w:rsid w:val="00291C4C"/>
    <w:rsid w:val="00291FD6"/>
    <w:rsid w:val="0029203F"/>
    <w:rsid w:val="002922CF"/>
    <w:rsid w:val="0029231F"/>
    <w:rsid w:val="0029252C"/>
    <w:rsid w:val="00292924"/>
    <w:rsid w:val="00292952"/>
    <w:rsid w:val="0029299D"/>
    <w:rsid w:val="00293473"/>
    <w:rsid w:val="00293A2B"/>
    <w:rsid w:val="00293C0D"/>
    <w:rsid w:val="00293C15"/>
    <w:rsid w:val="00293F62"/>
    <w:rsid w:val="0029428D"/>
    <w:rsid w:val="002944E3"/>
    <w:rsid w:val="002945B1"/>
    <w:rsid w:val="00294820"/>
    <w:rsid w:val="00294B2A"/>
    <w:rsid w:val="002951A2"/>
    <w:rsid w:val="00295AEC"/>
    <w:rsid w:val="00295F73"/>
    <w:rsid w:val="0029652D"/>
    <w:rsid w:val="002967DA"/>
    <w:rsid w:val="002968A1"/>
    <w:rsid w:val="00296EAF"/>
    <w:rsid w:val="00296ED0"/>
    <w:rsid w:val="00296F32"/>
    <w:rsid w:val="0029721A"/>
    <w:rsid w:val="00297819"/>
    <w:rsid w:val="002A00F0"/>
    <w:rsid w:val="002A041B"/>
    <w:rsid w:val="002A06D0"/>
    <w:rsid w:val="002A0B05"/>
    <w:rsid w:val="002A0D1C"/>
    <w:rsid w:val="002A1C08"/>
    <w:rsid w:val="002A25B8"/>
    <w:rsid w:val="002A28A7"/>
    <w:rsid w:val="002A2A1F"/>
    <w:rsid w:val="002A2AFA"/>
    <w:rsid w:val="002A2E8D"/>
    <w:rsid w:val="002A3367"/>
    <w:rsid w:val="002A37AA"/>
    <w:rsid w:val="002A3A98"/>
    <w:rsid w:val="002A4120"/>
    <w:rsid w:val="002A609D"/>
    <w:rsid w:val="002A61CE"/>
    <w:rsid w:val="002A65F0"/>
    <w:rsid w:val="002A6A60"/>
    <w:rsid w:val="002A6BC4"/>
    <w:rsid w:val="002A6DBC"/>
    <w:rsid w:val="002A70F8"/>
    <w:rsid w:val="002A72B8"/>
    <w:rsid w:val="002A72FD"/>
    <w:rsid w:val="002A7A1D"/>
    <w:rsid w:val="002A7C94"/>
    <w:rsid w:val="002A7CE9"/>
    <w:rsid w:val="002A7EF5"/>
    <w:rsid w:val="002B02F8"/>
    <w:rsid w:val="002B06BD"/>
    <w:rsid w:val="002B0B2F"/>
    <w:rsid w:val="002B1F01"/>
    <w:rsid w:val="002B210A"/>
    <w:rsid w:val="002B23DF"/>
    <w:rsid w:val="002B2B0F"/>
    <w:rsid w:val="002B2EF6"/>
    <w:rsid w:val="002B353B"/>
    <w:rsid w:val="002B3A21"/>
    <w:rsid w:val="002B3CB5"/>
    <w:rsid w:val="002B3D3B"/>
    <w:rsid w:val="002B4362"/>
    <w:rsid w:val="002B43DF"/>
    <w:rsid w:val="002B4756"/>
    <w:rsid w:val="002B4A88"/>
    <w:rsid w:val="002B4D58"/>
    <w:rsid w:val="002B53E3"/>
    <w:rsid w:val="002B5C24"/>
    <w:rsid w:val="002B5CC8"/>
    <w:rsid w:val="002B5FD8"/>
    <w:rsid w:val="002B67C1"/>
    <w:rsid w:val="002B691C"/>
    <w:rsid w:val="002B6924"/>
    <w:rsid w:val="002B6EE6"/>
    <w:rsid w:val="002B71B3"/>
    <w:rsid w:val="002B7271"/>
    <w:rsid w:val="002C0362"/>
    <w:rsid w:val="002C0805"/>
    <w:rsid w:val="002C0987"/>
    <w:rsid w:val="002C0B8E"/>
    <w:rsid w:val="002C0BDB"/>
    <w:rsid w:val="002C0F71"/>
    <w:rsid w:val="002C0FEC"/>
    <w:rsid w:val="002C1299"/>
    <w:rsid w:val="002C1573"/>
    <w:rsid w:val="002C15E1"/>
    <w:rsid w:val="002C1CB3"/>
    <w:rsid w:val="002C1EE7"/>
    <w:rsid w:val="002C2A11"/>
    <w:rsid w:val="002C301F"/>
    <w:rsid w:val="002C36D7"/>
    <w:rsid w:val="002C373C"/>
    <w:rsid w:val="002C3D67"/>
    <w:rsid w:val="002C4AC9"/>
    <w:rsid w:val="002C4B77"/>
    <w:rsid w:val="002C5463"/>
    <w:rsid w:val="002C5B38"/>
    <w:rsid w:val="002C70DB"/>
    <w:rsid w:val="002C7514"/>
    <w:rsid w:val="002C776B"/>
    <w:rsid w:val="002C7B88"/>
    <w:rsid w:val="002C7FE8"/>
    <w:rsid w:val="002D007B"/>
    <w:rsid w:val="002D0241"/>
    <w:rsid w:val="002D13E4"/>
    <w:rsid w:val="002D1666"/>
    <w:rsid w:val="002D179B"/>
    <w:rsid w:val="002D199F"/>
    <w:rsid w:val="002D1C69"/>
    <w:rsid w:val="002D1CDD"/>
    <w:rsid w:val="002D1FAF"/>
    <w:rsid w:val="002D274B"/>
    <w:rsid w:val="002D28BE"/>
    <w:rsid w:val="002D2CDD"/>
    <w:rsid w:val="002D307A"/>
    <w:rsid w:val="002D36AB"/>
    <w:rsid w:val="002D3FEF"/>
    <w:rsid w:val="002D412F"/>
    <w:rsid w:val="002D4760"/>
    <w:rsid w:val="002D4ADC"/>
    <w:rsid w:val="002D56C3"/>
    <w:rsid w:val="002D5799"/>
    <w:rsid w:val="002D5EA6"/>
    <w:rsid w:val="002D6858"/>
    <w:rsid w:val="002D6A56"/>
    <w:rsid w:val="002D6AA8"/>
    <w:rsid w:val="002D6BEF"/>
    <w:rsid w:val="002D6D4A"/>
    <w:rsid w:val="002D6EA3"/>
    <w:rsid w:val="002D6F54"/>
    <w:rsid w:val="002D7ECC"/>
    <w:rsid w:val="002E007D"/>
    <w:rsid w:val="002E00F3"/>
    <w:rsid w:val="002E024E"/>
    <w:rsid w:val="002E0909"/>
    <w:rsid w:val="002E092C"/>
    <w:rsid w:val="002E1085"/>
    <w:rsid w:val="002E1136"/>
    <w:rsid w:val="002E129E"/>
    <w:rsid w:val="002E1419"/>
    <w:rsid w:val="002E1691"/>
    <w:rsid w:val="002E174B"/>
    <w:rsid w:val="002E17DD"/>
    <w:rsid w:val="002E1D0C"/>
    <w:rsid w:val="002E1D1E"/>
    <w:rsid w:val="002E23EB"/>
    <w:rsid w:val="002E24DF"/>
    <w:rsid w:val="002E2D8F"/>
    <w:rsid w:val="002E3864"/>
    <w:rsid w:val="002E3CF3"/>
    <w:rsid w:val="002E4185"/>
    <w:rsid w:val="002E41BD"/>
    <w:rsid w:val="002E4A30"/>
    <w:rsid w:val="002E4B5A"/>
    <w:rsid w:val="002E4D7A"/>
    <w:rsid w:val="002E4F3F"/>
    <w:rsid w:val="002E5381"/>
    <w:rsid w:val="002E5394"/>
    <w:rsid w:val="002E574C"/>
    <w:rsid w:val="002E5F2D"/>
    <w:rsid w:val="002E5FB8"/>
    <w:rsid w:val="002E6256"/>
    <w:rsid w:val="002E641C"/>
    <w:rsid w:val="002E6EA0"/>
    <w:rsid w:val="002E70A0"/>
    <w:rsid w:val="002E7359"/>
    <w:rsid w:val="002E76AF"/>
    <w:rsid w:val="002E78F4"/>
    <w:rsid w:val="002E7C4F"/>
    <w:rsid w:val="002F0114"/>
    <w:rsid w:val="002F15C3"/>
    <w:rsid w:val="002F1D00"/>
    <w:rsid w:val="002F1D16"/>
    <w:rsid w:val="002F22E0"/>
    <w:rsid w:val="002F32A6"/>
    <w:rsid w:val="002F32AC"/>
    <w:rsid w:val="002F3727"/>
    <w:rsid w:val="002F3F05"/>
    <w:rsid w:val="002F40A3"/>
    <w:rsid w:val="002F427F"/>
    <w:rsid w:val="002F47D1"/>
    <w:rsid w:val="002F49D2"/>
    <w:rsid w:val="002F49DB"/>
    <w:rsid w:val="002F4A5E"/>
    <w:rsid w:val="002F4B27"/>
    <w:rsid w:val="002F519D"/>
    <w:rsid w:val="002F5281"/>
    <w:rsid w:val="002F5580"/>
    <w:rsid w:val="002F56A5"/>
    <w:rsid w:val="002F57A4"/>
    <w:rsid w:val="002F57BC"/>
    <w:rsid w:val="002F59BE"/>
    <w:rsid w:val="002F5CC6"/>
    <w:rsid w:val="002F6424"/>
    <w:rsid w:val="002F6448"/>
    <w:rsid w:val="002F66D9"/>
    <w:rsid w:val="002F6808"/>
    <w:rsid w:val="002F71CB"/>
    <w:rsid w:val="002F740A"/>
    <w:rsid w:val="002F74DC"/>
    <w:rsid w:val="002F75BD"/>
    <w:rsid w:val="002F77B5"/>
    <w:rsid w:val="00300E5A"/>
    <w:rsid w:val="0030222B"/>
    <w:rsid w:val="003025E2"/>
    <w:rsid w:val="0030271F"/>
    <w:rsid w:val="0030390B"/>
    <w:rsid w:val="003043DF"/>
    <w:rsid w:val="003046FB"/>
    <w:rsid w:val="00304880"/>
    <w:rsid w:val="00304933"/>
    <w:rsid w:val="00304B0E"/>
    <w:rsid w:val="00304B44"/>
    <w:rsid w:val="00304D92"/>
    <w:rsid w:val="00304EB2"/>
    <w:rsid w:val="00304EDB"/>
    <w:rsid w:val="00305019"/>
    <w:rsid w:val="00305274"/>
    <w:rsid w:val="00305318"/>
    <w:rsid w:val="0030560F"/>
    <w:rsid w:val="0030633E"/>
    <w:rsid w:val="00306588"/>
    <w:rsid w:val="003065CF"/>
    <w:rsid w:val="0030671B"/>
    <w:rsid w:val="00306C13"/>
    <w:rsid w:val="00306EE2"/>
    <w:rsid w:val="003071CF"/>
    <w:rsid w:val="00307A9D"/>
    <w:rsid w:val="00310151"/>
    <w:rsid w:val="003106BD"/>
    <w:rsid w:val="00311332"/>
    <w:rsid w:val="00311470"/>
    <w:rsid w:val="0031153A"/>
    <w:rsid w:val="003119B9"/>
    <w:rsid w:val="00311C91"/>
    <w:rsid w:val="00311EE7"/>
    <w:rsid w:val="00311F3F"/>
    <w:rsid w:val="00312094"/>
    <w:rsid w:val="00312C5C"/>
    <w:rsid w:val="00312ED6"/>
    <w:rsid w:val="003138C5"/>
    <w:rsid w:val="00313CCB"/>
    <w:rsid w:val="003140A3"/>
    <w:rsid w:val="003143B9"/>
    <w:rsid w:val="00314663"/>
    <w:rsid w:val="003146D9"/>
    <w:rsid w:val="00314718"/>
    <w:rsid w:val="00314E12"/>
    <w:rsid w:val="00314F94"/>
    <w:rsid w:val="003151C6"/>
    <w:rsid w:val="00315C87"/>
    <w:rsid w:val="003160BE"/>
    <w:rsid w:val="0031634A"/>
    <w:rsid w:val="00316528"/>
    <w:rsid w:val="003166C5"/>
    <w:rsid w:val="003171AF"/>
    <w:rsid w:val="00317210"/>
    <w:rsid w:val="0031785E"/>
    <w:rsid w:val="003178E6"/>
    <w:rsid w:val="00317BD8"/>
    <w:rsid w:val="0032050F"/>
    <w:rsid w:val="0032093C"/>
    <w:rsid w:val="00320B52"/>
    <w:rsid w:val="00320C44"/>
    <w:rsid w:val="00320DFF"/>
    <w:rsid w:val="00321B68"/>
    <w:rsid w:val="00321BA6"/>
    <w:rsid w:val="00321D6D"/>
    <w:rsid w:val="00322077"/>
    <w:rsid w:val="003224B0"/>
    <w:rsid w:val="00322B29"/>
    <w:rsid w:val="00322BD7"/>
    <w:rsid w:val="00322D89"/>
    <w:rsid w:val="00323099"/>
    <w:rsid w:val="003230E4"/>
    <w:rsid w:val="00323A55"/>
    <w:rsid w:val="00324445"/>
    <w:rsid w:val="00324D48"/>
    <w:rsid w:val="00324D4B"/>
    <w:rsid w:val="00324F83"/>
    <w:rsid w:val="0032562E"/>
    <w:rsid w:val="00325F87"/>
    <w:rsid w:val="00326068"/>
    <w:rsid w:val="00326238"/>
    <w:rsid w:val="00326291"/>
    <w:rsid w:val="003262D3"/>
    <w:rsid w:val="003269B8"/>
    <w:rsid w:val="00327454"/>
    <w:rsid w:val="0033045D"/>
    <w:rsid w:val="00330484"/>
    <w:rsid w:val="0033057A"/>
    <w:rsid w:val="003306E5"/>
    <w:rsid w:val="00330E93"/>
    <w:rsid w:val="00331278"/>
    <w:rsid w:val="00331283"/>
    <w:rsid w:val="0033157B"/>
    <w:rsid w:val="00331EBF"/>
    <w:rsid w:val="00332227"/>
    <w:rsid w:val="0033235C"/>
    <w:rsid w:val="0033242E"/>
    <w:rsid w:val="0033287D"/>
    <w:rsid w:val="00333072"/>
    <w:rsid w:val="0033310C"/>
    <w:rsid w:val="00333349"/>
    <w:rsid w:val="00333425"/>
    <w:rsid w:val="00333734"/>
    <w:rsid w:val="0033405A"/>
    <w:rsid w:val="003340DB"/>
    <w:rsid w:val="00334311"/>
    <w:rsid w:val="0033471D"/>
    <w:rsid w:val="00335054"/>
    <w:rsid w:val="003352F9"/>
    <w:rsid w:val="00335498"/>
    <w:rsid w:val="0033593C"/>
    <w:rsid w:val="0033677F"/>
    <w:rsid w:val="00336BF3"/>
    <w:rsid w:val="0033717C"/>
    <w:rsid w:val="00337529"/>
    <w:rsid w:val="00337F66"/>
    <w:rsid w:val="00337FCC"/>
    <w:rsid w:val="00340376"/>
    <w:rsid w:val="0034038F"/>
    <w:rsid w:val="0034093C"/>
    <w:rsid w:val="00340A77"/>
    <w:rsid w:val="00340B0A"/>
    <w:rsid w:val="00340BAE"/>
    <w:rsid w:val="00341256"/>
    <w:rsid w:val="00341510"/>
    <w:rsid w:val="00341533"/>
    <w:rsid w:val="003417D5"/>
    <w:rsid w:val="00341D64"/>
    <w:rsid w:val="00342576"/>
    <w:rsid w:val="0034294F"/>
    <w:rsid w:val="00342FE8"/>
    <w:rsid w:val="003433E8"/>
    <w:rsid w:val="00343940"/>
    <w:rsid w:val="00343B66"/>
    <w:rsid w:val="003441C7"/>
    <w:rsid w:val="00344401"/>
    <w:rsid w:val="00344554"/>
    <w:rsid w:val="0034485D"/>
    <w:rsid w:val="00344873"/>
    <w:rsid w:val="00345534"/>
    <w:rsid w:val="003457D4"/>
    <w:rsid w:val="00345CE4"/>
    <w:rsid w:val="003473E0"/>
    <w:rsid w:val="003476C7"/>
    <w:rsid w:val="00347845"/>
    <w:rsid w:val="00347DC6"/>
    <w:rsid w:val="00347E6F"/>
    <w:rsid w:val="0035085C"/>
    <w:rsid w:val="00350DEC"/>
    <w:rsid w:val="0035131C"/>
    <w:rsid w:val="00351588"/>
    <w:rsid w:val="00351F3D"/>
    <w:rsid w:val="003524A0"/>
    <w:rsid w:val="00352FF5"/>
    <w:rsid w:val="0035317A"/>
    <w:rsid w:val="00353402"/>
    <w:rsid w:val="00353A46"/>
    <w:rsid w:val="003542CC"/>
    <w:rsid w:val="00354597"/>
    <w:rsid w:val="00354D26"/>
    <w:rsid w:val="003557B7"/>
    <w:rsid w:val="003558A9"/>
    <w:rsid w:val="00356699"/>
    <w:rsid w:val="00356B4D"/>
    <w:rsid w:val="00356C6C"/>
    <w:rsid w:val="00356EFF"/>
    <w:rsid w:val="00356F0D"/>
    <w:rsid w:val="003579BE"/>
    <w:rsid w:val="0036007A"/>
    <w:rsid w:val="003604A0"/>
    <w:rsid w:val="00360F58"/>
    <w:rsid w:val="00360F82"/>
    <w:rsid w:val="0036143B"/>
    <w:rsid w:val="00361CE3"/>
    <w:rsid w:val="003620B4"/>
    <w:rsid w:val="00364016"/>
    <w:rsid w:val="0036553E"/>
    <w:rsid w:val="00365813"/>
    <w:rsid w:val="00365B22"/>
    <w:rsid w:val="00366934"/>
    <w:rsid w:val="00366988"/>
    <w:rsid w:val="00366CF7"/>
    <w:rsid w:val="00367E65"/>
    <w:rsid w:val="0037006A"/>
    <w:rsid w:val="0037008D"/>
    <w:rsid w:val="003703F3"/>
    <w:rsid w:val="003708C0"/>
    <w:rsid w:val="00371601"/>
    <w:rsid w:val="0037161F"/>
    <w:rsid w:val="0037183D"/>
    <w:rsid w:val="003718FA"/>
    <w:rsid w:val="00371A4E"/>
    <w:rsid w:val="00371BC4"/>
    <w:rsid w:val="0037224B"/>
    <w:rsid w:val="003726AC"/>
    <w:rsid w:val="0037287D"/>
    <w:rsid w:val="00373509"/>
    <w:rsid w:val="00373656"/>
    <w:rsid w:val="003738E6"/>
    <w:rsid w:val="0037394C"/>
    <w:rsid w:val="00373FA0"/>
    <w:rsid w:val="0037424D"/>
    <w:rsid w:val="003742A4"/>
    <w:rsid w:val="003743F0"/>
    <w:rsid w:val="003745DA"/>
    <w:rsid w:val="00374965"/>
    <w:rsid w:val="00375005"/>
    <w:rsid w:val="0037556A"/>
    <w:rsid w:val="003755E9"/>
    <w:rsid w:val="003760D7"/>
    <w:rsid w:val="003765B2"/>
    <w:rsid w:val="003765E7"/>
    <w:rsid w:val="0037691C"/>
    <w:rsid w:val="00376A69"/>
    <w:rsid w:val="00376B70"/>
    <w:rsid w:val="00376D01"/>
    <w:rsid w:val="00377B3F"/>
    <w:rsid w:val="00377E29"/>
    <w:rsid w:val="00380450"/>
    <w:rsid w:val="003806E7"/>
    <w:rsid w:val="00380906"/>
    <w:rsid w:val="00380C1C"/>
    <w:rsid w:val="00380FED"/>
    <w:rsid w:val="00381448"/>
    <w:rsid w:val="003815C0"/>
    <w:rsid w:val="0038202F"/>
    <w:rsid w:val="00382270"/>
    <w:rsid w:val="003825B9"/>
    <w:rsid w:val="00382DC0"/>
    <w:rsid w:val="00382EAA"/>
    <w:rsid w:val="00383052"/>
    <w:rsid w:val="003831BE"/>
    <w:rsid w:val="0038365F"/>
    <w:rsid w:val="00383A53"/>
    <w:rsid w:val="00383AAD"/>
    <w:rsid w:val="00383BA4"/>
    <w:rsid w:val="003840F5"/>
    <w:rsid w:val="003851CD"/>
    <w:rsid w:val="0038529A"/>
    <w:rsid w:val="00385430"/>
    <w:rsid w:val="0038581A"/>
    <w:rsid w:val="00385A8A"/>
    <w:rsid w:val="00385FC1"/>
    <w:rsid w:val="0038662E"/>
    <w:rsid w:val="00386C8D"/>
    <w:rsid w:val="00386FDA"/>
    <w:rsid w:val="00387AB9"/>
    <w:rsid w:val="00390022"/>
    <w:rsid w:val="003903BA"/>
    <w:rsid w:val="0039066C"/>
    <w:rsid w:val="00390C07"/>
    <w:rsid w:val="00390D5C"/>
    <w:rsid w:val="00391544"/>
    <w:rsid w:val="00391CAE"/>
    <w:rsid w:val="00391EAA"/>
    <w:rsid w:val="00392162"/>
    <w:rsid w:val="003924F6"/>
    <w:rsid w:val="003925AB"/>
    <w:rsid w:val="003925BB"/>
    <w:rsid w:val="00392DC9"/>
    <w:rsid w:val="003932F2"/>
    <w:rsid w:val="0039366E"/>
    <w:rsid w:val="00393CC5"/>
    <w:rsid w:val="00393DDA"/>
    <w:rsid w:val="00394933"/>
    <w:rsid w:val="00394D38"/>
    <w:rsid w:val="00394FB5"/>
    <w:rsid w:val="003950C2"/>
    <w:rsid w:val="003951E0"/>
    <w:rsid w:val="003953E5"/>
    <w:rsid w:val="003956FA"/>
    <w:rsid w:val="003956FD"/>
    <w:rsid w:val="00396485"/>
    <w:rsid w:val="00396627"/>
    <w:rsid w:val="0039680B"/>
    <w:rsid w:val="00396E96"/>
    <w:rsid w:val="0039710F"/>
    <w:rsid w:val="00397765"/>
    <w:rsid w:val="00397C75"/>
    <w:rsid w:val="003A01FB"/>
    <w:rsid w:val="003A0527"/>
    <w:rsid w:val="003A053A"/>
    <w:rsid w:val="003A0976"/>
    <w:rsid w:val="003A09CA"/>
    <w:rsid w:val="003A0A9C"/>
    <w:rsid w:val="003A10A0"/>
    <w:rsid w:val="003A1655"/>
    <w:rsid w:val="003A1A8F"/>
    <w:rsid w:val="003A20EB"/>
    <w:rsid w:val="003A31AF"/>
    <w:rsid w:val="003A3C4B"/>
    <w:rsid w:val="003A4054"/>
    <w:rsid w:val="003A4147"/>
    <w:rsid w:val="003A422C"/>
    <w:rsid w:val="003A46D4"/>
    <w:rsid w:val="003A5605"/>
    <w:rsid w:val="003A57F8"/>
    <w:rsid w:val="003A595B"/>
    <w:rsid w:val="003A5F36"/>
    <w:rsid w:val="003A72B6"/>
    <w:rsid w:val="003A759F"/>
    <w:rsid w:val="003A7768"/>
    <w:rsid w:val="003A781C"/>
    <w:rsid w:val="003A7894"/>
    <w:rsid w:val="003A79BC"/>
    <w:rsid w:val="003A7C85"/>
    <w:rsid w:val="003B02F4"/>
    <w:rsid w:val="003B0720"/>
    <w:rsid w:val="003B0D7B"/>
    <w:rsid w:val="003B2683"/>
    <w:rsid w:val="003B2B04"/>
    <w:rsid w:val="003B2E50"/>
    <w:rsid w:val="003B34C5"/>
    <w:rsid w:val="003B3A4D"/>
    <w:rsid w:val="003B427D"/>
    <w:rsid w:val="003B4713"/>
    <w:rsid w:val="003B5511"/>
    <w:rsid w:val="003B5514"/>
    <w:rsid w:val="003B55B6"/>
    <w:rsid w:val="003B55F8"/>
    <w:rsid w:val="003B56A5"/>
    <w:rsid w:val="003B648B"/>
    <w:rsid w:val="003B677B"/>
    <w:rsid w:val="003B6AB5"/>
    <w:rsid w:val="003B6CFD"/>
    <w:rsid w:val="003B70DF"/>
    <w:rsid w:val="003B7711"/>
    <w:rsid w:val="003B79A5"/>
    <w:rsid w:val="003B7B72"/>
    <w:rsid w:val="003C041C"/>
    <w:rsid w:val="003C0BC5"/>
    <w:rsid w:val="003C0F64"/>
    <w:rsid w:val="003C10A3"/>
    <w:rsid w:val="003C15A7"/>
    <w:rsid w:val="003C16BB"/>
    <w:rsid w:val="003C187A"/>
    <w:rsid w:val="003C1FAF"/>
    <w:rsid w:val="003C2123"/>
    <w:rsid w:val="003C257F"/>
    <w:rsid w:val="003C3125"/>
    <w:rsid w:val="003C31C1"/>
    <w:rsid w:val="003C3924"/>
    <w:rsid w:val="003C39B8"/>
    <w:rsid w:val="003C3A0E"/>
    <w:rsid w:val="003C3EF5"/>
    <w:rsid w:val="003C41B4"/>
    <w:rsid w:val="003C42BD"/>
    <w:rsid w:val="003C45D9"/>
    <w:rsid w:val="003C4875"/>
    <w:rsid w:val="003C4ABB"/>
    <w:rsid w:val="003C50EF"/>
    <w:rsid w:val="003C51B2"/>
    <w:rsid w:val="003C5519"/>
    <w:rsid w:val="003C5D05"/>
    <w:rsid w:val="003C6E2D"/>
    <w:rsid w:val="003C71DD"/>
    <w:rsid w:val="003C779A"/>
    <w:rsid w:val="003D00F1"/>
    <w:rsid w:val="003D04B4"/>
    <w:rsid w:val="003D0DDE"/>
    <w:rsid w:val="003D1377"/>
    <w:rsid w:val="003D145C"/>
    <w:rsid w:val="003D14F5"/>
    <w:rsid w:val="003D1EF8"/>
    <w:rsid w:val="003D205F"/>
    <w:rsid w:val="003D231D"/>
    <w:rsid w:val="003D26CD"/>
    <w:rsid w:val="003D3191"/>
    <w:rsid w:val="003D33CF"/>
    <w:rsid w:val="003D3732"/>
    <w:rsid w:val="003D3AAE"/>
    <w:rsid w:val="003D3C9E"/>
    <w:rsid w:val="003D3D0C"/>
    <w:rsid w:val="003D3FD6"/>
    <w:rsid w:val="003D43BD"/>
    <w:rsid w:val="003D4425"/>
    <w:rsid w:val="003D4484"/>
    <w:rsid w:val="003D4B3F"/>
    <w:rsid w:val="003D549D"/>
    <w:rsid w:val="003D65B3"/>
    <w:rsid w:val="003D6BCD"/>
    <w:rsid w:val="003D6DC9"/>
    <w:rsid w:val="003D7003"/>
    <w:rsid w:val="003D7061"/>
    <w:rsid w:val="003D72DC"/>
    <w:rsid w:val="003D7758"/>
    <w:rsid w:val="003E0195"/>
    <w:rsid w:val="003E0A9B"/>
    <w:rsid w:val="003E0AC9"/>
    <w:rsid w:val="003E10D5"/>
    <w:rsid w:val="003E117D"/>
    <w:rsid w:val="003E1487"/>
    <w:rsid w:val="003E1CB4"/>
    <w:rsid w:val="003E2031"/>
    <w:rsid w:val="003E20D6"/>
    <w:rsid w:val="003E2533"/>
    <w:rsid w:val="003E2D2D"/>
    <w:rsid w:val="003E3053"/>
    <w:rsid w:val="003E32FE"/>
    <w:rsid w:val="003E3BF7"/>
    <w:rsid w:val="003E3CA6"/>
    <w:rsid w:val="003E3EA5"/>
    <w:rsid w:val="003E45D3"/>
    <w:rsid w:val="003E489B"/>
    <w:rsid w:val="003E5C11"/>
    <w:rsid w:val="003E600F"/>
    <w:rsid w:val="003E632D"/>
    <w:rsid w:val="003E6413"/>
    <w:rsid w:val="003E65E8"/>
    <w:rsid w:val="003E6675"/>
    <w:rsid w:val="003E676B"/>
    <w:rsid w:val="003E69F0"/>
    <w:rsid w:val="003E6E0C"/>
    <w:rsid w:val="003E6FC7"/>
    <w:rsid w:val="003E73F2"/>
    <w:rsid w:val="003E7821"/>
    <w:rsid w:val="003E7EFE"/>
    <w:rsid w:val="003F008F"/>
    <w:rsid w:val="003F0437"/>
    <w:rsid w:val="003F074A"/>
    <w:rsid w:val="003F0A18"/>
    <w:rsid w:val="003F0A39"/>
    <w:rsid w:val="003F0BDA"/>
    <w:rsid w:val="003F0E46"/>
    <w:rsid w:val="003F0EDF"/>
    <w:rsid w:val="003F1157"/>
    <w:rsid w:val="003F1A58"/>
    <w:rsid w:val="003F1C42"/>
    <w:rsid w:val="003F23C9"/>
    <w:rsid w:val="003F2747"/>
    <w:rsid w:val="003F27C4"/>
    <w:rsid w:val="003F29B9"/>
    <w:rsid w:val="003F2BA4"/>
    <w:rsid w:val="003F2CA3"/>
    <w:rsid w:val="003F2DB9"/>
    <w:rsid w:val="003F32F1"/>
    <w:rsid w:val="003F3417"/>
    <w:rsid w:val="003F34E6"/>
    <w:rsid w:val="003F3500"/>
    <w:rsid w:val="003F3DFB"/>
    <w:rsid w:val="003F415E"/>
    <w:rsid w:val="003F46FD"/>
    <w:rsid w:val="003F4CCE"/>
    <w:rsid w:val="003F4E0E"/>
    <w:rsid w:val="003F5383"/>
    <w:rsid w:val="003F6177"/>
    <w:rsid w:val="003F63B2"/>
    <w:rsid w:val="003F6473"/>
    <w:rsid w:val="003F666A"/>
    <w:rsid w:val="003F670C"/>
    <w:rsid w:val="003F6934"/>
    <w:rsid w:val="003F7701"/>
    <w:rsid w:val="003F77E9"/>
    <w:rsid w:val="003F7A45"/>
    <w:rsid w:val="003F7C4B"/>
    <w:rsid w:val="003F7E3E"/>
    <w:rsid w:val="0040032A"/>
    <w:rsid w:val="00400977"/>
    <w:rsid w:val="004009DD"/>
    <w:rsid w:val="00400B72"/>
    <w:rsid w:val="00400E17"/>
    <w:rsid w:val="00401596"/>
    <w:rsid w:val="004018E5"/>
    <w:rsid w:val="00401924"/>
    <w:rsid w:val="00401AE5"/>
    <w:rsid w:val="0040241F"/>
    <w:rsid w:val="00402B99"/>
    <w:rsid w:val="0040358D"/>
    <w:rsid w:val="004039F0"/>
    <w:rsid w:val="00403A4B"/>
    <w:rsid w:val="00403AEE"/>
    <w:rsid w:val="00403B0E"/>
    <w:rsid w:val="00404352"/>
    <w:rsid w:val="00404496"/>
    <w:rsid w:val="004046CE"/>
    <w:rsid w:val="0040491D"/>
    <w:rsid w:val="00404DB8"/>
    <w:rsid w:val="0040554B"/>
    <w:rsid w:val="00405795"/>
    <w:rsid w:val="00405836"/>
    <w:rsid w:val="00405B8E"/>
    <w:rsid w:val="00406829"/>
    <w:rsid w:val="00406AFF"/>
    <w:rsid w:val="00406E40"/>
    <w:rsid w:val="00407627"/>
    <w:rsid w:val="00407783"/>
    <w:rsid w:val="0040791D"/>
    <w:rsid w:val="00407BC5"/>
    <w:rsid w:val="00410075"/>
    <w:rsid w:val="00410302"/>
    <w:rsid w:val="004107F1"/>
    <w:rsid w:val="00410DD7"/>
    <w:rsid w:val="00411858"/>
    <w:rsid w:val="0041194E"/>
    <w:rsid w:val="00411A13"/>
    <w:rsid w:val="00411DEC"/>
    <w:rsid w:val="00411E17"/>
    <w:rsid w:val="00412028"/>
    <w:rsid w:val="00412175"/>
    <w:rsid w:val="004128B7"/>
    <w:rsid w:val="004129AE"/>
    <w:rsid w:val="00412B74"/>
    <w:rsid w:val="004130D9"/>
    <w:rsid w:val="0041318E"/>
    <w:rsid w:val="00413A4D"/>
    <w:rsid w:val="00414126"/>
    <w:rsid w:val="004149A2"/>
    <w:rsid w:val="0041504C"/>
    <w:rsid w:val="00415B6B"/>
    <w:rsid w:val="00415E69"/>
    <w:rsid w:val="0041662B"/>
    <w:rsid w:val="00416641"/>
    <w:rsid w:val="00416C42"/>
    <w:rsid w:val="00416CBA"/>
    <w:rsid w:val="00416D3A"/>
    <w:rsid w:val="004173DF"/>
    <w:rsid w:val="004176EF"/>
    <w:rsid w:val="004179DC"/>
    <w:rsid w:val="00417D10"/>
    <w:rsid w:val="00417DBF"/>
    <w:rsid w:val="00420402"/>
    <w:rsid w:val="004206CB"/>
    <w:rsid w:val="00420B04"/>
    <w:rsid w:val="00420BCD"/>
    <w:rsid w:val="0042133D"/>
    <w:rsid w:val="00421529"/>
    <w:rsid w:val="004216C5"/>
    <w:rsid w:val="004218AF"/>
    <w:rsid w:val="00421D36"/>
    <w:rsid w:val="00422094"/>
    <w:rsid w:val="00422214"/>
    <w:rsid w:val="00422B79"/>
    <w:rsid w:val="00422BEB"/>
    <w:rsid w:val="0042375E"/>
    <w:rsid w:val="004239FC"/>
    <w:rsid w:val="00423B37"/>
    <w:rsid w:val="00423ED7"/>
    <w:rsid w:val="004242D1"/>
    <w:rsid w:val="00424533"/>
    <w:rsid w:val="00424B5B"/>
    <w:rsid w:val="00424C51"/>
    <w:rsid w:val="00424DA3"/>
    <w:rsid w:val="00425039"/>
    <w:rsid w:val="004254D2"/>
    <w:rsid w:val="00425593"/>
    <w:rsid w:val="00425926"/>
    <w:rsid w:val="0042615A"/>
    <w:rsid w:val="00426761"/>
    <w:rsid w:val="0042680E"/>
    <w:rsid w:val="00427299"/>
    <w:rsid w:val="00427729"/>
    <w:rsid w:val="00427DE1"/>
    <w:rsid w:val="00427F08"/>
    <w:rsid w:val="00427F9F"/>
    <w:rsid w:val="004301E6"/>
    <w:rsid w:val="00430588"/>
    <w:rsid w:val="00430BB8"/>
    <w:rsid w:val="004311C9"/>
    <w:rsid w:val="0043209B"/>
    <w:rsid w:val="00432115"/>
    <w:rsid w:val="0043214F"/>
    <w:rsid w:val="0043328E"/>
    <w:rsid w:val="00433456"/>
    <w:rsid w:val="00433483"/>
    <w:rsid w:val="0043371D"/>
    <w:rsid w:val="004340D2"/>
    <w:rsid w:val="00434239"/>
    <w:rsid w:val="004348CB"/>
    <w:rsid w:val="00434A4F"/>
    <w:rsid w:val="00434BE7"/>
    <w:rsid w:val="0043570A"/>
    <w:rsid w:val="00436614"/>
    <w:rsid w:val="00436B24"/>
    <w:rsid w:val="00436D70"/>
    <w:rsid w:val="00436FF1"/>
    <w:rsid w:val="004377C6"/>
    <w:rsid w:val="00437BEF"/>
    <w:rsid w:val="0044028F"/>
    <w:rsid w:val="004405D7"/>
    <w:rsid w:val="00440786"/>
    <w:rsid w:val="0044085A"/>
    <w:rsid w:val="00440AD4"/>
    <w:rsid w:val="00440CC8"/>
    <w:rsid w:val="00441706"/>
    <w:rsid w:val="00441760"/>
    <w:rsid w:val="00441B5D"/>
    <w:rsid w:val="00441D17"/>
    <w:rsid w:val="00441E07"/>
    <w:rsid w:val="00441FA0"/>
    <w:rsid w:val="004426A8"/>
    <w:rsid w:val="004426CF"/>
    <w:rsid w:val="0044286D"/>
    <w:rsid w:val="00442D46"/>
    <w:rsid w:val="0044339D"/>
    <w:rsid w:val="004434BE"/>
    <w:rsid w:val="004436EE"/>
    <w:rsid w:val="004440C8"/>
    <w:rsid w:val="004443F1"/>
    <w:rsid w:val="004445F1"/>
    <w:rsid w:val="0044477D"/>
    <w:rsid w:val="00445926"/>
    <w:rsid w:val="004459A0"/>
    <w:rsid w:val="00445AF8"/>
    <w:rsid w:val="00446E28"/>
    <w:rsid w:val="0044733A"/>
    <w:rsid w:val="00447987"/>
    <w:rsid w:val="00447AED"/>
    <w:rsid w:val="004516B1"/>
    <w:rsid w:val="004516D7"/>
    <w:rsid w:val="00451A2E"/>
    <w:rsid w:val="00451DE8"/>
    <w:rsid w:val="00451E0A"/>
    <w:rsid w:val="004526BB"/>
    <w:rsid w:val="00452969"/>
    <w:rsid w:val="00452BD4"/>
    <w:rsid w:val="00453259"/>
    <w:rsid w:val="00453461"/>
    <w:rsid w:val="0045367D"/>
    <w:rsid w:val="004539E2"/>
    <w:rsid w:val="00453C92"/>
    <w:rsid w:val="00454E88"/>
    <w:rsid w:val="00455080"/>
    <w:rsid w:val="004552E0"/>
    <w:rsid w:val="0045555C"/>
    <w:rsid w:val="0045562B"/>
    <w:rsid w:val="00455816"/>
    <w:rsid w:val="00455863"/>
    <w:rsid w:val="00455B1A"/>
    <w:rsid w:val="00455F51"/>
    <w:rsid w:val="00456CD8"/>
    <w:rsid w:val="00456EEE"/>
    <w:rsid w:val="0045706C"/>
    <w:rsid w:val="00457E66"/>
    <w:rsid w:val="00460157"/>
    <w:rsid w:val="00460231"/>
    <w:rsid w:val="00460354"/>
    <w:rsid w:val="0046074E"/>
    <w:rsid w:val="004608CB"/>
    <w:rsid w:val="00460A98"/>
    <w:rsid w:val="00460B88"/>
    <w:rsid w:val="00460E19"/>
    <w:rsid w:val="00461DFF"/>
    <w:rsid w:val="004620D8"/>
    <w:rsid w:val="00462209"/>
    <w:rsid w:val="004623FE"/>
    <w:rsid w:val="0046298C"/>
    <w:rsid w:val="004629F9"/>
    <w:rsid w:val="004634F9"/>
    <w:rsid w:val="00463640"/>
    <w:rsid w:val="0046386D"/>
    <w:rsid w:val="004638F5"/>
    <w:rsid w:val="00463B60"/>
    <w:rsid w:val="00463C88"/>
    <w:rsid w:val="00464029"/>
    <w:rsid w:val="00464145"/>
    <w:rsid w:val="00464726"/>
    <w:rsid w:val="00465167"/>
    <w:rsid w:val="00465789"/>
    <w:rsid w:val="00465D60"/>
    <w:rsid w:val="00465DF7"/>
    <w:rsid w:val="0046602A"/>
    <w:rsid w:val="004661A8"/>
    <w:rsid w:val="00466479"/>
    <w:rsid w:val="004665A0"/>
    <w:rsid w:val="0046672C"/>
    <w:rsid w:val="00466975"/>
    <w:rsid w:val="00466B03"/>
    <w:rsid w:val="00466FB9"/>
    <w:rsid w:val="00466FD8"/>
    <w:rsid w:val="004673ED"/>
    <w:rsid w:val="00467508"/>
    <w:rsid w:val="00467D62"/>
    <w:rsid w:val="00467F12"/>
    <w:rsid w:val="00470319"/>
    <w:rsid w:val="004709A6"/>
    <w:rsid w:val="00470ECA"/>
    <w:rsid w:val="00471362"/>
    <w:rsid w:val="0047188F"/>
    <w:rsid w:val="0047198B"/>
    <w:rsid w:val="00471A16"/>
    <w:rsid w:val="0047246B"/>
    <w:rsid w:val="00472E25"/>
    <w:rsid w:val="0047371E"/>
    <w:rsid w:val="00473B08"/>
    <w:rsid w:val="00473C6E"/>
    <w:rsid w:val="00474AEA"/>
    <w:rsid w:val="00474B53"/>
    <w:rsid w:val="00474E3D"/>
    <w:rsid w:val="00475304"/>
    <w:rsid w:val="00475877"/>
    <w:rsid w:val="004758AB"/>
    <w:rsid w:val="00475994"/>
    <w:rsid w:val="004759B4"/>
    <w:rsid w:val="0047623C"/>
    <w:rsid w:val="00476500"/>
    <w:rsid w:val="00476E39"/>
    <w:rsid w:val="00477242"/>
    <w:rsid w:val="004774AB"/>
    <w:rsid w:val="004778F4"/>
    <w:rsid w:val="00477AA4"/>
    <w:rsid w:val="00477BEB"/>
    <w:rsid w:val="004808C2"/>
    <w:rsid w:val="00480C35"/>
    <w:rsid w:val="00481355"/>
    <w:rsid w:val="004815AB"/>
    <w:rsid w:val="00481B77"/>
    <w:rsid w:val="00482218"/>
    <w:rsid w:val="00482490"/>
    <w:rsid w:val="004826DF"/>
    <w:rsid w:val="00482FEA"/>
    <w:rsid w:val="004832EF"/>
    <w:rsid w:val="0048346E"/>
    <w:rsid w:val="00483C4C"/>
    <w:rsid w:val="00483ED5"/>
    <w:rsid w:val="00484FB5"/>
    <w:rsid w:val="0048532A"/>
    <w:rsid w:val="0048555D"/>
    <w:rsid w:val="00485CCA"/>
    <w:rsid w:val="00486723"/>
    <w:rsid w:val="00486BD4"/>
    <w:rsid w:val="00486CAB"/>
    <w:rsid w:val="0048717C"/>
    <w:rsid w:val="004875A6"/>
    <w:rsid w:val="004877EC"/>
    <w:rsid w:val="00487B6B"/>
    <w:rsid w:val="00487F3E"/>
    <w:rsid w:val="00490271"/>
    <w:rsid w:val="004909C1"/>
    <w:rsid w:val="00490E75"/>
    <w:rsid w:val="00491607"/>
    <w:rsid w:val="0049162C"/>
    <w:rsid w:val="00491AF8"/>
    <w:rsid w:val="004922D3"/>
    <w:rsid w:val="0049235F"/>
    <w:rsid w:val="004925FA"/>
    <w:rsid w:val="0049295E"/>
    <w:rsid w:val="00492A6A"/>
    <w:rsid w:val="00492ACA"/>
    <w:rsid w:val="00492EDF"/>
    <w:rsid w:val="00492F26"/>
    <w:rsid w:val="00492F5D"/>
    <w:rsid w:val="00492FCD"/>
    <w:rsid w:val="0049380F"/>
    <w:rsid w:val="0049384E"/>
    <w:rsid w:val="004941AE"/>
    <w:rsid w:val="004948B0"/>
    <w:rsid w:val="004951F1"/>
    <w:rsid w:val="004952FD"/>
    <w:rsid w:val="00495B3F"/>
    <w:rsid w:val="00495DF8"/>
    <w:rsid w:val="00496B83"/>
    <w:rsid w:val="00497391"/>
    <w:rsid w:val="0049755D"/>
    <w:rsid w:val="0049759C"/>
    <w:rsid w:val="004976AA"/>
    <w:rsid w:val="004A046E"/>
    <w:rsid w:val="004A1187"/>
    <w:rsid w:val="004A1591"/>
    <w:rsid w:val="004A1C0E"/>
    <w:rsid w:val="004A1E3F"/>
    <w:rsid w:val="004A2102"/>
    <w:rsid w:val="004A229F"/>
    <w:rsid w:val="004A22F4"/>
    <w:rsid w:val="004A237B"/>
    <w:rsid w:val="004A2F7A"/>
    <w:rsid w:val="004A36A0"/>
    <w:rsid w:val="004A3D4B"/>
    <w:rsid w:val="004A4492"/>
    <w:rsid w:val="004A4524"/>
    <w:rsid w:val="004A4992"/>
    <w:rsid w:val="004A499D"/>
    <w:rsid w:val="004A4BB7"/>
    <w:rsid w:val="004A514A"/>
    <w:rsid w:val="004A5AFD"/>
    <w:rsid w:val="004A5D46"/>
    <w:rsid w:val="004A5DF4"/>
    <w:rsid w:val="004A600D"/>
    <w:rsid w:val="004A6111"/>
    <w:rsid w:val="004A62BD"/>
    <w:rsid w:val="004A79D5"/>
    <w:rsid w:val="004B005D"/>
    <w:rsid w:val="004B027F"/>
    <w:rsid w:val="004B04C6"/>
    <w:rsid w:val="004B09FC"/>
    <w:rsid w:val="004B0DD6"/>
    <w:rsid w:val="004B1897"/>
    <w:rsid w:val="004B1A4E"/>
    <w:rsid w:val="004B1CE0"/>
    <w:rsid w:val="004B22DD"/>
    <w:rsid w:val="004B260C"/>
    <w:rsid w:val="004B2672"/>
    <w:rsid w:val="004B2888"/>
    <w:rsid w:val="004B2CB2"/>
    <w:rsid w:val="004B2CE0"/>
    <w:rsid w:val="004B2DA8"/>
    <w:rsid w:val="004B2DC1"/>
    <w:rsid w:val="004B2F6E"/>
    <w:rsid w:val="004B315D"/>
    <w:rsid w:val="004B3527"/>
    <w:rsid w:val="004B3672"/>
    <w:rsid w:val="004B37C8"/>
    <w:rsid w:val="004B3CDE"/>
    <w:rsid w:val="004B3E69"/>
    <w:rsid w:val="004B3FD2"/>
    <w:rsid w:val="004B44DA"/>
    <w:rsid w:val="004B47FB"/>
    <w:rsid w:val="004B48E2"/>
    <w:rsid w:val="004B4C1C"/>
    <w:rsid w:val="004B5695"/>
    <w:rsid w:val="004B62B7"/>
    <w:rsid w:val="004B65AF"/>
    <w:rsid w:val="004B68C6"/>
    <w:rsid w:val="004B6A65"/>
    <w:rsid w:val="004B6BB8"/>
    <w:rsid w:val="004B780A"/>
    <w:rsid w:val="004B792C"/>
    <w:rsid w:val="004C02F0"/>
    <w:rsid w:val="004C0F03"/>
    <w:rsid w:val="004C111E"/>
    <w:rsid w:val="004C119B"/>
    <w:rsid w:val="004C14DC"/>
    <w:rsid w:val="004C1A16"/>
    <w:rsid w:val="004C208C"/>
    <w:rsid w:val="004C2468"/>
    <w:rsid w:val="004C4825"/>
    <w:rsid w:val="004C4D1B"/>
    <w:rsid w:val="004C54C4"/>
    <w:rsid w:val="004C54F9"/>
    <w:rsid w:val="004C55FF"/>
    <w:rsid w:val="004C5901"/>
    <w:rsid w:val="004C6A14"/>
    <w:rsid w:val="004C6D81"/>
    <w:rsid w:val="004C6FF7"/>
    <w:rsid w:val="004C72D3"/>
    <w:rsid w:val="004C74DF"/>
    <w:rsid w:val="004C7559"/>
    <w:rsid w:val="004C7EE5"/>
    <w:rsid w:val="004D004D"/>
    <w:rsid w:val="004D0199"/>
    <w:rsid w:val="004D105B"/>
    <w:rsid w:val="004D1073"/>
    <w:rsid w:val="004D11B4"/>
    <w:rsid w:val="004D1649"/>
    <w:rsid w:val="004D1789"/>
    <w:rsid w:val="004D1A1C"/>
    <w:rsid w:val="004D1F32"/>
    <w:rsid w:val="004D2779"/>
    <w:rsid w:val="004D2CB9"/>
    <w:rsid w:val="004D2CC5"/>
    <w:rsid w:val="004D31F9"/>
    <w:rsid w:val="004D33BB"/>
    <w:rsid w:val="004D37FA"/>
    <w:rsid w:val="004D3814"/>
    <w:rsid w:val="004D38F7"/>
    <w:rsid w:val="004D3B28"/>
    <w:rsid w:val="004D3BAD"/>
    <w:rsid w:val="004D3D2F"/>
    <w:rsid w:val="004D406B"/>
    <w:rsid w:val="004D43BD"/>
    <w:rsid w:val="004D4B76"/>
    <w:rsid w:val="004D4C41"/>
    <w:rsid w:val="004D5DB8"/>
    <w:rsid w:val="004D5F5C"/>
    <w:rsid w:val="004D6117"/>
    <w:rsid w:val="004D6540"/>
    <w:rsid w:val="004D6567"/>
    <w:rsid w:val="004D703B"/>
    <w:rsid w:val="004D71CE"/>
    <w:rsid w:val="004D75A0"/>
    <w:rsid w:val="004D760B"/>
    <w:rsid w:val="004E00FC"/>
    <w:rsid w:val="004E06FA"/>
    <w:rsid w:val="004E0EB5"/>
    <w:rsid w:val="004E2601"/>
    <w:rsid w:val="004E2877"/>
    <w:rsid w:val="004E294A"/>
    <w:rsid w:val="004E30C5"/>
    <w:rsid w:val="004E3771"/>
    <w:rsid w:val="004E3DBA"/>
    <w:rsid w:val="004E3DC6"/>
    <w:rsid w:val="004E46DF"/>
    <w:rsid w:val="004E499E"/>
    <w:rsid w:val="004E527A"/>
    <w:rsid w:val="004E541C"/>
    <w:rsid w:val="004E609A"/>
    <w:rsid w:val="004E61AA"/>
    <w:rsid w:val="004E68D5"/>
    <w:rsid w:val="004E6DA7"/>
    <w:rsid w:val="004E793E"/>
    <w:rsid w:val="004E7CB7"/>
    <w:rsid w:val="004E7D02"/>
    <w:rsid w:val="004E7D4C"/>
    <w:rsid w:val="004E7E7E"/>
    <w:rsid w:val="004F0022"/>
    <w:rsid w:val="004F0023"/>
    <w:rsid w:val="004F0073"/>
    <w:rsid w:val="004F0484"/>
    <w:rsid w:val="004F04CB"/>
    <w:rsid w:val="004F0BCC"/>
    <w:rsid w:val="004F0C9A"/>
    <w:rsid w:val="004F1131"/>
    <w:rsid w:val="004F12BB"/>
    <w:rsid w:val="004F242C"/>
    <w:rsid w:val="004F25C3"/>
    <w:rsid w:val="004F27F5"/>
    <w:rsid w:val="004F289B"/>
    <w:rsid w:val="004F2E79"/>
    <w:rsid w:val="004F3E5C"/>
    <w:rsid w:val="004F419F"/>
    <w:rsid w:val="004F4585"/>
    <w:rsid w:val="004F4C7D"/>
    <w:rsid w:val="004F519F"/>
    <w:rsid w:val="004F521A"/>
    <w:rsid w:val="004F5369"/>
    <w:rsid w:val="004F62A3"/>
    <w:rsid w:val="004F6425"/>
    <w:rsid w:val="004F66D9"/>
    <w:rsid w:val="004F683C"/>
    <w:rsid w:val="004F6C64"/>
    <w:rsid w:val="004F7009"/>
    <w:rsid w:val="004F73ED"/>
    <w:rsid w:val="004F743B"/>
    <w:rsid w:val="004F7AE7"/>
    <w:rsid w:val="004F7AF3"/>
    <w:rsid w:val="0050026A"/>
    <w:rsid w:val="005006F8"/>
    <w:rsid w:val="0050081C"/>
    <w:rsid w:val="00500BC9"/>
    <w:rsid w:val="00501185"/>
    <w:rsid w:val="00501691"/>
    <w:rsid w:val="0050187B"/>
    <w:rsid w:val="0050195A"/>
    <w:rsid w:val="00501E70"/>
    <w:rsid w:val="00501ED1"/>
    <w:rsid w:val="0050223F"/>
    <w:rsid w:val="00502906"/>
    <w:rsid w:val="00502F5F"/>
    <w:rsid w:val="00503003"/>
    <w:rsid w:val="00503213"/>
    <w:rsid w:val="00503661"/>
    <w:rsid w:val="00503B14"/>
    <w:rsid w:val="005048FB"/>
    <w:rsid w:val="00504FD3"/>
    <w:rsid w:val="0050517D"/>
    <w:rsid w:val="005051EF"/>
    <w:rsid w:val="00505A5F"/>
    <w:rsid w:val="0050628B"/>
    <w:rsid w:val="005065CC"/>
    <w:rsid w:val="00507139"/>
    <w:rsid w:val="005073E0"/>
    <w:rsid w:val="00507623"/>
    <w:rsid w:val="00507AF8"/>
    <w:rsid w:val="00510B62"/>
    <w:rsid w:val="005120A6"/>
    <w:rsid w:val="0051256C"/>
    <w:rsid w:val="00512C09"/>
    <w:rsid w:val="00512D61"/>
    <w:rsid w:val="00513CA6"/>
    <w:rsid w:val="00514178"/>
    <w:rsid w:val="005147E7"/>
    <w:rsid w:val="00514C40"/>
    <w:rsid w:val="0051509D"/>
    <w:rsid w:val="005157FB"/>
    <w:rsid w:val="0051584E"/>
    <w:rsid w:val="0051598D"/>
    <w:rsid w:val="00515E43"/>
    <w:rsid w:val="005160AC"/>
    <w:rsid w:val="0051664C"/>
    <w:rsid w:val="0051678F"/>
    <w:rsid w:val="00517707"/>
    <w:rsid w:val="00517E82"/>
    <w:rsid w:val="0052043A"/>
    <w:rsid w:val="00520B14"/>
    <w:rsid w:val="00520FB9"/>
    <w:rsid w:val="00521347"/>
    <w:rsid w:val="00521757"/>
    <w:rsid w:val="00521E09"/>
    <w:rsid w:val="0052246F"/>
    <w:rsid w:val="005231BE"/>
    <w:rsid w:val="00523D2A"/>
    <w:rsid w:val="005242D0"/>
    <w:rsid w:val="00524A59"/>
    <w:rsid w:val="005250BD"/>
    <w:rsid w:val="0052515B"/>
    <w:rsid w:val="005257BC"/>
    <w:rsid w:val="0052600D"/>
    <w:rsid w:val="005261BF"/>
    <w:rsid w:val="00526247"/>
    <w:rsid w:val="00526B8C"/>
    <w:rsid w:val="00526E2E"/>
    <w:rsid w:val="00527E73"/>
    <w:rsid w:val="00530048"/>
    <w:rsid w:val="00530115"/>
    <w:rsid w:val="005304EA"/>
    <w:rsid w:val="0053124D"/>
    <w:rsid w:val="00531318"/>
    <w:rsid w:val="00532636"/>
    <w:rsid w:val="0053294A"/>
    <w:rsid w:val="00532DE1"/>
    <w:rsid w:val="00532EF6"/>
    <w:rsid w:val="005347E4"/>
    <w:rsid w:val="00534C55"/>
    <w:rsid w:val="0053586C"/>
    <w:rsid w:val="00535D51"/>
    <w:rsid w:val="00536160"/>
    <w:rsid w:val="00536C02"/>
    <w:rsid w:val="005379D7"/>
    <w:rsid w:val="00537C76"/>
    <w:rsid w:val="00537E80"/>
    <w:rsid w:val="00540276"/>
    <w:rsid w:val="00540324"/>
    <w:rsid w:val="0054084A"/>
    <w:rsid w:val="005410F3"/>
    <w:rsid w:val="005419B2"/>
    <w:rsid w:val="00541B06"/>
    <w:rsid w:val="0054289C"/>
    <w:rsid w:val="00542EC8"/>
    <w:rsid w:val="005430AC"/>
    <w:rsid w:val="005433B5"/>
    <w:rsid w:val="00543449"/>
    <w:rsid w:val="005440D4"/>
    <w:rsid w:val="00544703"/>
    <w:rsid w:val="00544B45"/>
    <w:rsid w:val="0054551B"/>
    <w:rsid w:val="00545A54"/>
    <w:rsid w:val="005478E1"/>
    <w:rsid w:val="005504AB"/>
    <w:rsid w:val="005504AF"/>
    <w:rsid w:val="00550D72"/>
    <w:rsid w:val="00550DA9"/>
    <w:rsid w:val="00550E2F"/>
    <w:rsid w:val="00551255"/>
    <w:rsid w:val="00551BBF"/>
    <w:rsid w:val="00551C8D"/>
    <w:rsid w:val="00551CD8"/>
    <w:rsid w:val="00552049"/>
    <w:rsid w:val="00552264"/>
    <w:rsid w:val="00552272"/>
    <w:rsid w:val="00552285"/>
    <w:rsid w:val="00552471"/>
    <w:rsid w:val="005524E2"/>
    <w:rsid w:val="00552BD5"/>
    <w:rsid w:val="00552DC6"/>
    <w:rsid w:val="00552E57"/>
    <w:rsid w:val="005536D5"/>
    <w:rsid w:val="00553A96"/>
    <w:rsid w:val="00553F3D"/>
    <w:rsid w:val="00554142"/>
    <w:rsid w:val="00554446"/>
    <w:rsid w:val="005544E2"/>
    <w:rsid w:val="005548A4"/>
    <w:rsid w:val="00554DB9"/>
    <w:rsid w:val="00554E4F"/>
    <w:rsid w:val="00554E63"/>
    <w:rsid w:val="00554FE9"/>
    <w:rsid w:val="0055514C"/>
    <w:rsid w:val="00555178"/>
    <w:rsid w:val="0055524E"/>
    <w:rsid w:val="0055573E"/>
    <w:rsid w:val="00555A56"/>
    <w:rsid w:val="00555E2A"/>
    <w:rsid w:val="0055605A"/>
    <w:rsid w:val="00556C1E"/>
    <w:rsid w:val="00556EA7"/>
    <w:rsid w:val="005575AF"/>
    <w:rsid w:val="005578F2"/>
    <w:rsid w:val="00561093"/>
    <w:rsid w:val="005613B4"/>
    <w:rsid w:val="005613B5"/>
    <w:rsid w:val="005618FE"/>
    <w:rsid w:val="005627A2"/>
    <w:rsid w:val="0056352B"/>
    <w:rsid w:val="0056373F"/>
    <w:rsid w:val="00563843"/>
    <w:rsid w:val="00563874"/>
    <w:rsid w:val="005642A0"/>
    <w:rsid w:val="005642C0"/>
    <w:rsid w:val="005645C2"/>
    <w:rsid w:val="00564D6A"/>
    <w:rsid w:val="005650A1"/>
    <w:rsid w:val="005653EB"/>
    <w:rsid w:val="005654A3"/>
    <w:rsid w:val="0056598C"/>
    <w:rsid w:val="00565E2B"/>
    <w:rsid w:val="00566441"/>
    <w:rsid w:val="00566663"/>
    <w:rsid w:val="00566C7C"/>
    <w:rsid w:val="005670BA"/>
    <w:rsid w:val="0056734D"/>
    <w:rsid w:val="00567C7F"/>
    <w:rsid w:val="005701B9"/>
    <w:rsid w:val="00570B69"/>
    <w:rsid w:val="00570FD8"/>
    <w:rsid w:val="00571C3B"/>
    <w:rsid w:val="005724D4"/>
    <w:rsid w:val="00572728"/>
    <w:rsid w:val="00572DAC"/>
    <w:rsid w:val="00573099"/>
    <w:rsid w:val="005730B6"/>
    <w:rsid w:val="005732CD"/>
    <w:rsid w:val="00573974"/>
    <w:rsid w:val="00573A87"/>
    <w:rsid w:val="00573FBA"/>
    <w:rsid w:val="00574328"/>
    <w:rsid w:val="0057445F"/>
    <w:rsid w:val="005744D4"/>
    <w:rsid w:val="00575350"/>
    <w:rsid w:val="00575491"/>
    <w:rsid w:val="00575B01"/>
    <w:rsid w:val="00576DE6"/>
    <w:rsid w:val="0057748F"/>
    <w:rsid w:val="00577DC4"/>
    <w:rsid w:val="00580250"/>
    <w:rsid w:val="005806E9"/>
    <w:rsid w:val="00580A0D"/>
    <w:rsid w:val="00580D75"/>
    <w:rsid w:val="00580D85"/>
    <w:rsid w:val="00582188"/>
    <w:rsid w:val="00582236"/>
    <w:rsid w:val="005822C7"/>
    <w:rsid w:val="00582376"/>
    <w:rsid w:val="00582723"/>
    <w:rsid w:val="005827B7"/>
    <w:rsid w:val="005829A7"/>
    <w:rsid w:val="00583859"/>
    <w:rsid w:val="00583C2A"/>
    <w:rsid w:val="005847F1"/>
    <w:rsid w:val="00584982"/>
    <w:rsid w:val="00584B7C"/>
    <w:rsid w:val="00584C04"/>
    <w:rsid w:val="00584CF6"/>
    <w:rsid w:val="00585467"/>
    <w:rsid w:val="00585BB0"/>
    <w:rsid w:val="005860F3"/>
    <w:rsid w:val="00586CB4"/>
    <w:rsid w:val="00586D98"/>
    <w:rsid w:val="00587C76"/>
    <w:rsid w:val="00587F5E"/>
    <w:rsid w:val="0059023B"/>
    <w:rsid w:val="0059095F"/>
    <w:rsid w:val="005909E6"/>
    <w:rsid w:val="00590AF1"/>
    <w:rsid w:val="00590CBA"/>
    <w:rsid w:val="0059109E"/>
    <w:rsid w:val="00591277"/>
    <w:rsid w:val="005919FA"/>
    <w:rsid w:val="00591BB4"/>
    <w:rsid w:val="00591CB7"/>
    <w:rsid w:val="00591E3E"/>
    <w:rsid w:val="005924AA"/>
    <w:rsid w:val="00592C13"/>
    <w:rsid w:val="00592CA8"/>
    <w:rsid w:val="005931F9"/>
    <w:rsid w:val="005941DB"/>
    <w:rsid w:val="0059427A"/>
    <w:rsid w:val="00594737"/>
    <w:rsid w:val="00594828"/>
    <w:rsid w:val="00594B90"/>
    <w:rsid w:val="00594F38"/>
    <w:rsid w:val="005955F8"/>
    <w:rsid w:val="00595BDB"/>
    <w:rsid w:val="00595DDB"/>
    <w:rsid w:val="0059611D"/>
    <w:rsid w:val="0059617D"/>
    <w:rsid w:val="00596B79"/>
    <w:rsid w:val="00597205"/>
    <w:rsid w:val="0059736E"/>
    <w:rsid w:val="005979B5"/>
    <w:rsid w:val="00597C17"/>
    <w:rsid w:val="005A0F6C"/>
    <w:rsid w:val="005A14BC"/>
    <w:rsid w:val="005A1726"/>
    <w:rsid w:val="005A19CE"/>
    <w:rsid w:val="005A1C01"/>
    <w:rsid w:val="005A1C9D"/>
    <w:rsid w:val="005A1DC9"/>
    <w:rsid w:val="005A1F81"/>
    <w:rsid w:val="005A32E2"/>
    <w:rsid w:val="005A3444"/>
    <w:rsid w:val="005A3664"/>
    <w:rsid w:val="005A397D"/>
    <w:rsid w:val="005A44BA"/>
    <w:rsid w:val="005A5B41"/>
    <w:rsid w:val="005A5BCC"/>
    <w:rsid w:val="005A6031"/>
    <w:rsid w:val="005A63CA"/>
    <w:rsid w:val="005A63D2"/>
    <w:rsid w:val="005A645F"/>
    <w:rsid w:val="005A6DB5"/>
    <w:rsid w:val="005A7081"/>
    <w:rsid w:val="005A75A0"/>
    <w:rsid w:val="005A7C5E"/>
    <w:rsid w:val="005A7FF7"/>
    <w:rsid w:val="005B0F1F"/>
    <w:rsid w:val="005B1E00"/>
    <w:rsid w:val="005B2696"/>
    <w:rsid w:val="005B269C"/>
    <w:rsid w:val="005B276C"/>
    <w:rsid w:val="005B29B2"/>
    <w:rsid w:val="005B29EF"/>
    <w:rsid w:val="005B2CCD"/>
    <w:rsid w:val="005B2E1F"/>
    <w:rsid w:val="005B34D7"/>
    <w:rsid w:val="005B36BA"/>
    <w:rsid w:val="005B375F"/>
    <w:rsid w:val="005B3E70"/>
    <w:rsid w:val="005B3EC4"/>
    <w:rsid w:val="005B3F1B"/>
    <w:rsid w:val="005B3FDA"/>
    <w:rsid w:val="005B411E"/>
    <w:rsid w:val="005B4567"/>
    <w:rsid w:val="005B465B"/>
    <w:rsid w:val="005B49FF"/>
    <w:rsid w:val="005B50F3"/>
    <w:rsid w:val="005B5FB1"/>
    <w:rsid w:val="005B67B2"/>
    <w:rsid w:val="005B6E2F"/>
    <w:rsid w:val="005B7A8D"/>
    <w:rsid w:val="005C0BF2"/>
    <w:rsid w:val="005C0BFA"/>
    <w:rsid w:val="005C0E24"/>
    <w:rsid w:val="005C0EA2"/>
    <w:rsid w:val="005C15D3"/>
    <w:rsid w:val="005C1734"/>
    <w:rsid w:val="005C1994"/>
    <w:rsid w:val="005C1C24"/>
    <w:rsid w:val="005C222F"/>
    <w:rsid w:val="005C22AA"/>
    <w:rsid w:val="005C22EA"/>
    <w:rsid w:val="005C23D9"/>
    <w:rsid w:val="005C2A6A"/>
    <w:rsid w:val="005C3B77"/>
    <w:rsid w:val="005C4003"/>
    <w:rsid w:val="005C4250"/>
    <w:rsid w:val="005C47A8"/>
    <w:rsid w:val="005C4CA6"/>
    <w:rsid w:val="005C4F12"/>
    <w:rsid w:val="005C5BCD"/>
    <w:rsid w:val="005C6045"/>
    <w:rsid w:val="005C61F5"/>
    <w:rsid w:val="005C6A27"/>
    <w:rsid w:val="005C6AEF"/>
    <w:rsid w:val="005C75C8"/>
    <w:rsid w:val="005D012B"/>
    <w:rsid w:val="005D0412"/>
    <w:rsid w:val="005D086E"/>
    <w:rsid w:val="005D143F"/>
    <w:rsid w:val="005D14E7"/>
    <w:rsid w:val="005D189D"/>
    <w:rsid w:val="005D1F14"/>
    <w:rsid w:val="005D2033"/>
    <w:rsid w:val="005D220C"/>
    <w:rsid w:val="005D2A14"/>
    <w:rsid w:val="005D2A5B"/>
    <w:rsid w:val="005D358F"/>
    <w:rsid w:val="005D374F"/>
    <w:rsid w:val="005D4655"/>
    <w:rsid w:val="005D4C44"/>
    <w:rsid w:val="005D4D78"/>
    <w:rsid w:val="005D5022"/>
    <w:rsid w:val="005D5397"/>
    <w:rsid w:val="005D56A0"/>
    <w:rsid w:val="005D5895"/>
    <w:rsid w:val="005D5C0F"/>
    <w:rsid w:val="005D5DB6"/>
    <w:rsid w:val="005D5F9F"/>
    <w:rsid w:val="005D6210"/>
    <w:rsid w:val="005D66DA"/>
    <w:rsid w:val="005D6D50"/>
    <w:rsid w:val="005D6DD2"/>
    <w:rsid w:val="005D7136"/>
    <w:rsid w:val="005D795F"/>
    <w:rsid w:val="005D79D6"/>
    <w:rsid w:val="005D7CEB"/>
    <w:rsid w:val="005D7E20"/>
    <w:rsid w:val="005E01EC"/>
    <w:rsid w:val="005E0421"/>
    <w:rsid w:val="005E08F7"/>
    <w:rsid w:val="005E0F58"/>
    <w:rsid w:val="005E1EB7"/>
    <w:rsid w:val="005E2204"/>
    <w:rsid w:val="005E229D"/>
    <w:rsid w:val="005E2DAE"/>
    <w:rsid w:val="005E37AF"/>
    <w:rsid w:val="005E416A"/>
    <w:rsid w:val="005E4740"/>
    <w:rsid w:val="005E4F7D"/>
    <w:rsid w:val="005E4FD7"/>
    <w:rsid w:val="005E58E6"/>
    <w:rsid w:val="005E60EA"/>
    <w:rsid w:val="005E626B"/>
    <w:rsid w:val="005E694B"/>
    <w:rsid w:val="005E6A73"/>
    <w:rsid w:val="005E6C41"/>
    <w:rsid w:val="005E7190"/>
    <w:rsid w:val="005E73B2"/>
    <w:rsid w:val="005E7441"/>
    <w:rsid w:val="005E74FB"/>
    <w:rsid w:val="005E7589"/>
    <w:rsid w:val="005E759D"/>
    <w:rsid w:val="005F052E"/>
    <w:rsid w:val="005F0BF9"/>
    <w:rsid w:val="005F129E"/>
    <w:rsid w:val="005F18A0"/>
    <w:rsid w:val="005F199D"/>
    <w:rsid w:val="005F19D4"/>
    <w:rsid w:val="005F21DC"/>
    <w:rsid w:val="005F21EF"/>
    <w:rsid w:val="005F2795"/>
    <w:rsid w:val="005F294C"/>
    <w:rsid w:val="005F299F"/>
    <w:rsid w:val="005F2BD6"/>
    <w:rsid w:val="005F32CD"/>
    <w:rsid w:val="005F35DE"/>
    <w:rsid w:val="005F3779"/>
    <w:rsid w:val="005F3870"/>
    <w:rsid w:val="005F3B19"/>
    <w:rsid w:val="005F3EF8"/>
    <w:rsid w:val="005F3F41"/>
    <w:rsid w:val="005F433E"/>
    <w:rsid w:val="005F4794"/>
    <w:rsid w:val="005F5279"/>
    <w:rsid w:val="005F52D6"/>
    <w:rsid w:val="005F5744"/>
    <w:rsid w:val="005F57CC"/>
    <w:rsid w:val="005F5804"/>
    <w:rsid w:val="005F6311"/>
    <w:rsid w:val="005F674F"/>
    <w:rsid w:val="005F6AC0"/>
    <w:rsid w:val="005F6F31"/>
    <w:rsid w:val="005F7B4A"/>
    <w:rsid w:val="006004B3"/>
    <w:rsid w:val="00600EF4"/>
    <w:rsid w:val="00600FEB"/>
    <w:rsid w:val="00601CC6"/>
    <w:rsid w:val="00601F0F"/>
    <w:rsid w:val="00602106"/>
    <w:rsid w:val="006038AA"/>
    <w:rsid w:val="006038B9"/>
    <w:rsid w:val="00603D7F"/>
    <w:rsid w:val="0060442A"/>
    <w:rsid w:val="006047A4"/>
    <w:rsid w:val="00604E00"/>
    <w:rsid w:val="00604FFE"/>
    <w:rsid w:val="00605505"/>
    <w:rsid w:val="006055B6"/>
    <w:rsid w:val="00605872"/>
    <w:rsid w:val="00605B0D"/>
    <w:rsid w:val="00605ED9"/>
    <w:rsid w:val="00606302"/>
    <w:rsid w:val="0060648F"/>
    <w:rsid w:val="00606CB6"/>
    <w:rsid w:val="006072C6"/>
    <w:rsid w:val="0060765D"/>
    <w:rsid w:val="00610316"/>
    <w:rsid w:val="006103B6"/>
    <w:rsid w:val="00611337"/>
    <w:rsid w:val="006113B4"/>
    <w:rsid w:val="00611CB8"/>
    <w:rsid w:val="00612668"/>
    <w:rsid w:val="00612803"/>
    <w:rsid w:val="00612A12"/>
    <w:rsid w:val="00612CEB"/>
    <w:rsid w:val="0061332A"/>
    <w:rsid w:val="00613689"/>
    <w:rsid w:val="006137B1"/>
    <w:rsid w:val="0061466C"/>
    <w:rsid w:val="00614EC9"/>
    <w:rsid w:val="0061546A"/>
    <w:rsid w:val="00615B0D"/>
    <w:rsid w:val="00615C5A"/>
    <w:rsid w:val="00615E05"/>
    <w:rsid w:val="00615E97"/>
    <w:rsid w:val="00615FE3"/>
    <w:rsid w:val="00616738"/>
    <w:rsid w:val="00616C23"/>
    <w:rsid w:val="00616EE8"/>
    <w:rsid w:val="00617299"/>
    <w:rsid w:val="006173A8"/>
    <w:rsid w:val="006173E1"/>
    <w:rsid w:val="006176E8"/>
    <w:rsid w:val="00617B7D"/>
    <w:rsid w:val="00617DA6"/>
    <w:rsid w:val="00617DFD"/>
    <w:rsid w:val="00617F1A"/>
    <w:rsid w:val="00620193"/>
    <w:rsid w:val="006202E8"/>
    <w:rsid w:val="00620790"/>
    <w:rsid w:val="00620F0A"/>
    <w:rsid w:val="00621CBA"/>
    <w:rsid w:val="00621CD6"/>
    <w:rsid w:val="00621EA5"/>
    <w:rsid w:val="006226E4"/>
    <w:rsid w:val="00622ACD"/>
    <w:rsid w:val="00623A8D"/>
    <w:rsid w:val="00624506"/>
    <w:rsid w:val="00624779"/>
    <w:rsid w:val="00624C17"/>
    <w:rsid w:val="00625827"/>
    <w:rsid w:val="00625A1B"/>
    <w:rsid w:val="00625A40"/>
    <w:rsid w:val="00625D5D"/>
    <w:rsid w:val="0062625D"/>
    <w:rsid w:val="006262DB"/>
    <w:rsid w:val="006264C8"/>
    <w:rsid w:val="00626630"/>
    <w:rsid w:val="006266DA"/>
    <w:rsid w:val="00626A8C"/>
    <w:rsid w:val="006272D5"/>
    <w:rsid w:val="006273C2"/>
    <w:rsid w:val="00627400"/>
    <w:rsid w:val="00627D4D"/>
    <w:rsid w:val="00627EFF"/>
    <w:rsid w:val="00630083"/>
    <w:rsid w:val="00630142"/>
    <w:rsid w:val="006309B1"/>
    <w:rsid w:val="00630C8A"/>
    <w:rsid w:val="00631678"/>
    <w:rsid w:val="00631C71"/>
    <w:rsid w:val="00631DFB"/>
    <w:rsid w:val="0063265B"/>
    <w:rsid w:val="006329DB"/>
    <w:rsid w:val="00632FFA"/>
    <w:rsid w:val="00633870"/>
    <w:rsid w:val="00633FBD"/>
    <w:rsid w:val="00634ACC"/>
    <w:rsid w:val="0063528A"/>
    <w:rsid w:val="00635FD5"/>
    <w:rsid w:val="006360FD"/>
    <w:rsid w:val="00636631"/>
    <w:rsid w:val="00636EB7"/>
    <w:rsid w:val="0063729B"/>
    <w:rsid w:val="00637308"/>
    <w:rsid w:val="00637D52"/>
    <w:rsid w:val="006406C7"/>
    <w:rsid w:val="006407BC"/>
    <w:rsid w:val="00641298"/>
    <w:rsid w:val="006418CE"/>
    <w:rsid w:val="00641A41"/>
    <w:rsid w:val="00641E23"/>
    <w:rsid w:val="006421F6"/>
    <w:rsid w:val="00643124"/>
    <w:rsid w:val="00643779"/>
    <w:rsid w:val="00643BF9"/>
    <w:rsid w:val="00643C4E"/>
    <w:rsid w:val="00643D1E"/>
    <w:rsid w:val="00643E73"/>
    <w:rsid w:val="00644316"/>
    <w:rsid w:val="006445DA"/>
    <w:rsid w:val="0064506E"/>
    <w:rsid w:val="00645232"/>
    <w:rsid w:val="00645580"/>
    <w:rsid w:val="00645B60"/>
    <w:rsid w:val="00645DC8"/>
    <w:rsid w:val="00646D18"/>
    <w:rsid w:val="00646DD3"/>
    <w:rsid w:val="00646FE1"/>
    <w:rsid w:val="00647011"/>
    <w:rsid w:val="0064774B"/>
    <w:rsid w:val="00647C05"/>
    <w:rsid w:val="00650F0C"/>
    <w:rsid w:val="00650F75"/>
    <w:rsid w:val="00651193"/>
    <w:rsid w:val="0065288C"/>
    <w:rsid w:val="00652A58"/>
    <w:rsid w:val="0065309C"/>
    <w:rsid w:val="0065371A"/>
    <w:rsid w:val="00653B74"/>
    <w:rsid w:val="00654FC0"/>
    <w:rsid w:val="0065505F"/>
    <w:rsid w:val="006554F3"/>
    <w:rsid w:val="006555A3"/>
    <w:rsid w:val="00655B90"/>
    <w:rsid w:val="00655BA5"/>
    <w:rsid w:val="0065609A"/>
    <w:rsid w:val="0065666D"/>
    <w:rsid w:val="0065671C"/>
    <w:rsid w:val="00656D56"/>
    <w:rsid w:val="00656D6D"/>
    <w:rsid w:val="00656FBB"/>
    <w:rsid w:val="006572F8"/>
    <w:rsid w:val="0065734E"/>
    <w:rsid w:val="006579F3"/>
    <w:rsid w:val="006602F6"/>
    <w:rsid w:val="006603D0"/>
    <w:rsid w:val="006605F7"/>
    <w:rsid w:val="006606AA"/>
    <w:rsid w:val="00660A9C"/>
    <w:rsid w:val="00660CDE"/>
    <w:rsid w:val="00660FC7"/>
    <w:rsid w:val="00661697"/>
    <w:rsid w:val="00661713"/>
    <w:rsid w:val="00661FBB"/>
    <w:rsid w:val="006629D1"/>
    <w:rsid w:val="00662BBB"/>
    <w:rsid w:val="00663259"/>
    <w:rsid w:val="00663541"/>
    <w:rsid w:val="006635EC"/>
    <w:rsid w:val="00664954"/>
    <w:rsid w:val="0066523F"/>
    <w:rsid w:val="00666ABE"/>
    <w:rsid w:val="00666F69"/>
    <w:rsid w:val="006670FC"/>
    <w:rsid w:val="00667271"/>
    <w:rsid w:val="00667803"/>
    <w:rsid w:val="00667EC2"/>
    <w:rsid w:val="00670157"/>
    <w:rsid w:val="006701E6"/>
    <w:rsid w:val="00670D06"/>
    <w:rsid w:val="00671106"/>
    <w:rsid w:val="00671469"/>
    <w:rsid w:val="00671A74"/>
    <w:rsid w:val="00671B3E"/>
    <w:rsid w:val="00671D8C"/>
    <w:rsid w:val="00671EBF"/>
    <w:rsid w:val="00672B52"/>
    <w:rsid w:val="00672F6D"/>
    <w:rsid w:val="00673559"/>
    <w:rsid w:val="0067366B"/>
    <w:rsid w:val="006736FD"/>
    <w:rsid w:val="00673CE2"/>
    <w:rsid w:val="00673D9A"/>
    <w:rsid w:val="00673E82"/>
    <w:rsid w:val="00673F98"/>
    <w:rsid w:val="00674057"/>
    <w:rsid w:val="00675397"/>
    <w:rsid w:val="00675651"/>
    <w:rsid w:val="0067566F"/>
    <w:rsid w:val="00675C85"/>
    <w:rsid w:val="00675F5B"/>
    <w:rsid w:val="006762F8"/>
    <w:rsid w:val="00676795"/>
    <w:rsid w:val="006767E1"/>
    <w:rsid w:val="00676B75"/>
    <w:rsid w:val="00676EF3"/>
    <w:rsid w:val="006773AB"/>
    <w:rsid w:val="00677537"/>
    <w:rsid w:val="00680545"/>
    <w:rsid w:val="00680DEA"/>
    <w:rsid w:val="0068179A"/>
    <w:rsid w:val="00681BB4"/>
    <w:rsid w:val="006820D6"/>
    <w:rsid w:val="00682975"/>
    <w:rsid w:val="00682CFD"/>
    <w:rsid w:val="00682E0F"/>
    <w:rsid w:val="0068350B"/>
    <w:rsid w:val="00683625"/>
    <w:rsid w:val="00683B04"/>
    <w:rsid w:val="00683B61"/>
    <w:rsid w:val="00683D9B"/>
    <w:rsid w:val="006846AC"/>
    <w:rsid w:val="00684823"/>
    <w:rsid w:val="00684892"/>
    <w:rsid w:val="00684D4C"/>
    <w:rsid w:val="00685AB9"/>
    <w:rsid w:val="00685F47"/>
    <w:rsid w:val="006864B4"/>
    <w:rsid w:val="0068677F"/>
    <w:rsid w:val="00686D97"/>
    <w:rsid w:val="00687388"/>
    <w:rsid w:val="006873DA"/>
    <w:rsid w:val="00690016"/>
    <w:rsid w:val="0069045A"/>
    <w:rsid w:val="0069061C"/>
    <w:rsid w:val="0069082B"/>
    <w:rsid w:val="00690865"/>
    <w:rsid w:val="006909CF"/>
    <w:rsid w:val="00690BF9"/>
    <w:rsid w:val="006914CC"/>
    <w:rsid w:val="00692181"/>
    <w:rsid w:val="00692A7B"/>
    <w:rsid w:val="0069314B"/>
    <w:rsid w:val="006935F5"/>
    <w:rsid w:val="006937CE"/>
    <w:rsid w:val="0069385E"/>
    <w:rsid w:val="00693A5C"/>
    <w:rsid w:val="00694F50"/>
    <w:rsid w:val="006953FB"/>
    <w:rsid w:val="00695EE3"/>
    <w:rsid w:val="00695F6F"/>
    <w:rsid w:val="006961A1"/>
    <w:rsid w:val="0069657B"/>
    <w:rsid w:val="00696B02"/>
    <w:rsid w:val="00696F24"/>
    <w:rsid w:val="00697033"/>
    <w:rsid w:val="00697072"/>
    <w:rsid w:val="006977C2"/>
    <w:rsid w:val="006A0387"/>
    <w:rsid w:val="006A05D4"/>
    <w:rsid w:val="006A0F54"/>
    <w:rsid w:val="006A176B"/>
    <w:rsid w:val="006A1A7D"/>
    <w:rsid w:val="006A1D28"/>
    <w:rsid w:val="006A1ECE"/>
    <w:rsid w:val="006A308F"/>
    <w:rsid w:val="006A336A"/>
    <w:rsid w:val="006A3515"/>
    <w:rsid w:val="006A3646"/>
    <w:rsid w:val="006A3A44"/>
    <w:rsid w:val="006A3D4A"/>
    <w:rsid w:val="006A3F2F"/>
    <w:rsid w:val="006A3FA8"/>
    <w:rsid w:val="006A43D1"/>
    <w:rsid w:val="006A4976"/>
    <w:rsid w:val="006A5254"/>
    <w:rsid w:val="006A55E7"/>
    <w:rsid w:val="006A5F22"/>
    <w:rsid w:val="006A6ED4"/>
    <w:rsid w:val="006A7170"/>
    <w:rsid w:val="006B014E"/>
    <w:rsid w:val="006B034B"/>
    <w:rsid w:val="006B153F"/>
    <w:rsid w:val="006B15ED"/>
    <w:rsid w:val="006B1F80"/>
    <w:rsid w:val="006B1FC0"/>
    <w:rsid w:val="006B26E9"/>
    <w:rsid w:val="006B2EEE"/>
    <w:rsid w:val="006B3125"/>
    <w:rsid w:val="006B3327"/>
    <w:rsid w:val="006B36C6"/>
    <w:rsid w:val="006B3C91"/>
    <w:rsid w:val="006B4107"/>
    <w:rsid w:val="006B414D"/>
    <w:rsid w:val="006B42EA"/>
    <w:rsid w:val="006B4428"/>
    <w:rsid w:val="006B4554"/>
    <w:rsid w:val="006B4EC6"/>
    <w:rsid w:val="006B5317"/>
    <w:rsid w:val="006B5322"/>
    <w:rsid w:val="006B55FF"/>
    <w:rsid w:val="006B5871"/>
    <w:rsid w:val="006B7812"/>
    <w:rsid w:val="006B7860"/>
    <w:rsid w:val="006C044F"/>
    <w:rsid w:val="006C0CC8"/>
    <w:rsid w:val="006C0F97"/>
    <w:rsid w:val="006C1387"/>
    <w:rsid w:val="006C1474"/>
    <w:rsid w:val="006C14D6"/>
    <w:rsid w:val="006C1965"/>
    <w:rsid w:val="006C1DB5"/>
    <w:rsid w:val="006C20BA"/>
    <w:rsid w:val="006C2A2B"/>
    <w:rsid w:val="006C2E8E"/>
    <w:rsid w:val="006C2E9C"/>
    <w:rsid w:val="006C348F"/>
    <w:rsid w:val="006C3EED"/>
    <w:rsid w:val="006C4299"/>
    <w:rsid w:val="006C4C5F"/>
    <w:rsid w:val="006C54CA"/>
    <w:rsid w:val="006C55BB"/>
    <w:rsid w:val="006C61DD"/>
    <w:rsid w:val="006C627E"/>
    <w:rsid w:val="006C632E"/>
    <w:rsid w:val="006C6E42"/>
    <w:rsid w:val="006C759F"/>
    <w:rsid w:val="006C77C4"/>
    <w:rsid w:val="006C7AF9"/>
    <w:rsid w:val="006C7CA6"/>
    <w:rsid w:val="006D006A"/>
    <w:rsid w:val="006D01B0"/>
    <w:rsid w:val="006D0AB0"/>
    <w:rsid w:val="006D0B30"/>
    <w:rsid w:val="006D0B59"/>
    <w:rsid w:val="006D0D70"/>
    <w:rsid w:val="006D10AE"/>
    <w:rsid w:val="006D1155"/>
    <w:rsid w:val="006D12FE"/>
    <w:rsid w:val="006D14D2"/>
    <w:rsid w:val="006D1895"/>
    <w:rsid w:val="006D1D6C"/>
    <w:rsid w:val="006D248E"/>
    <w:rsid w:val="006D273C"/>
    <w:rsid w:val="006D2C6E"/>
    <w:rsid w:val="006D3F95"/>
    <w:rsid w:val="006D490D"/>
    <w:rsid w:val="006D49CA"/>
    <w:rsid w:val="006D4A55"/>
    <w:rsid w:val="006D529D"/>
    <w:rsid w:val="006D549A"/>
    <w:rsid w:val="006D5B65"/>
    <w:rsid w:val="006D66C6"/>
    <w:rsid w:val="006D68E9"/>
    <w:rsid w:val="006D692A"/>
    <w:rsid w:val="006D6B46"/>
    <w:rsid w:val="006D7681"/>
    <w:rsid w:val="006D76AB"/>
    <w:rsid w:val="006D79E2"/>
    <w:rsid w:val="006D7EC7"/>
    <w:rsid w:val="006E0A5F"/>
    <w:rsid w:val="006E0FFE"/>
    <w:rsid w:val="006E1437"/>
    <w:rsid w:val="006E22C4"/>
    <w:rsid w:val="006E2364"/>
    <w:rsid w:val="006E2CB2"/>
    <w:rsid w:val="006E2E0F"/>
    <w:rsid w:val="006E2E80"/>
    <w:rsid w:val="006E332E"/>
    <w:rsid w:val="006E36F1"/>
    <w:rsid w:val="006E3BA8"/>
    <w:rsid w:val="006E43E0"/>
    <w:rsid w:val="006E477E"/>
    <w:rsid w:val="006E5153"/>
    <w:rsid w:val="006E58FD"/>
    <w:rsid w:val="006E5AF4"/>
    <w:rsid w:val="006E61E3"/>
    <w:rsid w:val="006E6672"/>
    <w:rsid w:val="006E697B"/>
    <w:rsid w:val="006E6C33"/>
    <w:rsid w:val="006E79BD"/>
    <w:rsid w:val="006E7BEA"/>
    <w:rsid w:val="006F019C"/>
    <w:rsid w:val="006F07C0"/>
    <w:rsid w:val="006F0C43"/>
    <w:rsid w:val="006F11A2"/>
    <w:rsid w:val="006F137B"/>
    <w:rsid w:val="006F17A7"/>
    <w:rsid w:val="006F1AE8"/>
    <w:rsid w:val="006F1B14"/>
    <w:rsid w:val="006F25D6"/>
    <w:rsid w:val="006F268B"/>
    <w:rsid w:val="006F2BF4"/>
    <w:rsid w:val="006F2D79"/>
    <w:rsid w:val="006F309E"/>
    <w:rsid w:val="006F31F9"/>
    <w:rsid w:val="006F3204"/>
    <w:rsid w:val="006F3353"/>
    <w:rsid w:val="006F33A8"/>
    <w:rsid w:val="006F33C0"/>
    <w:rsid w:val="006F39B7"/>
    <w:rsid w:val="006F3CB3"/>
    <w:rsid w:val="006F4533"/>
    <w:rsid w:val="006F4CCC"/>
    <w:rsid w:val="006F4E4F"/>
    <w:rsid w:val="006F4EDE"/>
    <w:rsid w:val="006F556E"/>
    <w:rsid w:val="006F55D0"/>
    <w:rsid w:val="006F5621"/>
    <w:rsid w:val="006F5755"/>
    <w:rsid w:val="006F5AF2"/>
    <w:rsid w:val="006F5B8B"/>
    <w:rsid w:val="006F6271"/>
    <w:rsid w:val="006F67FE"/>
    <w:rsid w:val="006F6BF5"/>
    <w:rsid w:val="006F74CA"/>
    <w:rsid w:val="006F75F0"/>
    <w:rsid w:val="006F7898"/>
    <w:rsid w:val="006F78CD"/>
    <w:rsid w:val="007000E5"/>
    <w:rsid w:val="007000F3"/>
    <w:rsid w:val="00700755"/>
    <w:rsid w:val="007009A2"/>
    <w:rsid w:val="00700A83"/>
    <w:rsid w:val="0070159D"/>
    <w:rsid w:val="00701ACF"/>
    <w:rsid w:val="00702493"/>
    <w:rsid w:val="007024A0"/>
    <w:rsid w:val="00702886"/>
    <w:rsid w:val="007029C6"/>
    <w:rsid w:val="007029D3"/>
    <w:rsid w:val="0070305B"/>
    <w:rsid w:val="007030A3"/>
    <w:rsid w:val="00703D32"/>
    <w:rsid w:val="00703E97"/>
    <w:rsid w:val="007047FA"/>
    <w:rsid w:val="007049E6"/>
    <w:rsid w:val="00704AFB"/>
    <w:rsid w:val="0070516E"/>
    <w:rsid w:val="00705443"/>
    <w:rsid w:val="00705756"/>
    <w:rsid w:val="00705B24"/>
    <w:rsid w:val="00705FFE"/>
    <w:rsid w:val="00706D2B"/>
    <w:rsid w:val="00707245"/>
    <w:rsid w:val="0070759D"/>
    <w:rsid w:val="00707961"/>
    <w:rsid w:val="00707AD9"/>
    <w:rsid w:val="00707B6A"/>
    <w:rsid w:val="00707CAA"/>
    <w:rsid w:val="00710213"/>
    <w:rsid w:val="007103A5"/>
    <w:rsid w:val="00710C21"/>
    <w:rsid w:val="00711822"/>
    <w:rsid w:val="00711869"/>
    <w:rsid w:val="0071399D"/>
    <w:rsid w:val="00713ACE"/>
    <w:rsid w:val="00713F4B"/>
    <w:rsid w:val="007148D0"/>
    <w:rsid w:val="00714905"/>
    <w:rsid w:val="007149F0"/>
    <w:rsid w:val="0071609F"/>
    <w:rsid w:val="0071645F"/>
    <w:rsid w:val="007164DA"/>
    <w:rsid w:val="00716AF0"/>
    <w:rsid w:val="00717ABF"/>
    <w:rsid w:val="00717B8D"/>
    <w:rsid w:val="00717DDE"/>
    <w:rsid w:val="007204A5"/>
    <w:rsid w:val="007204C6"/>
    <w:rsid w:val="0072052F"/>
    <w:rsid w:val="00720530"/>
    <w:rsid w:val="00720FCB"/>
    <w:rsid w:val="0072134F"/>
    <w:rsid w:val="00721896"/>
    <w:rsid w:val="00722206"/>
    <w:rsid w:val="007224F8"/>
    <w:rsid w:val="007228B0"/>
    <w:rsid w:val="007229A3"/>
    <w:rsid w:val="00722B3A"/>
    <w:rsid w:val="0072310E"/>
    <w:rsid w:val="007232F6"/>
    <w:rsid w:val="00723A67"/>
    <w:rsid w:val="00724695"/>
    <w:rsid w:val="007251D1"/>
    <w:rsid w:val="00726427"/>
    <w:rsid w:val="00726CE9"/>
    <w:rsid w:val="00726D29"/>
    <w:rsid w:val="00727189"/>
    <w:rsid w:val="007274BB"/>
    <w:rsid w:val="0073041F"/>
    <w:rsid w:val="0073081B"/>
    <w:rsid w:val="00730A8C"/>
    <w:rsid w:val="00730C8A"/>
    <w:rsid w:val="007310CD"/>
    <w:rsid w:val="007312E8"/>
    <w:rsid w:val="0073182F"/>
    <w:rsid w:val="00731973"/>
    <w:rsid w:val="00731A2B"/>
    <w:rsid w:val="007322AE"/>
    <w:rsid w:val="0073253E"/>
    <w:rsid w:val="00732D31"/>
    <w:rsid w:val="00733330"/>
    <w:rsid w:val="00733579"/>
    <w:rsid w:val="007338C6"/>
    <w:rsid w:val="00733D63"/>
    <w:rsid w:val="00734360"/>
    <w:rsid w:val="00734FCA"/>
    <w:rsid w:val="0073542D"/>
    <w:rsid w:val="0073550B"/>
    <w:rsid w:val="00735F02"/>
    <w:rsid w:val="007361D2"/>
    <w:rsid w:val="007362E4"/>
    <w:rsid w:val="00736A7F"/>
    <w:rsid w:val="00736D82"/>
    <w:rsid w:val="00737BCC"/>
    <w:rsid w:val="007405EC"/>
    <w:rsid w:val="00740ABB"/>
    <w:rsid w:val="00740B05"/>
    <w:rsid w:val="00740CBA"/>
    <w:rsid w:val="00740EAC"/>
    <w:rsid w:val="00741BDB"/>
    <w:rsid w:val="0074200E"/>
    <w:rsid w:val="007426A6"/>
    <w:rsid w:val="00742ED7"/>
    <w:rsid w:val="00743BB8"/>
    <w:rsid w:val="00743E22"/>
    <w:rsid w:val="00744261"/>
    <w:rsid w:val="0074483D"/>
    <w:rsid w:val="00744CA0"/>
    <w:rsid w:val="00744DE3"/>
    <w:rsid w:val="0074512F"/>
    <w:rsid w:val="0074590C"/>
    <w:rsid w:val="00746186"/>
    <w:rsid w:val="007472BB"/>
    <w:rsid w:val="007476A5"/>
    <w:rsid w:val="00747D37"/>
    <w:rsid w:val="00747E02"/>
    <w:rsid w:val="00750065"/>
    <w:rsid w:val="00750984"/>
    <w:rsid w:val="00750B29"/>
    <w:rsid w:val="00750F3A"/>
    <w:rsid w:val="0075194B"/>
    <w:rsid w:val="00751974"/>
    <w:rsid w:val="007519B1"/>
    <w:rsid w:val="00751F9F"/>
    <w:rsid w:val="0075236B"/>
    <w:rsid w:val="00752801"/>
    <w:rsid w:val="0075295F"/>
    <w:rsid w:val="007529C7"/>
    <w:rsid w:val="00752B4A"/>
    <w:rsid w:val="00752C91"/>
    <w:rsid w:val="007534CE"/>
    <w:rsid w:val="00753D50"/>
    <w:rsid w:val="00754213"/>
    <w:rsid w:val="007547E9"/>
    <w:rsid w:val="0075496C"/>
    <w:rsid w:val="00754D37"/>
    <w:rsid w:val="0075503A"/>
    <w:rsid w:val="00755284"/>
    <w:rsid w:val="00755482"/>
    <w:rsid w:val="007554E6"/>
    <w:rsid w:val="0075577D"/>
    <w:rsid w:val="00755890"/>
    <w:rsid w:val="0075618A"/>
    <w:rsid w:val="00756AAE"/>
    <w:rsid w:val="00756AC8"/>
    <w:rsid w:val="00757B4C"/>
    <w:rsid w:val="00757DAF"/>
    <w:rsid w:val="007601B5"/>
    <w:rsid w:val="00760B01"/>
    <w:rsid w:val="0076107B"/>
    <w:rsid w:val="0076108E"/>
    <w:rsid w:val="0076128D"/>
    <w:rsid w:val="00761453"/>
    <w:rsid w:val="0076163C"/>
    <w:rsid w:val="0076183D"/>
    <w:rsid w:val="007618B8"/>
    <w:rsid w:val="00761E54"/>
    <w:rsid w:val="0076228B"/>
    <w:rsid w:val="00762318"/>
    <w:rsid w:val="007623A9"/>
    <w:rsid w:val="007629ED"/>
    <w:rsid w:val="00762B25"/>
    <w:rsid w:val="00762E05"/>
    <w:rsid w:val="00762E86"/>
    <w:rsid w:val="007632EA"/>
    <w:rsid w:val="0076372D"/>
    <w:rsid w:val="00763A81"/>
    <w:rsid w:val="00763ACA"/>
    <w:rsid w:val="00763E03"/>
    <w:rsid w:val="0076437B"/>
    <w:rsid w:val="0076443D"/>
    <w:rsid w:val="00764FB1"/>
    <w:rsid w:val="00764FE9"/>
    <w:rsid w:val="00765619"/>
    <w:rsid w:val="00765712"/>
    <w:rsid w:val="007663E9"/>
    <w:rsid w:val="0076648D"/>
    <w:rsid w:val="0076655C"/>
    <w:rsid w:val="007668C0"/>
    <w:rsid w:val="007671C5"/>
    <w:rsid w:val="007675ED"/>
    <w:rsid w:val="0076793C"/>
    <w:rsid w:val="00767F28"/>
    <w:rsid w:val="007705B8"/>
    <w:rsid w:val="007708E0"/>
    <w:rsid w:val="00770FD4"/>
    <w:rsid w:val="0077172B"/>
    <w:rsid w:val="00771AED"/>
    <w:rsid w:val="00772222"/>
    <w:rsid w:val="007726A5"/>
    <w:rsid w:val="00773812"/>
    <w:rsid w:val="00773944"/>
    <w:rsid w:val="007739B5"/>
    <w:rsid w:val="00773A71"/>
    <w:rsid w:val="00773CD1"/>
    <w:rsid w:val="0077451B"/>
    <w:rsid w:val="00774888"/>
    <w:rsid w:val="00774B80"/>
    <w:rsid w:val="0077556F"/>
    <w:rsid w:val="00775A58"/>
    <w:rsid w:val="00775CB8"/>
    <w:rsid w:val="00775F8E"/>
    <w:rsid w:val="00776002"/>
    <w:rsid w:val="00776598"/>
    <w:rsid w:val="00777D80"/>
    <w:rsid w:val="00780B23"/>
    <w:rsid w:val="0078129C"/>
    <w:rsid w:val="007817EF"/>
    <w:rsid w:val="00781E7C"/>
    <w:rsid w:val="00782112"/>
    <w:rsid w:val="00782282"/>
    <w:rsid w:val="00782349"/>
    <w:rsid w:val="007824F9"/>
    <w:rsid w:val="00783046"/>
    <w:rsid w:val="0078332B"/>
    <w:rsid w:val="0078385D"/>
    <w:rsid w:val="00783CC9"/>
    <w:rsid w:val="007842D4"/>
    <w:rsid w:val="007842F3"/>
    <w:rsid w:val="00784351"/>
    <w:rsid w:val="00784377"/>
    <w:rsid w:val="007844DE"/>
    <w:rsid w:val="00784DDE"/>
    <w:rsid w:val="00785416"/>
    <w:rsid w:val="007854A6"/>
    <w:rsid w:val="0078586C"/>
    <w:rsid w:val="00785930"/>
    <w:rsid w:val="00785A9D"/>
    <w:rsid w:val="00785CCB"/>
    <w:rsid w:val="00785D9C"/>
    <w:rsid w:val="007860DE"/>
    <w:rsid w:val="007860F8"/>
    <w:rsid w:val="0078637A"/>
    <w:rsid w:val="00786981"/>
    <w:rsid w:val="0078702F"/>
    <w:rsid w:val="007877DA"/>
    <w:rsid w:val="00787A21"/>
    <w:rsid w:val="00787C42"/>
    <w:rsid w:val="007900A1"/>
    <w:rsid w:val="00790BAE"/>
    <w:rsid w:val="00791050"/>
    <w:rsid w:val="00791ACE"/>
    <w:rsid w:val="00791B09"/>
    <w:rsid w:val="0079223B"/>
    <w:rsid w:val="007923C6"/>
    <w:rsid w:val="00792704"/>
    <w:rsid w:val="00792B69"/>
    <w:rsid w:val="00792DAF"/>
    <w:rsid w:val="00792DB6"/>
    <w:rsid w:val="00792F3A"/>
    <w:rsid w:val="00793645"/>
    <w:rsid w:val="00793A12"/>
    <w:rsid w:val="007944F2"/>
    <w:rsid w:val="00794BF8"/>
    <w:rsid w:val="00794FBF"/>
    <w:rsid w:val="00795525"/>
    <w:rsid w:val="00795B3F"/>
    <w:rsid w:val="00795E76"/>
    <w:rsid w:val="007964E8"/>
    <w:rsid w:val="007967E3"/>
    <w:rsid w:val="00796DC9"/>
    <w:rsid w:val="007973A5"/>
    <w:rsid w:val="00797896"/>
    <w:rsid w:val="007978D1"/>
    <w:rsid w:val="00797FB3"/>
    <w:rsid w:val="007A041E"/>
    <w:rsid w:val="007A1146"/>
    <w:rsid w:val="007A154F"/>
    <w:rsid w:val="007A161B"/>
    <w:rsid w:val="007A16A8"/>
    <w:rsid w:val="007A1966"/>
    <w:rsid w:val="007A1EB2"/>
    <w:rsid w:val="007A24FD"/>
    <w:rsid w:val="007A25A1"/>
    <w:rsid w:val="007A26E8"/>
    <w:rsid w:val="007A2DF8"/>
    <w:rsid w:val="007A311B"/>
    <w:rsid w:val="007A3BC1"/>
    <w:rsid w:val="007A4010"/>
    <w:rsid w:val="007A42E0"/>
    <w:rsid w:val="007A4916"/>
    <w:rsid w:val="007A5407"/>
    <w:rsid w:val="007A555E"/>
    <w:rsid w:val="007A5EAF"/>
    <w:rsid w:val="007A5FA7"/>
    <w:rsid w:val="007A6253"/>
    <w:rsid w:val="007A6B07"/>
    <w:rsid w:val="007A6B72"/>
    <w:rsid w:val="007A6B74"/>
    <w:rsid w:val="007A6DC3"/>
    <w:rsid w:val="007A702B"/>
    <w:rsid w:val="007B025D"/>
    <w:rsid w:val="007B0794"/>
    <w:rsid w:val="007B09CD"/>
    <w:rsid w:val="007B0AAB"/>
    <w:rsid w:val="007B0B31"/>
    <w:rsid w:val="007B0D29"/>
    <w:rsid w:val="007B0E0D"/>
    <w:rsid w:val="007B0EDF"/>
    <w:rsid w:val="007B132D"/>
    <w:rsid w:val="007B148D"/>
    <w:rsid w:val="007B1DAA"/>
    <w:rsid w:val="007B23FA"/>
    <w:rsid w:val="007B33BE"/>
    <w:rsid w:val="007B355F"/>
    <w:rsid w:val="007B35FA"/>
    <w:rsid w:val="007B3901"/>
    <w:rsid w:val="007B3B3D"/>
    <w:rsid w:val="007B3C77"/>
    <w:rsid w:val="007B4149"/>
    <w:rsid w:val="007B48F2"/>
    <w:rsid w:val="007B62D1"/>
    <w:rsid w:val="007B6E5F"/>
    <w:rsid w:val="007B6EA4"/>
    <w:rsid w:val="007B6F00"/>
    <w:rsid w:val="007B714A"/>
    <w:rsid w:val="007B78DD"/>
    <w:rsid w:val="007B79AA"/>
    <w:rsid w:val="007B7A44"/>
    <w:rsid w:val="007B7B9C"/>
    <w:rsid w:val="007B7CA5"/>
    <w:rsid w:val="007B7FE5"/>
    <w:rsid w:val="007C0456"/>
    <w:rsid w:val="007C054D"/>
    <w:rsid w:val="007C0CB3"/>
    <w:rsid w:val="007C151B"/>
    <w:rsid w:val="007C1B56"/>
    <w:rsid w:val="007C24BB"/>
    <w:rsid w:val="007C39D0"/>
    <w:rsid w:val="007C45E3"/>
    <w:rsid w:val="007C4728"/>
    <w:rsid w:val="007C4B7B"/>
    <w:rsid w:val="007C4D96"/>
    <w:rsid w:val="007C5B60"/>
    <w:rsid w:val="007C69BA"/>
    <w:rsid w:val="007C72E3"/>
    <w:rsid w:val="007D024A"/>
    <w:rsid w:val="007D0524"/>
    <w:rsid w:val="007D082A"/>
    <w:rsid w:val="007D12FA"/>
    <w:rsid w:val="007D1412"/>
    <w:rsid w:val="007D1E24"/>
    <w:rsid w:val="007D23A9"/>
    <w:rsid w:val="007D2494"/>
    <w:rsid w:val="007D2556"/>
    <w:rsid w:val="007D2DC3"/>
    <w:rsid w:val="007D2EC0"/>
    <w:rsid w:val="007D2FE5"/>
    <w:rsid w:val="007D31E8"/>
    <w:rsid w:val="007D33A3"/>
    <w:rsid w:val="007D3463"/>
    <w:rsid w:val="007D3C77"/>
    <w:rsid w:val="007D41B3"/>
    <w:rsid w:val="007D49D3"/>
    <w:rsid w:val="007D4ABD"/>
    <w:rsid w:val="007D4F05"/>
    <w:rsid w:val="007D5232"/>
    <w:rsid w:val="007D589B"/>
    <w:rsid w:val="007D5BDA"/>
    <w:rsid w:val="007D5EF6"/>
    <w:rsid w:val="007D5F4F"/>
    <w:rsid w:val="007D660E"/>
    <w:rsid w:val="007D6C56"/>
    <w:rsid w:val="007D6C60"/>
    <w:rsid w:val="007D6DA6"/>
    <w:rsid w:val="007D6E59"/>
    <w:rsid w:val="007D7309"/>
    <w:rsid w:val="007E02B5"/>
    <w:rsid w:val="007E0820"/>
    <w:rsid w:val="007E14C2"/>
    <w:rsid w:val="007E1EC2"/>
    <w:rsid w:val="007E24C7"/>
    <w:rsid w:val="007E27FE"/>
    <w:rsid w:val="007E28F2"/>
    <w:rsid w:val="007E2998"/>
    <w:rsid w:val="007E2E1D"/>
    <w:rsid w:val="007E2EF0"/>
    <w:rsid w:val="007E3650"/>
    <w:rsid w:val="007E3750"/>
    <w:rsid w:val="007E39A1"/>
    <w:rsid w:val="007E3A89"/>
    <w:rsid w:val="007E3C45"/>
    <w:rsid w:val="007E3E66"/>
    <w:rsid w:val="007E3FB0"/>
    <w:rsid w:val="007E4219"/>
    <w:rsid w:val="007E4692"/>
    <w:rsid w:val="007E4998"/>
    <w:rsid w:val="007E4A73"/>
    <w:rsid w:val="007E4B28"/>
    <w:rsid w:val="007E52D4"/>
    <w:rsid w:val="007E5EA7"/>
    <w:rsid w:val="007E5EFB"/>
    <w:rsid w:val="007E654C"/>
    <w:rsid w:val="007E68D4"/>
    <w:rsid w:val="007E7018"/>
    <w:rsid w:val="007E74C9"/>
    <w:rsid w:val="007E79C3"/>
    <w:rsid w:val="007E7ABA"/>
    <w:rsid w:val="007E7CBC"/>
    <w:rsid w:val="007E7D01"/>
    <w:rsid w:val="007F037C"/>
    <w:rsid w:val="007F072E"/>
    <w:rsid w:val="007F098A"/>
    <w:rsid w:val="007F0A88"/>
    <w:rsid w:val="007F0F9A"/>
    <w:rsid w:val="007F1935"/>
    <w:rsid w:val="007F273E"/>
    <w:rsid w:val="007F2BAE"/>
    <w:rsid w:val="007F2D0E"/>
    <w:rsid w:val="007F3080"/>
    <w:rsid w:val="007F313C"/>
    <w:rsid w:val="007F3188"/>
    <w:rsid w:val="007F3A3F"/>
    <w:rsid w:val="007F3AA0"/>
    <w:rsid w:val="007F3D04"/>
    <w:rsid w:val="007F4455"/>
    <w:rsid w:val="007F4A5E"/>
    <w:rsid w:val="007F4EAD"/>
    <w:rsid w:val="007F5208"/>
    <w:rsid w:val="007F546E"/>
    <w:rsid w:val="007F5564"/>
    <w:rsid w:val="007F55A1"/>
    <w:rsid w:val="007F56D6"/>
    <w:rsid w:val="007F5D9C"/>
    <w:rsid w:val="007F5EC9"/>
    <w:rsid w:val="007F67D2"/>
    <w:rsid w:val="007F67D5"/>
    <w:rsid w:val="007F680F"/>
    <w:rsid w:val="007F69F9"/>
    <w:rsid w:val="007F6C29"/>
    <w:rsid w:val="007F6C85"/>
    <w:rsid w:val="007F72E6"/>
    <w:rsid w:val="007F7AD1"/>
    <w:rsid w:val="00800285"/>
    <w:rsid w:val="008002C8"/>
    <w:rsid w:val="008003BC"/>
    <w:rsid w:val="008007D6"/>
    <w:rsid w:val="0080080E"/>
    <w:rsid w:val="008008E2"/>
    <w:rsid w:val="00800980"/>
    <w:rsid w:val="00800B21"/>
    <w:rsid w:val="00801AA2"/>
    <w:rsid w:val="00801AD0"/>
    <w:rsid w:val="00801E70"/>
    <w:rsid w:val="0080218A"/>
    <w:rsid w:val="008022DA"/>
    <w:rsid w:val="00802F8C"/>
    <w:rsid w:val="0080356E"/>
    <w:rsid w:val="0080365E"/>
    <w:rsid w:val="008036A1"/>
    <w:rsid w:val="00803E4B"/>
    <w:rsid w:val="00804031"/>
    <w:rsid w:val="0080431B"/>
    <w:rsid w:val="00804666"/>
    <w:rsid w:val="0080478E"/>
    <w:rsid w:val="008053CA"/>
    <w:rsid w:val="00806105"/>
    <w:rsid w:val="00806709"/>
    <w:rsid w:val="00806A85"/>
    <w:rsid w:val="00806CBD"/>
    <w:rsid w:val="00806D98"/>
    <w:rsid w:val="00806EA5"/>
    <w:rsid w:val="00807A38"/>
    <w:rsid w:val="00810250"/>
    <w:rsid w:val="0081087F"/>
    <w:rsid w:val="00810A0C"/>
    <w:rsid w:val="00810ED1"/>
    <w:rsid w:val="00810EDE"/>
    <w:rsid w:val="00811190"/>
    <w:rsid w:val="00811BD9"/>
    <w:rsid w:val="00812479"/>
    <w:rsid w:val="00812F7D"/>
    <w:rsid w:val="0081304D"/>
    <w:rsid w:val="00813B00"/>
    <w:rsid w:val="00813B53"/>
    <w:rsid w:val="00813C56"/>
    <w:rsid w:val="00813CB9"/>
    <w:rsid w:val="00814093"/>
    <w:rsid w:val="00814467"/>
    <w:rsid w:val="008146E2"/>
    <w:rsid w:val="008147AE"/>
    <w:rsid w:val="0081513D"/>
    <w:rsid w:val="008155C9"/>
    <w:rsid w:val="008162D3"/>
    <w:rsid w:val="008164E8"/>
    <w:rsid w:val="0081662B"/>
    <w:rsid w:val="00816B48"/>
    <w:rsid w:val="00816DA3"/>
    <w:rsid w:val="0081746A"/>
    <w:rsid w:val="00817573"/>
    <w:rsid w:val="008177A7"/>
    <w:rsid w:val="008177D9"/>
    <w:rsid w:val="00817A0A"/>
    <w:rsid w:val="00817B53"/>
    <w:rsid w:val="00817D3A"/>
    <w:rsid w:val="00820710"/>
    <w:rsid w:val="00821002"/>
    <w:rsid w:val="0082103F"/>
    <w:rsid w:val="00821531"/>
    <w:rsid w:val="008215BB"/>
    <w:rsid w:val="008219AA"/>
    <w:rsid w:val="00822067"/>
    <w:rsid w:val="00822642"/>
    <w:rsid w:val="00822A5F"/>
    <w:rsid w:val="00822C6A"/>
    <w:rsid w:val="00822EB1"/>
    <w:rsid w:val="00822F66"/>
    <w:rsid w:val="00823093"/>
    <w:rsid w:val="0082338C"/>
    <w:rsid w:val="00823429"/>
    <w:rsid w:val="0082477E"/>
    <w:rsid w:val="00824FD7"/>
    <w:rsid w:val="00825D81"/>
    <w:rsid w:val="00825F97"/>
    <w:rsid w:val="00826283"/>
    <w:rsid w:val="00826AC6"/>
    <w:rsid w:val="00826D74"/>
    <w:rsid w:val="00826EE6"/>
    <w:rsid w:val="00827470"/>
    <w:rsid w:val="00827884"/>
    <w:rsid w:val="00827A4E"/>
    <w:rsid w:val="00827FEA"/>
    <w:rsid w:val="008300AF"/>
    <w:rsid w:val="008309B3"/>
    <w:rsid w:val="00830BED"/>
    <w:rsid w:val="00830CA8"/>
    <w:rsid w:val="00830DD4"/>
    <w:rsid w:val="00831076"/>
    <w:rsid w:val="008319B1"/>
    <w:rsid w:val="00831A98"/>
    <w:rsid w:val="00832538"/>
    <w:rsid w:val="008328E2"/>
    <w:rsid w:val="00832BE0"/>
    <w:rsid w:val="00833044"/>
    <w:rsid w:val="00833160"/>
    <w:rsid w:val="0083378A"/>
    <w:rsid w:val="008339CF"/>
    <w:rsid w:val="00833C91"/>
    <w:rsid w:val="00833DA1"/>
    <w:rsid w:val="00834171"/>
    <w:rsid w:val="00834588"/>
    <w:rsid w:val="00834668"/>
    <w:rsid w:val="00834808"/>
    <w:rsid w:val="00834CB2"/>
    <w:rsid w:val="00834F48"/>
    <w:rsid w:val="00835250"/>
    <w:rsid w:val="0083568A"/>
    <w:rsid w:val="00835867"/>
    <w:rsid w:val="008358C4"/>
    <w:rsid w:val="00835B05"/>
    <w:rsid w:val="00835BBD"/>
    <w:rsid w:val="008367F7"/>
    <w:rsid w:val="008374FF"/>
    <w:rsid w:val="00837E2B"/>
    <w:rsid w:val="00837F98"/>
    <w:rsid w:val="008408AD"/>
    <w:rsid w:val="00840DDB"/>
    <w:rsid w:val="00842083"/>
    <w:rsid w:val="008432A3"/>
    <w:rsid w:val="00843C3E"/>
    <w:rsid w:val="00844175"/>
    <w:rsid w:val="00844303"/>
    <w:rsid w:val="008450D5"/>
    <w:rsid w:val="008451D8"/>
    <w:rsid w:val="008452EB"/>
    <w:rsid w:val="00845860"/>
    <w:rsid w:val="00846477"/>
    <w:rsid w:val="00846478"/>
    <w:rsid w:val="00846AA9"/>
    <w:rsid w:val="00846E29"/>
    <w:rsid w:val="008476B9"/>
    <w:rsid w:val="00847A69"/>
    <w:rsid w:val="00847EE9"/>
    <w:rsid w:val="008509A2"/>
    <w:rsid w:val="00850A84"/>
    <w:rsid w:val="00851159"/>
    <w:rsid w:val="008514B2"/>
    <w:rsid w:val="008514F2"/>
    <w:rsid w:val="00851998"/>
    <w:rsid w:val="00851AB2"/>
    <w:rsid w:val="00851B0D"/>
    <w:rsid w:val="00851DBC"/>
    <w:rsid w:val="00852473"/>
    <w:rsid w:val="00852D56"/>
    <w:rsid w:val="00853517"/>
    <w:rsid w:val="00853762"/>
    <w:rsid w:val="00853926"/>
    <w:rsid w:val="0085410A"/>
    <w:rsid w:val="0085480E"/>
    <w:rsid w:val="0085499F"/>
    <w:rsid w:val="00854F85"/>
    <w:rsid w:val="0085516A"/>
    <w:rsid w:val="008552ED"/>
    <w:rsid w:val="00855511"/>
    <w:rsid w:val="00856263"/>
    <w:rsid w:val="008562AA"/>
    <w:rsid w:val="0085639A"/>
    <w:rsid w:val="00856754"/>
    <w:rsid w:val="00856BA9"/>
    <w:rsid w:val="0085718E"/>
    <w:rsid w:val="008576DC"/>
    <w:rsid w:val="00857EC9"/>
    <w:rsid w:val="008600F9"/>
    <w:rsid w:val="00860214"/>
    <w:rsid w:val="00860872"/>
    <w:rsid w:val="00862BC7"/>
    <w:rsid w:val="00862EEC"/>
    <w:rsid w:val="00863189"/>
    <w:rsid w:val="00863C97"/>
    <w:rsid w:val="00864EE0"/>
    <w:rsid w:val="00865071"/>
    <w:rsid w:val="008654E1"/>
    <w:rsid w:val="00865A87"/>
    <w:rsid w:val="00865D64"/>
    <w:rsid w:val="00865E38"/>
    <w:rsid w:val="00865F79"/>
    <w:rsid w:val="00866706"/>
    <w:rsid w:val="008669B0"/>
    <w:rsid w:val="008669C2"/>
    <w:rsid w:val="00866FA1"/>
    <w:rsid w:val="0086709B"/>
    <w:rsid w:val="0086781F"/>
    <w:rsid w:val="00867CB7"/>
    <w:rsid w:val="00867D4E"/>
    <w:rsid w:val="008700D1"/>
    <w:rsid w:val="008701A3"/>
    <w:rsid w:val="0087033F"/>
    <w:rsid w:val="00870758"/>
    <w:rsid w:val="008707C1"/>
    <w:rsid w:val="008707CD"/>
    <w:rsid w:val="00871A37"/>
    <w:rsid w:val="00871A42"/>
    <w:rsid w:val="00872755"/>
    <w:rsid w:val="00872AFE"/>
    <w:rsid w:val="00872B36"/>
    <w:rsid w:val="00872C8A"/>
    <w:rsid w:val="00872EB7"/>
    <w:rsid w:val="00873F9C"/>
    <w:rsid w:val="00874291"/>
    <w:rsid w:val="008745D1"/>
    <w:rsid w:val="008748D8"/>
    <w:rsid w:val="00874CC0"/>
    <w:rsid w:val="00874E44"/>
    <w:rsid w:val="008750CE"/>
    <w:rsid w:val="008751A1"/>
    <w:rsid w:val="008755CC"/>
    <w:rsid w:val="008756B6"/>
    <w:rsid w:val="00875AC0"/>
    <w:rsid w:val="00875AF5"/>
    <w:rsid w:val="008760B7"/>
    <w:rsid w:val="008764CF"/>
    <w:rsid w:val="008768C9"/>
    <w:rsid w:val="00876E27"/>
    <w:rsid w:val="00877053"/>
    <w:rsid w:val="00877459"/>
    <w:rsid w:val="008777A9"/>
    <w:rsid w:val="008779D6"/>
    <w:rsid w:val="00877B77"/>
    <w:rsid w:val="008803C3"/>
    <w:rsid w:val="0088069E"/>
    <w:rsid w:val="008806B9"/>
    <w:rsid w:val="008810CD"/>
    <w:rsid w:val="008811F5"/>
    <w:rsid w:val="0088187A"/>
    <w:rsid w:val="00881EC2"/>
    <w:rsid w:val="0088346A"/>
    <w:rsid w:val="008838EF"/>
    <w:rsid w:val="00884084"/>
    <w:rsid w:val="008842F2"/>
    <w:rsid w:val="00884375"/>
    <w:rsid w:val="008843F4"/>
    <w:rsid w:val="008845A4"/>
    <w:rsid w:val="008846DB"/>
    <w:rsid w:val="008849FF"/>
    <w:rsid w:val="008859A8"/>
    <w:rsid w:val="00885CFB"/>
    <w:rsid w:val="008860B7"/>
    <w:rsid w:val="00886230"/>
    <w:rsid w:val="00886B14"/>
    <w:rsid w:val="0088763B"/>
    <w:rsid w:val="008877E9"/>
    <w:rsid w:val="00887BDA"/>
    <w:rsid w:val="00887C19"/>
    <w:rsid w:val="00890058"/>
    <w:rsid w:val="0089010D"/>
    <w:rsid w:val="008904B3"/>
    <w:rsid w:val="008908A6"/>
    <w:rsid w:val="008908B4"/>
    <w:rsid w:val="00890CE8"/>
    <w:rsid w:val="00890F25"/>
    <w:rsid w:val="0089106A"/>
    <w:rsid w:val="008913E7"/>
    <w:rsid w:val="008918FB"/>
    <w:rsid w:val="00891967"/>
    <w:rsid w:val="00891EC7"/>
    <w:rsid w:val="00892913"/>
    <w:rsid w:val="00892A39"/>
    <w:rsid w:val="0089306D"/>
    <w:rsid w:val="00893E07"/>
    <w:rsid w:val="008941F3"/>
    <w:rsid w:val="00894379"/>
    <w:rsid w:val="00894619"/>
    <w:rsid w:val="00895628"/>
    <w:rsid w:val="008961BC"/>
    <w:rsid w:val="00896423"/>
    <w:rsid w:val="00896750"/>
    <w:rsid w:val="00896C92"/>
    <w:rsid w:val="00896DD9"/>
    <w:rsid w:val="00897380"/>
    <w:rsid w:val="00897F64"/>
    <w:rsid w:val="008A04D2"/>
    <w:rsid w:val="008A0D42"/>
    <w:rsid w:val="008A1018"/>
    <w:rsid w:val="008A1391"/>
    <w:rsid w:val="008A1B59"/>
    <w:rsid w:val="008A1D5C"/>
    <w:rsid w:val="008A1FF3"/>
    <w:rsid w:val="008A2313"/>
    <w:rsid w:val="008A253A"/>
    <w:rsid w:val="008A2944"/>
    <w:rsid w:val="008A3387"/>
    <w:rsid w:val="008A36EF"/>
    <w:rsid w:val="008A3707"/>
    <w:rsid w:val="008A37CD"/>
    <w:rsid w:val="008A39CF"/>
    <w:rsid w:val="008A3A2F"/>
    <w:rsid w:val="008A4077"/>
    <w:rsid w:val="008A4152"/>
    <w:rsid w:val="008A453E"/>
    <w:rsid w:val="008A4703"/>
    <w:rsid w:val="008A4871"/>
    <w:rsid w:val="008A4D2E"/>
    <w:rsid w:val="008A4FAD"/>
    <w:rsid w:val="008A53EC"/>
    <w:rsid w:val="008A55C1"/>
    <w:rsid w:val="008A5C1B"/>
    <w:rsid w:val="008A6824"/>
    <w:rsid w:val="008A7023"/>
    <w:rsid w:val="008A7149"/>
    <w:rsid w:val="008A72B3"/>
    <w:rsid w:val="008A78AB"/>
    <w:rsid w:val="008A7FDB"/>
    <w:rsid w:val="008B0386"/>
    <w:rsid w:val="008B09F1"/>
    <w:rsid w:val="008B169B"/>
    <w:rsid w:val="008B1C4F"/>
    <w:rsid w:val="008B1E30"/>
    <w:rsid w:val="008B2562"/>
    <w:rsid w:val="008B25A5"/>
    <w:rsid w:val="008B26F2"/>
    <w:rsid w:val="008B2A8F"/>
    <w:rsid w:val="008B2CC3"/>
    <w:rsid w:val="008B3194"/>
    <w:rsid w:val="008B3A38"/>
    <w:rsid w:val="008B3C6C"/>
    <w:rsid w:val="008B3E15"/>
    <w:rsid w:val="008B4307"/>
    <w:rsid w:val="008B4FE8"/>
    <w:rsid w:val="008B5375"/>
    <w:rsid w:val="008B572E"/>
    <w:rsid w:val="008B5C9B"/>
    <w:rsid w:val="008B636C"/>
    <w:rsid w:val="008B6552"/>
    <w:rsid w:val="008B6654"/>
    <w:rsid w:val="008B6D20"/>
    <w:rsid w:val="008B733F"/>
    <w:rsid w:val="008B73E0"/>
    <w:rsid w:val="008B7683"/>
    <w:rsid w:val="008B7719"/>
    <w:rsid w:val="008B7C4E"/>
    <w:rsid w:val="008C0304"/>
    <w:rsid w:val="008C061C"/>
    <w:rsid w:val="008C0983"/>
    <w:rsid w:val="008C0A26"/>
    <w:rsid w:val="008C1431"/>
    <w:rsid w:val="008C1448"/>
    <w:rsid w:val="008C152B"/>
    <w:rsid w:val="008C16D2"/>
    <w:rsid w:val="008C190F"/>
    <w:rsid w:val="008C200D"/>
    <w:rsid w:val="008C2027"/>
    <w:rsid w:val="008C275D"/>
    <w:rsid w:val="008C2764"/>
    <w:rsid w:val="008C2A0A"/>
    <w:rsid w:val="008C398E"/>
    <w:rsid w:val="008C4024"/>
    <w:rsid w:val="008C444C"/>
    <w:rsid w:val="008C44A5"/>
    <w:rsid w:val="008C44F2"/>
    <w:rsid w:val="008C4686"/>
    <w:rsid w:val="008C46BE"/>
    <w:rsid w:val="008C4A29"/>
    <w:rsid w:val="008C4CB8"/>
    <w:rsid w:val="008C52B8"/>
    <w:rsid w:val="008C5637"/>
    <w:rsid w:val="008C56D0"/>
    <w:rsid w:val="008C5A05"/>
    <w:rsid w:val="008C6152"/>
    <w:rsid w:val="008C6600"/>
    <w:rsid w:val="008C6BC0"/>
    <w:rsid w:val="008C6BD9"/>
    <w:rsid w:val="008C6EDE"/>
    <w:rsid w:val="008C77A5"/>
    <w:rsid w:val="008D0BFB"/>
    <w:rsid w:val="008D11A8"/>
    <w:rsid w:val="008D11DC"/>
    <w:rsid w:val="008D17EF"/>
    <w:rsid w:val="008D244A"/>
    <w:rsid w:val="008D27A7"/>
    <w:rsid w:val="008D280A"/>
    <w:rsid w:val="008D34B7"/>
    <w:rsid w:val="008D36AD"/>
    <w:rsid w:val="008D387E"/>
    <w:rsid w:val="008D3B7E"/>
    <w:rsid w:val="008D4E1E"/>
    <w:rsid w:val="008D55C6"/>
    <w:rsid w:val="008D5BC3"/>
    <w:rsid w:val="008D5EA9"/>
    <w:rsid w:val="008D6090"/>
    <w:rsid w:val="008D6435"/>
    <w:rsid w:val="008D6610"/>
    <w:rsid w:val="008D6956"/>
    <w:rsid w:val="008D6A74"/>
    <w:rsid w:val="008D7657"/>
    <w:rsid w:val="008E00B7"/>
    <w:rsid w:val="008E0204"/>
    <w:rsid w:val="008E0275"/>
    <w:rsid w:val="008E0383"/>
    <w:rsid w:val="008E03CA"/>
    <w:rsid w:val="008E04B4"/>
    <w:rsid w:val="008E0C4F"/>
    <w:rsid w:val="008E0C92"/>
    <w:rsid w:val="008E140E"/>
    <w:rsid w:val="008E24FE"/>
    <w:rsid w:val="008E27A4"/>
    <w:rsid w:val="008E2B95"/>
    <w:rsid w:val="008E344A"/>
    <w:rsid w:val="008E35EA"/>
    <w:rsid w:val="008E3E11"/>
    <w:rsid w:val="008E4960"/>
    <w:rsid w:val="008E4FD7"/>
    <w:rsid w:val="008E510F"/>
    <w:rsid w:val="008E56DD"/>
    <w:rsid w:val="008E5823"/>
    <w:rsid w:val="008E5899"/>
    <w:rsid w:val="008E5A5F"/>
    <w:rsid w:val="008E5E7F"/>
    <w:rsid w:val="008E6475"/>
    <w:rsid w:val="008E65BE"/>
    <w:rsid w:val="008E6703"/>
    <w:rsid w:val="008E6CC4"/>
    <w:rsid w:val="008E6F85"/>
    <w:rsid w:val="008E70CA"/>
    <w:rsid w:val="008E71E6"/>
    <w:rsid w:val="008E73A4"/>
    <w:rsid w:val="008E7E56"/>
    <w:rsid w:val="008F0242"/>
    <w:rsid w:val="008F032B"/>
    <w:rsid w:val="008F08A8"/>
    <w:rsid w:val="008F0D36"/>
    <w:rsid w:val="008F1209"/>
    <w:rsid w:val="008F12AB"/>
    <w:rsid w:val="008F1484"/>
    <w:rsid w:val="008F15F9"/>
    <w:rsid w:val="008F25B5"/>
    <w:rsid w:val="008F2A73"/>
    <w:rsid w:val="008F2E95"/>
    <w:rsid w:val="008F2FD6"/>
    <w:rsid w:val="008F30B4"/>
    <w:rsid w:val="008F3422"/>
    <w:rsid w:val="008F375D"/>
    <w:rsid w:val="008F5282"/>
    <w:rsid w:val="008F5503"/>
    <w:rsid w:val="008F592A"/>
    <w:rsid w:val="008F5E89"/>
    <w:rsid w:val="008F64C5"/>
    <w:rsid w:val="008F692F"/>
    <w:rsid w:val="008F7081"/>
    <w:rsid w:val="008F7D3E"/>
    <w:rsid w:val="00900802"/>
    <w:rsid w:val="00900810"/>
    <w:rsid w:val="009013EC"/>
    <w:rsid w:val="009017F0"/>
    <w:rsid w:val="00901ECF"/>
    <w:rsid w:val="0090202A"/>
    <w:rsid w:val="00902050"/>
    <w:rsid w:val="00903364"/>
    <w:rsid w:val="009034B8"/>
    <w:rsid w:val="00903803"/>
    <w:rsid w:val="00903DEB"/>
    <w:rsid w:val="00903E51"/>
    <w:rsid w:val="00903F5D"/>
    <w:rsid w:val="00904635"/>
    <w:rsid w:val="00904760"/>
    <w:rsid w:val="00904908"/>
    <w:rsid w:val="00904B4F"/>
    <w:rsid w:val="00904C3A"/>
    <w:rsid w:val="00904D50"/>
    <w:rsid w:val="00904EEB"/>
    <w:rsid w:val="0090512F"/>
    <w:rsid w:val="009051DB"/>
    <w:rsid w:val="009053FE"/>
    <w:rsid w:val="009062EA"/>
    <w:rsid w:val="00906CA7"/>
    <w:rsid w:val="009078C8"/>
    <w:rsid w:val="00907965"/>
    <w:rsid w:val="00907A90"/>
    <w:rsid w:val="00907E68"/>
    <w:rsid w:val="00907EF2"/>
    <w:rsid w:val="009103BE"/>
    <w:rsid w:val="009104AB"/>
    <w:rsid w:val="00910750"/>
    <w:rsid w:val="00910DA7"/>
    <w:rsid w:val="00910F4D"/>
    <w:rsid w:val="009112A5"/>
    <w:rsid w:val="009112D5"/>
    <w:rsid w:val="009116F3"/>
    <w:rsid w:val="00911B0E"/>
    <w:rsid w:val="009120D6"/>
    <w:rsid w:val="00913157"/>
    <w:rsid w:val="009135B7"/>
    <w:rsid w:val="00913C2C"/>
    <w:rsid w:val="00913F91"/>
    <w:rsid w:val="00914808"/>
    <w:rsid w:val="0091486B"/>
    <w:rsid w:val="009151E6"/>
    <w:rsid w:val="009156D0"/>
    <w:rsid w:val="00915F95"/>
    <w:rsid w:val="00916DF9"/>
    <w:rsid w:val="00917277"/>
    <w:rsid w:val="009201B9"/>
    <w:rsid w:val="009202DF"/>
    <w:rsid w:val="00920A40"/>
    <w:rsid w:val="00920ACC"/>
    <w:rsid w:val="00920B4E"/>
    <w:rsid w:val="00920C9C"/>
    <w:rsid w:val="00920D47"/>
    <w:rsid w:val="00920D4C"/>
    <w:rsid w:val="0092128D"/>
    <w:rsid w:val="00921298"/>
    <w:rsid w:val="00921650"/>
    <w:rsid w:val="00921A68"/>
    <w:rsid w:val="00921C40"/>
    <w:rsid w:val="00922466"/>
    <w:rsid w:val="00922B07"/>
    <w:rsid w:val="00922F60"/>
    <w:rsid w:val="009230FF"/>
    <w:rsid w:val="00923119"/>
    <w:rsid w:val="009233E4"/>
    <w:rsid w:val="009236B5"/>
    <w:rsid w:val="0092380E"/>
    <w:rsid w:val="00923935"/>
    <w:rsid w:val="00923A74"/>
    <w:rsid w:val="00923BA3"/>
    <w:rsid w:val="00923F92"/>
    <w:rsid w:val="00923FB5"/>
    <w:rsid w:val="00924091"/>
    <w:rsid w:val="0092453B"/>
    <w:rsid w:val="009245DB"/>
    <w:rsid w:val="009246CB"/>
    <w:rsid w:val="00924B76"/>
    <w:rsid w:val="00925585"/>
    <w:rsid w:val="009255B9"/>
    <w:rsid w:val="009256C8"/>
    <w:rsid w:val="00926166"/>
    <w:rsid w:val="0092664F"/>
    <w:rsid w:val="00926758"/>
    <w:rsid w:val="00926942"/>
    <w:rsid w:val="009269D1"/>
    <w:rsid w:val="00927446"/>
    <w:rsid w:val="00927B56"/>
    <w:rsid w:val="00930770"/>
    <w:rsid w:val="00930B86"/>
    <w:rsid w:val="00931023"/>
    <w:rsid w:val="00931962"/>
    <w:rsid w:val="009320A8"/>
    <w:rsid w:val="0093212A"/>
    <w:rsid w:val="009321C2"/>
    <w:rsid w:val="0093240D"/>
    <w:rsid w:val="00932422"/>
    <w:rsid w:val="0093274A"/>
    <w:rsid w:val="009327ED"/>
    <w:rsid w:val="009331D8"/>
    <w:rsid w:val="00933254"/>
    <w:rsid w:val="0093328E"/>
    <w:rsid w:val="00933801"/>
    <w:rsid w:val="00934C73"/>
    <w:rsid w:val="00934D4A"/>
    <w:rsid w:val="00934D9D"/>
    <w:rsid w:val="00935280"/>
    <w:rsid w:val="0093532A"/>
    <w:rsid w:val="00935359"/>
    <w:rsid w:val="00935774"/>
    <w:rsid w:val="00935DF4"/>
    <w:rsid w:val="00935E99"/>
    <w:rsid w:val="00936349"/>
    <w:rsid w:val="00936440"/>
    <w:rsid w:val="00936661"/>
    <w:rsid w:val="00936AE0"/>
    <w:rsid w:val="00936C5F"/>
    <w:rsid w:val="0093727A"/>
    <w:rsid w:val="0093739F"/>
    <w:rsid w:val="0093751F"/>
    <w:rsid w:val="00940551"/>
    <w:rsid w:val="00940F27"/>
    <w:rsid w:val="00940F80"/>
    <w:rsid w:val="009414C7"/>
    <w:rsid w:val="00941E00"/>
    <w:rsid w:val="0094251D"/>
    <w:rsid w:val="00942945"/>
    <w:rsid w:val="00942A88"/>
    <w:rsid w:val="00942FDC"/>
    <w:rsid w:val="0094335A"/>
    <w:rsid w:val="00943435"/>
    <w:rsid w:val="0094353A"/>
    <w:rsid w:val="00943753"/>
    <w:rsid w:val="00943D75"/>
    <w:rsid w:val="00943F7F"/>
    <w:rsid w:val="00943FC8"/>
    <w:rsid w:val="0094458D"/>
    <w:rsid w:val="009447E0"/>
    <w:rsid w:val="00944AFF"/>
    <w:rsid w:val="0094588D"/>
    <w:rsid w:val="00945984"/>
    <w:rsid w:val="0094640F"/>
    <w:rsid w:val="009468E8"/>
    <w:rsid w:val="0094756C"/>
    <w:rsid w:val="009500B6"/>
    <w:rsid w:val="009501C8"/>
    <w:rsid w:val="00950429"/>
    <w:rsid w:val="009504CA"/>
    <w:rsid w:val="009505E5"/>
    <w:rsid w:val="0095078C"/>
    <w:rsid w:val="00951063"/>
    <w:rsid w:val="00951513"/>
    <w:rsid w:val="009516D6"/>
    <w:rsid w:val="0095288C"/>
    <w:rsid w:val="009528D6"/>
    <w:rsid w:val="00952AC1"/>
    <w:rsid w:val="00952EED"/>
    <w:rsid w:val="00953045"/>
    <w:rsid w:val="009533CD"/>
    <w:rsid w:val="0095436A"/>
    <w:rsid w:val="009547B2"/>
    <w:rsid w:val="009547FD"/>
    <w:rsid w:val="009553DA"/>
    <w:rsid w:val="00955659"/>
    <w:rsid w:val="00955A98"/>
    <w:rsid w:val="00955D33"/>
    <w:rsid w:val="00955D7F"/>
    <w:rsid w:val="009561CA"/>
    <w:rsid w:val="009561CB"/>
    <w:rsid w:val="00956692"/>
    <w:rsid w:val="009567BA"/>
    <w:rsid w:val="009567D9"/>
    <w:rsid w:val="00956A23"/>
    <w:rsid w:val="00956DCE"/>
    <w:rsid w:val="0095726E"/>
    <w:rsid w:val="00957AF2"/>
    <w:rsid w:val="00957C4E"/>
    <w:rsid w:val="009606DC"/>
    <w:rsid w:val="009610A1"/>
    <w:rsid w:val="00961EE2"/>
    <w:rsid w:val="00962024"/>
    <w:rsid w:val="00962227"/>
    <w:rsid w:val="00962588"/>
    <w:rsid w:val="0096268C"/>
    <w:rsid w:val="00962DC4"/>
    <w:rsid w:val="00962E3B"/>
    <w:rsid w:val="00963029"/>
    <w:rsid w:val="009631E7"/>
    <w:rsid w:val="00963916"/>
    <w:rsid w:val="0096395F"/>
    <w:rsid w:val="00963B0F"/>
    <w:rsid w:val="00963BB5"/>
    <w:rsid w:val="00963C0F"/>
    <w:rsid w:val="00963D14"/>
    <w:rsid w:val="00964188"/>
    <w:rsid w:val="009641BC"/>
    <w:rsid w:val="009641FD"/>
    <w:rsid w:val="00964293"/>
    <w:rsid w:val="009646CF"/>
    <w:rsid w:val="0096487C"/>
    <w:rsid w:val="00964C36"/>
    <w:rsid w:val="00964E50"/>
    <w:rsid w:val="0096517D"/>
    <w:rsid w:val="0096536C"/>
    <w:rsid w:val="0096552B"/>
    <w:rsid w:val="009659A2"/>
    <w:rsid w:val="00965AEC"/>
    <w:rsid w:val="00965B27"/>
    <w:rsid w:val="00965D93"/>
    <w:rsid w:val="00965E0C"/>
    <w:rsid w:val="00965E71"/>
    <w:rsid w:val="00965F99"/>
    <w:rsid w:val="00966398"/>
    <w:rsid w:val="009663ED"/>
    <w:rsid w:val="00966531"/>
    <w:rsid w:val="00966729"/>
    <w:rsid w:val="0096695E"/>
    <w:rsid w:val="00966F31"/>
    <w:rsid w:val="009673C6"/>
    <w:rsid w:val="00970288"/>
    <w:rsid w:val="00970579"/>
    <w:rsid w:val="009705C6"/>
    <w:rsid w:val="009705D4"/>
    <w:rsid w:val="00970790"/>
    <w:rsid w:val="00970FAD"/>
    <w:rsid w:val="009710DD"/>
    <w:rsid w:val="009713D8"/>
    <w:rsid w:val="00971652"/>
    <w:rsid w:val="009719E9"/>
    <w:rsid w:val="00971F25"/>
    <w:rsid w:val="00972102"/>
    <w:rsid w:val="0097217E"/>
    <w:rsid w:val="00972740"/>
    <w:rsid w:val="0097326C"/>
    <w:rsid w:val="00973360"/>
    <w:rsid w:val="009733D4"/>
    <w:rsid w:val="00973782"/>
    <w:rsid w:val="00973E51"/>
    <w:rsid w:val="00974059"/>
    <w:rsid w:val="00974126"/>
    <w:rsid w:val="009746E8"/>
    <w:rsid w:val="00974A6A"/>
    <w:rsid w:val="00974DCF"/>
    <w:rsid w:val="009752CB"/>
    <w:rsid w:val="009758F3"/>
    <w:rsid w:val="009761B3"/>
    <w:rsid w:val="00976FA9"/>
    <w:rsid w:val="00976FF8"/>
    <w:rsid w:val="0097734E"/>
    <w:rsid w:val="00977B86"/>
    <w:rsid w:val="00977C65"/>
    <w:rsid w:val="009800FB"/>
    <w:rsid w:val="009801FB"/>
    <w:rsid w:val="00980655"/>
    <w:rsid w:val="009806EE"/>
    <w:rsid w:val="0098112D"/>
    <w:rsid w:val="009814B8"/>
    <w:rsid w:val="00981648"/>
    <w:rsid w:val="009816A3"/>
    <w:rsid w:val="00981A0A"/>
    <w:rsid w:val="009823AD"/>
    <w:rsid w:val="0098297D"/>
    <w:rsid w:val="00982CDA"/>
    <w:rsid w:val="00983069"/>
    <w:rsid w:val="009838F5"/>
    <w:rsid w:val="00983D3B"/>
    <w:rsid w:val="00983FE3"/>
    <w:rsid w:val="00984511"/>
    <w:rsid w:val="00984A09"/>
    <w:rsid w:val="00984E58"/>
    <w:rsid w:val="00985146"/>
    <w:rsid w:val="0098568B"/>
    <w:rsid w:val="00986407"/>
    <w:rsid w:val="009866E4"/>
    <w:rsid w:val="00986774"/>
    <w:rsid w:val="009874D4"/>
    <w:rsid w:val="00987D75"/>
    <w:rsid w:val="009903A5"/>
    <w:rsid w:val="0099046B"/>
    <w:rsid w:val="00990BA9"/>
    <w:rsid w:val="009915F8"/>
    <w:rsid w:val="009917FF"/>
    <w:rsid w:val="00991855"/>
    <w:rsid w:val="00991B2A"/>
    <w:rsid w:val="00991C42"/>
    <w:rsid w:val="00991F1D"/>
    <w:rsid w:val="00992104"/>
    <w:rsid w:val="0099286D"/>
    <w:rsid w:val="00993032"/>
    <w:rsid w:val="009933CC"/>
    <w:rsid w:val="00993AC8"/>
    <w:rsid w:val="009940E5"/>
    <w:rsid w:val="009946ED"/>
    <w:rsid w:val="00994AED"/>
    <w:rsid w:val="009957D5"/>
    <w:rsid w:val="0099618E"/>
    <w:rsid w:val="009961A5"/>
    <w:rsid w:val="0099639C"/>
    <w:rsid w:val="00996444"/>
    <w:rsid w:val="009965FC"/>
    <w:rsid w:val="0099666E"/>
    <w:rsid w:val="00996B83"/>
    <w:rsid w:val="009A0301"/>
    <w:rsid w:val="009A09DC"/>
    <w:rsid w:val="009A0E0E"/>
    <w:rsid w:val="009A10D9"/>
    <w:rsid w:val="009A165B"/>
    <w:rsid w:val="009A18D2"/>
    <w:rsid w:val="009A1D1A"/>
    <w:rsid w:val="009A2372"/>
    <w:rsid w:val="009A2378"/>
    <w:rsid w:val="009A25FF"/>
    <w:rsid w:val="009A2872"/>
    <w:rsid w:val="009A2BC6"/>
    <w:rsid w:val="009A2EA2"/>
    <w:rsid w:val="009A344E"/>
    <w:rsid w:val="009A345F"/>
    <w:rsid w:val="009A3520"/>
    <w:rsid w:val="009A3A03"/>
    <w:rsid w:val="009A4110"/>
    <w:rsid w:val="009A415B"/>
    <w:rsid w:val="009A4C8E"/>
    <w:rsid w:val="009A5665"/>
    <w:rsid w:val="009A56E9"/>
    <w:rsid w:val="009A5BF7"/>
    <w:rsid w:val="009A5E72"/>
    <w:rsid w:val="009A69B8"/>
    <w:rsid w:val="009A7242"/>
    <w:rsid w:val="009A740C"/>
    <w:rsid w:val="009A7E10"/>
    <w:rsid w:val="009B0A64"/>
    <w:rsid w:val="009B0BB2"/>
    <w:rsid w:val="009B0C1A"/>
    <w:rsid w:val="009B110C"/>
    <w:rsid w:val="009B13D1"/>
    <w:rsid w:val="009B160A"/>
    <w:rsid w:val="009B16EA"/>
    <w:rsid w:val="009B1BD6"/>
    <w:rsid w:val="009B1F7D"/>
    <w:rsid w:val="009B2150"/>
    <w:rsid w:val="009B220C"/>
    <w:rsid w:val="009B2970"/>
    <w:rsid w:val="009B2C3D"/>
    <w:rsid w:val="009B2CE0"/>
    <w:rsid w:val="009B2DE2"/>
    <w:rsid w:val="009B3089"/>
    <w:rsid w:val="009B327A"/>
    <w:rsid w:val="009B3D50"/>
    <w:rsid w:val="009B3F5A"/>
    <w:rsid w:val="009B451A"/>
    <w:rsid w:val="009B49C6"/>
    <w:rsid w:val="009B49E8"/>
    <w:rsid w:val="009B4A9C"/>
    <w:rsid w:val="009B4AFD"/>
    <w:rsid w:val="009B4B4C"/>
    <w:rsid w:val="009B4C35"/>
    <w:rsid w:val="009B4C45"/>
    <w:rsid w:val="009B4C5F"/>
    <w:rsid w:val="009B507C"/>
    <w:rsid w:val="009B551B"/>
    <w:rsid w:val="009B590F"/>
    <w:rsid w:val="009B5FAA"/>
    <w:rsid w:val="009B6361"/>
    <w:rsid w:val="009B66ED"/>
    <w:rsid w:val="009B6A89"/>
    <w:rsid w:val="009B6DC9"/>
    <w:rsid w:val="009B7238"/>
    <w:rsid w:val="009B7AEA"/>
    <w:rsid w:val="009C0A4C"/>
    <w:rsid w:val="009C0E29"/>
    <w:rsid w:val="009C0EB6"/>
    <w:rsid w:val="009C11F8"/>
    <w:rsid w:val="009C150A"/>
    <w:rsid w:val="009C161B"/>
    <w:rsid w:val="009C1F9D"/>
    <w:rsid w:val="009C2312"/>
    <w:rsid w:val="009C2685"/>
    <w:rsid w:val="009C344A"/>
    <w:rsid w:val="009C399D"/>
    <w:rsid w:val="009C3E9E"/>
    <w:rsid w:val="009C4F6B"/>
    <w:rsid w:val="009C50E4"/>
    <w:rsid w:val="009C5191"/>
    <w:rsid w:val="009C53E4"/>
    <w:rsid w:val="009C5814"/>
    <w:rsid w:val="009C67B5"/>
    <w:rsid w:val="009C7648"/>
    <w:rsid w:val="009D0A92"/>
    <w:rsid w:val="009D0B20"/>
    <w:rsid w:val="009D0C1A"/>
    <w:rsid w:val="009D0E53"/>
    <w:rsid w:val="009D11E4"/>
    <w:rsid w:val="009D2453"/>
    <w:rsid w:val="009D255C"/>
    <w:rsid w:val="009D27E6"/>
    <w:rsid w:val="009D33F4"/>
    <w:rsid w:val="009D3CE1"/>
    <w:rsid w:val="009D3E48"/>
    <w:rsid w:val="009D409A"/>
    <w:rsid w:val="009D411E"/>
    <w:rsid w:val="009D4429"/>
    <w:rsid w:val="009D4A12"/>
    <w:rsid w:val="009D5580"/>
    <w:rsid w:val="009D5847"/>
    <w:rsid w:val="009D5985"/>
    <w:rsid w:val="009D5D7C"/>
    <w:rsid w:val="009D661D"/>
    <w:rsid w:val="009D6A74"/>
    <w:rsid w:val="009D6AF4"/>
    <w:rsid w:val="009D70DE"/>
    <w:rsid w:val="009D737B"/>
    <w:rsid w:val="009D7649"/>
    <w:rsid w:val="009D7BD1"/>
    <w:rsid w:val="009D7DE8"/>
    <w:rsid w:val="009E02AC"/>
    <w:rsid w:val="009E0844"/>
    <w:rsid w:val="009E1640"/>
    <w:rsid w:val="009E1828"/>
    <w:rsid w:val="009E1905"/>
    <w:rsid w:val="009E2533"/>
    <w:rsid w:val="009E254B"/>
    <w:rsid w:val="009E268B"/>
    <w:rsid w:val="009E2945"/>
    <w:rsid w:val="009E2CA7"/>
    <w:rsid w:val="009E3F50"/>
    <w:rsid w:val="009E4C51"/>
    <w:rsid w:val="009E632A"/>
    <w:rsid w:val="009E6631"/>
    <w:rsid w:val="009E696F"/>
    <w:rsid w:val="009E6B77"/>
    <w:rsid w:val="009E6F39"/>
    <w:rsid w:val="009E7044"/>
    <w:rsid w:val="009E7105"/>
    <w:rsid w:val="009E7207"/>
    <w:rsid w:val="009F0087"/>
    <w:rsid w:val="009F0660"/>
    <w:rsid w:val="009F06B8"/>
    <w:rsid w:val="009F073C"/>
    <w:rsid w:val="009F0AA9"/>
    <w:rsid w:val="009F0C1B"/>
    <w:rsid w:val="009F0D39"/>
    <w:rsid w:val="009F1100"/>
    <w:rsid w:val="009F1511"/>
    <w:rsid w:val="009F17C6"/>
    <w:rsid w:val="009F1AF0"/>
    <w:rsid w:val="009F28A1"/>
    <w:rsid w:val="009F33D3"/>
    <w:rsid w:val="009F3B9C"/>
    <w:rsid w:val="009F40CB"/>
    <w:rsid w:val="009F4836"/>
    <w:rsid w:val="009F4BB3"/>
    <w:rsid w:val="009F54B1"/>
    <w:rsid w:val="009F5B49"/>
    <w:rsid w:val="009F5E51"/>
    <w:rsid w:val="009F6038"/>
    <w:rsid w:val="009F62F0"/>
    <w:rsid w:val="009F6598"/>
    <w:rsid w:val="009F66EB"/>
    <w:rsid w:val="009F6989"/>
    <w:rsid w:val="009F6CD9"/>
    <w:rsid w:val="009F6E8A"/>
    <w:rsid w:val="009F7082"/>
    <w:rsid w:val="009F718C"/>
    <w:rsid w:val="009F7521"/>
    <w:rsid w:val="009F76A5"/>
    <w:rsid w:val="009F77AA"/>
    <w:rsid w:val="009F7DCB"/>
    <w:rsid w:val="00A001C3"/>
    <w:rsid w:val="00A00A32"/>
    <w:rsid w:val="00A00CAB"/>
    <w:rsid w:val="00A01451"/>
    <w:rsid w:val="00A01464"/>
    <w:rsid w:val="00A01FF5"/>
    <w:rsid w:val="00A02240"/>
    <w:rsid w:val="00A023F0"/>
    <w:rsid w:val="00A0257F"/>
    <w:rsid w:val="00A02623"/>
    <w:rsid w:val="00A02C4C"/>
    <w:rsid w:val="00A02FE0"/>
    <w:rsid w:val="00A03280"/>
    <w:rsid w:val="00A032A5"/>
    <w:rsid w:val="00A032FB"/>
    <w:rsid w:val="00A0350A"/>
    <w:rsid w:val="00A03F66"/>
    <w:rsid w:val="00A0478B"/>
    <w:rsid w:val="00A051AC"/>
    <w:rsid w:val="00A0589C"/>
    <w:rsid w:val="00A060F9"/>
    <w:rsid w:val="00A066BA"/>
    <w:rsid w:val="00A06A08"/>
    <w:rsid w:val="00A0705D"/>
    <w:rsid w:val="00A07962"/>
    <w:rsid w:val="00A07996"/>
    <w:rsid w:val="00A10012"/>
    <w:rsid w:val="00A10AA1"/>
    <w:rsid w:val="00A11364"/>
    <w:rsid w:val="00A11414"/>
    <w:rsid w:val="00A118C1"/>
    <w:rsid w:val="00A119D8"/>
    <w:rsid w:val="00A124F7"/>
    <w:rsid w:val="00A127FC"/>
    <w:rsid w:val="00A12AB4"/>
    <w:rsid w:val="00A12FBC"/>
    <w:rsid w:val="00A130CF"/>
    <w:rsid w:val="00A130D7"/>
    <w:rsid w:val="00A13529"/>
    <w:rsid w:val="00A1385B"/>
    <w:rsid w:val="00A13AD8"/>
    <w:rsid w:val="00A13BC6"/>
    <w:rsid w:val="00A13D4F"/>
    <w:rsid w:val="00A1445D"/>
    <w:rsid w:val="00A1493E"/>
    <w:rsid w:val="00A1494B"/>
    <w:rsid w:val="00A14F48"/>
    <w:rsid w:val="00A15AE9"/>
    <w:rsid w:val="00A166B8"/>
    <w:rsid w:val="00A16805"/>
    <w:rsid w:val="00A168BA"/>
    <w:rsid w:val="00A168C3"/>
    <w:rsid w:val="00A16C1F"/>
    <w:rsid w:val="00A1777C"/>
    <w:rsid w:val="00A177B5"/>
    <w:rsid w:val="00A17E17"/>
    <w:rsid w:val="00A17FBA"/>
    <w:rsid w:val="00A200E8"/>
    <w:rsid w:val="00A20197"/>
    <w:rsid w:val="00A20386"/>
    <w:rsid w:val="00A20A41"/>
    <w:rsid w:val="00A20A63"/>
    <w:rsid w:val="00A20FF2"/>
    <w:rsid w:val="00A211F9"/>
    <w:rsid w:val="00A217BB"/>
    <w:rsid w:val="00A21C24"/>
    <w:rsid w:val="00A21C5C"/>
    <w:rsid w:val="00A21F1B"/>
    <w:rsid w:val="00A23064"/>
    <w:rsid w:val="00A23868"/>
    <w:rsid w:val="00A24678"/>
    <w:rsid w:val="00A248F9"/>
    <w:rsid w:val="00A24F8B"/>
    <w:rsid w:val="00A25A82"/>
    <w:rsid w:val="00A25F85"/>
    <w:rsid w:val="00A26559"/>
    <w:rsid w:val="00A26664"/>
    <w:rsid w:val="00A26952"/>
    <w:rsid w:val="00A26DAC"/>
    <w:rsid w:val="00A26EA3"/>
    <w:rsid w:val="00A26F1F"/>
    <w:rsid w:val="00A272AD"/>
    <w:rsid w:val="00A272B1"/>
    <w:rsid w:val="00A279A8"/>
    <w:rsid w:val="00A30162"/>
    <w:rsid w:val="00A30BFB"/>
    <w:rsid w:val="00A30FB4"/>
    <w:rsid w:val="00A311AE"/>
    <w:rsid w:val="00A3185C"/>
    <w:rsid w:val="00A31AB1"/>
    <w:rsid w:val="00A329A8"/>
    <w:rsid w:val="00A32D80"/>
    <w:rsid w:val="00A3371B"/>
    <w:rsid w:val="00A3384C"/>
    <w:rsid w:val="00A338BE"/>
    <w:rsid w:val="00A33ABC"/>
    <w:rsid w:val="00A33AC8"/>
    <w:rsid w:val="00A33FF2"/>
    <w:rsid w:val="00A3405D"/>
    <w:rsid w:val="00A3482F"/>
    <w:rsid w:val="00A34B98"/>
    <w:rsid w:val="00A35300"/>
    <w:rsid w:val="00A35E0F"/>
    <w:rsid w:val="00A35EC0"/>
    <w:rsid w:val="00A36258"/>
    <w:rsid w:val="00A366CB"/>
    <w:rsid w:val="00A36968"/>
    <w:rsid w:val="00A378EA"/>
    <w:rsid w:val="00A37AE4"/>
    <w:rsid w:val="00A37CCE"/>
    <w:rsid w:val="00A37FBC"/>
    <w:rsid w:val="00A4080B"/>
    <w:rsid w:val="00A40C01"/>
    <w:rsid w:val="00A40C33"/>
    <w:rsid w:val="00A412DA"/>
    <w:rsid w:val="00A415AC"/>
    <w:rsid w:val="00A423E5"/>
    <w:rsid w:val="00A4264C"/>
    <w:rsid w:val="00A42D98"/>
    <w:rsid w:val="00A4337A"/>
    <w:rsid w:val="00A433FF"/>
    <w:rsid w:val="00A435FE"/>
    <w:rsid w:val="00A43767"/>
    <w:rsid w:val="00A438D9"/>
    <w:rsid w:val="00A43C8D"/>
    <w:rsid w:val="00A43DA4"/>
    <w:rsid w:val="00A442A6"/>
    <w:rsid w:val="00A447C8"/>
    <w:rsid w:val="00A45E09"/>
    <w:rsid w:val="00A465CD"/>
    <w:rsid w:val="00A468A1"/>
    <w:rsid w:val="00A46E29"/>
    <w:rsid w:val="00A46F28"/>
    <w:rsid w:val="00A47B7B"/>
    <w:rsid w:val="00A47EBA"/>
    <w:rsid w:val="00A5015D"/>
    <w:rsid w:val="00A502DC"/>
    <w:rsid w:val="00A50458"/>
    <w:rsid w:val="00A50AD8"/>
    <w:rsid w:val="00A50D03"/>
    <w:rsid w:val="00A5145D"/>
    <w:rsid w:val="00A51BC0"/>
    <w:rsid w:val="00A51CCC"/>
    <w:rsid w:val="00A53059"/>
    <w:rsid w:val="00A5305D"/>
    <w:rsid w:val="00A5329B"/>
    <w:rsid w:val="00A53DD1"/>
    <w:rsid w:val="00A54018"/>
    <w:rsid w:val="00A54065"/>
    <w:rsid w:val="00A543DD"/>
    <w:rsid w:val="00A54450"/>
    <w:rsid w:val="00A548F9"/>
    <w:rsid w:val="00A54EC4"/>
    <w:rsid w:val="00A5531F"/>
    <w:rsid w:val="00A559A4"/>
    <w:rsid w:val="00A561D8"/>
    <w:rsid w:val="00A56388"/>
    <w:rsid w:val="00A56BB9"/>
    <w:rsid w:val="00A56D97"/>
    <w:rsid w:val="00A56E8D"/>
    <w:rsid w:val="00A5739D"/>
    <w:rsid w:val="00A57827"/>
    <w:rsid w:val="00A57BDC"/>
    <w:rsid w:val="00A60592"/>
    <w:rsid w:val="00A60BC7"/>
    <w:rsid w:val="00A60D9E"/>
    <w:rsid w:val="00A61645"/>
    <w:rsid w:val="00A6197D"/>
    <w:rsid w:val="00A61BA8"/>
    <w:rsid w:val="00A62012"/>
    <w:rsid w:val="00A62039"/>
    <w:rsid w:val="00A62467"/>
    <w:rsid w:val="00A625C5"/>
    <w:rsid w:val="00A62C67"/>
    <w:rsid w:val="00A635F9"/>
    <w:rsid w:val="00A644A7"/>
    <w:rsid w:val="00A64D89"/>
    <w:rsid w:val="00A65554"/>
    <w:rsid w:val="00A656F3"/>
    <w:rsid w:val="00A65830"/>
    <w:rsid w:val="00A66183"/>
    <w:rsid w:val="00A66247"/>
    <w:rsid w:val="00A66ACE"/>
    <w:rsid w:val="00A672C2"/>
    <w:rsid w:val="00A673FB"/>
    <w:rsid w:val="00A6777C"/>
    <w:rsid w:val="00A67803"/>
    <w:rsid w:val="00A67AC4"/>
    <w:rsid w:val="00A67C17"/>
    <w:rsid w:val="00A67DE2"/>
    <w:rsid w:val="00A70455"/>
    <w:rsid w:val="00A70527"/>
    <w:rsid w:val="00A70A39"/>
    <w:rsid w:val="00A70F96"/>
    <w:rsid w:val="00A7114D"/>
    <w:rsid w:val="00A71606"/>
    <w:rsid w:val="00A7184A"/>
    <w:rsid w:val="00A71B11"/>
    <w:rsid w:val="00A71F70"/>
    <w:rsid w:val="00A71FD5"/>
    <w:rsid w:val="00A7298D"/>
    <w:rsid w:val="00A72D18"/>
    <w:rsid w:val="00A72EC9"/>
    <w:rsid w:val="00A73184"/>
    <w:rsid w:val="00A732DC"/>
    <w:rsid w:val="00A7444E"/>
    <w:rsid w:val="00A74E61"/>
    <w:rsid w:val="00A7502D"/>
    <w:rsid w:val="00A75642"/>
    <w:rsid w:val="00A75B96"/>
    <w:rsid w:val="00A764CE"/>
    <w:rsid w:val="00A77021"/>
    <w:rsid w:val="00A770EE"/>
    <w:rsid w:val="00A77563"/>
    <w:rsid w:val="00A77854"/>
    <w:rsid w:val="00A77AE3"/>
    <w:rsid w:val="00A77B58"/>
    <w:rsid w:val="00A77BEC"/>
    <w:rsid w:val="00A77C53"/>
    <w:rsid w:val="00A77C68"/>
    <w:rsid w:val="00A77D25"/>
    <w:rsid w:val="00A80E9C"/>
    <w:rsid w:val="00A81127"/>
    <w:rsid w:val="00A8113E"/>
    <w:rsid w:val="00A81571"/>
    <w:rsid w:val="00A81843"/>
    <w:rsid w:val="00A81959"/>
    <w:rsid w:val="00A81B8A"/>
    <w:rsid w:val="00A81F03"/>
    <w:rsid w:val="00A82F48"/>
    <w:rsid w:val="00A83108"/>
    <w:rsid w:val="00A831C1"/>
    <w:rsid w:val="00A8344E"/>
    <w:rsid w:val="00A83455"/>
    <w:rsid w:val="00A834E9"/>
    <w:rsid w:val="00A839B8"/>
    <w:rsid w:val="00A83CC6"/>
    <w:rsid w:val="00A83E6C"/>
    <w:rsid w:val="00A83F9A"/>
    <w:rsid w:val="00A841FB"/>
    <w:rsid w:val="00A8443A"/>
    <w:rsid w:val="00A848F3"/>
    <w:rsid w:val="00A84E16"/>
    <w:rsid w:val="00A855BD"/>
    <w:rsid w:val="00A856C4"/>
    <w:rsid w:val="00A8586D"/>
    <w:rsid w:val="00A85AB6"/>
    <w:rsid w:val="00A862A7"/>
    <w:rsid w:val="00A8643B"/>
    <w:rsid w:val="00A864C2"/>
    <w:rsid w:val="00A8685A"/>
    <w:rsid w:val="00A86ECC"/>
    <w:rsid w:val="00A871F0"/>
    <w:rsid w:val="00A877FD"/>
    <w:rsid w:val="00A87975"/>
    <w:rsid w:val="00A904B4"/>
    <w:rsid w:val="00A906C0"/>
    <w:rsid w:val="00A90883"/>
    <w:rsid w:val="00A90B58"/>
    <w:rsid w:val="00A91EF8"/>
    <w:rsid w:val="00A92127"/>
    <w:rsid w:val="00A9257C"/>
    <w:rsid w:val="00A928A7"/>
    <w:rsid w:val="00A92D2B"/>
    <w:rsid w:val="00A9335C"/>
    <w:rsid w:val="00A93CFC"/>
    <w:rsid w:val="00A94071"/>
    <w:rsid w:val="00A94BB8"/>
    <w:rsid w:val="00A94F82"/>
    <w:rsid w:val="00A95ADC"/>
    <w:rsid w:val="00A95DEA"/>
    <w:rsid w:val="00A9614E"/>
    <w:rsid w:val="00A9639E"/>
    <w:rsid w:val="00A964FE"/>
    <w:rsid w:val="00A965C2"/>
    <w:rsid w:val="00A96747"/>
    <w:rsid w:val="00A96F8C"/>
    <w:rsid w:val="00A970FB"/>
    <w:rsid w:val="00A97647"/>
    <w:rsid w:val="00A97AF6"/>
    <w:rsid w:val="00A97C57"/>
    <w:rsid w:val="00A97F25"/>
    <w:rsid w:val="00AA0398"/>
    <w:rsid w:val="00AA0593"/>
    <w:rsid w:val="00AA0778"/>
    <w:rsid w:val="00AA09C2"/>
    <w:rsid w:val="00AA0E09"/>
    <w:rsid w:val="00AA11FF"/>
    <w:rsid w:val="00AA16BE"/>
    <w:rsid w:val="00AA176F"/>
    <w:rsid w:val="00AA1831"/>
    <w:rsid w:val="00AA1987"/>
    <w:rsid w:val="00AA1B79"/>
    <w:rsid w:val="00AA1C78"/>
    <w:rsid w:val="00AA1CC1"/>
    <w:rsid w:val="00AA244D"/>
    <w:rsid w:val="00AA36F7"/>
    <w:rsid w:val="00AA3794"/>
    <w:rsid w:val="00AA3F70"/>
    <w:rsid w:val="00AA4023"/>
    <w:rsid w:val="00AA408E"/>
    <w:rsid w:val="00AA4734"/>
    <w:rsid w:val="00AA47EA"/>
    <w:rsid w:val="00AA4A05"/>
    <w:rsid w:val="00AA5516"/>
    <w:rsid w:val="00AA610F"/>
    <w:rsid w:val="00AA684B"/>
    <w:rsid w:val="00AA6DCF"/>
    <w:rsid w:val="00AA721A"/>
    <w:rsid w:val="00AA7418"/>
    <w:rsid w:val="00AA7927"/>
    <w:rsid w:val="00AA7EAC"/>
    <w:rsid w:val="00AA7EF0"/>
    <w:rsid w:val="00AB03D7"/>
    <w:rsid w:val="00AB049A"/>
    <w:rsid w:val="00AB0DEA"/>
    <w:rsid w:val="00AB124A"/>
    <w:rsid w:val="00AB2411"/>
    <w:rsid w:val="00AB24E9"/>
    <w:rsid w:val="00AB2EEE"/>
    <w:rsid w:val="00AB3AF2"/>
    <w:rsid w:val="00AB3FE5"/>
    <w:rsid w:val="00AB4D5B"/>
    <w:rsid w:val="00AB5441"/>
    <w:rsid w:val="00AB57BB"/>
    <w:rsid w:val="00AB589D"/>
    <w:rsid w:val="00AB5ABC"/>
    <w:rsid w:val="00AB5E95"/>
    <w:rsid w:val="00AB6901"/>
    <w:rsid w:val="00AB6A89"/>
    <w:rsid w:val="00AB6CE1"/>
    <w:rsid w:val="00AB6D70"/>
    <w:rsid w:val="00AB7784"/>
    <w:rsid w:val="00AB7D1A"/>
    <w:rsid w:val="00AC0CFC"/>
    <w:rsid w:val="00AC0D3E"/>
    <w:rsid w:val="00AC0D83"/>
    <w:rsid w:val="00AC0F75"/>
    <w:rsid w:val="00AC198D"/>
    <w:rsid w:val="00AC228C"/>
    <w:rsid w:val="00AC24E8"/>
    <w:rsid w:val="00AC25A1"/>
    <w:rsid w:val="00AC2668"/>
    <w:rsid w:val="00AC2FC7"/>
    <w:rsid w:val="00AC3116"/>
    <w:rsid w:val="00AC3484"/>
    <w:rsid w:val="00AC3D8A"/>
    <w:rsid w:val="00AC3FB7"/>
    <w:rsid w:val="00AC3FEF"/>
    <w:rsid w:val="00AC45E6"/>
    <w:rsid w:val="00AC45F8"/>
    <w:rsid w:val="00AC4826"/>
    <w:rsid w:val="00AC48BC"/>
    <w:rsid w:val="00AC4BCA"/>
    <w:rsid w:val="00AC518E"/>
    <w:rsid w:val="00AC566E"/>
    <w:rsid w:val="00AC5C53"/>
    <w:rsid w:val="00AC5C73"/>
    <w:rsid w:val="00AC5CC4"/>
    <w:rsid w:val="00AC6610"/>
    <w:rsid w:val="00AC6D5E"/>
    <w:rsid w:val="00AC7046"/>
    <w:rsid w:val="00AD043D"/>
    <w:rsid w:val="00AD0831"/>
    <w:rsid w:val="00AD0F68"/>
    <w:rsid w:val="00AD11A3"/>
    <w:rsid w:val="00AD19FE"/>
    <w:rsid w:val="00AD1D0D"/>
    <w:rsid w:val="00AD1EAB"/>
    <w:rsid w:val="00AD259E"/>
    <w:rsid w:val="00AD2891"/>
    <w:rsid w:val="00AD28C6"/>
    <w:rsid w:val="00AD2B48"/>
    <w:rsid w:val="00AD2C5D"/>
    <w:rsid w:val="00AD2F5A"/>
    <w:rsid w:val="00AD3289"/>
    <w:rsid w:val="00AD3A50"/>
    <w:rsid w:val="00AD3E92"/>
    <w:rsid w:val="00AD3EEF"/>
    <w:rsid w:val="00AD42B3"/>
    <w:rsid w:val="00AD4323"/>
    <w:rsid w:val="00AD4431"/>
    <w:rsid w:val="00AD4FCF"/>
    <w:rsid w:val="00AD5527"/>
    <w:rsid w:val="00AD5621"/>
    <w:rsid w:val="00AD5698"/>
    <w:rsid w:val="00AD627C"/>
    <w:rsid w:val="00AD6CFB"/>
    <w:rsid w:val="00AD6F8B"/>
    <w:rsid w:val="00AD77C9"/>
    <w:rsid w:val="00AD7A61"/>
    <w:rsid w:val="00AD7BEA"/>
    <w:rsid w:val="00AE0E24"/>
    <w:rsid w:val="00AE16B6"/>
    <w:rsid w:val="00AE241E"/>
    <w:rsid w:val="00AE265E"/>
    <w:rsid w:val="00AE2BC5"/>
    <w:rsid w:val="00AE336B"/>
    <w:rsid w:val="00AE3642"/>
    <w:rsid w:val="00AE3AA1"/>
    <w:rsid w:val="00AE3B58"/>
    <w:rsid w:val="00AE3C25"/>
    <w:rsid w:val="00AE42F3"/>
    <w:rsid w:val="00AE45DC"/>
    <w:rsid w:val="00AE488F"/>
    <w:rsid w:val="00AE4B2B"/>
    <w:rsid w:val="00AE4DE4"/>
    <w:rsid w:val="00AE524A"/>
    <w:rsid w:val="00AE54F0"/>
    <w:rsid w:val="00AE5BB3"/>
    <w:rsid w:val="00AE6BDA"/>
    <w:rsid w:val="00AE6DF6"/>
    <w:rsid w:val="00AE729B"/>
    <w:rsid w:val="00AE76B4"/>
    <w:rsid w:val="00AF0E95"/>
    <w:rsid w:val="00AF0FCA"/>
    <w:rsid w:val="00AF126C"/>
    <w:rsid w:val="00AF13FD"/>
    <w:rsid w:val="00AF1975"/>
    <w:rsid w:val="00AF1F92"/>
    <w:rsid w:val="00AF2E72"/>
    <w:rsid w:val="00AF36C6"/>
    <w:rsid w:val="00AF388E"/>
    <w:rsid w:val="00AF397E"/>
    <w:rsid w:val="00AF3B7C"/>
    <w:rsid w:val="00AF4094"/>
    <w:rsid w:val="00AF41B4"/>
    <w:rsid w:val="00AF4838"/>
    <w:rsid w:val="00AF48F3"/>
    <w:rsid w:val="00AF4AA5"/>
    <w:rsid w:val="00AF5016"/>
    <w:rsid w:val="00AF5186"/>
    <w:rsid w:val="00AF5211"/>
    <w:rsid w:val="00AF5C0E"/>
    <w:rsid w:val="00AF5CDD"/>
    <w:rsid w:val="00AF5E97"/>
    <w:rsid w:val="00AF6157"/>
    <w:rsid w:val="00AF62FD"/>
    <w:rsid w:val="00AF6496"/>
    <w:rsid w:val="00AF65F0"/>
    <w:rsid w:val="00AF70F4"/>
    <w:rsid w:val="00AF7AFB"/>
    <w:rsid w:val="00AF7B05"/>
    <w:rsid w:val="00AF7DDE"/>
    <w:rsid w:val="00AF7E82"/>
    <w:rsid w:val="00AF7FC6"/>
    <w:rsid w:val="00B00567"/>
    <w:rsid w:val="00B00604"/>
    <w:rsid w:val="00B008BF"/>
    <w:rsid w:val="00B008E0"/>
    <w:rsid w:val="00B01287"/>
    <w:rsid w:val="00B01B61"/>
    <w:rsid w:val="00B01CE8"/>
    <w:rsid w:val="00B02211"/>
    <w:rsid w:val="00B02399"/>
    <w:rsid w:val="00B02515"/>
    <w:rsid w:val="00B02EEE"/>
    <w:rsid w:val="00B03048"/>
    <w:rsid w:val="00B036AB"/>
    <w:rsid w:val="00B03814"/>
    <w:rsid w:val="00B03AED"/>
    <w:rsid w:val="00B04770"/>
    <w:rsid w:val="00B0544B"/>
    <w:rsid w:val="00B05B9B"/>
    <w:rsid w:val="00B05C1E"/>
    <w:rsid w:val="00B061C3"/>
    <w:rsid w:val="00B0648B"/>
    <w:rsid w:val="00B0677C"/>
    <w:rsid w:val="00B069E6"/>
    <w:rsid w:val="00B06BFA"/>
    <w:rsid w:val="00B06C85"/>
    <w:rsid w:val="00B07211"/>
    <w:rsid w:val="00B0724E"/>
    <w:rsid w:val="00B07696"/>
    <w:rsid w:val="00B07C47"/>
    <w:rsid w:val="00B07D8B"/>
    <w:rsid w:val="00B10BC1"/>
    <w:rsid w:val="00B10DB5"/>
    <w:rsid w:val="00B110F1"/>
    <w:rsid w:val="00B12927"/>
    <w:rsid w:val="00B129B4"/>
    <w:rsid w:val="00B12C1F"/>
    <w:rsid w:val="00B12DC4"/>
    <w:rsid w:val="00B12F08"/>
    <w:rsid w:val="00B136AE"/>
    <w:rsid w:val="00B138F0"/>
    <w:rsid w:val="00B13DA6"/>
    <w:rsid w:val="00B1401D"/>
    <w:rsid w:val="00B14455"/>
    <w:rsid w:val="00B144A3"/>
    <w:rsid w:val="00B14789"/>
    <w:rsid w:val="00B14A28"/>
    <w:rsid w:val="00B14D15"/>
    <w:rsid w:val="00B14F62"/>
    <w:rsid w:val="00B1571D"/>
    <w:rsid w:val="00B16197"/>
    <w:rsid w:val="00B161CE"/>
    <w:rsid w:val="00B1644B"/>
    <w:rsid w:val="00B164AF"/>
    <w:rsid w:val="00B1693E"/>
    <w:rsid w:val="00B16A3E"/>
    <w:rsid w:val="00B16C20"/>
    <w:rsid w:val="00B17093"/>
    <w:rsid w:val="00B17BA2"/>
    <w:rsid w:val="00B2028F"/>
    <w:rsid w:val="00B2065B"/>
    <w:rsid w:val="00B20702"/>
    <w:rsid w:val="00B20909"/>
    <w:rsid w:val="00B20B3A"/>
    <w:rsid w:val="00B210B7"/>
    <w:rsid w:val="00B21210"/>
    <w:rsid w:val="00B2166B"/>
    <w:rsid w:val="00B2173F"/>
    <w:rsid w:val="00B21E71"/>
    <w:rsid w:val="00B23294"/>
    <w:rsid w:val="00B23912"/>
    <w:rsid w:val="00B23E58"/>
    <w:rsid w:val="00B2412E"/>
    <w:rsid w:val="00B2415D"/>
    <w:rsid w:val="00B25871"/>
    <w:rsid w:val="00B25938"/>
    <w:rsid w:val="00B2603E"/>
    <w:rsid w:val="00B2652D"/>
    <w:rsid w:val="00B269E9"/>
    <w:rsid w:val="00B26AE3"/>
    <w:rsid w:val="00B26B9A"/>
    <w:rsid w:val="00B26DCD"/>
    <w:rsid w:val="00B26F50"/>
    <w:rsid w:val="00B27155"/>
    <w:rsid w:val="00B27273"/>
    <w:rsid w:val="00B27548"/>
    <w:rsid w:val="00B2790A"/>
    <w:rsid w:val="00B279D4"/>
    <w:rsid w:val="00B305E4"/>
    <w:rsid w:val="00B30A42"/>
    <w:rsid w:val="00B30A8C"/>
    <w:rsid w:val="00B30AAE"/>
    <w:rsid w:val="00B30EE2"/>
    <w:rsid w:val="00B31662"/>
    <w:rsid w:val="00B31AAE"/>
    <w:rsid w:val="00B31FD3"/>
    <w:rsid w:val="00B3203A"/>
    <w:rsid w:val="00B323ED"/>
    <w:rsid w:val="00B324A6"/>
    <w:rsid w:val="00B32796"/>
    <w:rsid w:val="00B33488"/>
    <w:rsid w:val="00B33611"/>
    <w:rsid w:val="00B33AA9"/>
    <w:rsid w:val="00B33D08"/>
    <w:rsid w:val="00B33FC0"/>
    <w:rsid w:val="00B34245"/>
    <w:rsid w:val="00B34DCD"/>
    <w:rsid w:val="00B34FD1"/>
    <w:rsid w:val="00B359BC"/>
    <w:rsid w:val="00B371FB"/>
    <w:rsid w:val="00B373B1"/>
    <w:rsid w:val="00B37BDC"/>
    <w:rsid w:val="00B37F96"/>
    <w:rsid w:val="00B40F39"/>
    <w:rsid w:val="00B41533"/>
    <w:rsid w:val="00B4183C"/>
    <w:rsid w:val="00B41B0A"/>
    <w:rsid w:val="00B41C06"/>
    <w:rsid w:val="00B42061"/>
    <w:rsid w:val="00B4225A"/>
    <w:rsid w:val="00B42A42"/>
    <w:rsid w:val="00B42EFE"/>
    <w:rsid w:val="00B43292"/>
    <w:rsid w:val="00B43B05"/>
    <w:rsid w:val="00B43B26"/>
    <w:rsid w:val="00B43C53"/>
    <w:rsid w:val="00B44142"/>
    <w:rsid w:val="00B443CC"/>
    <w:rsid w:val="00B444AB"/>
    <w:rsid w:val="00B4485A"/>
    <w:rsid w:val="00B44C78"/>
    <w:rsid w:val="00B451E8"/>
    <w:rsid w:val="00B458D8"/>
    <w:rsid w:val="00B45D5C"/>
    <w:rsid w:val="00B45E80"/>
    <w:rsid w:val="00B45EB6"/>
    <w:rsid w:val="00B45FEC"/>
    <w:rsid w:val="00B4625E"/>
    <w:rsid w:val="00B4640C"/>
    <w:rsid w:val="00B46481"/>
    <w:rsid w:val="00B468C6"/>
    <w:rsid w:val="00B469F6"/>
    <w:rsid w:val="00B46E3B"/>
    <w:rsid w:val="00B4708C"/>
    <w:rsid w:val="00B47A7D"/>
    <w:rsid w:val="00B47DAE"/>
    <w:rsid w:val="00B504A3"/>
    <w:rsid w:val="00B50886"/>
    <w:rsid w:val="00B52075"/>
    <w:rsid w:val="00B523DB"/>
    <w:rsid w:val="00B52442"/>
    <w:rsid w:val="00B526EC"/>
    <w:rsid w:val="00B535E6"/>
    <w:rsid w:val="00B537C9"/>
    <w:rsid w:val="00B538E5"/>
    <w:rsid w:val="00B540A9"/>
    <w:rsid w:val="00B549CB"/>
    <w:rsid w:val="00B54B97"/>
    <w:rsid w:val="00B555EA"/>
    <w:rsid w:val="00B55DAF"/>
    <w:rsid w:val="00B56301"/>
    <w:rsid w:val="00B56595"/>
    <w:rsid w:val="00B56A34"/>
    <w:rsid w:val="00B56E79"/>
    <w:rsid w:val="00B57063"/>
    <w:rsid w:val="00B57104"/>
    <w:rsid w:val="00B57637"/>
    <w:rsid w:val="00B577F7"/>
    <w:rsid w:val="00B57AF5"/>
    <w:rsid w:val="00B57C8E"/>
    <w:rsid w:val="00B57EF9"/>
    <w:rsid w:val="00B60003"/>
    <w:rsid w:val="00B61495"/>
    <w:rsid w:val="00B621D4"/>
    <w:rsid w:val="00B63B6A"/>
    <w:rsid w:val="00B63EEC"/>
    <w:rsid w:val="00B64152"/>
    <w:rsid w:val="00B64211"/>
    <w:rsid w:val="00B64775"/>
    <w:rsid w:val="00B647E0"/>
    <w:rsid w:val="00B64B87"/>
    <w:rsid w:val="00B64FC8"/>
    <w:rsid w:val="00B6539A"/>
    <w:rsid w:val="00B653B6"/>
    <w:rsid w:val="00B655BF"/>
    <w:rsid w:val="00B65665"/>
    <w:rsid w:val="00B6577B"/>
    <w:rsid w:val="00B66326"/>
    <w:rsid w:val="00B66377"/>
    <w:rsid w:val="00B66597"/>
    <w:rsid w:val="00B66B2B"/>
    <w:rsid w:val="00B66CA7"/>
    <w:rsid w:val="00B66E6F"/>
    <w:rsid w:val="00B66E73"/>
    <w:rsid w:val="00B67212"/>
    <w:rsid w:val="00B6723C"/>
    <w:rsid w:val="00B67266"/>
    <w:rsid w:val="00B67AC3"/>
    <w:rsid w:val="00B7004C"/>
    <w:rsid w:val="00B7061C"/>
    <w:rsid w:val="00B70CE3"/>
    <w:rsid w:val="00B71014"/>
    <w:rsid w:val="00B71186"/>
    <w:rsid w:val="00B71249"/>
    <w:rsid w:val="00B7195E"/>
    <w:rsid w:val="00B719F9"/>
    <w:rsid w:val="00B71A1D"/>
    <w:rsid w:val="00B71F5F"/>
    <w:rsid w:val="00B73989"/>
    <w:rsid w:val="00B739B6"/>
    <w:rsid w:val="00B73D16"/>
    <w:rsid w:val="00B74222"/>
    <w:rsid w:val="00B74260"/>
    <w:rsid w:val="00B74E7C"/>
    <w:rsid w:val="00B75721"/>
    <w:rsid w:val="00B75A62"/>
    <w:rsid w:val="00B75E26"/>
    <w:rsid w:val="00B75F01"/>
    <w:rsid w:val="00B7619A"/>
    <w:rsid w:val="00B763E6"/>
    <w:rsid w:val="00B766DA"/>
    <w:rsid w:val="00B76AD7"/>
    <w:rsid w:val="00B76DE5"/>
    <w:rsid w:val="00B7767A"/>
    <w:rsid w:val="00B808DC"/>
    <w:rsid w:val="00B80F68"/>
    <w:rsid w:val="00B81812"/>
    <w:rsid w:val="00B81997"/>
    <w:rsid w:val="00B81FFC"/>
    <w:rsid w:val="00B82043"/>
    <w:rsid w:val="00B82883"/>
    <w:rsid w:val="00B83407"/>
    <w:rsid w:val="00B838C0"/>
    <w:rsid w:val="00B83FB5"/>
    <w:rsid w:val="00B84A30"/>
    <w:rsid w:val="00B84F2B"/>
    <w:rsid w:val="00B85318"/>
    <w:rsid w:val="00B85A9B"/>
    <w:rsid w:val="00B86384"/>
    <w:rsid w:val="00B86B28"/>
    <w:rsid w:val="00B86C19"/>
    <w:rsid w:val="00B86CEF"/>
    <w:rsid w:val="00B86D44"/>
    <w:rsid w:val="00B86D6D"/>
    <w:rsid w:val="00B8742F"/>
    <w:rsid w:val="00B87C22"/>
    <w:rsid w:val="00B87EBC"/>
    <w:rsid w:val="00B900D8"/>
    <w:rsid w:val="00B90151"/>
    <w:rsid w:val="00B90774"/>
    <w:rsid w:val="00B9079C"/>
    <w:rsid w:val="00B90AAD"/>
    <w:rsid w:val="00B90E1F"/>
    <w:rsid w:val="00B9109E"/>
    <w:rsid w:val="00B919CD"/>
    <w:rsid w:val="00B91C70"/>
    <w:rsid w:val="00B921FF"/>
    <w:rsid w:val="00B923B4"/>
    <w:rsid w:val="00B92545"/>
    <w:rsid w:val="00B92C43"/>
    <w:rsid w:val="00B92C78"/>
    <w:rsid w:val="00B92D9D"/>
    <w:rsid w:val="00B93615"/>
    <w:rsid w:val="00B93A53"/>
    <w:rsid w:val="00B93CAA"/>
    <w:rsid w:val="00B93FF8"/>
    <w:rsid w:val="00B9422A"/>
    <w:rsid w:val="00B948E1"/>
    <w:rsid w:val="00B95238"/>
    <w:rsid w:val="00B95B22"/>
    <w:rsid w:val="00B95B46"/>
    <w:rsid w:val="00B96395"/>
    <w:rsid w:val="00B96B0A"/>
    <w:rsid w:val="00B96FC0"/>
    <w:rsid w:val="00B9747E"/>
    <w:rsid w:val="00B97674"/>
    <w:rsid w:val="00B976E5"/>
    <w:rsid w:val="00B97892"/>
    <w:rsid w:val="00B97E09"/>
    <w:rsid w:val="00BA03E6"/>
    <w:rsid w:val="00BA0FD4"/>
    <w:rsid w:val="00BA178F"/>
    <w:rsid w:val="00BA1792"/>
    <w:rsid w:val="00BA1808"/>
    <w:rsid w:val="00BA1AAE"/>
    <w:rsid w:val="00BA1C88"/>
    <w:rsid w:val="00BA1CB5"/>
    <w:rsid w:val="00BA2302"/>
    <w:rsid w:val="00BA2350"/>
    <w:rsid w:val="00BA3736"/>
    <w:rsid w:val="00BA3862"/>
    <w:rsid w:val="00BA3866"/>
    <w:rsid w:val="00BA38CF"/>
    <w:rsid w:val="00BA3D0D"/>
    <w:rsid w:val="00BA44D5"/>
    <w:rsid w:val="00BA58BC"/>
    <w:rsid w:val="00BA5B30"/>
    <w:rsid w:val="00BA5B96"/>
    <w:rsid w:val="00BA640A"/>
    <w:rsid w:val="00BA691F"/>
    <w:rsid w:val="00BA6E47"/>
    <w:rsid w:val="00BA6EF3"/>
    <w:rsid w:val="00BA71B8"/>
    <w:rsid w:val="00BA7DB9"/>
    <w:rsid w:val="00BB02E3"/>
    <w:rsid w:val="00BB0329"/>
    <w:rsid w:val="00BB03AC"/>
    <w:rsid w:val="00BB0556"/>
    <w:rsid w:val="00BB0823"/>
    <w:rsid w:val="00BB08F9"/>
    <w:rsid w:val="00BB168E"/>
    <w:rsid w:val="00BB16AE"/>
    <w:rsid w:val="00BB18BC"/>
    <w:rsid w:val="00BB1C2D"/>
    <w:rsid w:val="00BB1D4B"/>
    <w:rsid w:val="00BB241A"/>
    <w:rsid w:val="00BB29C6"/>
    <w:rsid w:val="00BB2B23"/>
    <w:rsid w:val="00BB2FAF"/>
    <w:rsid w:val="00BB31ED"/>
    <w:rsid w:val="00BB4280"/>
    <w:rsid w:val="00BB4DB3"/>
    <w:rsid w:val="00BB4E35"/>
    <w:rsid w:val="00BB5F14"/>
    <w:rsid w:val="00BB5F29"/>
    <w:rsid w:val="00BB6A0A"/>
    <w:rsid w:val="00BB6EFB"/>
    <w:rsid w:val="00BC0E0A"/>
    <w:rsid w:val="00BC0E0B"/>
    <w:rsid w:val="00BC11A5"/>
    <w:rsid w:val="00BC1253"/>
    <w:rsid w:val="00BC1839"/>
    <w:rsid w:val="00BC18CE"/>
    <w:rsid w:val="00BC1B9D"/>
    <w:rsid w:val="00BC2066"/>
    <w:rsid w:val="00BC218F"/>
    <w:rsid w:val="00BC26C8"/>
    <w:rsid w:val="00BC2AE1"/>
    <w:rsid w:val="00BC2B9D"/>
    <w:rsid w:val="00BC3198"/>
    <w:rsid w:val="00BC32C5"/>
    <w:rsid w:val="00BC346C"/>
    <w:rsid w:val="00BC35FC"/>
    <w:rsid w:val="00BC3683"/>
    <w:rsid w:val="00BC38CC"/>
    <w:rsid w:val="00BC3A68"/>
    <w:rsid w:val="00BC41AC"/>
    <w:rsid w:val="00BC45E7"/>
    <w:rsid w:val="00BC4F83"/>
    <w:rsid w:val="00BC51F9"/>
    <w:rsid w:val="00BC52DC"/>
    <w:rsid w:val="00BC5681"/>
    <w:rsid w:val="00BC56E1"/>
    <w:rsid w:val="00BC583B"/>
    <w:rsid w:val="00BC5A68"/>
    <w:rsid w:val="00BC62BC"/>
    <w:rsid w:val="00BC642D"/>
    <w:rsid w:val="00BC71DC"/>
    <w:rsid w:val="00BC726A"/>
    <w:rsid w:val="00BC72DC"/>
    <w:rsid w:val="00BC774A"/>
    <w:rsid w:val="00BC7849"/>
    <w:rsid w:val="00BC7D81"/>
    <w:rsid w:val="00BD0855"/>
    <w:rsid w:val="00BD0982"/>
    <w:rsid w:val="00BD0F5A"/>
    <w:rsid w:val="00BD1700"/>
    <w:rsid w:val="00BD18A6"/>
    <w:rsid w:val="00BD18C2"/>
    <w:rsid w:val="00BD1BDB"/>
    <w:rsid w:val="00BD1C8E"/>
    <w:rsid w:val="00BD1D3A"/>
    <w:rsid w:val="00BD200D"/>
    <w:rsid w:val="00BD2168"/>
    <w:rsid w:val="00BD26DF"/>
    <w:rsid w:val="00BD2AF4"/>
    <w:rsid w:val="00BD2D6C"/>
    <w:rsid w:val="00BD33C5"/>
    <w:rsid w:val="00BD33C8"/>
    <w:rsid w:val="00BD35BF"/>
    <w:rsid w:val="00BD380A"/>
    <w:rsid w:val="00BD3EAF"/>
    <w:rsid w:val="00BD4706"/>
    <w:rsid w:val="00BD4F3F"/>
    <w:rsid w:val="00BD5467"/>
    <w:rsid w:val="00BD55DD"/>
    <w:rsid w:val="00BD5DFA"/>
    <w:rsid w:val="00BD67D0"/>
    <w:rsid w:val="00BD6A18"/>
    <w:rsid w:val="00BD6CC5"/>
    <w:rsid w:val="00BD6EC1"/>
    <w:rsid w:val="00BE00DF"/>
    <w:rsid w:val="00BE038D"/>
    <w:rsid w:val="00BE0848"/>
    <w:rsid w:val="00BE0BE1"/>
    <w:rsid w:val="00BE0C44"/>
    <w:rsid w:val="00BE0E54"/>
    <w:rsid w:val="00BE0E82"/>
    <w:rsid w:val="00BE0F94"/>
    <w:rsid w:val="00BE11B0"/>
    <w:rsid w:val="00BE1425"/>
    <w:rsid w:val="00BE18F7"/>
    <w:rsid w:val="00BE1F55"/>
    <w:rsid w:val="00BE22D4"/>
    <w:rsid w:val="00BE2FEC"/>
    <w:rsid w:val="00BE306D"/>
    <w:rsid w:val="00BE3233"/>
    <w:rsid w:val="00BE3378"/>
    <w:rsid w:val="00BE3CAF"/>
    <w:rsid w:val="00BE3F70"/>
    <w:rsid w:val="00BE406C"/>
    <w:rsid w:val="00BE40E2"/>
    <w:rsid w:val="00BE422B"/>
    <w:rsid w:val="00BE459D"/>
    <w:rsid w:val="00BE4921"/>
    <w:rsid w:val="00BE49B6"/>
    <w:rsid w:val="00BE4A25"/>
    <w:rsid w:val="00BE5258"/>
    <w:rsid w:val="00BE52E5"/>
    <w:rsid w:val="00BE553C"/>
    <w:rsid w:val="00BE5640"/>
    <w:rsid w:val="00BE5724"/>
    <w:rsid w:val="00BE5832"/>
    <w:rsid w:val="00BE5B55"/>
    <w:rsid w:val="00BE6073"/>
    <w:rsid w:val="00BE6480"/>
    <w:rsid w:val="00BE66D9"/>
    <w:rsid w:val="00BE66FC"/>
    <w:rsid w:val="00BE6996"/>
    <w:rsid w:val="00BE6F54"/>
    <w:rsid w:val="00BE72DB"/>
    <w:rsid w:val="00BE74B1"/>
    <w:rsid w:val="00BE7969"/>
    <w:rsid w:val="00BE79A4"/>
    <w:rsid w:val="00BE7B64"/>
    <w:rsid w:val="00BE7C0C"/>
    <w:rsid w:val="00BF00D4"/>
    <w:rsid w:val="00BF016F"/>
    <w:rsid w:val="00BF0176"/>
    <w:rsid w:val="00BF0864"/>
    <w:rsid w:val="00BF1166"/>
    <w:rsid w:val="00BF126B"/>
    <w:rsid w:val="00BF2436"/>
    <w:rsid w:val="00BF24A5"/>
    <w:rsid w:val="00BF26B5"/>
    <w:rsid w:val="00BF27B1"/>
    <w:rsid w:val="00BF29C5"/>
    <w:rsid w:val="00BF2BB1"/>
    <w:rsid w:val="00BF2DC9"/>
    <w:rsid w:val="00BF3D73"/>
    <w:rsid w:val="00BF3DBD"/>
    <w:rsid w:val="00BF3E1B"/>
    <w:rsid w:val="00BF3FE5"/>
    <w:rsid w:val="00BF49DC"/>
    <w:rsid w:val="00BF4C6D"/>
    <w:rsid w:val="00BF4FD8"/>
    <w:rsid w:val="00BF51B3"/>
    <w:rsid w:val="00BF53E7"/>
    <w:rsid w:val="00BF6078"/>
    <w:rsid w:val="00BF62D3"/>
    <w:rsid w:val="00BF66F7"/>
    <w:rsid w:val="00BF68D3"/>
    <w:rsid w:val="00BF6D03"/>
    <w:rsid w:val="00BF6E9E"/>
    <w:rsid w:val="00BF6F5B"/>
    <w:rsid w:val="00BF7663"/>
    <w:rsid w:val="00BF7F0D"/>
    <w:rsid w:val="00C00CB5"/>
    <w:rsid w:val="00C00CE5"/>
    <w:rsid w:val="00C00FD5"/>
    <w:rsid w:val="00C0129B"/>
    <w:rsid w:val="00C018B8"/>
    <w:rsid w:val="00C01D66"/>
    <w:rsid w:val="00C01F66"/>
    <w:rsid w:val="00C025A5"/>
    <w:rsid w:val="00C028C8"/>
    <w:rsid w:val="00C02F4A"/>
    <w:rsid w:val="00C03B62"/>
    <w:rsid w:val="00C03F93"/>
    <w:rsid w:val="00C041CB"/>
    <w:rsid w:val="00C04867"/>
    <w:rsid w:val="00C04D47"/>
    <w:rsid w:val="00C0534D"/>
    <w:rsid w:val="00C054CB"/>
    <w:rsid w:val="00C05632"/>
    <w:rsid w:val="00C0597D"/>
    <w:rsid w:val="00C05F10"/>
    <w:rsid w:val="00C060A4"/>
    <w:rsid w:val="00C0622A"/>
    <w:rsid w:val="00C063C9"/>
    <w:rsid w:val="00C0683B"/>
    <w:rsid w:val="00C06D90"/>
    <w:rsid w:val="00C0702C"/>
    <w:rsid w:val="00C07046"/>
    <w:rsid w:val="00C070A0"/>
    <w:rsid w:val="00C10116"/>
    <w:rsid w:val="00C102D4"/>
    <w:rsid w:val="00C10611"/>
    <w:rsid w:val="00C10952"/>
    <w:rsid w:val="00C10B21"/>
    <w:rsid w:val="00C11749"/>
    <w:rsid w:val="00C117AB"/>
    <w:rsid w:val="00C11DE5"/>
    <w:rsid w:val="00C12004"/>
    <w:rsid w:val="00C125FE"/>
    <w:rsid w:val="00C129FE"/>
    <w:rsid w:val="00C12A6A"/>
    <w:rsid w:val="00C13CF5"/>
    <w:rsid w:val="00C13DDE"/>
    <w:rsid w:val="00C14205"/>
    <w:rsid w:val="00C143BE"/>
    <w:rsid w:val="00C14604"/>
    <w:rsid w:val="00C14A23"/>
    <w:rsid w:val="00C14AC1"/>
    <w:rsid w:val="00C1565B"/>
    <w:rsid w:val="00C15794"/>
    <w:rsid w:val="00C16544"/>
    <w:rsid w:val="00C16630"/>
    <w:rsid w:val="00C201C7"/>
    <w:rsid w:val="00C2172F"/>
    <w:rsid w:val="00C21F9D"/>
    <w:rsid w:val="00C22394"/>
    <w:rsid w:val="00C226E0"/>
    <w:rsid w:val="00C23129"/>
    <w:rsid w:val="00C2377A"/>
    <w:rsid w:val="00C23B92"/>
    <w:rsid w:val="00C24C59"/>
    <w:rsid w:val="00C253CC"/>
    <w:rsid w:val="00C25432"/>
    <w:rsid w:val="00C25B84"/>
    <w:rsid w:val="00C25CAC"/>
    <w:rsid w:val="00C25D3E"/>
    <w:rsid w:val="00C2695E"/>
    <w:rsid w:val="00C26A88"/>
    <w:rsid w:val="00C26C2A"/>
    <w:rsid w:val="00C26F53"/>
    <w:rsid w:val="00C3036A"/>
    <w:rsid w:val="00C30438"/>
    <w:rsid w:val="00C30D3B"/>
    <w:rsid w:val="00C30D4D"/>
    <w:rsid w:val="00C30E29"/>
    <w:rsid w:val="00C31054"/>
    <w:rsid w:val="00C31E89"/>
    <w:rsid w:val="00C31EAF"/>
    <w:rsid w:val="00C320BD"/>
    <w:rsid w:val="00C325C6"/>
    <w:rsid w:val="00C32919"/>
    <w:rsid w:val="00C32A95"/>
    <w:rsid w:val="00C337A4"/>
    <w:rsid w:val="00C338D3"/>
    <w:rsid w:val="00C340D6"/>
    <w:rsid w:val="00C34151"/>
    <w:rsid w:val="00C342DC"/>
    <w:rsid w:val="00C343CF"/>
    <w:rsid w:val="00C34538"/>
    <w:rsid w:val="00C354D1"/>
    <w:rsid w:val="00C35D81"/>
    <w:rsid w:val="00C3620A"/>
    <w:rsid w:val="00C362B8"/>
    <w:rsid w:val="00C36305"/>
    <w:rsid w:val="00C3644C"/>
    <w:rsid w:val="00C36965"/>
    <w:rsid w:val="00C36BE7"/>
    <w:rsid w:val="00C3722E"/>
    <w:rsid w:val="00C4008E"/>
    <w:rsid w:val="00C4079F"/>
    <w:rsid w:val="00C40FEE"/>
    <w:rsid w:val="00C417F1"/>
    <w:rsid w:val="00C419A1"/>
    <w:rsid w:val="00C41CCE"/>
    <w:rsid w:val="00C4269C"/>
    <w:rsid w:val="00C4290F"/>
    <w:rsid w:val="00C42F0A"/>
    <w:rsid w:val="00C43077"/>
    <w:rsid w:val="00C4313A"/>
    <w:rsid w:val="00C434A3"/>
    <w:rsid w:val="00C4386E"/>
    <w:rsid w:val="00C4394E"/>
    <w:rsid w:val="00C43BA2"/>
    <w:rsid w:val="00C43BAE"/>
    <w:rsid w:val="00C43FF4"/>
    <w:rsid w:val="00C44901"/>
    <w:rsid w:val="00C44E3C"/>
    <w:rsid w:val="00C44EDD"/>
    <w:rsid w:val="00C45253"/>
    <w:rsid w:val="00C45500"/>
    <w:rsid w:val="00C45706"/>
    <w:rsid w:val="00C45A33"/>
    <w:rsid w:val="00C45CB5"/>
    <w:rsid w:val="00C45CE2"/>
    <w:rsid w:val="00C46679"/>
    <w:rsid w:val="00C46C1E"/>
    <w:rsid w:val="00C46DC0"/>
    <w:rsid w:val="00C47866"/>
    <w:rsid w:val="00C47AA7"/>
    <w:rsid w:val="00C501F0"/>
    <w:rsid w:val="00C5028C"/>
    <w:rsid w:val="00C5046F"/>
    <w:rsid w:val="00C50806"/>
    <w:rsid w:val="00C50D53"/>
    <w:rsid w:val="00C50F59"/>
    <w:rsid w:val="00C51628"/>
    <w:rsid w:val="00C5162D"/>
    <w:rsid w:val="00C5164A"/>
    <w:rsid w:val="00C51740"/>
    <w:rsid w:val="00C518AE"/>
    <w:rsid w:val="00C51CE3"/>
    <w:rsid w:val="00C5227D"/>
    <w:rsid w:val="00C522ED"/>
    <w:rsid w:val="00C526CC"/>
    <w:rsid w:val="00C527CD"/>
    <w:rsid w:val="00C52DFF"/>
    <w:rsid w:val="00C52E6B"/>
    <w:rsid w:val="00C5309D"/>
    <w:rsid w:val="00C53808"/>
    <w:rsid w:val="00C54183"/>
    <w:rsid w:val="00C54E64"/>
    <w:rsid w:val="00C550B4"/>
    <w:rsid w:val="00C551EA"/>
    <w:rsid w:val="00C557B3"/>
    <w:rsid w:val="00C55A33"/>
    <w:rsid w:val="00C55C25"/>
    <w:rsid w:val="00C5655E"/>
    <w:rsid w:val="00C56AEE"/>
    <w:rsid w:val="00C56D1E"/>
    <w:rsid w:val="00C56E34"/>
    <w:rsid w:val="00C571E2"/>
    <w:rsid w:val="00C574BF"/>
    <w:rsid w:val="00C60B0B"/>
    <w:rsid w:val="00C60C3D"/>
    <w:rsid w:val="00C60D38"/>
    <w:rsid w:val="00C614BA"/>
    <w:rsid w:val="00C6188F"/>
    <w:rsid w:val="00C62103"/>
    <w:rsid w:val="00C62572"/>
    <w:rsid w:val="00C626BF"/>
    <w:rsid w:val="00C62701"/>
    <w:rsid w:val="00C62789"/>
    <w:rsid w:val="00C63050"/>
    <w:rsid w:val="00C631EB"/>
    <w:rsid w:val="00C63B66"/>
    <w:rsid w:val="00C645D5"/>
    <w:rsid w:val="00C64738"/>
    <w:rsid w:val="00C647A1"/>
    <w:rsid w:val="00C647CC"/>
    <w:rsid w:val="00C647CE"/>
    <w:rsid w:val="00C6490F"/>
    <w:rsid w:val="00C6556E"/>
    <w:rsid w:val="00C65E25"/>
    <w:rsid w:val="00C65F01"/>
    <w:rsid w:val="00C6614C"/>
    <w:rsid w:val="00C66337"/>
    <w:rsid w:val="00C6644B"/>
    <w:rsid w:val="00C66962"/>
    <w:rsid w:val="00C66D05"/>
    <w:rsid w:val="00C66D97"/>
    <w:rsid w:val="00C66FDA"/>
    <w:rsid w:val="00C701DB"/>
    <w:rsid w:val="00C70710"/>
    <w:rsid w:val="00C70D3E"/>
    <w:rsid w:val="00C7257D"/>
    <w:rsid w:val="00C72C9F"/>
    <w:rsid w:val="00C73348"/>
    <w:rsid w:val="00C73B05"/>
    <w:rsid w:val="00C73D8A"/>
    <w:rsid w:val="00C73F45"/>
    <w:rsid w:val="00C74AE2"/>
    <w:rsid w:val="00C74C92"/>
    <w:rsid w:val="00C75209"/>
    <w:rsid w:val="00C757E6"/>
    <w:rsid w:val="00C7656D"/>
    <w:rsid w:val="00C76E48"/>
    <w:rsid w:val="00C7788C"/>
    <w:rsid w:val="00C8140B"/>
    <w:rsid w:val="00C81505"/>
    <w:rsid w:val="00C81738"/>
    <w:rsid w:val="00C81CF4"/>
    <w:rsid w:val="00C81DD7"/>
    <w:rsid w:val="00C825E1"/>
    <w:rsid w:val="00C83087"/>
    <w:rsid w:val="00C834FA"/>
    <w:rsid w:val="00C83CB3"/>
    <w:rsid w:val="00C83D33"/>
    <w:rsid w:val="00C841EA"/>
    <w:rsid w:val="00C84D8A"/>
    <w:rsid w:val="00C85163"/>
    <w:rsid w:val="00C8526A"/>
    <w:rsid w:val="00C8533C"/>
    <w:rsid w:val="00C85767"/>
    <w:rsid w:val="00C85F01"/>
    <w:rsid w:val="00C86292"/>
    <w:rsid w:val="00C863CA"/>
    <w:rsid w:val="00C863F5"/>
    <w:rsid w:val="00C86444"/>
    <w:rsid w:val="00C86A04"/>
    <w:rsid w:val="00C86BA5"/>
    <w:rsid w:val="00C8706B"/>
    <w:rsid w:val="00C8727E"/>
    <w:rsid w:val="00C8753B"/>
    <w:rsid w:val="00C87551"/>
    <w:rsid w:val="00C87892"/>
    <w:rsid w:val="00C90449"/>
    <w:rsid w:val="00C9058D"/>
    <w:rsid w:val="00C90A92"/>
    <w:rsid w:val="00C911EC"/>
    <w:rsid w:val="00C917B3"/>
    <w:rsid w:val="00C92067"/>
    <w:rsid w:val="00C93322"/>
    <w:rsid w:val="00C93608"/>
    <w:rsid w:val="00C9380B"/>
    <w:rsid w:val="00C9439D"/>
    <w:rsid w:val="00C94476"/>
    <w:rsid w:val="00C95013"/>
    <w:rsid w:val="00C9505C"/>
    <w:rsid w:val="00C95328"/>
    <w:rsid w:val="00C9596A"/>
    <w:rsid w:val="00C95C44"/>
    <w:rsid w:val="00C9626C"/>
    <w:rsid w:val="00C967E9"/>
    <w:rsid w:val="00C96845"/>
    <w:rsid w:val="00C96FEF"/>
    <w:rsid w:val="00C97267"/>
    <w:rsid w:val="00C97DCF"/>
    <w:rsid w:val="00C97ECA"/>
    <w:rsid w:val="00C97F23"/>
    <w:rsid w:val="00CA021D"/>
    <w:rsid w:val="00CA064D"/>
    <w:rsid w:val="00CA0AC0"/>
    <w:rsid w:val="00CA0DB1"/>
    <w:rsid w:val="00CA1A05"/>
    <w:rsid w:val="00CA1AEB"/>
    <w:rsid w:val="00CA2071"/>
    <w:rsid w:val="00CA32DB"/>
    <w:rsid w:val="00CA36DF"/>
    <w:rsid w:val="00CA399A"/>
    <w:rsid w:val="00CA3A4E"/>
    <w:rsid w:val="00CA3BC3"/>
    <w:rsid w:val="00CA3BE7"/>
    <w:rsid w:val="00CA3C25"/>
    <w:rsid w:val="00CA4401"/>
    <w:rsid w:val="00CA4464"/>
    <w:rsid w:val="00CA4854"/>
    <w:rsid w:val="00CA48FD"/>
    <w:rsid w:val="00CA4B37"/>
    <w:rsid w:val="00CA528C"/>
    <w:rsid w:val="00CA57E1"/>
    <w:rsid w:val="00CA608E"/>
    <w:rsid w:val="00CA644F"/>
    <w:rsid w:val="00CA6D8A"/>
    <w:rsid w:val="00CA7227"/>
    <w:rsid w:val="00CA74AC"/>
    <w:rsid w:val="00CB0713"/>
    <w:rsid w:val="00CB0837"/>
    <w:rsid w:val="00CB0ADC"/>
    <w:rsid w:val="00CB0B58"/>
    <w:rsid w:val="00CB0DD6"/>
    <w:rsid w:val="00CB11C5"/>
    <w:rsid w:val="00CB2059"/>
    <w:rsid w:val="00CB2D3F"/>
    <w:rsid w:val="00CB2D56"/>
    <w:rsid w:val="00CB3230"/>
    <w:rsid w:val="00CB3258"/>
    <w:rsid w:val="00CB3306"/>
    <w:rsid w:val="00CB3375"/>
    <w:rsid w:val="00CB33B8"/>
    <w:rsid w:val="00CB33E5"/>
    <w:rsid w:val="00CB36B2"/>
    <w:rsid w:val="00CB466F"/>
    <w:rsid w:val="00CB4C9A"/>
    <w:rsid w:val="00CB4D61"/>
    <w:rsid w:val="00CB5580"/>
    <w:rsid w:val="00CB5790"/>
    <w:rsid w:val="00CB5A13"/>
    <w:rsid w:val="00CB621F"/>
    <w:rsid w:val="00CB73AC"/>
    <w:rsid w:val="00CB756B"/>
    <w:rsid w:val="00CB7EA7"/>
    <w:rsid w:val="00CC03A7"/>
    <w:rsid w:val="00CC03EC"/>
    <w:rsid w:val="00CC040C"/>
    <w:rsid w:val="00CC0425"/>
    <w:rsid w:val="00CC100F"/>
    <w:rsid w:val="00CC1902"/>
    <w:rsid w:val="00CC1923"/>
    <w:rsid w:val="00CC1C5A"/>
    <w:rsid w:val="00CC1EA7"/>
    <w:rsid w:val="00CC2440"/>
    <w:rsid w:val="00CC2847"/>
    <w:rsid w:val="00CC28DF"/>
    <w:rsid w:val="00CC3345"/>
    <w:rsid w:val="00CC3F21"/>
    <w:rsid w:val="00CC3FC3"/>
    <w:rsid w:val="00CC4D50"/>
    <w:rsid w:val="00CC5541"/>
    <w:rsid w:val="00CC57D0"/>
    <w:rsid w:val="00CC5AB8"/>
    <w:rsid w:val="00CC6150"/>
    <w:rsid w:val="00CC65C4"/>
    <w:rsid w:val="00CC6A8D"/>
    <w:rsid w:val="00CC6F20"/>
    <w:rsid w:val="00CD017D"/>
    <w:rsid w:val="00CD061E"/>
    <w:rsid w:val="00CD08DE"/>
    <w:rsid w:val="00CD0C55"/>
    <w:rsid w:val="00CD0D2E"/>
    <w:rsid w:val="00CD0E96"/>
    <w:rsid w:val="00CD134E"/>
    <w:rsid w:val="00CD1581"/>
    <w:rsid w:val="00CD1846"/>
    <w:rsid w:val="00CD24FA"/>
    <w:rsid w:val="00CD25B6"/>
    <w:rsid w:val="00CD2B23"/>
    <w:rsid w:val="00CD30A3"/>
    <w:rsid w:val="00CD3229"/>
    <w:rsid w:val="00CD36A3"/>
    <w:rsid w:val="00CD386C"/>
    <w:rsid w:val="00CD3AD8"/>
    <w:rsid w:val="00CD3F7D"/>
    <w:rsid w:val="00CD4751"/>
    <w:rsid w:val="00CD4A3F"/>
    <w:rsid w:val="00CD4E82"/>
    <w:rsid w:val="00CD5B08"/>
    <w:rsid w:val="00CD5B2F"/>
    <w:rsid w:val="00CD5BB8"/>
    <w:rsid w:val="00CD5D92"/>
    <w:rsid w:val="00CD6243"/>
    <w:rsid w:val="00CD633E"/>
    <w:rsid w:val="00CD66E2"/>
    <w:rsid w:val="00CD6C41"/>
    <w:rsid w:val="00CD6CA2"/>
    <w:rsid w:val="00CD712F"/>
    <w:rsid w:val="00CD72A9"/>
    <w:rsid w:val="00CD7AA5"/>
    <w:rsid w:val="00CD7BC0"/>
    <w:rsid w:val="00CD7F52"/>
    <w:rsid w:val="00CE09CC"/>
    <w:rsid w:val="00CE0DA2"/>
    <w:rsid w:val="00CE0F85"/>
    <w:rsid w:val="00CE15D4"/>
    <w:rsid w:val="00CE195E"/>
    <w:rsid w:val="00CE212A"/>
    <w:rsid w:val="00CE2247"/>
    <w:rsid w:val="00CE27D0"/>
    <w:rsid w:val="00CE33CD"/>
    <w:rsid w:val="00CE3527"/>
    <w:rsid w:val="00CE4744"/>
    <w:rsid w:val="00CE49C5"/>
    <w:rsid w:val="00CE4C5A"/>
    <w:rsid w:val="00CE4D59"/>
    <w:rsid w:val="00CE5C5B"/>
    <w:rsid w:val="00CE6A44"/>
    <w:rsid w:val="00CE6A9B"/>
    <w:rsid w:val="00CE73A3"/>
    <w:rsid w:val="00CE75C6"/>
    <w:rsid w:val="00CE7F9B"/>
    <w:rsid w:val="00CF063A"/>
    <w:rsid w:val="00CF07A4"/>
    <w:rsid w:val="00CF108C"/>
    <w:rsid w:val="00CF10A1"/>
    <w:rsid w:val="00CF1568"/>
    <w:rsid w:val="00CF1C0A"/>
    <w:rsid w:val="00CF268E"/>
    <w:rsid w:val="00CF2F69"/>
    <w:rsid w:val="00CF30AF"/>
    <w:rsid w:val="00CF3693"/>
    <w:rsid w:val="00CF36A1"/>
    <w:rsid w:val="00CF3AD5"/>
    <w:rsid w:val="00CF3ADC"/>
    <w:rsid w:val="00CF3C38"/>
    <w:rsid w:val="00CF3D0D"/>
    <w:rsid w:val="00CF3D4B"/>
    <w:rsid w:val="00CF3F1F"/>
    <w:rsid w:val="00CF42DA"/>
    <w:rsid w:val="00CF4CA9"/>
    <w:rsid w:val="00CF4E73"/>
    <w:rsid w:val="00CF5347"/>
    <w:rsid w:val="00CF556E"/>
    <w:rsid w:val="00CF5DAF"/>
    <w:rsid w:val="00CF6AAE"/>
    <w:rsid w:val="00CF7075"/>
    <w:rsid w:val="00CF73E9"/>
    <w:rsid w:val="00CF7902"/>
    <w:rsid w:val="00CF7B4F"/>
    <w:rsid w:val="00CF7CD0"/>
    <w:rsid w:val="00D002C8"/>
    <w:rsid w:val="00D005F0"/>
    <w:rsid w:val="00D00AED"/>
    <w:rsid w:val="00D00CAF"/>
    <w:rsid w:val="00D01371"/>
    <w:rsid w:val="00D01A73"/>
    <w:rsid w:val="00D01DFC"/>
    <w:rsid w:val="00D01F48"/>
    <w:rsid w:val="00D023BC"/>
    <w:rsid w:val="00D0242A"/>
    <w:rsid w:val="00D02469"/>
    <w:rsid w:val="00D02778"/>
    <w:rsid w:val="00D032DD"/>
    <w:rsid w:val="00D035B3"/>
    <w:rsid w:val="00D0367C"/>
    <w:rsid w:val="00D0372A"/>
    <w:rsid w:val="00D038BC"/>
    <w:rsid w:val="00D03926"/>
    <w:rsid w:val="00D03B5F"/>
    <w:rsid w:val="00D03EAD"/>
    <w:rsid w:val="00D04171"/>
    <w:rsid w:val="00D041F0"/>
    <w:rsid w:val="00D04356"/>
    <w:rsid w:val="00D0469E"/>
    <w:rsid w:val="00D049BD"/>
    <w:rsid w:val="00D051DA"/>
    <w:rsid w:val="00D051E9"/>
    <w:rsid w:val="00D0597E"/>
    <w:rsid w:val="00D05A81"/>
    <w:rsid w:val="00D05EBC"/>
    <w:rsid w:val="00D0641D"/>
    <w:rsid w:val="00D06975"/>
    <w:rsid w:val="00D06AAC"/>
    <w:rsid w:val="00D06B3E"/>
    <w:rsid w:val="00D06BB2"/>
    <w:rsid w:val="00D07085"/>
    <w:rsid w:val="00D07129"/>
    <w:rsid w:val="00D076CE"/>
    <w:rsid w:val="00D103D5"/>
    <w:rsid w:val="00D10C4F"/>
    <w:rsid w:val="00D116CA"/>
    <w:rsid w:val="00D11B5B"/>
    <w:rsid w:val="00D11B95"/>
    <w:rsid w:val="00D121CE"/>
    <w:rsid w:val="00D12699"/>
    <w:rsid w:val="00D1294F"/>
    <w:rsid w:val="00D13202"/>
    <w:rsid w:val="00D13416"/>
    <w:rsid w:val="00D13470"/>
    <w:rsid w:val="00D13A82"/>
    <w:rsid w:val="00D14CC3"/>
    <w:rsid w:val="00D15433"/>
    <w:rsid w:val="00D15766"/>
    <w:rsid w:val="00D15E82"/>
    <w:rsid w:val="00D15FFE"/>
    <w:rsid w:val="00D16167"/>
    <w:rsid w:val="00D16437"/>
    <w:rsid w:val="00D16495"/>
    <w:rsid w:val="00D16C59"/>
    <w:rsid w:val="00D17262"/>
    <w:rsid w:val="00D1730E"/>
    <w:rsid w:val="00D176AC"/>
    <w:rsid w:val="00D176F6"/>
    <w:rsid w:val="00D17987"/>
    <w:rsid w:val="00D20103"/>
    <w:rsid w:val="00D20440"/>
    <w:rsid w:val="00D20AFE"/>
    <w:rsid w:val="00D2197C"/>
    <w:rsid w:val="00D21BF6"/>
    <w:rsid w:val="00D22038"/>
    <w:rsid w:val="00D22506"/>
    <w:rsid w:val="00D2250A"/>
    <w:rsid w:val="00D22C74"/>
    <w:rsid w:val="00D22CAC"/>
    <w:rsid w:val="00D2438F"/>
    <w:rsid w:val="00D24418"/>
    <w:rsid w:val="00D2582B"/>
    <w:rsid w:val="00D258E8"/>
    <w:rsid w:val="00D25D04"/>
    <w:rsid w:val="00D2648D"/>
    <w:rsid w:val="00D264C0"/>
    <w:rsid w:val="00D268E9"/>
    <w:rsid w:val="00D2691B"/>
    <w:rsid w:val="00D26C52"/>
    <w:rsid w:val="00D2789A"/>
    <w:rsid w:val="00D27B60"/>
    <w:rsid w:val="00D27E9B"/>
    <w:rsid w:val="00D30130"/>
    <w:rsid w:val="00D3049D"/>
    <w:rsid w:val="00D304F3"/>
    <w:rsid w:val="00D307A8"/>
    <w:rsid w:val="00D307B9"/>
    <w:rsid w:val="00D30981"/>
    <w:rsid w:val="00D30B2A"/>
    <w:rsid w:val="00D30F3A"/>
    <w:rsid w:val="00D31068"/>
    <w:rsid w:val="00D313E2"/>
    <w:rsid w:val="00D319A6"/>
    <w:rsid w:val="00D33806"/>
    <w:rsid w:val="00D33BD5"/>
    <w:rsid w:val="00D33C38"/>
    <w:rsid w:val="00D33DF3"/>
    <w:rsid w:val="00D34218"/>
    <w:rsid w:val="00D34530"/>
    <w:rsid w:val="00D3461D"/>
    <w:rsid w:val="00D35159"/>
    <w:rsid w:val="00D36886"/>
    <w:rsid w:val="00D36D04"/>
    <w:rsid w:val="00D375D7"/>
    <w:rsid w:val="00D37A3A"/>
    <w:rsid w:val="00D37B7B"/>
    <w:rsid w:val="00D37EE5"/>
    <w:rsid w:val="00D4035B"/>
    <w:rsid w:val="00D4066E"/>
    <w:rsid w:val="00D40A3A"/>
    <w:rsid w:val="00D40AA8"/>
    <w:rsid w:val="00D410C2"/>
    <w:rsid w:val="00D41598"/>
    <w:rsid w:val="00D41966"/>
    <w:rsid w:val="00D42A15"/>
    <w:rsid w:val="00D43175"/>
    <w:rsid w:val="00D43357"/>
    <w:rsid w:val="00D44138"/>
    <w:rsid w:val="00D45165"/>
    <w:rsid w:val="00D45288"/>
    <w:rsid w:val="00D4531E"/>
    <w:rsid w:val="00D45434"/>
    <w:rsid w:val="00D45FD1"/>
    <w:rsid w:val="00D464DF"/>
    <w:rsid w:val="00D46500"/>
    <w:rsid w:val="00D476C3"/>
    <w:rsid w:val="00D479FA"/>
    <w:rsid w:val="00D505F9"/>
    <w:rsid w:val="00D51286"/>
    <w:rsid w:val="00D51E6D"/>
    <w:rsid w:val="00D52104"/>
    <w:rsid w:val="00D52464"/>
    <w:rsid w:val="00D526E1"/>
    <w:rsid w:val="00D52A81"/>
    <w:rsid w:val="00D52C9F"/>
    <w:rsid w:val="00D52EDD"/>
    <w:rsid w:val="00D53851"/>
    <w:rsid w:val="00D54462"/>
    <w:rsid w:val="00D552A1"/>
    <w:rsid w:val="00D555B9"/>
    <w:rsid w:val="00D55AE1"/>
    <w:rsid w:val="00D55FB2"/>
    <w:rsid w:val="00D5660A"/>
    <w:rsid w:val="00D56BA1"/>
    <w:rsid w:val="00D56F0C"/>
    <w:rsid w:val="00D570E6"/>
    <w:rsid w:val="00D57489"/>
    <w:rsid w:val="00D579F6"/>
    <w:rsid w:val="00D6025F"/>
    <w:rsid w:val="00D60DEE"/>
    <w:rsid w:val="00D61013"/>
    <w:rsid w:val="00D61045"/>
    <w:rsid w:val="00D61566"/>
    <w:rsid w:val="00D616F8"/>
    <w:rsid w:val="00D61766"/>
    <w:rsid w:val="00D61DC2"/>
    <w:rsid w:val="00D62282"/>
    <w:rsid w:val="00D6265B"/>
    <w:rsid w:val="00D62661"/>
    <w:rsid w:val="00D627E7"/>
    <w:rsid w:val="00D6362F"/>
    <w:rsid w:val="00D637EF"/>
    <w:rsid w:val="00D63833"/>
    <w:rsid w:val="00D639C5"/>
    <w:rsid w:val="00D64465"/>
    <w:rsid w:val="00D6495C"/>
    <w:rsid w:val="00D66238"/>
    <w:rsid w:val="00D6625E"/>
    <w:rsid w:val="00D66848"/>
    <w:rsid w:val="00D66CE6"/>
    <w:rsid w:val="00D67262"/>
    <w:rsid w:val="00D675E0"/>
    <w:rsid w:val="00D706AF"/>
    <w:rsid w:val="00D709F7"/>
    <w:rsid w:val="00D70BFB"/>
    <w:rsid w:val="00D711B6"/>
    <w:rsid w:val="00D71407"/>
    <w:rsid w:val="00D714A1"/>
    <w:rsid w:val="00D71CE0"/>
    <w:rsid w:val="00D721A6"/>
    <w:rsid w:val="00D729B1"/>
    <w:rsid w:val="00D729DE"/>
    <w:rsid w:val="00D72D14"/>
    <w:rsid w:val="00D72DC8"/>
    <w:rsid w:val="00D73283"/>
    <w:rsid w:val="00D73D5A"/>
    <w:rsid w:val="00D73F0A"/>
    <w:rsid w:val="00D745A0"/>
    <w:rsid w:val="00D74611"/>
    <w:rsid w:val="00D746DC"/>
    <w:rsid w:val="00D74D37"/>
    <w:rsid w:val="00D754F4"/>
    <w:rsid w:val="00D7597E"/>
    <w:rsid w:val="00D75C7A"/>
    <w:rsid w:val="00D75E37"/>
    <w:rsid w:val="00D762C7"/>
    <w:rsid w:val="00D7658D"/>
    <w:rsid w:val="00D76D5D"/>
    <w:rsid w:val="00D76DE9"/>
    <w:rsid w:val="00D7708A"/>
    <w:rsid w:val="00D806F4"/>
    <w:rsid w:val="00D80890"/>
    <w:rsid w:val="00D80E2F"/>
    <w:rsid w:val="00D823AF"/>
    <w:rsid w:val="00D8256D"/>
    <w:rsid w:val="00D8260E"/>
    <w:rsid w:val="00D8382F"/>
    <w:rsid w:val="00D83C39"/>
    <w:rsid w:val="00D84366"/>
    <w:rsid w:val="00D846A0"/>
    <w:rsid w:val="00D85908"/>
    <w:rsid w:val="00D85BF4"/>
    <w:rsid w:val="00D85DD8"/>
    <w:rsid w:val="00D86238"/>
    <w:rsid w:val="00D864C1"/>
    <w:rsid w:val="00D8656F"/>
    <w:rsid w:val="00D86769"/>
    <w:rsid w:val="00D8678F"/>
    <w:rsid w:val="00D86FA3"/>
    <w:rsid w:val="00D8794F"/>
    <w:rsid w:val="00D90ABA"/>
    <w:rsid w:val="00D90CA2"/>
    <w:rsid w:val="00D90CDD"/>
    <w:rsid w:val="00D912CF"/>
    <w:rsid w:val="00D915CB"/>
    <w:rsid w:val="00D9221C"/>
    <w:rsid w:val="00D9263E"/>
    <w:rsid w:val="00D92DFE"/>
    <w:rsid w:val="00D92ECE"/>
    <w:rsid w:val="00D92F48"/>
    <w:rsid w:val="00D93656"/>
    <w:rsid w:val="00D93849"/>
    <w:rsid w:val="00D93B1D"/>
    <w:rsid w:val="00D93C8F"/>
    <w:rsid w:val="00D94990"/>
    <w:rsid w:val="00D94A87"/>
    <w:rsid w:val="00D9522A"/>
    <w:rsid w:val="00D95482"/>
    <w:rsid w:val="00D954F2"/>
    <w:rsid w:val="00D955F3"/>
    <w:rsid w:val="00D95AB9"/>
    <w:rsid w:val="00D96793"/>
    <w:rsid w:val="00D96A33"/>
    <w:rsid w:val="00D96B5E"/>
    <w:rsid w:val="00D96C57"/>
    <w:rsid w:val="00D96D58"/>
    <w:rsid w:val="00D97358"/>
    <w:rsid w:val="00D9778D"/>
    <w:rsid w:val="00D97F25"/>
    <w:rsid w:val="00DA03F8"/>
    <w:rsid w:val="00DA08D7"/>
    <w:rsid w:val="00DA1359"/>
    <w:rsid w:val="00DA137F"/>
    <w:rsid w:val="00DA18B1"/>
    <w:rsid w:val="00DA1A5E"/>
    <w:rsid w:val="00DA22C1"/>
    <w:rsid w:val="00DA23CF"/>
    <w:rsid w:val="00DA26EE"/>
    <w:rsid w:val="00DA3FAF"/>
    <w:rsid w:val="00DA4530"/>
    <w:rsid w:val="00DA4601"/>
    <w:rsid w:val="00DA483E"/>
    <w:rsid w:val="00DA4A12"/>
    <w:rsid w:val="00DA4AB9"/>
    <w:rsid w:val="00DA4D97"/>
    <w:rsid w:val="00DA4E4F"/>
    <w:rsid w:val="00DA4FB3"/>
    <w:rsid w:val="00DA524E"/>
    <w:rsid w:val="00DA53EF"/>
    <w:rsid w:val="00DA5701"/>
    <w:rsid w:val="00DA6357"/>
    <w:rsid w:val="00DA637C"/>
    <w:rsid w:val="00DA69F6"/>
    <w:rsid w:val="00DA6BB1"/>
    <w:rsid w:val="00DA74E7"/>
    <w:rsid w:val="00DA75B1"/>
    <w:rsid w:val="00DA7A1C"/>
    <w:rsid w:val="00DA7F68"/>
    <w:rsid w:val="00DA7FBB"/>
    <w:rsid w:val="00DA7FCA"/>
    <w:rsid w:val="00DB014B"/>
    <w:rsid w:val="00DB09A1"/>
    <w:rsid w:val="00DB17A3"/>
    <w:rsid w:val="00DB18F6"/>
    <w:rsid w:val="00DB1A85"/>
    <w:rsid w:val="00DB1E3F"/>
    <w:rsid w:val="00DB25E5"/>
    <w:rsid w:val="00DB264B"/>
    <w:rsid w:val="00DB2B66"/>
    <w:rsid w:val="00DB3007"/>
    <w:rsid w:val="00DB342D"/>
    <w:rsid w:val="00DB363B"/>
    <w:rsid w:val="00DB38D9"/>
    <w:rsid w:val="00DB3AC8"/>
    <w:rsid w:val="00DB48D3"/>
    <w:rsid w:val="00DB4A4B"/>
    <w:rsid w:val="00DB4EA3"/>
    <w:rsid w:val="00DB4F66"/>
    <w:rsid w:val="00DB59F6"/>
    <w:rsid w:val="00DB5D6B"/>
    <w:rsid w:val="00DB603F"/>
    <w:rsid w:val="00DB61F0"/>
    <w:rsid w:val="00DB6B2B"/>
    <w:rsid w:val="00DB6BE9"/>
    <w:rsid w:val="00DB7178"/>
    <w:rsid w:val="00DB7948"/>
    <w:rsid w:val="00DB7E0B"/>
    <w:rsid w:val="00DC0750"/>
    <w:rsid w:val="00DC0881"/>
    <w:rsid w:val="00DC0908"/>
    <w:rsid w:val="00DC0B41"/>
    <w:rsid w:val="00DC0C8F"/>
    <w:rsid w:val="00DC1119"/>
    <w:rsid w:val="00DC1B36"/>
    <w:rsid w:val="00DC1C3A"/>
    <w:rsid w:val="00DC1DA8"/>
    <w:rsid w:val="00DC2357"/>
    <w:rsid w:val="00DC26A4"/>
    <w:rsid w:val="00DC277C"/>
    <w:rsid w:val="00DC329D"/>
    <w:rsid w:val="00DC3588"/>
    <w:rsid w:val="00DC397C"/>
    <w:rsid w:val="00DC42D3"/>
    <w:rsid w:val="00DC471F"/>
    <w:rsid w:val="00DC4783"/>
    <w:rsid w:val="00DC4CFB"/>
    <w:rsid w:val="00DC4E64"/>
    <w:rsid w:val="00DC5F4D"/>
    <w:rsid w:val="00DC6194"/>
    <w:rsid w:val="00DC6220"/>
    <w:rsid w:val="00DC6794"/>
    <w:rsid w:val="00DC6CDA"/>
    <w:rsid w:val="00DC6D2F"/>
    <w:rsid w:val="00DC6DB9"/>
    <w:rsid w:val="00DC6F3B"/>
    <w:rsid w:val="00DC7356"/>
    <w:rsid w:val="00DC7F9F"/>
    <w:rsid w:val="00DD04CB"/>
    <w:rsid w:val="00DD0B80"/>
    <w:rsid w:val="00DD0BB1"/>
    <w:rsid w:val="00DD0FD0"/>
    <w:rsid w:val="00DD1135"/>
    <w:rsid w:val="00DD15A2"/>
    <w:rsid w:val="00DD1E0E"/>
    <w:rsid w:val="00DD3AEF"/>
    <w:rsid w:val="00DD3AFE"/>
    <w:rsid w:val="00DD3F90"/>
    <w:rsid w:val="00DD4525"/>
    <w:rsid w:val="00DD49CF"/>
    <w:rsid w:val="00DD4E31"/>
    <w:rsid w:val="00DD5011"/>
    <w:rsid w:val="00DD507F"/>
    <w:rsid w:val="00DD57D4"/>
    <w:rsid w:val="00DD592E"/>
    <w:rsid w:val="00DD5973"/>
    <w:rsid w:val="00DD5DE5"/>
    <w:rsid w:val="00DD5F09"/>
    <w:rsid w:val="00DD610B"/>
    <w:rsid w:val="00DD6147"/>
    <w:rsid w:val="00DD6255"/>
    <w:rsid w:val="00DD68E1"/>
    <w:rsid w:val="00DD7522"/>
    <w:rsid w:val="00DD7EB3"/>
    <w:rsid w:val="00DD7EE6"/>
    <w:rsid w:val="00DD7FDE"/>
    <w:rsid w:val="00DE05BF"/>
    <w:rsid w:val="00DE0885"/>
    <w:rsid w:val="00DE0D4A"/>
    <w:rsid w:val="00DE1436"/>
    <w:rsid w:val="00DE2937"/>
    <w:rsid w:val="00DE3570"/>
    <w:rsid w:val="00DE3574"/>
    <w:rsid w:val="00DE37A2"/>
    <w:rsid w:val="00DE3F7C"/>
    <w:rsid w:val="00DE4D76"/>
    <w:rsid w:val="00DE566E"/>
    <w:rsid w:val="00DE567F"/>
    <w:rsid w:val="00DE5B46"/>
    <w:rsid w:val="00DE5DF4"/>
    <w:rsid w:val="00DE5FF2"/>
    <w:rsid w:val="00DE6315"/>
    <w:rsid w:val="00DE74A0"/>
    <w:rsid w:val="00DE7544"/>
    <w:rsid w:val="00DE7552"/>
    <w:rsid w:val="00DE78F9"/>
    <w:rsid w:val="00DE7BB8"/>
    <w:rsid w:val="00DE7EFE"/>
    <w:rsid w:val="00DF0449"/>
    <w:rsid w:val="00DF069B"/>
    <w:rsid w:val="00DF0AFC"/>
    <w:rsid w:val="00DF0FFD"/>
    <w:rsid w:val="00DF1235"/>
    <w:rsid w:val="00DF15C3"/>
    <w:rsid w:val="00DF1915"/>
    <w:rsid w:val="00DF1FB0"/>
    <w:rsid w:val="00DF34A0"/>
    <w:rsid w:val="00DF3908"/>
    <w:rsid w:val="00DF3AD7"/>
    <w:rsid w:val="00DF3AF7"/>
    <w:rsid w:val="00DF3C63"/>
    <w:rsid w:val="00DF404E"/>
    <w:rsid w:val="00DF41CC"/>
    <w:rsid w:val="00DF45FF"/>
    <w:rsid w:val="00DF4DC2"/>
    <w:rsid w:val="00DF514C"/>
    <w:rsid w:val="00DF51FE"/>
    <w:rsid w:val="00DF5986"/>
    <w:rsid w:val="00DF5B4B"/>
    <w:rsid w:val="00DF6CE2"/>
    <w:rsid w:val="00DF6F7E"/>
    <w:rsid w:val="00DF7D03"/>
    <w:rsid w:val="00E005D3"/>
    <w:rsid w:val="00E0101E"/>
    <w:rsid w:val="00E01267"/>
    <w:rsid w:val="00E012AD"/>
    <w:rsid w:val="00E014D2"/>
    <w:rsid w:val="00E01872"/>
    <w:rsid w:val="00E01E6D"/>
    <w:rsid w:val="00E02095"/>
    <w:rsid w:val="00E02B70"/>
    <w:rsid w:val="00E04729"/>
    <w:rsid w:val="00E04BEF"/>
    <w:rsid w:val="00E04C13"/>
    <w:rsid w:val="00E0516F"/>
    <w:rsid w:val="00E05245"/>
    <w:rsid w:val="00E06222"/>
    <w:rsid w:val="00E06ED0"/>
    <w:rsid w:val="00E0743F"/>
    <w:rsid w:val="00E10036"/>
    <w:rsid w:val="00E11088"/>
    <w:rsid w:val="00E117B1"/>
    <w:rsid w:val="00E118F6"/>
    <w:rsid w:val="00E11ABE"/>
    <w:rsid w:val="00E11BEB"/>
    <w:rsid w:val="00E11D93"/>
    <w:rsid w:val="00E1211E"/>
    <w:rsid w:val="00E121E8"/>
    <w:rsid w:val="00E12233"/>
    <w:rsid w:val="00E12383"/>
    <w:rsid w:val="00E12542"/>
    <w:rsid w:val="00E137BE"/>
    <w:rsid w:val="00E13958"/>
    <w:rsid w:val="00E14A11"/>
    <w:rsid w:val="00E14C53"/>
    <w:rsid w:val="00E14F56"/>
    <w:rsid w:val="00E14FC2"/>
    <w:rsid w:val="00E15180"/>
    <w:rsid w:val="00E15822"/>
    <w:rsid w:val="00E15C72"/>
    <w:rsid w:val="00E164C5"/>
    <w:rsid w:val="00E1651A"/>
    <w:rsid w:val="00E16828"/>
    <w:rsid w:val="00E16AF9"/>
    <w:rsid w:val="00E16E82"/>
    <w:rsid w:val="00E16F6E"/>
    <w:rsid w:val="00E17520"/>
    <w:rsid w:val="00E2007A"/>
    <w:rsid w:val="00E20378"/>
    <w:rsid w:val="00E2186B"/>
    <w:rsid w:val="00E219E8"/>
    <w:rsid w:val="00E22280"/>
    <w:rsid w:val="00E22B90"/>
    <w:rsid w:val="00E236EF"/>
    <w:rsid w:val="00E23CD1"/>
    <w:rsid w:val="00E24155"/>
    <w:rsid w:val="00E24272"/>
    <w:rsid w:val="00E24489"/>
    <w:rsid w:val="00E24963"/>
    <w:rsid w:val="00E249A5"/>
    <w:rsid w:val="00E24B49"/>
    <w:rsid w:val="00E25886"/>
    <w:rsid w:val="00E2618E"/>
    <w:rsid w:val="00E26435"/>
    <w:rsid w:val="00E26457"/>
    <w:rsid w:val="00E26CD5"/>
    <w:rsid w:val="00E26CF6"/>
    <w:rsid w:val="00E270D6"/>
    <w:rsid w:val="00E272AE"/>
    <w:rsid w:val="00E2733A"/>
    <w:rsid w:val="00E275D6"/>
    <w:rsid w:val="00E301C4"/>
    <w:rsid w:val="00E30460"/>
    <w:rsid w:val="00E30900"/>
    <w:rsid w:val="00E30AE2"/>
    <w:rsid w:val="00E30B73"/>
    <w:rsid w:val="00E30D5A"/>
    <w:rsid w:val="00E31C18"/>
    <w:rsid w:val="00E31DB3"/>
    <w:rsid w:val="00E32019"/>
    <w:rsid w:val="00E321A1"/>
    <w:rsid w:val="00E321EE"/>
    <w:rsid w:val="00E3228A"/>
    <w:rsid w:val="00E32E7C"/>
    <w:rsid w:val="00E3326F"/>
    <w:rsid w:val="00E33420"/>
    <w:rsid w:val="00E334A2"/>
    <w:rsid w:val="00E33527"/>
    <w:rsid w:val="00E336BB"/>
    <w:rsid w:val="00E34551"/>
    <w:rsid w:val="00E34BF7"/>
    <w:rsid w:val="00E34C83"/>
    <w:rsid w:val="00E34FFA"/>
    <w:rsid w:val="00E357BD"/>
    <w:rsid w:val="00E35D62"/>
    <w:rsid w:val="00E36538"/>
    <w:rsid w:val="00E36570"/>
    <w:rsid w:val="00E3667D"/>
    <w:rsid w:val="00E3675E"/>
    <w:rsid w:val="00E36816"/>
    <w:rsid w:val="00E36C29"/>
    <w:rsid w:val="00E36CE1"/>
    <w:rsid w:val="00E36CFD"/>
    <w:rsid w:val="00E36F21"/>
    <w:rsid w:val="00E36F68"/>
    <w:rsid w:val="00E37016"/>
    <w:rsid w:val="00E37035"/>
    <w:rsid w:val="00E37734"/>
    <w:rsid w:val="00E37E8F"/>
    <w:rsid w:val="00E40030"/>
    <w:rsid w:val="00E40264"/>
    <w:rsid w:val="00E40749"/>
    <w:rsid w:val="00E40A7F"/>
    <w:rsid w:val="00E41322"/>
    <w:rsid w:val="00E41421"/>
    <w:rsid w:val="00E41CA9"/>
    <w:rsid w:val="00E42358"/>
    <w:rsid w:val="00E4274F"/>
    <w:rsid w:val="00E42906"/>
    <w:rsid w:val="00E42ABF"/>
    <w:rsid w:val="00E42E24"/>
    <w:rsid w:val="00E42FE6"/>
    <w:rsid w:val="00E442E7"/>
    <w:rsid w:val="00E4459F"/>
    <w:rsid w:val="00E44BBA"/>
    <w:rsid w:val="00E44E73"/>
    <w:rsid w:val="00E451F9"/>
    <w:rsid w:val="00E4590B"/>
    <w:rsid w:val="00E45DBA"/>
    <w:rsid w:val="00E45F53"/>
    <w:rsid w:val="00E46266"/>
    <w:rsid w:val="00E46661"/>
    <w:rsid w:val="00E467F1"/>
    <w:rsid w:val="00E4727B"/>
    <w:rsid w:val="00E4777B"/>
    <w:rsid w:val="00E47C63"/>
    <w:rsid w:val="00E50AFA"/>
    <w:rsid w:val="00E50BDB"/>
    <w:rsid w:val="00E5106D"/>
    <w:rsid w:val="00E51670"/>
    <w:rsid w:val="00E51BFC"/>
    <w:rsid w:val="00E5210C"/>
    <w:rsid w:val="00E521E0"/>
    <w:rsid w:val="00E52772"/>
    <w:rsid w:val="00E52F03"/>
    <w:rsid w:val="00E5346E"/>
    <w:rsid w:val="00E53635"/>
    <w:rsid w:val="00E53AA4"/>
    <w:rsid w:val="00E53DCA"/>
    <w:rsid w:val="00E54A5D"/>
    <w:rsid w:val="00E55477"/>
    <w:rsid w:val="00E55960"/>
    <w:rsid w:val="00E561CC"/>
    <w:rsid w:val="00E5640E"/>
    <w:rsid w:val="00E56F13"/>
    <w:rsid w:val="00E5749A"/>
    <w:rsid w:val="00E6006C"/>
    <w:rsid w:val="00E60748"/>
    <w:rsid w:val="00E60B81"/>
    <w:rsid w:val="00E6119E"/>
    <w:rsid w:val="00E611F8"/>
    <w:rsid w:val="00E61A8C"/>
    <w:rsid w:val="00E62436"/>
    <w:rsid w:val="00E624B6"/>
    <w:rsid w:val="00E62AD7"/>
    <w:rsid w:val="00E62CC5"/>
    <w:rsid w:val="00E62EC9"/>
    <w:rsid w:val="00E6348F"/>
    <w:rsid w:val="00E636C6"/>
    <w:rsid w:val="00E6375C"/>
    <w:rsid w:val="00E638EE"/>
    <w:rsid w:val="00E63CCD"/>
    <w:rsid w:val="00E63F86"/>
    <w:rsid w:val="00E641ED"/>
    <w:rsid w:val="00E6448C"/>
    <w:rsid w:val="00E64979"/>
    <w:rsid w:val="00E64EB0"/>
    <w:rsid w:val="00E6575D"/>
    <w:rsid w:val="00E6588B"/>
    <w:rsid w:val="00E65C68"/>
    <w:rsid w:val="00E6610A"/>
    <w:rsid w:val="00E66BB7"/>
    <w:rsid w:val="00E66F0D"/>
    <w:rsid w:val="00E7068E"/>
    <w:rsid w:val="00E70E95"/>
    <w:rsid w:val="00E71951"/>
    <w:rsid w:val="00E71955"/>
    <w:rsid w:val="00E71CA4"/>
    <w:rsid w:val="00E71D37"/>
    <w:rsid w:val="00E72685"/>
    <w:rsid w:val="00E7268E"/>
    <w:rsid w:val="00E73D1A"/>
    <w:rsid w:val="00E741E0"/>
    <w:rsid w:val="00E74245"/>
    <w:rsid w:val="00E7470C"/>
    <w:rsid w:val="00E749F7"/>
    <w:rsid w:val="00E75751"/>
    <w:rsid w:val="00E757ED"/>
    <w:rsid w:val="00E759C8"/>
    <w:rsid w:val="00E760DB"/>
    <w:rsid w:val="00E76476"/>
    <w:rsid w:val="00E770BA"/>
    <w:rsid w:val="00E773B8"/>
    <w:rsid w:val="00E80F59"/>
    <w:rsid w:val="00E813B6"/>
    <w:rsid w:val="00E81599"/>
    <w:rsid w:val="00E818E3"/>
    <w:rsid w:val="00E81B0C"/>
    <w:rsid w:val="00E825D8"/>
    <w:rsid w:val="00E8282E"/>
    <w:rsid w:val="00E82BE3"/>
    <w:rsid w:val="00E83057"/>
    <w:rsid w:val="00E83BB0"/>
    <w:rsid w:val="00E83DE3"/>
    <w:rsid w:val="00E84A9E"/>
    <w:rsid w:val="00E84AC0"/>
    <w:rsid w:val="00E84E82"/>
    <w:rsid w:val="00E84ECF"/>
    <w:rsid w:val="00E85276"/>
    <w:rsid w:val="00E863B6"/>
    <w:rsid w:val="00E86D2D"/>
    <w:rsid w:val="00E86DF2"/>
    <w:rsid w:val="00E86EFD"/>
    <w:rsid w:val="00E877D8"/>
    <w:rsid w:val="00E87E94"/>
    <w:rsid w:val="00E90D1E"/>
    <w:rsid w:val="00E9186A"/>
    <w:rsid w:val="00E91883"/>
    <w:rsid w:val="00E91965"/>
    <w:rsid w:val="00E91FF9"/>
    <w:rsid w:val="00E92247"/>
    <w:rsid w:val="00E9246E"/>
    <w:rsid w:val="00E9251F"/>
    <w:rsid w:val="00E930B9"/>
    <w:rsid w:val="00E93D9F"/>
    <w:rsid w:val="00E94891"/>
    <w:rsid w:val="00E949AF"/>
    <w:rsid w:val="00E94B0E"/>
    <w:rsid w:val="00E9531F"/>
    <w:rsid w:val="00E95B6C"/>
    <w:rsid w:val="00E95F03"/>
    <w:rsid w:val="00E960CB"/>
    <w:rsid w:val="00E96382"/>
    <w:rsid w:val="00E9649B"/>
    <w:rsid w:val="00E96C74"/>
    <w:rsid w:val="00E9754B"/>
    <w:rsid w:val="00E9779E"/>
    <w:rsid w:val="00E9791D"/>
    <w:rsid w:val="00E97C2F"/>
    <w:rsid w:val="00EA027F"/>
    <w:rsid w:val="00EA02D8"/>
    <w:rsid w:val="00EA06F5"/>
    <w:rsid w:val="00EA1040"/>
    <w:rsid w:val="00EA1186"/>
    <w:rsid w:val="00EA173C"/>
    <w:rsid w:val="00EA1C24"/>
    <w:rsid w:val="00EA1E75"/>
    <w:rsid w:val="00EA1F97"/>
    <w:rsid w:val="00EA2287"/>
    <w:rsid w:val="00EA2856"/>
    <w:rsid w:val="00EA292F"/>
    <w:rsid w:val="00EA2B19"/>
    <w:rsid w:val="00EA2DAF"/>
    <w:rsid w:val="00EA3216"/>
    <w:rsid w:val="00EA3633"/>
    <w:rsid w:val="00EA37A3"/>
    <w:rsid w:val="00EA391B"/>
    <w:rsid w:val="00EA3E3D"/>
    <w:rsid w:val="00EA483B"/>
    <w:rsid w:val="00EA49FB"/>
    <w:rsid w:val="00EA4B4D"/>
    <w:rsid w:val="00EA4E70"/>
    <w:rsid w:val="00EA4E84"/>
    <w:rsid w:val="00EA568D"/>
    <w:rsid w:val="00EA5728"/>
    <w:rsid w:val="00EA5D19"/>
    <w:rsid w:val="00EA6006"/>
    <w:rsid w:val="00EA65BB"/>
    <w:rsid w:val="00EA72FA"/>
    <w:rsid w:val="00EA78E9"/>
    <w:rsid w:val="00EB03B7"/>
    <w:rsid w:val="00EB04D0"/>
    <w:rsid w:val="00EB078D"/>
    <w:rsid w:val="00EB0D8D"/>
    <w:rsid w:val="00EB0E5D"/>
    <w:rsid w:val="00EB0F04"/>
    <w:rsid w:val="00EB1028"/>
    <w:rsid w:val="00EB129A"/>
    <w:rsid w:val="00EB14B1"/>
    <w:rsid w:val="00EB16BB"/>
    <w:rsid w:val="00EB17FA"/>
    <w:rsid w:val="00EB18D1"/>
    <w:rsid w:val="00EB1E9B"/>
    <w:rsid w:val="00EB24FC"/>
    <w:rsid w:val="00EB25C8"/>
    <w:rsid w:val="00EB277C"/>
    <w:rsid w:val="00EB2B14"/>
    <w:rsid w:val="00EB2B46"/>
    <w:rsid w:val="00EB2FDF"/>
    <w:rsid w:val="00EB3912"/>
    <w:rsid w:val="00EB3D19"/>
    <w:rsid w:val="00EB3F76"/>
    <w:rsid w:val="00EB4DF5"/>
    <w:rsid w:val="00EB4FFB"/>
    <w:rsid w:val="00EB52FE"/>
    <w:rsid w:val="00EB5540"/>
    <w:rsid w:val="00EB57FA"/>
    <w:rsid w:val="00EB5A66"/>
    <w:rsid w:val="00EB5E43"/>
    <w:rsid w:val="00EB5FD1"/>
    <w:rsid w:val="00EB66C8"/>
    <w:rsid w:val="00EB6804"/>
    <w:rsid w:val="00EB749A"/>
    <w:rsid w:val="00EB750B"/>
    <w:rsid w:val="00EB7F70"/>
    <w:rsid w:val="00EC0483"/>
    <w:rsid w:val="00EC144C"/>
    <w:rsid w:val="00EC1739"/>
    <w:rsid w:val="00EC1865"/>
    <w:rsid w:val="00EC2506"/>
    <w:rsid w:val="00EC29F3"/>
    <w:rsid w:val="00EC2C7F"/>
    <w:rsid w:val="00EC2C9E"/>
    <w:rsid w:val="00EC2D75"/>
    <w:rsid w:val="00EC3121"/>
    <w:rsid w:val="00EC3243"/>
    <w:rsid w:val="00EC3578"/>
    <w:rsid w:val="00EC3707"/>
    <w:rsid w:val="00EC4B94"/>
    <w:rsid w:val="00EC4D0F"/>
    <w:rsid w:val="00EC4DE0"/>
    <w:rsid w:val="00EC5359"/>
    <w:rsid w:val="00EC5378"/>
    <w:rsid w:val="00EC563F"/>
    <w:rsid w:val="00EC593A"/>
    <w:rsid w:val="00EC5DA6"/>
    <w:rsid w:val="00EC5DF6"/>
    <w:rsid w:val="00EC6703"/>
    <w:rsid w:val="00EC69EA"/>
    <w:rsid w:val="00EC6D96"/>
    <w:rsid w:val="00EC6DA8"/>
    <w:rsid w:val="00ED0D45"/>
    <w:rsid w:val="00ED0FB5"/>
    <w:rsid w:val="00ED14EF"/>
    <w:rsid w:val="00ED1DA7"/>
    <w:rsid w:val="00ED238D"/>
    <w:rsid w:val="00ED2DBE"/>
    <w:rsid w:val="00ED30CE"/>
    <w:rsid w:val="00ED315F"/>
    <w:rsid w:val="00ED3314"/>
    <w:rsid w:val="00ED3982"/>
    <w:rsid w:val="00ED3BE9"/>
    <w:rsid w:val="00ED45F7"/>
    <w:rsid w:val="00ED51E8"/>
    <w:rsid w:val="00ED5B8F"/>
    <w:rsid w:val="00ED6419"/>
    <w:rsid w:val="00ED6BA3"/>
    <w:rsid w:val="00ED6C0D"/>
    <w:rsid w:val="00ED6D96"/>
    <w:rsid w:val="00ED6ED4"/>
    <w:rsid w:val="00ED700E"/>
    <w:rsid w:val="00ED76B2"/>
    <w:rsid w:val="00ED797B"/>
    <w:rsid w:val="00EE003B"/>
    <w:rsid w:val="00EE0095"/>
    <w:rsid w:val="00EE02B8"/>
    <w:rsid w:val="00EE06A8"/>
    <w:rsid w:val="00EE095B"/>
    <w:rsid w:val="00EE09B8"/>
    <w:rsid w:val="00EE10F3"/>
    <w:rsid w:val="00EE11EF"/>
    <w:rsid w:val="00EE11FA"/>
    <w:rsid w:val="00EE15D6"/>
    <w:rsid w:val="00EE1D36"/>
    <w:rsid w:val="00EE1EFB"/>
    <w:rsid w:val="00EE2249"/>
    <w:rsid w:val="00EE2488"/>
    <w:rsid w:val="00EE251F"/>
    <w:rsid w:val="00EE2869"/>
    <w:rsid w:val="00EE2A82"/>
    <w:rsid w:val="00EE2B30"/>
    <w:rsid w:val="00EE2D37"/>
    <w:rsid w:val="00EE2D61"/>
    <w:rsid w:val="00EE2DF3"/>
    <w:rsid w:val="00EE3137"/>
    <w:rsid w:val="00EE3186"/>
    <w:rsid w:val="00EE3195"/>
    <w:rsid w:val="00EE33AD"/>
    <w:rsid w:val="00EE402B"/>
    <w:rsid w:val="00EE4064"/>
    <w:rsid w:val="00EE4427"/>
    <w:rsid w:val="00EE4894"/>
    <w:rsid w:val="00EE499E"/>
    <w:rsid w:val="00EE4C17"/>
    <w:rsid w:val="00EE504A"/>
    <w:rsid w:val="00EE51FA"/>
    <w:rsid w:val="00EE5295"/>
    <w:rsid w:val="00EE57A2"/>
    <w:rsid w:val="00EE58CE"/>
    <w:rsid w:val="00EE6244"/>
    <w:rsid w:val="00EE7024"/>
    <w:rsid w:val="00EE7400"/>
    <w:rsid w:val="00EE7959"/>
    <w:rsid w:val="00EE797E"/>
    <w:rsid w:val="00EE7AEC"/>
    <w:rsid w:val="00EE7FC7"/>
    <w:rsid w:val="00EF058C"/>
    <w:rsid w:val="00EF0B1E"/>
    <w:rsid w:val="00EF0CC6"/>
    <w:rsid w:val="00EF1659"/>
    <w:rsid w:val="00EF1BC9"/>
    <w:rsid w:val="00EF1EEE"/>
    <w:rsid w:val="00EF2A3D"/>
    <w:rsid w:val="00EF2CA6"/>
    <w:rsid w:val="00EF2ED8"/>
    <w:rsid w:val="00EF361E"/>
    <w:rsid w:val="00EF467A"/>
    <w:rsid w:val="00EF4879"/>
    <w:rsid w:val="00EF48BE"/>
    <w:rsid w:val="00EF4FBB"/>
    <w:rsid w:val="00EF58BC"/>
    <w:rsid w:val="00EF5C20"/>
    <w:rsid w:val="00EF5C98"/>
    <w:rsid w:val="00EF5CCC"/>
    <w:rsid w:val="00EF6A35"/>
    <w:rsid w:val="00EF7EAF"/>
    <w:rsid w:val="00EF7EF9"/>
    <w:rsid w:val="00EF7F08"/>
    <w:rsid w:val="00F00898"/>
    <w:rsid w:val="00F015D6"/>
    <w:rsid w:val="00F01795"/>
    <w:rsid w:val="00F0185E"/>
    <w:rsid w:val="00F01BC7"/>
    <w:rsid w:val="00F01BCF"/>
    <w:rsid w:val="00F01CF6"/>
    <w:rsid w:val="00F01F5F"/>
    <w:rsid w:val="00F022FC"/>
    <w:rsid w:val="00F02FCF"/>
    <w:rsid w:val="00F03675"/>
    <w:rsid w:val="00F04242"/>
    <w:rsid w:val="00F04DE4"/>
    <w:rsid w:val="00F04FD4"/>
    <w:rsid w:val="00F050AF"/>
    <w:rsid w:val="00F056FA"/>
    <w:rsid w:val="00F0590E"/>
    <w:rsid w:val="00F05C53"/>
    <w:rsid w:val="00F06242"/>
    <w:rsid w:val="00F063F3"/>
    <w:rsid w:val="00F06EF3"/>
    <w:rsid w:val="00F06F6D"/>
    <w:rsid w:val="00F07404"/>
    <w:rsid w:val="00F07E0B"/>
    <w:rsid w:val="00F10C68"/>
    <w:rsid w:val="00F10E8A"/>
    <w:rsid w:val="00F11114"/>
    <w:rsid w:val="00F11708"/>
    <w:rsid w:val="00F11950"/>
    <w:rsid w:val="00F11BD4"/>
    <w:rsid w:val="00F11EEC"/>
    <w:rsid w:val="00F11F87"/>
    <w:rsid w:val="00F121D3"/>
    <w:rsid w:val="00F126F1"/>
    <w:rsid w:val="00F12D71"/>
    <w:rsid w:val="00F13250"/>
    <w:rsid w:val="00F1344E"/>
    <w:rsid w:val="00F1351A"/>
    <w:rsid w:val="00F13706"/>
    <w:rsid w:val="00F14472"/>
    <w:rsid w:val="00F144A5"/>
    <w:rsid w:val="00F145C5"/>
    <w:rsid w:val="00F15442"/>
    <w:rsid w:val="00F157A7"/>
    <w:rsid w:val="00F16300"/>
    <w:rsid w:val="00F163DE"/>
    <w:rsid w:val="00F171E9"/>
    <w:rsid w:val="00F172A1"/>
    <w:rsid w:val="00F17664"/>
    <w:rsid w:val="00F178AF"/>
    <w:rsid w:val="00F17E0D"/>
    <w:rsid w:val="00F205E5"/>
    <w:rsid w:val="00F2087D"/>
    <w:rsid w:val="00F2090B"/>
    <w:rsid w:val="00F20AC7"/>
    <w:rsid w:val="00F213DE"/>
    <w:rsid w:val="00F2174C"/>
    <w:rsid w:val="00F218CD"/>
    <w:rsid w:val="00F225B3"/>
    <w:rsid w:val="00F22CB6"/>
    <w:rsid w:val="00F22F07"/>
    <w:rsid w:val="00F23376"/>
    <w:rsid w:val="00F24AEA"/>
    <w:rsid w:val="00F24C7C"/>
    <w:rsid w:val="00F25B24"/>
    <w:rsid w:val="00F25BE7"/>
    <w:rsid w:val="00F25FD2"/>
    <w:rsid w:val="00F262BA"/>
    <w:rsid w:val="00F27365"/>
    <w:rsid w:val="00F2743A"/>
    <w:rsid w:val="00F27915"/>
    <w:rsid w:val="00F301CC"/>
    <w:rsid w:val="00F30605"/>
    <w:rsid w:val="00F31701"/>
    <w:rsid w:val="00F31FD4"/>
    <w:rsid w:val="00F32032"/>
    <w:rsid w:val="00F32642"/>
    <w:rsid w:val="00F32FA4"/>
    <w:rsid w:val="00F33533"/>
    <w:rsid w:val="00F3359A"/>
    <w:rsid w:val="00F3388F"/>
    <w:rsid w:val="00F33B57"/>
    <w:rsid w:val="00F33EBD"/>
    <w:rsid w:val="00F341E0"/>
    <w:rsid w:val="00F34390"/>
    <w:rsid w:val="00F34CFE"/>
    <w:rsid w:val="00F34F27"/>
    <w:rsid w:val="00F35837"/>
    <w:rsid w:val="00F3591E"/>
    <w:rsid w:val="00F3592D"/>
    <w:rsid w:val="00F3596C"/>
    <w:rsid w:val="00F35B82"/>
    <w:rsid w:val="00F35BC7"/>
    <w:rsid w:val="00F36B27"/>
    <w:rsid w:val="00F36C36"/>
    <w:rsid w:val="00F36F22"/>
    <w:rsid w:val="00F400A2"/>
    <w:rsid w:val="00F40134"/>
    <w:rsid w:val="00F40496"/>
    <w:rsid w:val="00F40620"/>
    <w:rsid w:val="00F40673"/>
    <w:rsid w:val="00F4079F"/>
    <w:rsid w:val="00F411FB"/>
    <w:rsid w:val="00F41220"/>
    <w:rsid w:val="00F413CB"/>
    <w:rsid w:val="00F41985"/>
    <w:rsid w:val="00F41BA7"/>
    <w:rsid w:val="00F41C14"/>
    <w:rsid w:val="00F42DD7"/>
    <w:rsid w:val="00F4308C"/>
    <w:rsid w:val="00F43C31"/>
    <w:rsid w:val="00F446F3"/>
    <w:rsid w:val="00F449FE"/>
    <w:rsid w:val="00F44CE1"/>
    <w:rsid w:val="00F44EE8"/>
    <w:rsid w:val="00F450CE"/>
    <w:rsid w:val="00F45798"/>
    <w:rsid w:val="00F45B5E"/>
    <w:rsid w:val="00F45F24"/>
    <w:rsid w:val="00F4644B"/>
    <w:rsid w:val="00F46E57"/>
    <w:rsid w:val="00F4716E"/>
    <w:rsid w:val="00F47210"/>
    <w:rsid w:val="00F47561"/>
    <w:rsid w:val="00F47ED0"/>
    <w:rsid w:val="00F503D4"/>
    <w:rsid w:val="00F50CA8"/>
    <w:rsid w:val="00F51476"/>
    <w:rsid w:val="00F51626"/>
    <w:rsid w:val="00F5186F"/>
    <w:rsid w:val="00F51898"/>
    <w:rsid w:val="00F51DCC"/>
    <w:rsid w:val="00F521FD"/>
    <w:rsid w:val="00F525EC"/>
    <w:rsid w:val="00F52C9A"/>
    <w:rsid w:val="00F52CF4"/>
    <w:rsid w:val="00F532B3"/>
    <w:rsid w:val="00F53748"/>
    <w:rsid w:val="00F5378F"/>
    <w:rsid w:val="00F539EC"/>
    <w:rsid w:val="00F54922"/>
    <w:rsid w:val="00F549D5"/>
    <w:rsid w:val="00F54F49"/>
    <w:rsid w:val="00F55183"/>
    <w:rsid w:val="00F553C1"/>
    <w:rsid w:val="00F55B29"/>
    <w:rsid w:val="00F55CC7"/>
    <w:rsid w:val="00F5612B"/>
    <w:rsid w:val="00F56DF4"/>
    <w:rsid w:val="00F572F6"/>
    <w:rsid w:val="00F5793A"/>
    <w:rsid w:val="00F57BAD"/>
    <w:rsid w:val="00F57DA8"/>
    <w:rsid w:val="00F57EFB"/>
    <w:rsid w:val="00F60082"/>
    <w:rsid w:val="00F6051B"/>
    <w:rsid w:val="00F609C9"/>
    <w:rsid w:val="00F610DC"/>
    <w:rsid w:val="00F61503"/>
    <w:rsid w:val="00F6155D"/>
    <w:rsid w:val="00F61A1D"/>
    <w:rsid w:val="00F62136"/>
    <w:rsid w:val="00F624E8"/>
    <w:rsid w:val="00F626CE"/>
    <w:rsid w:val="00F62A42"/>
    <w:rsid w:val="00F63499"/>
    <w:rsid w:val="00F63A2C"/>
    <w:rsid w:val="00F63CF7"/>
    <w:rsid w:val="00F63D66"/>
    <w:rsid w:val="00F640B4"/>
    <w:rsid w:val="00F64210"/>
    <w:rsid w:val="00F6427E"/>
    <w:rsid w:val="00F64404"/>
    <w:rsid w:val="00F64CAE"/>
    <w:rsid w:val="00F65252"/>
    <w:rsid w:val="00F6589F"/>
    <w:rsid w:val="00F65F95"/>
    <w:rsid w:val="00F66324"/>
    <w:rsid w:val="00F668BB"/>
    <w:rsid w:val="00F66E4A"/>
    <w:rsid w:val="00F66E84"/>
    <w:rsid w:val="00F67126"/>
    <w:rsid w:val="00F67267"/>
    <w:rsid w:val="00F67741"/>
    <w:rsid w:val="00F67C35"/>
    <w:rsid w:val="00F67C99"/>
    <w:rsid w:val="00F70810"/>
    <w:rsid w:val="00F70D81"/>
    <w:rsid w:val="00F71817"/>
    <w:rsid w:val="00F71821"/>
    <w:rsid w:val="00F7190A"/>
    <w:rsid w:val="00F71B9C"/>
    <w:rsid w:val="00F71D82"/>
    <w:rsid w:val="00F72096"/>
    <w:rsid w:val="00F72AD3"/>
    <w:rsid w:val="00F72F90"/>
    <w:rsid w:val="00F72FE3"/>
    <w:rsid w:val="00F7323D"/>
    <w:rsid w:val="00F73518"/>
    <w:rsid w:val="00F73EF6"/>
    <w:rsid w:val="00F73F31"/>
    <w:rsid w:val="00F74813"/>
    <w:rsid w:val="00F75365"/>
    <w:rsid w:val="00F757AE"/>
    <w:rsid w:val="00F75D39"/>
    <w:rsid w:val="00F761F3"/>
    <w:rsid w:val="00F76DAC"/>
    <w:rsid w:val="00F77234"/>
    <w:rsid w:val="00F772AF"/>
    <w:rsid w:val="00F77545"/>
    <w:rsid w:val="00F77911"/>
    <w:rsid w:val="00F77E64"/>
    <w:rsid w:val="00F8027E"/>
    <w:rsid w:val="00F80449"/>
    <w:rsid w:val="00F8069B"/>
    <w:rsid w:val="00F808E8"/>
    <w:rsid w:val="00F80D46"/>
    <w:rsid w:val="00F814DF"/>
    <w:rsid w:val="00F81548"/>
    <w:rsid w:val="00F82028"/>
    <w:rsid w:val="00F824B5"/>
    <w:rsid w:val="00F8289F"/>
    <w:rsid w:val="00F829B2"/>
    <w:rsid w:val="00F8424C"/>
    <w:rsid w:val="00F84489"/>
    <w:rsid w:val="00F84494"/>
    <w:rsid w:val="00F84821"/>
    <w:rsid w:val="00F84BC6"/>
    <w:rsid w:val="00F84DAA"/>
    <w:rsid w:val="00F85044"/>
    <w:rsid w:val="00F85225"/>
    <w:rsid w:val="00F85555"/>
    <w:rsid w:val="00F85668"/>
    <w:rsid w:val="00F8566A"/>
    <w:rsid w:val="00F85AD1"/>
    <w:rsid w:val="00F85D7F"/>
    <w:rsid w:val="00F85DA5"/>
    <w:rsid w:val="00F85F6D"/>
    <w:rsid w:val="00F8624C"/>
    <w:rsid w:val="00F86C03"/>
    <w:rsid w:val="00F87250"/>
    <w:rsid w:val="00F8769D"/>
    <w:rsid w:val="00F87838"/>
    <w:rsid w:val="00F87A20"/>
    <w:rsid w:val="00F87CE0"/>
    <w:rsid w:val="00F87D43"/>
    <w:rsid w:val="00F9026B"/>
    <w:rsid w:val="00F902B8"/>
    <w:rsid w:val="00F90578"/>
    <w:rsid w:val="00F90966"/>
    <w:rsid w:val="00F90B47"/>
    <w:rsid w:val="00F90DF0"/>
    <w:rsid w:val="00F90EED"/>
    <w:rsid w:val="00F910B1"/>
    <w:rsid w:val="00F912CF"/>
    <w:rsid w:val="00F918A3"/>
    <w:rsid w:val="00F922FF"/>
    <w:rsid w:val="00F92629"/>
    <w:rsid w:val="00F92D07"/>
    <w:rsid w:val="00F92DD0"/>
    <w:rsid w:val="00F92E46"/>
    <w:rsid w:val="00F9379F"/>
    <w:rsid w:val="00F938F7"/>
    <w:rsid w:val="00F939BE"/>
    <w:rsid w:val="00F94584"/>
    <w:rsid w:val="00F947DB"/>
    <w:rsid w:val="00F948F7"/>
    <w:rsid w:val="00F94AB4"/>
    <w:rsid w:val="00F94D9B"/>
    <w:rsid w:val="00F953C1"/>
    <w:rsid w:val="00F953C7"/>
    <w:rsid w:val="00F9562A"/>
    <w:rsid w:val="00F95B8E"/>
    <w:rsid w:val="00F961C5"/>
    <w:rsid w:val="00F96910"/>
    <w:rsid w:val="00F97485"/>
    <w:rsid w:val="00F97980"/>
    <w:rsid w:val="00FA0281"/>
    <w:rsid w:val="00FA1167"/>
    <w:rsid w:val="00FA11A1"/>
    <w:rsid w:val="00FA1F37"/>
    <w:rsid w:val="00FA24F6"/>
    <w:rsid w:val="00FA268D"/>
    <w:rsid w:val="00FA3112"/>
    <w:rsid w:val="00FA3829"/>
    <w:rsid w:val="00FA38B1"/>
    <w:rsid w:val="00FA3FF2"/>
    <w:rsid w:val="00FA4056"/>
    <w:rsid w:val="00FA41DA"/>
    <w:rsid w:val="00FA44B1"/>
    <w:rsid w:val="00FA507F"/>
    <w:rsid w:val="00FA5087"/>
    <w:rsid w:val="00FA55D0"/>
    <w:rsid w:val="00FA5BC5"/>
    <w:rsid w:val="00FA60E5"/>
    <w:rsid w:val="00FA6C04"/>
    <w:rsid w:val="00FA6FED"/>
    <w:rsid w:val="00FA702D"/>
    <w:rsid w:val="00FA7347"/>
    <w:rsid w:val="00FA7442"/>
    <w:rsid w:val="00FA7995"/>
    <w:rsid w:val="00FA7A24"/>
    <w:rsid w:val="00FB01EA"/>
    <w:rsid w:val="00FB07FA"/>
    <w:rsid w:val="00FB0F30"/>
    <w:rsid w:val="00FB13A3"/>
    <w:rsid w:val="00FB13FD"/>
    <w:rsid w:val="00FB27C4"/>
    <w:rsid w:val="00FB2F46"/>
    <w:rsid w:val="00FB34FD"/>
    <w:rsid w:val="00FB36C8"/>
    <w:rsid w:val="00FB3C2B"/>
    <w:rsid w:val="00FB3D37"/>
    <w:rsid w:val="00FB473F"/>
    <w:rsid w:val="00FB4902"/>
    <w:rsid w:val="00FB551B"/>
    <w:rsid w:val="00FB587A"/>
    <w:rsid w:val="00FB5FCC"/>
    <w:rsid w:val="00FB6767"/>
    <w:rsid w:val="00FB731D"/>
    <w:rsid w:val="00FB7635"/>
    <w:rsid w:val="00FB7B2B"/>
    <w:rsid w:val="00FB7B31"/>
    <w:rsid w:val="00FB7C5E"/>
    <w:rsid w:val="00FB7D1A"/>
    <w:rsid w:val="00FB7DA9"/>
    <w:rsid w:val="00FC00A1"/>
    <w:rsid w:val="00FC00B1"/>
    <w:rsid w:val="00FC00C6"/>
    <w:rsid w:val="00FC014C"/>
    <w:rsid w:val="00FC01ED"/>
    <w:rsid w:val="00FC07F7"/>
    <w:rsid w:val="00FC0C5C"/>
    <w:rsid w:val="00FC0CB6"/>
    <w:rsid w:val="00FC0E6B"/>
    <w:rsid w:val="00FC1385"/>
    <w:rsid w:val="00FC1764"/>
    <w:rsid w:val="00FC18ED"/>
    <w:rsid w:val="00FC1BCE"/>
    <w:rsid w:val="00FC2F23"/>
    <w:rsid w:val="00FC31F8"/>
    <w:rsid w:val="00FC3CAC"/>
    <w:rsid w:val="00FC44E8"/>
    <w:rsid w:val="00FC4910"/>
    <w:rsid w:val="00FC4A07"/>
    <w:rsid w:val="00FC4B60"/>
    <w:rsid w:val="00FC50C0"/>
    <w:rsid w:val="00FC688E"/>
    <w:rsid w:val="00FC6D1C"/>
    <w:rsid w:val="00FC6EC4"/>
    <w:rsid w:val="00FC7032"/>
    <w:rsid w:val="00FC729E"/>
    <w:rsid w:val="00FC730B"/>
    <w:rsid w:val="00FD0358"/>
    <w:rsid w:val="00FD05F7"/>
    <w:rsid w:val="00FD0858"/>
    <w:rsid w:val="00FD0BC3"/>
    <w:rsid w:val="00FD104A"/>
    <w:rsid w:val="00FD16D0"/>
    <w:rsid w:val="00FD1813"/>
    <w:rsid w:val="00FD1829"/>
    <w:rsid w:val="00FD1889"/>
    <w:rsid w:val="00FD19E8"/>
    <w:rsid w:val="00FD1A25"/>
    <w:rsid w:val="00FD1ADD"/>
    <w:rsid w:val="00FD1DD3"/>
    <w:rsid w:val="00FD320E"/>
    <w:rsid w:val="00FD331A"/>
    <w:rsid w:val="00FD367E"/>
    <w:rsid w:val="00FD44CF"/>
    <w:rsid w:val="00FD5438"/>
    <w:rsid w:val="00FD58AD"/>
    <w:rsid w:val="00FD5C84"/>
    <w:rsid w:val="00FD664D"/>
    <w:rsid w:val="00FD6802"/>
    <w:rsid w:val="00FD6903"/>
    <w:rsid w:val="00FD6918"/>
    <w:rsid w:val="00FD6FB3"/>
    <w:rsid w:val="00FD71F8"/>
    <w:rsid w:val="00FE0005"/>
    <w:rsid w:val="00FE0736"/>
    <w:rsid w:val="00FE0A4B"/>
    <w:rsid w:val="00FE0AE6"/>
    <w:rsid w:val="00FE0B5A"/>
    <w:rsid w:val="00FE0DC8"/>
    <w:rsid w:val="00FE0F2B"/>
    <w:rsid w:val="00FE1A4B"/>
    <w:rsid w:val="00FE1CDA"/>
    <w:rsid w:val="00FE208D"/>
    <w:rsid w:val="00FE24E7"/>
    <w:rsid w:val="00FE2CF2"/>
    <w:rsid w:val="00FE2DA5"/>
    <w:rsid w:val="00FE2E3B"/>
    <w:rsid w:val="00FE3328"/>
    <w:rsid w:val="00FE3D0A"/>
    <w:rsid w:val="00FE4190"/>
    <w:rsid w:val="00FE4CF0"/>
    <w:rsid w:val="00FE54EF"/>
    <w:rsid w:val="00FE5A52"/>
    <w:rsid w:val="00FE5D5A"/>
    <w:rsid w:val="00FE6339"/>
    <w:rsid w:val="00FE65A2"/>
    <w:rsid w:val="00FE66BE"/>
    <w:rsid w:val="00FE694F"/>
    <w:rsid w:val="00FE6CCB"/>
    <w:rsid w:val="00FE75E1"/>
    <w:rsid w:val="00FE7B57"/>
    <w:rsid w:val="00FF03F7"/>
    <w:rsid w:val="00FF0642"/>
    <w:rsid w:val="00FF084F"/>
    <w:rsid w:val="00FF1010"/>
    <w:rsid w:val="00FF143B"/>
    <w:rsid w:val="00FF155D"/>
    <w:rsid w:val="00FF20AB"/>
    <w:rsid w:val="00FF2407"/>
    <w:rsid w:val="00FF26E0"/>
    <w:rsid w:val="00FF30B4"/>
    <w:rsid w:val="00FF34DC"/>
    <w:rsid w:val="00FF3576"/>
    <w:rsid w:val="00FF3ECC"/>
    <w:rsid w:val="00FF40A0"/>
    <w:rsid w:val="00FF40BA"/>
    <w:rsid w:val="00FF41C4"/>
    <w:rsid w:val="00FF452D"/>
    <w:rsid w:val="00FF48C4"/>
    <w:rsid w:val="00FF4ECC"/>
    <w:rsid w:val="00FF651F"/>
    <w:rsid w:val="00FF6A8A"/>
    <w:rsid w:val="00FF6B36"/>
    <w:rsid w:val="00FF6C91"/>
    <w:rsid w:val="00FF745E"/>
    <w:rsid w:val="00FF7DB0"/>
    <w:rsid w:val="00FF7E3B"/>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eac2de"/>
    </o:shapedefaults>
    <o:shapelayout v:ext="edit">
      <o:idmap v:ext="edit" data="2"/>
    </o:shapelayout>
  </w:shapeDefaults>
  <w:decimalSymbol w:val=","/>
  <w:listSeparator w:val=";"/>
  <w14:docId w14:val="140F3A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l-SI" w:eastAsia="en-US" w:bidi="ar-SA"/>
      </w:rPr>
    </w:rPrDefault>
    <w:pPrDefault>
      <w:pPr>
        <w:spacing w:after="160" w:line="252" w:lineRule="auto"/>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630C8A"/>
    <w:pPr>
      <w:spacing w:after="120"/>
    </w:pPr>
    <w:rPr>
      <w:rFonts w:ascii="Arial" w:hAnsi="Arial"/>
      <w:sz w:val="20"/>
    </w:rPr>
  </w:style>
  <w:style w:type="paragraph" w:styleId="Naslov1">
    <w:name w:val="heading 1"/>
    <w:basedOn w:val="Navaden"/>
    <w:next w:val="Navaden"/>
    <w:link w:val="Naslov1Znak"/>
    <w:qFormat/>
    <w:rsid w:val="002F3727"/>
    <w:pPr>
      <w:keepNext/>
      <w:keepLines/>
      <w:spacing w:before="320" w:after="240"/>
      <w:jc w:val="center"/>
      <w:outlineLvl w:val="0"/>
    </w:pPr>
    <w:rPr>
      <w:rFonts w:eastAsiaTheme="majorEastAsia" w:cstheme="majorBidi"/>
      <w:b/>
      <w:bCs/>
      <w:caps/>
      <w:spacing w:val="4"/>
      <w:szCs w:val="28"/>
    </w:rPr>
  </w:style>
  <w:style w:type="paragraph" w:styleId="Naslov2">
    <w:name w:val="heading 2"/>
    <w:basedOn w:val="Navaden"/>
    <w:next w:val="Navaden"/>
    <w:link w:val="Naslov2Znak"/>
    <w:uiPriority w:val="9"/>
    <w:unhideWhenUsed/>
    <w:qFormat/>
    <w:rsid w:val="00401596"/>
    <w:pPr>
      <w:keepNext/>
      <w:keepLines/>
      <w:spacing w:before="360" w:after="240"/>
      <w:jc w:val="center"/>
      <w:outlineLvl w:val="1"/>
    </w:pPr>
    <w:rPr>
      <w:rFonts w:eastAsiaTheme="majorEastAsia" w:cstheme="majorBidi"/>
      <w:b/>
      <w:bCs/>
      <w:szCs w:val="28"/>
    </w:rPr>
  </w:style>
  <w:style w:type="paragraph" w:styleId="Naslov3">
    <w:name w:val="heading 3"/>
    <w:basedOn w:val="Navaden"/>
    <w:next w:val="Navaden"/>
    <w:link w:val="Naslov3Znak"/>
    <w:uiPriority w:val="9"/>
    <w:semiHidden/>
    <w:unhideWhenUsed/>
    <w:qFormat/>
    <w:rsid w:val="00DB3007"/>
    <w:pPr>
      <w:keepNext/>
      <w:keepLines/>
      <w:spacing w:before="120" w:after="0"/>
      <w:outlineLvl w:val="2"/>
    </w:pPr>
    <w:rPr>
      <w:rFonts w:asciiTheme="majorHAnsi" w:eastAsiaTheme="majorEastAsia" w:hAnsiTheme="majorHAnsi" w:cstheme="majorBidi"/>
      <w:spacing w:val="4"/>
      <w:sz w:val="24"/>
      <w:szCs w:val="24"/>
    </w:rPr>
  </w:style>
  <w:style w:type="paragraph" w:styleId="Naslov4">
    <w:name w:val="heading 4"/>
    <w:basedOn w:val="Navaden"/>
    <w:next w:val="Navaden"/>
    <w:link w:val="Naslov4Znak"/>
    <w:unhideWhenUsed/>
    <w:qFormat/>
    <w:rsid w:val="00DB3007"/>
    <w:pPr>
      <w:keepNext/>
      <w:keepLines/>
      <w:spacing w:before="120" w:after="0"/>
      <w:outlineLvl w:val="3"/>
    </w:pPr>
    <w:rPr>
      <w:rFonts w:asciiTheme="majorHAnsi" w:eastAsiaTheme="majorEastAsia" w:hAnsiTheme="majorHAnsi" w:cstheme="majorBidi"/>
      <w:i/>
      <w:iCs/>
      <w:sz w:val="24"/>
      <w:szCs w:val="24"/>
    </w:rPr>
  </w:style>
  <w:style w:type="paragraph" w:styleId="Naslov5">
    <w:name w:val="heading 5"/>
    <w:basedOn w:val="Navaden"/>
    <w:next w:val="Navaden"/>
    <w:link w:val="Naslov5Znak"/>
    <w:uiPriority w:val="9"/>
    <w:unhideWhenUsed/>
    <w:qFormat/>
    <w:rsid w:val="000E5454"/>
    <w:pPr>
      <w:keepNext/>
      <w:keepLines/>
      <w:spacing w:before="240" w:after="240"/>
      <w:jc w:val="center"/>
      <w:outlineLvl w:val="4"/>
    </w:pPr>
    <w:rPr>
      <w:rFonts w:eastAsia="Yu Gothic Light" w:cstheme="majorBidi"/>
      <w:b/>
      <w:bCs/>
    </w:rPr>
  </w:style>
  <w:style w:type="paragraph" w:styleId="Naslov6">
    <w:name w:val="heading 6"/>
    <w:basedOn w:val="Navaden"/>
    <w:next w:val="Navaden"/>
    <w:link w:val="Naslov6Znak"/>
    <w:uiPriority w:val="9"/>
    <w:semiHidden/>
    <w:unhideWhenUsed/>
    <w:qFormat/>
    <w:rsid w:val="00DB3007"/>
    <w:pPr>
      <w:keepNext/>
      <w:keepLines/>
      <w:spacing w:before="120" w:after="0"/>
      <w:outlineLvl w:val="5"/>
    </w:pPr>
    <w:rPr>
      <w:rFonts w:asciiTheme="majorHAnsi" w:eastAsiaTheme="majorEastAsia" w:hAnsiTheme="majorHAnsi" w:cstheme="majorBidi"/>
      <w:b/>
      <w:bCs/>
      <w:i/>
      <w:iCs/>
    </w:rPr>
  </w:style>
  <w:style w:type="paragraph" w:styleId="Naslov7">
    <w:name w:val="heading 7"/>
    <w:basedOn w:val="Navaden"/>
    <w:next w:val="Navaden"/>
    <w:link w:val="Naslov7Znak"/>
    <w:uiPriority w:val="9"/>
    <w:semiHidden/>
    <w:unhideWhenUsed/>
    <w:qFormat/>
    <w:rsid w:val="00DB3007"/>
    <w:pPr>
      <w:keepNext/>
      <w:keepLines/>
      <w:spacing w:before="120" w:after="0"/>
      <w:outlineLvl w:val="6"/>
    </w:pPr>
    <w:rPr>
      <w:i/>
      <w:iCs/>
    </w:rPr>
  </w:style>
  <w:style w:type="paragraph" w:styleId="Naslov8">
    <w:name w:val="heading 8"/>
    <w:basedOn w:val="Navaden"/>
    <w:next w:val="Navaden"/>
    <w:link w:val="Naslov8Znak"/>
    <w:uiPriority w:val="9"/>
    <w:semiHidden/>
    <w:unhideWhenUsed/>
    <w:qFormat/>
    <w:rsid w:val="00DB3007"/>
    <w:pPr>
      <w:keepNext/>
      <w:keepLines/>
      <w:spacing w:before="120" w:after="0"/>
      <w:outlineLvl w:val="7"/>
    </w:pPr>
    <w:rPr>
      <w:b/>
      <w:bCs/>
    </w:rPr>
  </w:style>
  <w:style w:type="paragraph" w:styleId="Naslov9">
    <w:name w:val="heading 9"/>
    <w:basedOn w:val="Navaden"/>
    <w:next w:val="Navaden"/>
    <w:link w:val="Naslov9Znak"/>
    <w:uiPriority w:val="9"/>
    <w:semiHidden/>
    <w:unhideWhenUsed/>
    <w:qFormat/>
    <w:rsid w:val="00DB3007"/>
    <w:pPr>
      <w:keepNext/>
      <w:keepLines/>
      <w:spacing w:before="120" w:after="0"/>
      <w:outlineLvl w:val="8"/>
    </w:pPr>
    <w:rPr>
      <w:i/>
      <w:iC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2F3727"/>
    <w:rPr>
      <w:rFonts w:ascii="Arial" w:eastAsiaTheme="majorEastAsia" w:hAnsi="Arial" w:cstheme="majorBidi"/>
      <w:b/>
      <w:bCs/>
      <w:caps/>
      <w:spacing w:val="4"/>
      <w:sz w:val="20"/>
      <w:szCs w:val="28"/>
    </w:rPr>
  </w:style>
  <w:style w:type="paragraph" w:styleId="Glava">
    <w:name w:val="header"/>
    <w:basedOn w:val="Navaden"/>
    <w:link w:val="GlavaZnak"/>
    <w:rsid w:val="00261625"/>
    <w:pPr>
      <w:tabs>
        <w:tab w:val="center" w:pos="4320"/>
        <w:tab w:val="right" w:pos="8640"/>
      </w:tabs>
      <w:spacing w:after="0" w:line="260" w:lineRule="exact"/>
    </w:pPr>
    <w:rPr>
      <w:rFonts w:eastAsia="Times New Roman" w:cs="Times New Roman"/>
      <w:szCs w:val="24"/>
    </w:rPr>
  </w:style>
  <w:style w:type="character" w:customStyle="1" w:styleId="GlavaZnak">
    <w:name w:val="Glava Znak"/>
    <w:basedOn w:val="Privzetapisavaodstavka"/>
    <w:link w:val="Glava"/>
    <w:rsid w:val="00261625"/>
    <w:rPr>
      <w:rFonts w:ascii="Arial" w:eastAsia="Times New Roman" w:hAnsi="Arial" w:cs="Times New Roman"/>
      <w:sz w:val="20"/>
      <w:szCs w:val="24"/>
    </w:rPr>
  </w:style>
  <w:style w:type="paragraph" w:customStyle="1" w:styleId="Naslovpredpisa">
    <w:name w:val="Naslov_predpisa"/>
    <w:basedOn w:val="Navaden"/>
    <w:link w:val="NaslovpredpisaZnak"/>
    <w:qFormat/>
    <w:rsid w:val="00261625"/>
    <w:pPr>
      <w:suppressAutoHyphens/>
      <w:overflowPunct w:val="0"/>
      <w:autoSpaceDE w:val="0"/>
      <w:autoSpaceDN w:val="0"/>
      <w:adjustRightInd w:val="0"/>
      <w:spacing w:before="120" w:line="200" w:lineRule="exact"/>
      <w:jc w:val="center"/>
      <w:textAlignment w:val="baseline"/>
    </w:pPr>
    <w:rPr>
      <w:rFonts w:eastAsia="Times New Roman" w:cs="Arial"/>
      <w:b/>
      <w:lang w:eastAsia="sl-SI"/>
    </w:rPr>
  </w:style>
  <w:style w:type="character" w:customStyle="1" w:styleId="NaslovpredpisaZnak">
    <w:name w:val="Naslov_predpisa Znak"/>
    <w:link w:val="Naslovpredpisa"/>
    <w:rsid w:val="00261625"/>
    <w:rPr>
      <w:rFonts w:ascii="Arial" w:eastAsia="Times New Roman" w:hAnsi="Arial" w:cs="Arial"/>
      <w:b/>
      <w:lang w:eastAsia="sl-SI"/>
    </w:rPr>
  </w:style>
  <w:style w:type="paragraph" w:customStyle="1" w:styleId="Poglavje">
    <w:name w:val="Poglavje"/>
    <w:basedOn w:val="Navaden"/>
    <w:qFormat/>
    <w:rsid w:val="00261625"/>
    <w:pPr>
      <w:suppressAutoHyphens/>
      <w:overflowPunct w:val="0"/>
      <w:autoSpaceDE w:val="0"/>
      <w:autoSpaceDN w:val="0"/>
      <w:adjustRightInd w:val="0"/>
      <w:spacing w:before="360" w:after="60" w:line="200" w:lineRule="exact"/>
      <w:jc w:val="center"/>
      <w:textAlignment w:val="baseline"/>
      <w:outlineLvl w:val="3"/>
    </w:pPr>
    <w:rPr>
      <w:rFonts w:eastAsia="Times New Roman" w:cs="Arial"/>
      <w:b/>
      <w:lang w:eastAsia="sl-SI"/>
    </w:rPr>
  </w:style>
  <w:style w:type="paragraph" w:customStyle="1" w:styleId="Neotevilenodstavek">
    <w:name w:val="Neoštevilčen odstavek"/>
    <w:basedOn w:val="Navaden"/>
    <w:link w:val="NeotevilenodstavekZnak"/>
    <w:rsid w:val="00261625"/>
    <w:pPr>
      <w:overflowPunct w:val="0"/>
      <w:autoSpaceDE w:val="0"/>
      <w:autoSpaceDN w:val="0"/>
      <w:adjustRightInd w:val="0"/>
      <w:spacing w:before="60" w:after="60" w:line="200" w:lineRule="exact"/>
      <w:textAlignment w:val="baseline"/>
    </w:pPr>
    <w:rPr>
      <w:rFonts w:eastAsia="Times New Roman" w:cs="Arial"/>
      <w:lang w:eastAsia="sl-SI"/>
    </w:rPr>
  </w:style>
  <w:style w:type="character" w:customStyle="1" w:styleId="NeotevilenodstavekZnak">
    <w:name w:val="Neoštevilčen odstavek Znak"/>
    <w:link w:val="Neotevilenodstavek"/>
    <w:rsid w:val="00261625"/>
    <w:rPr>
      <w:rFonts w:ascii="Arial" w:eastAsia="Times New Roman" w:hAnsi="Arial" w:cs="Arial"/>
      <w:lang w:eastAsia="sl-SI"/>
    </w:rPr>
  </w:style>
  <w:style w:type="paragraph" w:customStyle="1" w:styleId="Oddelek">
    <w:name w:val="Oddelek"/>
    <w:basedOn w:val="Navaden"/>
    <w:link w:val="OddelekZnak1"/>
    <w:qFormat/>
    <w:rsid w:val="0026162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lang w:eastAsia="sl-SI"/>
    </w:rPr>
  </w:style>
  <w:style w:type="character" w:customStyle="1" w:styleId="OddelekZnak1">
    <w:name w:val="Oddelek Znak1"/>
    <w:link w:val="Oddelek"/>
    <w:rsid w:val="00261625"/>
    <w:rPr>
      <w:rFonts w:ascii="Arial" w:eastAsia="Times New Roman" w:hAnsi="Arial" w:cs="Arial"/>
      <w:b/>
      <w:sz w:val="20"/>
      <w:lang w:eastAsia="sl-SI"/>
    </w:rPr>
  </w:style>
  <w:style w:type="paragraph" w:styleId="Odstavekseznama">
    <w:name w:val="List Paragraph"/>
    <w:basedOn w:val="Navaden"/>
    <w:link w:val="OdstavekseznamaZnak"/>
    <w:uiPriority w:val="34"/>
    <w:qFormat/>
    <w:rsid w:val="00AC7046"/>
  </w:style>
  <w:style w:type="character" w:customStyle="1" w:styleId="OdstavekseznamaZnak">
    <w:name w:val="Odstavek seznama Znak"/>
    <w:link w:val="Odstavekseznama"/>
    <w:uiPriority w:val="34"/>
    <w:rsid w:val="00AC7046"/>
    <w:rPr>
      <w:rFonts w:ascii="Arial" w:hAnsi="Arial"/>
      <w:sz w:val="20"/>
    </w:rPr>
  </w:style>
  <w:style w:type="character" w:styleId="Hiperpovezava">
    <w:name w:val="Hyperlink"/>
    <w:uiPriority w:val="99"/>
    <w:rsid w:val="00261625"/>
    <w:rPr>
      <w:color w:val="000080"/>
      <w:u w:val="single"/>
    </w:rPr>
  </w:style>
  <w:style w:type="paragraph" w:customStyle="1" w:styleId="Vrstapredpisa">
    <w:name w:val="Vrsta predpisa"/>
    <w:basedOn w:val="Navaden"/>
    <w:link w:val="VrstapredpisaZnak"/>
    <w:qFormat/>
    <w:rsid w:val="00261625"/>
    <w:pPr>
      <w:suppressAutoHyphens/>
      <w:overflowPunct w:val="0"/>
      <w:autoSpaceDE w:val="0"/>
      <w:autoSpaceDN w:val="0"/>
      <w:adjustRightInd w:val="0"/>
      <w:spacing w:before="360" w:after="0" w:line="220" w:lineRule="exact"/>
      <w:jc w:val="center"/>
      <w:textAlignment w:val="baseline"/>
    </w:pPr>
    <w:rPr>
      <w:rFonts w:eastAsia="Times New Roman" w:cs="Arial"/>
      <w:b/>
      <w:bCs/>
      <w:color w:val="000000"/>
      <w:spacing w:val="40"/>
      <w:lang w:eastAsia="sl-SI"/>
    </w:rPr>
  </w:style>
  <w:style w:type="character" w:customStyle="1" w:styleId="VrstapredpisaZnak">
    <w:name w:val="Vrsta predpisa Znak"/>
    <w:link w:val="Vrstapredpisa"/>
    <w:rsid w:val="00261625"/>
    <w:rPr>
      <w:rFonts w:ascii="Arial" w:eastAsia="Times New Roman" w:hAnsi="Arial" w:cs="Arial"/>
      <w:b/>
      <w:bCs/>
      <w:color w:val="000000"/>
      <w:spacing w:val="40"/>
      <w:lang w:eastAsia="sl-SI"/>
    </w:rPr>
  </w:style>
  <w:style w:type="paragraph" w:styleId="Besedilooblaka">
    <w:name w:val="Balloon Text"/>
    <w:basedOn w:val="Navaden"/>
    <w:link w:val="BesedilooblakaZnak"/>
    <w:uiPriority w:val="99"/>
    <w:semiHidden/>
    <w:unhideWhenUsed/>
    <w:rsid w:val="00A51B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A51BC0"/>
    <w:rPr>
      <w:rFonts w:ascii="Tahoma" w:hAnsi="Tahoma" w:cs="Tahoma"/>
      <w:sz w:val="16"/>
      <w:szCs w:val="16"/>
    </w:rPr>
  </w:style>
  <w:style w:type="character" w:styleId="Pripombasklic">
    <w:name w:val="annotation reference"/>
    <w:basedOn w:val="Privzetapisavaodstavka"/>
    <w:uiPriority w:val="99"/>
    <w:unhideWhenUsed/>
    <w:rsid w:val="00C76E48"/>
    <w:rPr>
      <w:sz w:val="16"/>
      <w:szCs w:val="16"/>
    </w:rPr>
  </w:style>
  <w:style w:type="paragraph" w:styleId="Pripombabesedilo">
    <w:name w:val="annotation text"/>
    <w:basedOn w:val="Navaden"/>
    <w:link w:val="PripombabesediloZnak"/>
    <w:uiPriority w:val="99"/>
    <w:unhideWhenUsed/>
    <w:rsid w:val="00C76E48"/>
    <w:pPr>
      <w:spacing w:line="240" w:lineRule="auto"/>
    </w:pPr>
    <w:rPr>
      <w:szCs w:val="20"/>
    </w:rPr>
  </w:style>
  <w:style w:type="character" w:customStyle="1" w:styleId="PripombabesediloZnak">
    <w:name w:val="Pripomba – besedilo Znak"/>
    <w:basedOn w:val="Privzetapisavaodstavka"/>
    <w:link w:val="Pripombabesedilo"/>
    <w:uiPriority w:val="99"/>
    <w:rsid w:val="00C76E48"/>
    <w:rPr>
      <w:sz w:val="20"/>
      <w:szCs w:val="20"/>
    </w:rPr>
  </w:style>
  <w:style w:type="paragraph" w:styleId="Zadevapripombe">
    <w:name w:val="annotation subject"/>
    <w:basedOn w:val="Pripombabesedilo"/>
    <w:next w:val="Pripombabesedilo"/>
    <w:link w:val="ZadevapripombeZnak"/>
    <w:semiHidden/>
    <w:unhideWhenUsed/>
    <w:rsid w:val="00C76E48"/>
    <w:rPr>
      <w:b/>
      <w:bCs/>
    </w:rPr>
  </w:style>
  <w:style w:type="character" w:customStyle="1" w:styleId="ZadevapripombeZnak">
    <w:name w:val="Zadeva pripombe Znak"/>
    <w:basedOn w:val="PripombabesediloZnak"/>
    <w:link w:val="Zadevapripombe"/>
    <w:semiHidden/>
    <w:rsid w:val="00C76E48"/>
    <w:rPr>
      <w:b/>
      <w:bCs/>
      <w:sz w:val="20"/>
      <w:szCs w:val="20"/>
    </w:rPr>
  </w:style>
  <w:style w:type="paragraph" w:styleId="Sprotnaopomba-besedilo">
    <w:name w:val="footnote text"/>
    <w:basedOn w:val="Navaden"/>
    <w:link w:val="Sprotnaopomba-besediloZnak"/>
    <w:uiPriority w:val="99"/>
    <w:unhideWhenUsed/>
    <w:rsid w:val="009F54B1"/>
    <w:pPr>
      <w:spacing w:after="0" w:line="240" w:lineRule="auto"/>
    </w:pPr>
    <w:rPr>
      <w:szCs w:val="20"/>
    </w:rPr>
  </w:style>
  <w:style w:type="character" w:customStyle="1" w:styleId="Sprotnaopomba-besediloZnak">
    <w:name w:val="Sprotna opomba - besedilo Znak"/>
    <w:basedOn w:val="Privzetapisavaodstavka"/>
    <w:link w:val="Sprotnaopomba-besedilo"/>
    <w:uiPriority w:val="99"/>
    <w:rsid w:val="009F54B1"/>
    <w:rPr>
      <w:sz w:val="20"/>
      <w:szCs w:val="20"/>
    </w:rPr>
  </w:style>
  <w:style w:type="character" w:styleId="Sprotnaopomba-sklic">
    <w:name w:val="footnote reference"/>
    <w:aliases w:val="SUPERS,Footnote symbol,Footnote,Voetnootverwijzing,Footnote number,fr,o,Footnotemark,FR,Footnotemark1,Footnotemark2,FR1,Footnotemark3,FR2,Footnotemark4,FR3,Footnotemark5,FR4,Footnotemark6,Footnotemark7,Footnotemark8,FR5,Fussnota"/>
    <w:uiPriority w:val="99"/>
    <w:unhideWhenUsed/>
    <w:qFormat/>
    <w:rsid w:val="009F54B1"/>
    <w:rPr>
      <w:vertAlign w:val="superscript"/>
    </w:rPr>
  </w:style>
  <w:style w:type="table" w:customStyle="1" w:styleId="Tabelamrea1">
    <w:name w:val="Tabela – mreža1"/>
    <w:basedOn w:val="Navadnatabela"/>
    <w:next w:val="Tabelamrea"/>
    <w:uiPriority w:val="39"/>
    <w:rsid w:val="009F54B1"/>
    <w:pPr>
      <w:spacing w:after="120" w:line="276"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9F54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qFormat/>
    <w:rsid w:val="00A051AC"/>
    <w:pPr>
      <w:numPr>
        <w:numId w:val="9"/>
      </w:numPr>
      <w:overflowPunct w:val="0"/>
      <w:autoSpaceDE w:val="0"/>
      <w:autoSpaceDN w:val="0"/>
      <w:adjustRightInd w:val="0"/>
      <w:spacing w:after="0" w:line="200" w:lineRule="exact"/>
      <w:textAlignment w:val="baseline"/>
    </w:pPr>
    <w:rPr>
      <w:rFonts w:eastAsia="Times New Roman" w:cs="Arial"/>
      <w:lang w:eastAsia="sl-SI"/>
    </w:rPr>
  </w:style>
  <w:style w:type="character" w:customStyle="1" w:styleId="Naslov5Znak">
    <w:name w:val="Naslov 5 Znak"/>
    <w:basedOn w:val="Privzetapisavaodstavka"/>
    <w:link w:val="Naslov5"/>
    <w:uiPriority w:val="9"/>
    <w:rsid w:val="000E5454"/>
    <w:rPr>
      <w:rFonts w:ascii="Arial" w:eastAsia="Yu Gothic Light" w:hAnsi="Arial" w:cstheme="majorBidi"/>
      <w:b/>
      <w:bCs/>
      <w:sz w:val="20"/>
    </w:rPr>
  </w:style>
  <w:style w:type="character" w:customStyle="1" w:styleId="AlineazaodstavkomZnak">
    <w:name w:val="Alinea za odstavkom Znak"/>
    <w:link w:val="Alineazaodstavkom"/>
    <w:rsid w:val="008E6475"/>
    <w:rPr>
      <w:rFonts w:ascii="Arial" w:eastAsia="Times New Roman" w:hAnsi="Arial" w:cs="Arial"/>
      <w:sz w:val="20"/>
      <w:lang w:eastAsia="sl-SI"/>
    </w:rPr>
  </w:style>
  <w:style w:type="paragraph" w:customStyle="1" w:styleId="Odstavekseznama1">
    <w:name w:val="Odstavek seznama1"/>
    <w:basedOn w:val="Navaden"/>
    <w:link w:val="ListParagraphChar"/>
    <w:rsid w:val="008E6475"/>
    <w:pPr>
      <w:spacing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rsid w:val="008E6475"/>
    <w:pPr>
      <w:tabs>
        <w:tab w:val="num" w:pos="720"/>
      </w:tabs>
      <w:overflowPunct w:val="0"/>
      <w:autoSpaceDE w:val="0"/>
      <w:autoSpaceDN w:val="0"/>
      <w:adjustRightInd w:val="0"/>
      <w:spacing w:line="200" w:lineRule="exact"/>
      <w:ind w:left="720" w:hanging="720"/>
      <w:textAlignment w:val="baseline"/>
    </w:pPr>
    <w:rPr>
      <w:rFonts w:eastAsia="Times New Roman" w:cs="Arial"/>
      <w:lang w:eastAsia="sl-SI"/>
    </w:rPr>
  </w:style>
  <w:style w:type="character" w:customStyle="1" w:styleId="AlineazatokoZnak">
    <w:name w:val="Alinea za točko Znak"/>
    <w:link w:val="Alineazatoko"/>
    <w:rsid w:val="008E6475"/>
    <w:rPr>
      <w:rFonts w:ascii="Arial" w:eastAsia="Times New Roman" w:hAnsi="Arial" w:cs="Arial"/>
      <w:lang w:eastAsia="sl-SI"/>
    </w:rPr>
  </w:style>
  <w:style w:type="character" w:customStyle="1" w:styleId="rkovnatokazaodstavkomZnak">
    <w:name w:val="Črkovna točka_za odstavkom Znak"/>
    <w:link w:val="rkovnatokazaodstavkom"/>
    <w:rsid w:val="008E6475"/>
    <w:rPr>
      <w:rFonts w:ascii="Arial" w:hAnsi="Arial"/>
      <w:sz w:val="20"/>
      <w:lang w:eastAsia="sl-SI"/>
    </w:rPr>
  </w:style>
  <w:style w:type="paragraph" w:customStyle="1" w:styleId="rkovnatokazaodstavkom">
    <w:name w:val="Črkovna točka_za odstavkom"/>
    <w:basedOn w:val="Navaden"/>
    <w:link w:val="rkovnatokazaodstavkomZnak"/>
    <w:qFormat/>
    <w:rsid w:val="008E6475"/>
    <w:pPr>
      <w:numPr>
        <w:numId w:val="10"/>
      </w:numPr>
      <w:overflowPunct w:val="0"/>
      <w:autoSpaceDE w:val="0"/>
      <w:autoSpaceDN w:val="0"/>
      <w:adjustRightInd w:val="0"/>
      <w:spacing w:line="200" w:lineRule="exact"/>
      <w:textAlignment w:val="baseline"/>
    </w:pPr>
    <w:rPr>
      <w:lang w:eastAsia="sl-SI"/>
    </w:rPr>
  </w:style>
  <w:style w:type="paragraph" w:customStyle="1" w:styleId="Odsek">
    <w:name w:val="Odsek"/>
    <w:basedOn w:val="Oddelek"/>
    <w:link w:val="OdsekZnak"/>
    <w:rsid w:val="008E6475"/>
    <w:pPr>
      <w:ind w:left="1428" w:hanging="360"/>
    </w:pPr>
  </w:style>
  <w:style w:type="character" w:customStyle="1" w:styleId="OdsekZnak">
    <w:name w:val="Odsek Znak"/>
    <w:basedOn w:val="OddelekZnak1"/>
    <w:link w:val="Odsek"/>
    <w:rsid w:val="008E6475"/>
    <w:rPr>
      <w:rFonts w:ascii="Arial" w:eastAsia="Times New Roman" w:hAnsi="Arial" w:cs="Arial"/>
      <w:b/>
      <w:sz w:val="20"/>
      <w:lang w:eastAsia="sl-SI"/>
    </w:rPr>
  </w:style>
  <w:style w:type="paragraph" w:customStyle="1" w:styleId="Default">
    <w:name w:val="Default"/>
    <w:basedOn w:val="Navaden"/>
    <w:rsid w:val="008E6475"/>
    <w:pPr>
      <w:widowControl w:val="0"/>
      <w:suppressAutoHyphens/>
      <w:autoSpaceDE w:val="0"/>
      <w:spacing w:line="240" w:lineRule="auto"/>
    </w:pPr>
    <w:rPr>
      <w:rFonts w:eastAsia="Arial" w:cs="Arial"/>
      <w:color w:val="000000"/>
      <w:kern w:val="1"/>
      <w:sz w:val="24"/>
      <w:szCs w:val="24"/>
      <w:lang w:eastAsia="hi-IN" w:bidi="hi-IN"/>
    </w:rPr>
  </w:style>
  <w:style w:type="character" w:customStyle="1" w:styleId="ListParagraphChar">
    <w:name w:val="List Paragraph Char"/>
    <w:link w:val="Odstavekseznama1"/>
    <w:locked/>
    <w:rsid w:val="008E6475"/>
    <w:rPr>
      <w:rFonts w:ascii="Times New Roman" w:eastAsia="Times New Roman" w:hAnsi="Times New Roman" w:cs="Times New Roman"/>
      <w:sz w:val="24"/>
      <w:szCs w:val="24"/>
      <w:lang w:eastAsia="sl-SI"/>
    </w:rPr>
  </w:style>
  <w:style w:type="paragraph" w:customStyle="1" w:styleId="odstavek1">
    <w:name w:val="odstavek1"/>
    <w:basedOn w:val="Navaden"/>
    <w:rsid w:val="008E6475"/>
    <w:pPr>
      <w:spacing w:before="240" w:line="240" w:lineRule="auto"/>
      <w:ind w:firstLine="1021"/>
    </w:pPr>
    <w:rPr>
      <w:rFonts w:cs="Arial"/>
      <w:lang w:eastAsia="sl-SI"/>
    </w:rPr>
  </w:style>
  <w:style w:type="paragraph" w:customStyle="1" w:styleId="alineazaodstavkom1">
    <w:name w:val="alineazaodstavkom1"/>
    <w:basedOn w:val="Navaden"/>
    <w:rsid w:val="008E6475"/>
    <w:pPr>
      <w:spacing w:line="240" w:lineRule="auto"/>
      <w:ind w:left="425" w:hanging="425"/>
    </w:pPr>
    <w:rPr>
      <w:rFonts w:cs="Arial"/>
      <w:lang w:eastAsia="sl-SI"/>
    </w:rPr>
  </w:style>
  <w:style w:type="character" w:customStyle="1" w:styleId="apple-converted-space">
    <w:name w:val="apple-converted-space"/>
    <w:basedOn w:val="Privzetapisavaodstavka"/>
    <w:rsid w:val="008E6475"/>
  </w:style>
  <w:style w:type="paragraph" w:customStyle="1" w:styleId="len">
    <w:name w:val="len"/>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int0number">
    <w:name w:val="Point 0 (number)"/>
    <w:basedOn w:val="Navaden"/>
    <w:rsid w:val="008E6475"/>
    <w:pPr>
      <w:numPr>
        <w:numId w:val="11"/>
      </w:numPr>
      <w:tabs>
        <w:tab w:val="clear" w:pos="850"/>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1number">
    <w:name w:val="Point 1 (number)"/>
    <w:basedOn w:val="Navaden"/>
    <w:rsid w:val="008E6475"/>
    <w:pPr>
      <w:numPr>
        <w:ilvl w:val="2"/>
        <w:numId w:val="11"/>
      </w:numPr>
      <w:tabs>
        <w:tab w:val="clear" w:pos="1417"/>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2number">
    <w:name w:val="Point 2 (number)"/>
    <w:basedOn w:val="Navaden"/>
    <w:rsid w:val="008E6475"/>
    <w:pPr>
      <w:numPr>
        <w:ilvl w:val="4"/>
        <w:numId w:val="11"/>
      </w:numPr>
      <w:tabs>
        <w:tab w:val="clear" w:pos="1984"/>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3number">
    <w:name w:val="Point 3 (number)"/>
    <w:basedOn w:val="Navaden"/>
    <w:rsid w:val="008E6475"/>
    <w:pPr>
      <w:numPr>
        <w:ilvl w:val="6"/>
        <w:numId w:val="11"/>
      </w:numPr>
      <w:tabs>
        <w:tab w:val="clear" w:pos="2551"/>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0letter">
    <w:name w:val="Point 0 (letter)"/>
    <w:basedOn w:val="Navaden"/>
    <w:rsid w:val="008E6475"/>
    <w:pPr>
      <w:numPr>
        <w:ilvl w:val="1"/>
        <w:numId w:val="11"/>
      </w:numPr>
      <w:tabs>
        <w:tab w:val="clear" w:pos="850"/>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1letter">
    <w:name w:val="Point 1 (letter)"/>
    <w:basedOn w:val="Navaden"/>
    <w:rsid w:val="008E6475"/>
    <w:pPr>
      <w:numPr>
        <w:ilvl w:val="3"/>
        <w:numId w:val="11"/>
      </w:numPr>
      <w:tabs>
        <w:tab w:val="clear" w:pos="1417"/>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2letter">
    <w:name w:val="Point 2 (letter)"/>
    <w:basedOn w:val="Navaden"/>
    <w:rsid w:val="008E6475"/>
    <w:pPr>
      <w:numPr>
        <w:ilvl w:val="5"/>
        <w:numId w:val="11"/>
      </w:numPr>
      <w:tabs>
        <w:tab w:val="clear" w:pos="1984"/>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3letter">
    <w:name w:val="Point 3 (letter)"/>
    <w:basedOn w:val="Navaden"/>
    <w:rsid w:val="008E6475"/>
    <w:pPr>
      <w:numPr>
        <w:ilvl w:val="7"/>
        <w:numId w:val="11"/>
      </w:numPr>
      <w:tabs>
        <w:tab w:val="clear" w:pos="2551"/>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4letter">
    <w:name w:val="Point 4 (letter)"/>
    <w:basedOn w:val="Navaden"/>
    <w:rsid w:val="008E6475"/>
    <w:pPr>
      <w:numPr>
        <w:ilvl w:val="8"/>
        <w:numId w:val="11"/>
      </w:numPr>
      <w:tabs>
        <w:tab w:val="clear" w:pos="3118"/>
        <w:tab w:val="num" w:pos="360"/>
      </w:tabs>
      <w:spacing w:before="120" w:line="240" w:lineRule="auto"/>
      <w:ind w:left="0" w:firstLine="0"/>
    </w:pPr>
    <w:rPr>
      <w:rFonts w:ascii="Times New Roman" w:eastAsia="Calibri" w:hAnsi="Times New Roman" w:cs="Times New Roman"/>
      <w:sz w:val="24"/>
      <w:lang w:eastAsia="sl-SI" w:bidi="sl-SI"/>
    </w:rPr>
  </w:style>
  <w:style w:type="character" w:styleId="SledenaHiperpovezava">
    <w:name w:val="FollowedHyperlink"/>
    <w:basedOn w:val="Privzetapisavaodstavka"/>
    <w:uiPriority w:val="99"/>
    <w:semiHidden/>
    <w:unhideWhenUsed/>
    <w:rsid w:val="008E6475"/>
    <w:rPr>
      <w:color w:val="954F72" w:themeColor="followedHyperlink"/>
      <w:u w:val="single"/>
    </w:rPr>
  </w:style>
  <w:style w:type="paragraph" w:styleId="Noga">
    <w:name w:val="footer"/>
    <w:basedOn w:val="Navaden"/>
    <w:link w:val="NogaZnak"/>
    <w:uiPriority w:val="99"/>
    <w:unhideWhenUsed/>
    <w:rsid w:val="008E6475"/>
    <w:pPr>
      <w:tabs>
        <w:tab w:val="center" w:pos="4536"/>
        <w:tab w:val="right" w:pos="9072"/>
      </w:tabs>
      <w:spacing w:line="240" w:lineRule="auto"/>
    </w:pPr>
    <w:rPr>
      <w:rFonts w:eastAsia="Times New Roman" w:cs="Times New Roman"/>
      <w:szCs w:val="24"/>
    </w:rPr>
  </w:style>
  <w:style w:type="character" w:customStyle="1" w:styleId="NogaZnak">
    <w:name w:val="Noga Znak"/>
    <w:basedOn w:val="Privzetapisavaodstavka"/>
    <w:link w:val="Noga"/>
    <w:uiPriority w:val="99"/>
    <w:rsid w:val="008E6475"/>
    <w:rPr>
      <w:rFonts w:ascii="Arial" w:eastAsia="Times New Roman" w:hAnsi="Arial" w:cs="Times New Roman"/>
      <w:sz w:val="20"/>
      <w:szCs w:val="24"/>
    </w:rPr>
  </w:style>
  <w:style w:type="paragraph" w:customStyle="1" w:styleId="len0">
    <w:name w:val="Člen"/>
    <w:basedOn w:val="Navaden"/>
    <w:link w:val="lenZnak"/>
    <w:qFormat/>
    <w:rsid w:val="008E6475"/>
    <w:pPr>
      <w:suppressAutoHyphens/>
      <w:overflowPunct w:val="0"/>
      <w:autoSpaceDE w:val="0"/>
      <w:autoSpaceDN w:val="0"/>
      <w:adjustRightInd w:val="0"/>
      <w:spacing w:before="480" w:line="240" w:lineRule="auto"/>
      <w:jc w:val="center"/>
      <w:textAlignment w:val="baseline"/>
    </w:pPr>
    <w:rPr>
      <w:rFonts w:eastAsia="Times New Roman" w:cs="Times New Roman"/>
      <w:b/>
    </w:rPr>
  </w:style>
  <w:style w:type="character" w:customStyle="1" w:styleId="lenZnak">
    <w:name w:val="Člen Znak"/>
    <w:link w:val="len0"/>
    <w:rsid w:val="008E6475"/>
    <w:rPr>
      <w:rFonts w:ascii="Arial" w:eastAsia="Times New Roman" w:hAnsi="Arial" w:cs="Times New Roman"/>
      <w:b/>
    </w:rPr>
  </w:style>
  <w:style w:type="paragraph" w:customStyle="1" w:styleId="Odstavek0">
    <w:name w:val="Odstavek"/>
    <w:basedOn w:val="Navaden"/>
    <w:link w:val="OdstavekZnak"/>
    <w:qFormat/>
    <w:rsid w:val="008E6475"/>
    <w:pPr>
      <w:overflowPunct w:val="0"/>
      <w:autoSpaceDE w:val="0"/>
      <w:autoSpaceDN w:val="0"/>
      <w:adjustRightInd w:val="0"/>
      <w:spacing w:before="240" w:line="240" w:lineRule="auto"/>
      <w:ind w:firstLine="1021"/>
      <w:textAlignment w:val="baseline"/>
    </w:pPr>
    <w:rPr>
      <w:rFonts w:eastAsia="Times New Roman" w:cs="Times New Roman"/>
    </w:rPr>
  </w:style>
  <w:style w:type="character" w:customStyle="1" w:styleId="OdstavekZnak">
    <w:name w:val="Odstavek Znak"/>
    <w:link w:val="Odstavek0"/>
    <w:rsid w:val="008E6475"/>
    <w:rPr>
      <w:rFonts w:ascii="Arial" w:eastAsia="Times New Roman" w:hAnsi="Arial" w:cs="Times New Roman"/>
    </w:rPr>
  </w:style>
  <w:style w:type="paragraph" w:customStyle="1" w:styleId="lennaslov0">
    <w:name w:val="Člen_naslov"/>
    <w:basedOn w:val="len0"/>
    <w:qFormat/>
    <w:rsid w:val="008E6475"/>
    <w:pPr>
      <w:spacing w:before="0"/>
    </w:pPr>
  </w:style>
  <w:style w:type="table" w:customStyle="1" w:styleId="Tabelamrea2">
    <w:name w:val="Tabela – mreža2"/>
    <w:basedOn w:val="Navadnatabela"/>
    <w:next w:val="Tabelamrea"/>
    <w:uiPriority w:val="39"/>
    <w:rsid w:val="008E6475"/>
    <w:pPr>
      <w:spacing w:after="120" w:line="276"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vilnatoka0">
    <w:name w:val="tevilnatoka"/>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0">
    <w:name w:val="rkovnatokazatevilnotokoa0"/>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
    <w:name w:val="rkovnatokazatevilnotoko"/>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0">
    <w:name w:val="rkovnatokazaodstavkom"/>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21">
    <w:name w:val="Naslov 21"/>
    <w:basedOn w:val="Navaden"/>
    <w:next w:val="Navaden"/>
    <w:uiPriority w:val="9"/>
    <w:unhideWhenUsed/>
    <w:rsid w:val="00A53059"/>
    <w:pPr>
      <w:keepNext/>
      <w:keepLines/>
      <w:spacing w:before="40" w:after="0"/>
      <w:outlineLvl w:val="1"/>
    </w:pPr>
    <w:rPr>
      <w:rFonts w:ascii="Calibri Light" w:eastAsia="Yu Gothic Light" w:hAnsi="Calibri Light" w:cs="Times New Roman"/>
      <w:color w:val="2E74B5"/>
      <w:sz w:val="26"/>
      <w:szCs w:val="26"/>
    </w:rPr>
  </w:style>
  <w:style w:type="paragraph" w:customStyle="1" w:styleId="Naslov31">
    <w:name w:val="Naslov 31"/>
    <w:basedOn w:val="Navaden"/>
    <w:next w:val="Navaden"/>
    <w:uiPriority w:val="9"/>
    <w:unhideWhenUsed/>
    <w:qFormat/>
    <w:rsid w:val="00A53059"/>
    <w:pPr>
      <w:keepNext/>
      <w:keepLines/>
      <w:spacing w:before="40" w:after="0"/>
      <w:outlineLvl w:val="2"/>
    </w:pPr>
    <w:rPr>
      <w:rFonts w:ascii="Calibri Light" w:eastAsia="Yu Gothic Light" w:hAnsi="Calibri Light" w:cs="Times New Roman"/>
      <w:color w:val="1F4D78"/>
      <w:sz w:val="24"/>
      <w:szCs w:val="24"/>
    </w:rPr>
  </w:style>
  <w:style w:type="character" w:customStyle="1" w:styleId="Naslov2Znak">
    <w:name w:val="Naslov 2 Znak"/>
    <w:basedOn w:val="Privzetapisavaodstavka"/>
    <w:link w:val="Naslov2"/>
    <w:uiPriority w:val="9"/>
    <w:rsid w:val="00401596"/>
    <w:rPr>
      <w:rFonts w:ascii="Arial" w:eastAsiaTheme="majorEastAsia" w:hAnsi="Arial" w:cstheme="majorBidi"/>
      <w:b/>
      <w:bCs/>
      <w:sz w:val="20"/>
      <w:szCs w:val="28"/>
    </w:rPr>
  </w:style>
  <w:style w:type="character" w:customStyle="1" w:styleId="Naslov3Znak">
    <w:name w:val="Naslov 3 Znak"/>
    <w:basedOn w:val="Privzetapisavaodstavka"/>
    <w:link w:val="Naslov3"/>
    <w:uiPriority w:val="9"/>
    <w:semiHidden/>
    <w:rsid w:val="00DB3007"/>
    <w:rPr>
      <w:rFonts w:asciiTheme="majorHAnsi" w:eastAsiaTheme="majorEastAsia" w:hAnsiTheme="majorHAnsi" w:cstheme="majorBidi"/>
      <w:spacing w:val="4"/>
      <w:sz w:val="24"/>
      <w:szCs w:val="24"/>
    </w:rPr>
  </w:style>
  <w:style w:type="character" w:customStyle="1" w:styleId="highlight">
    <w:name w:val="highlight"/>
    <w:basedOn w:val="Privzetapisavaodstavka"/>
    <w:rsid w:val="00A53059"/>
  </w:style>
  <w:style w:type="paragraph" w:customStyle="1" w:styleId="Revizija1">
    <w:name w:val="Revizija1"/>
    <w:next w:val="Revizija"/>
    <w:hidden/>
    <w:uiPriority w:val="99"/>
    <w:semiHidden/>
    <w:rsid w:val="00A53059"/>
    <w:pPr>
      <w:spacing w:after="0" w:line="240" w:lineRule="auto"/>
    </w:pPr>
  </w:style>
  <w:style w:type="character" w:customStyle="1" w:styleId="Mention1">
    <w:name w:val="Mention1"/>
    <w:basedOn w:val="Privzetapisavaodstavka"/>
    <w:uiPriority w:val="99"/>
    <w:unhideWhenUsed/>
    <w:rsid w:val="00A53059"/>
    <w:rPr>
      <w:color w:val="2B579A"/>
      <w:shd w:val="clear" w:color="auto" w:fill="E1DFDD"/>
    </w:rPr>
  </w:style>
  <w:style w:type="character" w:customStyle="1" w:styleId="UnresolvedMention1">
    <w:name w:val="Unresolved Mention1"/>
    <w:basedOn w:val="Privzetapisavaodstavka"/>
    <w:uiPriority w:val="99"/>
    <w:semiHidden/>
    <w:unhideWhenUsed/>
    <w:rsid w:val="00A53059"/>
    <w:rPr>
      <w:color w:val="605E5C"/>
      <w:shd w:val="clear" w:color="auto" w:fill="E1DFDD"/>
    </w:rPr>
  </w:style>
  <w:style w:type="character" w:customStyle="1" w:styleId="Naslov2Znak1">
    <w:name w:val="Naslov 2 Znak1"/>
    <w:basedOn w:val="Privzetapisavaodstavka"/>
    <w:uiPriority w:val="9"/>
    <w:semiHidden/>
    <w:rsid w:val="00A53059"/>
    <w:rPr>
      <w:rFonts w:asciiTheme="majorHAnsi" w:eastAsiaTheme="majorEastAsia" w:hAnsiTheme="majorHAnsi" w:cstheme="majorBidi"/>
      <w:color w:val="2E74B5" w:themeColor="accent1" w:themeShade="BF"/>
      <w:sz w:val="26"/>
      <w:szCs w:val="26"/>
    </w:rPr>
  </w:style>
  <w:style w:type="character" w:customStyle="1" w:styleId="Naslov3Znak1">
    <w:name w:val="Naslov 3 Znak1"/>
    <w:basedOn w:val="Privzetapisavaodstavka"/>
    <w:uiPriority w:val="9"/>
    <w:semiHidden/>
    <w:rsid w:val="00A53059"/>
    <w:rPr>
      <w:rFonts w:asciiTheme="majorHAnsi" w:eastAsiaTheme="majorEastAsia" w:hAnsiTheme="majorHAnsi" w:cstheme="majorBidi"/>
      <w:color w:val="1F4D78" w:themeColor="accent1" w:themeShade="7F"/>
      <w:sz w:val="24"/>
      <w:szCs w:val="24"/>
    </w:rPr>
  </w:style>
  <w:style w:type="paragraph" w:styleId="Revizija">
    <w:name w:val="Revision"/>
    <w:hidden/>
    <w:uiPriority w:val="99"/>
    <w:semiHidden/>
    <w:rsid w:val="00A53059"/>
    <w:pPr>
      <w:spacing w:after="0" w:line="240" w:lineRule="auto"/>
    </w:pPr>
  </w:style>
  <w:style w:type="character" w:customStyle="1" w:styleId="Naslov4Znak">
    <w:name w:val="Naslov 4 Znak"/>
    <w:basedOn w:val="Privzetapisavaodstavka"/>
    <w:link w:val="Naslov4"/>
    <w:uiPriority w:val="9"/>
    <w:semiHidden/>
    <w:rsid w:val="00DB3007"/>
    <w:rPr>
      <w:rFonts w:asciiTheme="majorHAnsi" w:eastAsiaTheme="majorEastAsia" w:hAnsiTheme="majorHAnsi" w:cstheme="majorBidi"/>
      <w:i/>
      <w:iCs/>
      <w:sz w:val="24"/>
      <w:szCs w:val="24"/>
    </w:rPr>
  </w:style>
  <w:style w:type="character" w:customStyle="1" w:styleId="Naslov6Znak">
    <w:name w:val="Naslov 6 Znak"/>
    <w:basedOn w:val="Privzetapisavaodstavka"/>
    <w:link w:val="Naslov6"/>
    <w:uiPriority w:val="9"/>
    <w:semiHidden/>
    <w:rsid w:val="00DB3007"/>
    <w:rPr>
      <w:rFonts w:asciiTheme="majorHAnsi" w:eastAsiaTheme="majorEastAsia" w:hAnsiTheme="majorHAnsi" w:cstheme="majorBidi"/>
      <w:b/>
      <w:bCs/>
      <w:i/>
      <w:iCs/>
    </w:rPr>
  </w:style>
  <w:style w:type="character" w:customStyle="1" w:styleId="Naslov7Znak">
    <w:name w:val="Naslov 7 Znak"/>
    <w:basedOn w:val="Privzetapisavaodstavka"/>
    <w:link w:val="Naslov7"/>
    <w:uiPriority w:val="9"/>
    <w:semiHidden/>
    <w:rsid w:val="00DB3007"/>
    <w:rPr>
      <w:i/>
      <w:iCs/>
    </w:rPr>
  </w:style>
  <w:style w:type="character" w:customStyle="1" w:styleId="Naslov8Znak">
    <w:name w:val="Naslov 8 Znak"/>
    <w:basedOn w:val="Privzetapisavaodstavka"/>
    <w:link w:val="Naslov8"/>
    <w:uiPriority w:val="9"/>
    <w:semiHidden/>
    <w:rsid w:val="00DB3007"/>
    <w:rPr>
      <w:b/>
      <w:bCs/>
    </w:rPr>
  </w:style>
  <w:style w:type="character" w:customStyle="1" w:styleId="Naslov9Znak">
    <w:name w:val="Naslov 9 Znak"/>
    <w:basedOn w:val="Privzetapisavaodstavka"/>
    <w:link w:val="Naslov9"/>
    <w:uiPriority w:val="9"/>
    <w:semiHidden/>
    <w:rsid w:val="00DB3007"/>
    <w:rPr>
      <w:i/>
      <w:iCs/>
    </w:rPr>
  </w:style>
  <w:style w:type="paragraph" w:styleId="Napis">
    <w:name w:val="caption"/>
    <w:basedOn w:val="Navaden"/>
    <w:next w:val="Navaden"/>
    <w:uiPriority w:val="35"/>
    <w:unhideWhenUsed/>
    <w:qFormat/>
    <w:rsid w:val="00DB3007"/>
    <w:rPr>
      <w:b/>
      <w:bCs/>
      <w:sz w:val="18"/>
      <w:szCs w:val="18"/>
    </w:rPr>
  </w:style>
  <w:style w:type="paragraph" w:styleId="Naslov">
    <w:name w:val="Title"/>
    <w:basedOn w:val="Navaden"/>
    <w:next w:val="Navaden"/>
    <w:link w:val="NaslovZnak"/>
    <w:uiPriority w:val="10"/>
    <w:qFormat/>
    <w:rsid w:val="00DB3007"/>
    <w:pPr>
      <w:spacing w:after="0" w:line="240" w:lineRule="auto"/>
      <w:contextualSpacing/>
      <w:jc w:val="center"/>
    </w:pPr>
    <w:rPr>
      <w:rFonts w:asciiTheme="majorHAnsi" w:eastAsiaTheme="majorEastAsia" w:hAnsiTheme="majorHAnsi" w:cstheme="majorBidi"/>
      <w:b/>
      <w:bCs/>
      <w:spacing w:val="-7"/>
      <w:sz w:val="48"/>
      <w:szCs w:val="48"/>
    </w:rPr>
  </w:style>
  <w:style w:type="character" w:customStyle="1" w:styleId="NaslovZnak">
    <w:name w:val="Naslov Znak"/>
    <w:basedOn w:val="Privzetapisavaodstavka"/>
    <w:link w:val="Naslov"/>
    <w:uiPriority w:val="10"/>
    <w:rsid w:val="00DB3007"/>
    <w:rPr>
      <w:rFonts w:asciiTheme="majorHAnsi" w:eastAsiaTheme="majorEastAsia" w:hAnsiTheme="majorHAnsi" w:cstheme="majorBidi"/>
      <w:b/>
      <w:bCs/>
      <w:spacing w:val="-7"/>
      <w:sz w:val="48"/>
      <w:szCs w:val="48"/>
    </w:rPr>
  </w:style>
  <w:style w:type="paragraph" w:styleId="Podnaslov">
    <w:name w:val="Subtitle"/>
    <w:basedOn w:val="Navaden"/>
    <w:next w:val="Navaden"/>
    <w:link w:val="PodnaslovZnak"/>
    <w:uiPriority w:val="11"/>
    <w:qFormat/>
    <w:rsid w:val="00DB3007"/>
    <w:pPr>
      <w:numPr>
        <w:ilvl w:val="1"/>
      </w:numPr>
      <w:spacing w:after="240"/>
      <w:ind w:left="284" w:hanging="284"/>
      <w:jc w:val="center"/>
    </w:pPr>
    <w:rPr>
      <w:rFonts w:asciiTheme="majorHAnsi" w:eastAsiaTheme="majorEastAsia" w:hAnsiTheme="majorHAnsi" w:cstheme="majorBidi"/>
      <w:sz w:val="24"/>
      <w:szCs w:val="24"/>
    </w:rPr>
  </w:style>
  <w:style w:type="character" w:customStyle="1" w:styleId="PodnaslovZnak">
    <w:name w:val="Podnaslov Znak"/>
    <w:basedOn w:val="Privzetapisavaodstavka"/>
    <w:link w:val="Podnaslov"/>
    <w:uiPriority w:val="11"/>
    <w:rsid w:val="00DB3007"/>
    <w:rPr>
      <w:rFonts w:asciiTheme="majorHAnsi" w:eastAsiaTheme="majorEastAsia" w:hAnsiTheme="majorHAnsi" w:cstheme="majorBidi"/>
      <w:sz w:val="24"/>
      <w:szCs w:val="24"/>
    </w:rPr>
  </w:style>
  <w:style w:type="character" w:styleId="Krepko">
    <w:name w:val="Strong"/>
    <w:basedOn w:val="Privzetapisavaodstavka"/>
    <w:uiPriority w:val="22"/>
    <w:qFormat/>
    <w:rsid w:val="00DB3007"/>
    <w:rPr>
      <w:b/>
      <w:bCs/>
      <w:color w:val="auto"/>
    </w:rPr>
  </w:style>
  <w:style w:type="character" w:styleId="Poudarek">
    <w:name w:val="Emphasis"/>
    <w:basedOn w:val="Privzetapisavaodstavka"/>
    <w:uiPriority w:val="20"/>
    <w:qFormat/>
    <w:rsid w:val="00DB3007"/>
    <w:rPr>
      <w:i/>
      <w:iCs/>
      <w:color w:val="auto"/>
    </w:rPr>
  </w:style>
  <w:style w:type="paragraph" w:styleId="Brezrazmikov">
    <w:name w:val="No Spacing"/>
    <w:uiPriority w:val="1"/>
    <w:qFormat/>
    <w:rsid w:val="00DB3007"/>
    <w:pPr>
      <w:spacing w:after="0" w:line="240" w:lineRule="auto"/>
    </w:pPr>
  </w:style>
  <w:style w:type="paragraph" w:styleId="Citat">
    <w:name w:val="Quote"/>
    <w:basedOn w:val="Navaden"/>
    <w:next w:val="Navaden"/>
    <w:link w:val="CitatZnak"/>
    <w:uiPriority w:val="29"/>
    <w:qFormat/>
    <w:rsid w:val="00DB3007"/>
    <w:pPr>
      <w:spacing w:before="200" w:line="264" w:lineRule="auto"/>
      <w:ind w:left="864" w:right="864"/>
      <w:jc w:val="center"/>
    </w:pPr>
    <w:rPr>
      <w:rFonts w:asciiTheme="majorHAnsi" w:eastAsiaTheme="majorEastAsia" w:hAnsiTheme="majorHAnsi" w:cstheme="majorBidi"/>
      <w:i/>
      <w:iCs/>
      <w:sz w:val="24"/>
      <w:szCs w:val="24"/>
    </w:rPr>
  </w:style>
  <w:style w:type="character" w:customStyle="1" w:styleId="CitatZnak">
    <w:name w:val="Citat Znak"/>
    <w:basedOn w:val="Privzetapisavaodstavka"/>
    <w:link w:val="Citat"/>
    <w:uiPriority w:val="29"/>
    <w:rsid w:val="00DB3007"/>
    <w:rPr>
      <w:rFonts w:asciiTheme="majorHAnsi" w:eastAsiaTheme="majorEastAsia" w:hAnsiTheme="majorHAnsi" w:cstheme="majorBidi"/>
      <w:i/>
      <w:iCs/>
      <w:sz w:val="24"/>
      <w:szCs w:val="24"/>
    </w:rPr>
  </w:style>
  <w:style w:type="paragraph" w:styleId="Intenzivencitat">
    <w:name w:val="Intense Quote"/>
    <w:basedOn w:val="Navaden"/>
    <w:next w:val="Navaden"/>
    <w:link w:val="IntenzivencitatZnak"/>
    <w:uiPriority w:val="30"/>
    <w:qFormat/>
    <w:rsid w:val="00DB3007"/>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IntenzivencitatZnak">
    <w:name w:val="Intenziven citat Znak"/>
    <w:basedOn w:val="Privzetapisavaodstavka"/>
    <w:link w:val="Intenzivencitat"/>
    <w:uiPriority w:val="30"/>
    <w:rsid w:val="00DB3007"/>
    <w:rPr>
      <w:rFonts w:asciiTheme="majorHAnsi" w:eastAsiaTheme="majorEastAsia" w:hAnsiTheme="majorHAnsi" w:cstheme="majorBidi"/>
      <w:sz w:val="26"/>
      <w:szCs w:val="26"/>
    </w:rPr>
  </w:style>
  <w:style w:type="character" w:styleId="Neenpoudarek">
    <w:name w:val="Subtle Emphasis"/>
    <w:basedOn w:val="Privzetapisavaodstavka"/>
    <w:uiPriority w:val="19"/>
    <w:qFormat/>
    <w:rsid w:val="00DB3007"/>
    <w:rPr>
      <w:i/>
      <w:iCs/>
      <w:color w:val="auto"/>
    </w:rPr>
  </w:style>
  <w:style w:type="character" w:styleId="Intenzivenpoudarek">
    <w:name w:val="Intense Emphasis"/>
    <w:basedOn w:val="Privzetapisavaodstavka"/>
    <w:uiPriority w:val="21"/>
    <w:qFormat/>
    <w:rsid w:val="00DB3007"/>
    <w:rPr>
      <w:b/>
      <w:bCs/>
      <w:i/>
      <w:iCs/>
      <w:color w:val="auto"/>
    </w:rPr>
  </w:style>
  <w:style w:type="character" w:styleId="Neensklic">
    <w:name w:val="Subtle Reference"/>
    <w:basedOn w:val="Privzetapisavaodstavka"/>
    <w:uiPriority w:val="31"/>
    <w:qFormat/>
    <w:rsid w:val="00DB3007"/>
    <w:rPr>
      <w:smallCaps/>
      <w:color w:val="auto"/>
      <w:u w:val="single" w:color="7F7F7F" w:themeColor="text1" w:themeTint="80"/>
    </w:rPr>
  </w:style>
  <w:style w:type="character" w:styleId="Intenzivensklic">
    <w:name w:val="Intense Reference"/>
    <w:basedOn w:val="Privzetapisavaodstavka"/>
    <w:uiPriority w:val="32"/>
    <w:qFormat/>
    <w:rsid w:val="00DB3007"/>
    <w:rPr>
      <w:b/>
      <w:bCs/>
      <w:smallCaps/>
      <w:color w:val="auto"/>
      <w:u w:val="single"/>
    </w:rPr>
  </w:style>
  <w:style w:type="character" w:styleId="Naslovknjige">
    <w:name w:val="Book Title"/>
    <w:basedOn w:val="Privzetapisavaodstavka"/>
    <w:uiPriority w:val="33"/>
    <w:qFormat/>
    <w:rsid w:val="00DB3007"/>
    <w:rPr>
      <w:b/>
      <w:bCs/>
      <w:smallCaps/>
      <w:color w:val="auto"/>
    </w:rPr>
  </w:style>
  <w:style w:type="paragraph" w:styleId="NaslovTOC">
    <w:name w:val="TOC Heading"/>
    <w:basedOn w:val="Naslov1"/>
    <w:next w:val="Navaden"/>
    <w:uiPriority w:val="39"/>
    <w:unhideWhenUsed/>
    <w:qFormat/>
    <w:rsid w:val="00DB3007"/>
    <w:pPr>
      <w:outlineLvl w:val="9"/>
    </w:pPr>
  </w:style>
  <w:style w:type="character" w:customStyle="1" w:styleId="cf01">
    <w:name w:val="cf01"/>
    <w:basedOn w:val="Privzetapisavaodstavka"/>
    <w:rsid w:val="0022203B"/>
    <w:rPr>
      <w:rFonts w:ascii="Segoe UI" w:hAnsi="Segoe UI" w:cs="Segoe UI" w:hint="default"/>
      <w:b/>
      <w:bCs/>
      <w:sz w:val="18"/>
      <w:szCs w:val="18"/>
      <w:u w:val="single"/>
    </w:rPr>
  </w:style>
  <w:style w:type="character" w:customStyle="1" w:styleId="cf11">
    <w:name w:val="cf11"/>
    <w:basedOn w:val="Privzetapisavaodstavka"/>
    <w:rsid w:val="0022203B"/>
    <w:rPr>
      <w:rFonts w:ascii="Segoe UI" w:hAnsi="Segoe UI" w:cs="Segoe UI" w:hint="default"/>
      <w:b/>
      <w:bCs/>
      <w:sz w:val="18"/>
      <w:szCs w:val="18"/>
      <w:u w:val="single"/>
    </w:rPr>
  </w:style>
  <w:style w:type="paragraph" w:styleId="Navadensplet">
    <w:name w:val="Normal (Web)"/>
    <w:basedOn w:val="Navaden"/>
    <w:uiPriority w:val="99"/>
    <w:unhideWhenUsed/>
    <w:rsid w:val="005C75C8"/>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Couvdate">
    <w:name w:val="Couv date"/>
    <w:rsid w:val="00862BC7"/>
    <w:pPr>
      <w:spacing w:after="0" w:line="240" w:lineRule="auto"/>
      <w:jc w:val="left"/>
    </w:pPr>
    <w:rPr>
      <w:rFonts w:ascii="EYInterstate Light" w:eastAsia="Times New Roman" w:hAnsi="EYInterstate Light" w:cs="Arial"/>
      <w:bCs/>
      <w:noProof/>
      <w:color w:val="646464"/>
      <w:spacing w:val="-10"/>
      <w:kern w:val="32"/>
      <w:sz w:val="20"/>
      <w:szCs w:val="20"/>
      <w:lang w:val="fr-FR" w:eastAsia="fr-FR"/>
    </w:rPr>
  </w:style>
  <w:style w:type="character" w:customStyle="1" w:styleId="PripombabesediloZnak1">
    <w:name w:val="Pripomba – besedilo Znak1"/>
    <w:basedOn w:val="Privzetapisavaodstavka"/>
    <w:uiPriority w:val="99"/>
    <w:rsid w:val="00BF4C6D"/>
    <w:rPr>
      <w:sz w:val="20"/>
      <w:szCs w:val="20"/>
    </w:rPr>
  </w:style>
  <w:style w:type="character" w:customStyle="1" w:styleId="Komentar-besediloZnak">
    <w:name w:val="Komentar - besedilo Znak"/>
    <w:link w:val="2"/>
    <w:uiPriority w:val="99"/>
    <w:rsid w:val="00475304"/>
    <w:rPr>
      <w:rFonts w:ascii="Arial" w:eastAsia="Times New Roman" w:hAnsi="Arial" w:cs="Times New Roman"/>
      <w:sz w:val="20"/>
      <w:szCs w:val="20"/>
    </w:rPr>
  </w:style>
  <w:style w:type="paragraph" w:customStyle="1" w:styleId="2">
    <w:name w:val="2"/>
    <w:basedOn w:val="Navaden"/>
    <w:next w:val="Pripombabesedilo"/>
    <w:link w:val="Komentar-besediloZnak"/>
    <w:uiPriority w:val="99"/>
    <w:unhideWhenUsed/>
    <w:rsid w:val="00312C5C"/>
    <w:pPr>
      <w:spacing w:line="240" w:lineRule="auto"/>
    </w:pPr>
    <w:rPr>
      <w:rFonts w:eastAsia="Times New Roman" w:cs="Times New Roman"/>
      <w:szCs w:val="20"/>
    </w:rPr>
  </w:style>
  <w:style w:type="paragraph" w:customStyle="1" w:styleId="alineazatevilnotoko">
    <w:name w:val="alineazatevilnotoko"/>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alinejazarkovnotoko">
    <w:name w:val="alinejazarkovnotoko"/>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tevilnatoka11nova0">
    <w:name w:val="tevilnatoka11nova"/>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tevilnatoka1110">
    <w:name w:val="tevilnatoka111"/>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zamaknjenadolobadruginivo">
    <w:name w:val="zamaknjenadolobadruginivo"/>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1">
    <w:name w:val="1"/>
    <w:basedOn w:val="Navaden"/>
    <w:next w:val="Pripombabesedilo"/>
    <w:link w:val="Komentar-besediloZnak1"/>
    <w:uiPriority w:val="99"/>
    <w:unhideWhenUsed/>
    <w:rsid w:val="001444C1"/>
    <w:pPr>
      <w:spacing w:line="240" w:lineRule="auto"/>
    </w:pPr>
    <w:rPr>
      <w:rFonts w:asciiTheme="minorHAnsi" w:hAnsiTheme="minorHAnsi"/>
      <w:szCs w:val="20"/>
    </w:rPr>
  </w:style>
  <w:style w:type="character" w:customStyle="1" w:styleId="Komentar-besediloZnak1">
    <w:name w:val="Komentar - besedilo Znak1"/>
    <w:link w:val="1"/>
    <w:uiPriority w:val="99"/>
    <w:rsid w:val="001444C1"/>
    <w:rPr>
      <w:sz w:val="20"/>
      <w:szCs w:val="20"/>
    </w:rPr>
  </w:style>
  <w:style w:type="paragraph" w:customStyle="1" w:styleId="tevilnatoka111">
    <w:name w:val="Številčna točka 1.1.1"/>
    <w:basedOn w:val="Navaden"/>
    <w:qFormat/>
    <w:rsid w:val="00806D98"/>
    <w:pPr>
      <w:widowControl w:val="0"/>
      <w:numPr>
        <w:ilvl w:val="2"/>
        <w:numId w:val="14"/>
      </w:numPr>
      <w:overflowPunct w:val="0"/>
      <w:autoSpaceDE w:val="0"/>
      <w:autoSpaceDN w:val="0"/>
      <w:adjustRightInd w:val="0"/>
      <w:spacing w:after="0" w:line="240" w:lineRule="auto"/>
      <w:textAlignment w:val="baseline"/>
    </w:pPr>
    <w:rPr>
      <w:rFonts w:eastAsia="Times New Roman" w:cs="Times New Roman"/>
      <w:sz w:val="22"/>
      <w:szCs w:val="16"/>
      <w:lang w:eastAsia="sl-SI"/>
    </w:rPr>
  </w:style>
  <w:style w:type="paragraph" w:customStyle="1" w:styleId="tevilnatoka">
    <w:name w:val="Številčna točka"/>
    <w:basedOn w:val="Navaden"/>
    <w:link w:val="tevilnatokaZnak"/>
    <w:qFormat/>
    <w:rsid w:val="00806D98"/>
    <w:pPr>
      <w:numPr>
        <w:numId w:val="14"/>
      </w:numPr>
      <w:spacing w:after="0" w:line="240" w:lineRule="auto"/>
    </w:pPr>
    <w:rPr>
      <w:rFonts w:eastAsia="Times New Roman" w:cs="Times New Roman"/>
      <w:sz w:val="22"/>
      <w:lang w:val="x-none" w:eastAsia="sl-SI"/>
    </w:rPr>
  </w:style>
  <w:style w:type="character" w:customStyle="1" w:styleId="tevilnatokaZnak">
    <w:name w:val="Številčna točka Znak"/>
    <w:basedOn w:val="OdstavekZnak"/>
    <w:link w:val="tevilnatoka"/>
    <w:rsid w:val="00806D98"/>
    <w:rPr>
      <w:rFonts w:ascii="Arial" w:eastAsia="Times New Roman" w:hAnsi="Arial" w:cs="Times New Roman"/>
      <w:lang w:val="x-none" w:eastAsia="sl-SI"/>
    </w:rPr>
  </w:style>
  <w:style w:type="paragraph" w:customStyle="1" w:styleId="tevilnatoka11Nova">
    <w:name w:val="Številčna točka 1.1 Nova"/>
    <w:basedOn w:val="tevilnatoka"/>
    <w:qFormat/>
    <w:rsid w:val="00806D98"/>
    <w:pPr>
      <w:numPr>
        <w:ilvl w:val="1"/>
      </w:numPr>
      <w:tabs>
        <w:tab w:val="clear" w:pos="425"/>
        <w:tab w:val="num" w:pos="360"/>
      </w:tabs>
      <w:ind w:left="720" w:hanging="360"/>
    </w:pPr>
  </w:style>
  <w:style w:type="paragraph" w:customStyle="1" w:styleId="Alinejazarkovnotoko0">
    <w:name w:val="Alineja za črkovno točko"/>
    <w:basedOn w:val="Navaden"/>
    <w:link w:val="AlinejazarkovnotokoZnak"/>
    <w:qFormat/>
    <w:rsid w:val="00806D98"/>
    <w:pPr>
      <w:tabs>
        <w:tab w:val="left" w:pos="567"/>
      </w:tabs>
      <w:spacing w:after="0" w:line="240" w:lineRule="auto"/>
      <w:ind w:left="567" w:hanging="142"/>
    </w:pPr>
    <w:rPr>
      <w:rFonts w:eastAsia="Times New Roman" w:cs="Arial"/>
      <w:sz w:val="22"/>
      <w:lang w:eastAsia="sl-SI"/>
    </w:rPr>
  </w:style>
  <w:style w:type="character" w:customStyle="1" w:styleId="AlinejazarkovnotokoZnak">
    <w:name w:val="Alineja za črkovno točko Znak"/>
    <w:basedOn w:val="Privzetapisavaodstavka"/>
    <w:link w:val="Alinejazarkovnotoko0"/>
    <w:rsid w:val="00806D98"/>
    <w:rPr>
      <w:rFonts w:ascii="Arial" w:eastAsia="Times New Roman" w:hAnsi="Arial" w:cs="Arial"/>
      <w:lang w:eastAsia="sl-SI"/>
    </w:rPr>
  </w:style>
  <w:style w:type="paragraph" w:customStyle="1" w:styleId="Alineazatevilnotoko0">
    <w:name w:val="Alinea za številčno točko"/>
    <w:basedOn w:val="Alineazaodstavkom"/>
    <w:link w:val="AlineazatevilnotokoZnak"/>
    <w:qFormat/>
    <w:rsid w:val="00806D98"/>
    <w:pPr>
      <w:numPr>
        <w:numId w:val="0"/>
      </w:numPr>
      <w:tabs>
        <w:tab w:val="left" w:pos="567"/>
      </w:tabs>
      <w:overflowPunct/>
      <w:autoSpaceDE/>
      <w:autoSpaceDN/>
      <w:adjustRightInd/>
      <w:spacing w:line="240" w:lineRule="auto"/>
      <w:ind w:left="567" w:hanging="142"/>
      <w:textAlignment w:val="auto"/>
    </w:pPr>
    <w:rPr>
      <w:lang w:val="x-none"/>
    </w:rPr>
  </w:style>
  <w:style w:type="character" w:customStyle="1" w:styleId="AlineazatevilnotokoZnak">
    <w:name w:val="Alinea za številčno točko Znak"/>
    <w:basedOn w:val="rkovnatokazaodstavkomZnak"/>
    <w:link w:val="Alineazatevilnotoko0"/>
    <w:rsid w:val="00806D98"/>
    <w:rPr>
      <w:rFonts w:ascii="Arial" w:eastAsia="Times New Roman" w:hAnsi="Arial" w:cs="Arial"/>
      <w:sz w:val="20"/>
      <w:lang w:val="x-none" w:eastAsia="sl-SI"/>
    </w:rPr>
  </w:style>
  <w:style w:type="paragraph" w:customStyle="1" w:styleId="Zamaknjenadolobaprvinivo">
    <w:name w:val="Zamaknjena določba_prvi nivo"/>
    <w:basedOn w:val="Alineazaodstavkom"/>
    <w:link w:val="ZamaknjenadolobaprvinivoZnak"/>
    <w:qFormat/>
    <w:rsid w:val="00806D98"/>
    <w:pPr>
      <w:numPr>
        <w:numId w:val="0"/>
      </w:numPr>
      <w:overflowPunct/>
      <w:autoSpaceDE/>
      <w:autoSpaceDN/>
      <w:adjustRightInd/>
      <w:spacing w:line="240" w:lineRule="auto"/>
      <w:textAlignment w:val="auto"/>
    </w:pPr>
    <w:rPr>
      <w:sz w:val="22"/>
      <w:lang w:val="x-none"/>
    </w:rPr>
  </w:style>
  <w:style w:type="character" w:customStyle="1" w:styleId="ZamaknjenadolobaprvinivoZnak">
    <w:name w:val="Zamaknjena določba_prvi nivo Znak"/>
    <w:basedOn w:val="OdstavekZnak"/>
    <w:link w:val="Zamaknjenadolobaprvinivo"/>
    <w:rsid w:val="00806D98"/>
    <w:rPr>
      <w:rFonts w:ascii="Arial" w:eastAsia="Times New Roman" w:hAnsi="Arial" w:cs="Arial"/>
      <w:lang w:val="x-none" w:eastAsia="sl-SI"/>
    </w:rPr>
  </w:style>
  <w:style w:type="numbering" w:customStyle="1" w:styleId="Brezseznama1">
    <w:name w:val="Brez seznama1"/>
    <w:next w:val="Brezseznama"/>
    <w:uiPriority w:val="99"/>
    <w:semiHidden/>
    <w:unhideWhenUsed/>
    <w:rsid w:val="00EC6D96"/>
  </w:style>
  <w:style w:type="paragraph" w:customStyle="1" w:styleId="msonormal0">
    <w:name w:val="msonormal"/>
    <w:basedOn w:val="Navaden"/>
    <w:rsid w:val="00EC6D9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poglavje0">
    <w:name w:val="poglavje"/>
    <w:basedOn w:val="Navaden"/>
    <w:rsid w:val="00EC6D9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oddelek0">
    <w:name w:val="oddelek"/>
    <w:basedOn w:val="Navaden"/>
    <w:rsid w:val="00EC6D9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zamaknjenadolobaprvinivo0">
    <w:name w:val="zamaknjenadolobaprvinivo"/>
    <w:basedOn w:val="Navaden"/>
    <w:rsid w:val="00EC6D9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del">
    <w:name w:val="del"/>
    <w:basedOn w:val="Navaden"/>
    <w:rsid w:val="00EC6D9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character" w:customStyle="1" w:styleId="Nerazreenaomemba1">
    <w:name w:val="Nerazrešena omemba1"/>
    <w:basedOn w:val="Privzetapisavaodstavka"/>
    <w:uiPriority w:val="99"/>
    <w:semiHidden/>
    <w:unhideWhenUsed/>
    <w:rsid w:val="00EC6D96"/>
    <w:rPr>
      <w:color w:val="605E5C"/>
      <w:shd w:val="clear" w:color="auto" w:fill="E1DFDD"/>
    </w:rPr>
  </w:style>
  <w:style w:type="paragraph" w:customStyle="1" w:styleId="Naslov11">
    <w:name w:val="Naslov 11"/>
    <w:basedOn w:val="Navaden"/>
    <w:next w:val="Navaden"/>
    <w:uiPriority w:val="9"/>
    <w:qFormat/>
    <w:rsid w:val="00EC6D96"/>
    <w:pPr>
      <w:keepNext/>
      <w:keepLines/>
      <w:spacing w:before="320" w:after="240"/>
      <w:jc w:val="center"/>
      <w:outlineLvl w:val="0"/>
    </w:pPr>
    <w:rPr>
      <w:rFonts w:eastAsia="Times New Roman" w:cs="Times New Roman"/>
      <w:b/>
      <w:bCs/>
      <w:caps/>
      <w:spacing w:val="4"/>
      <w:szCs w:val="28"/>
    </w:rPr>
  </w:style>
  <w:style w:type="paragraph" w:customStyle="1" w:styleId="Naslov41">
    <w:name w:val="Naslov 41"/>
    <w:basedOn w:val="Navaden"/>
    <w:next w:val="Navaden"/>
    <w:uiPriority w:val="9"/>
    <w:semiHidden/>
    <w:unhideWhenUsed/>
    <w:qFormat/>
    <w:rsid w:val="00EC6D96"/>
    <w:pPr>
      <w:keepNext/>
      <w:keepLines/>
      <w:spacing w:before="120" w:after="0"/>
      <w:outlineLvl w:val="3"/>
    </w:pPr>
    <w:rPr>
      <w:rFonts w:ascii="Calibri Light" w:eastAsia="Times New Roman" w:hAnsi="Calibri Light" w:cs="Times New Roman"/>
      <w:i/>
      <w:iCs/>
      <w:sz w:val="24"/>
      <w:szCs w:val="24"/>
    </w:rPr>
  </w:style>
  <w:style w:type="paragraph" w:customStyle="1" w:styleId="Naslov51">
    <w:name w:val="Naslov 51"/>
    <w:basedOn w:val="Navaden"/>
    <w:next w:val="Navaden"/>
    <w:uiPriority w:val="9"/>
    <w:unhideWhenUsed/>
    <w:qFormat/>
    <w:rsid w:val="00EC6D96"/>
    <w:pPr>
      <w:keepNext/>
      <w:keepLines/>
      <w:spacing w:before="240" w:after="240"/>
      <w:jc w:val="center"/>
      <w:outlineLvl w:val="4"/>
    </w:pPr>
    <w:rPr>
      <w:rFonts w:eastAsia="Yu Gothic Light" w:cs="Times New Roman"/>
      <w:b/>
      <w:bCs/>
    </w:rPr>
  </w:style>
  <w:style w:type="paragraph" w:customStyle="1" w:styleId="Naslov61">
    <w:name w:val="Naslov 61"/>
    <w:basedOn w:val="Navaden"/>
    <w:next w:val="Navaden"/>
    <w:uiPriority w:val="9"/>
    <w:semiHidden/>
    <w:unhideWhenUsed/>
    <w:qFormat/>
    <w:rsid w:val="00EC6D96"/>
    <w:pPr>
      <w:keepNext/>
      <w:keepLines/>
      <w:spacing w:before="120" w:after="0"/>
      <w:outlineLvl w:val="5"/>
    </w:pPr>
    <w:rPr>
      <w:rFonts w:ascii="Calibri Light" w:eastAsia="Times New Roman" w:hAnsi="Calibri Light" w:cs="Times New Roman"/>
      <w:b/>
      <w:bCs/>
      <w:i/>
      <w:iCs/>
    </w:rPr>
  </w:style>
  <w:style w:type="numbering" w:customStyle="1" w:styleId="Brezseznama11">
    <w:name w:val="Brez seznama11"/>
    <w:next w:val="Brezseznama"/>
    <w:uiPriority w:val="99"/>
    <w:semiHidden/>
    <w:unhideWhenUsed/>
    <w:rsid w:val="00EC6D96"/>
  </w:style>
  <w:style w:type="table" w:customStyle="1" w:styleId="Tabelamrea3">
    <w:name w:val="Tabela – mreža3"/>
    <w:basedOn w:val="Navadnatabela"/>
    <w:next w:val="Tabelamrea"/>
    <w:uiPriority w:val="39"/>
    <w:rsid w:val="00EC6D96"/>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10">
    <w:name w:val="Naslov1"/>
    <w:basedOn w:val="Navaden"/>
    <w:next w:val="Navaden"/>
    <w:uiPriority w:val="10"/>
    <w:qFormat/>
    <w:rsid w:val="00EC6D96"/>
    <w:pPr>
      <w:spacing w:after="0" w:line="240" w:lineRule="auto"/>
      <w:contextualSpacing/>
      <w:jc w:val="center"/>
    </w:pPr>
    <w:rPr>
      <w:rFonts w:ascii="Calibri Light" w:eastAsia="Times New Roman" w:hAnsi="Calibri Light" w:cs="Times New Roman"/>
      <w:b/>
      <w:bCs/>
      <w:spacing w:val="-7"/>
      <w:sz w:val="48"/>
      <w:szCs w:val="48"/>
    </w:rPr>
  </w:style>
  <w:style w:type="paragraph" w:customStyle="1" w:styleId="Podnaslov1">
    <w:name w:val="Podnaslov1"/>
    <w:basedOn w:val="Navaden"/>
    <w:next w:val="Navaden"/>
    <w:uiPriority w:val="11"/>
    <w:qFormat/>
    <w:rsid w:val="00EC6D96"/>
    <w:pPr>
      <w:numPr>
        <w:ilvl w:val="1"/>
      </w:numPr>
      <w:spacing w:after="240"/>
      <w:ind w:left="284" w:hanging="284"/>
      <w:jc w:val="center"/>
    </w:pPr>
    <w:rPr>
      <w:rFonts w:ascii="Calibri Light" w:eastAsia="Times New Roman" w:hAnsi="Calibri Light" w:cs="Times New Roman"/>
      <w:sz w:val="24"/>
      <w:szCs w:val="24"/>
    </w:rPr>
  </w:style>
  <w:style w:type="paragraph" w:customStyle="1" w:styleId="Citat1">
    <w:name w:val="Citat1"/>
    <w:basedOn w:val="Navaden"/>
    <w:next w:val="Navaden"/>
    <w:uiPriority w:val="29"/>
    <w:qFormat/>
    <w:rsid w:val="00EC6D96"/>
    <w:pPr>
      <w:spacing w:before="200" w:line="264" w:lineRule="auto"/>
      <w:ind w:left="864" w:right="864"/>
      <w:jc w:val="center"/>
    </w:pPr>
    <w:rPr>
      <w:rFonts w:ascii="Calibri Light" w:eastAsia="Times New Roman" w:hAnsi="Calibri Light" w:cs="Times New Roman"/>
      <w:i/>
      <w:iCs/>
      <w:sz w:val="24"/>
      <w:szCs w:val="24"/>
    </w:rPr>
  </w:style>
  <w:style w:type="paragraph" w:customStyle="1" w:styleId="Intenzivencitat1">
    <w:name w:val="Intenziven citat1"/>
    <w:basedOn w:val="Navaden"/>
    <w:next w:val="Navaden"/>
    <w:uiPriority w:val="30"/>
    <w:qFormat/>
    <w:rsid w:val="00EC6D96"/>
    <w:pPr>
      <w:spacing w:before="100" w:beforeAutospacing="1" w:after="240"/>
      <w:ind w:left="936" w:right="936"/>
      <w:jc w:val="center"/>
    </w:pPr>
    <w:rPr>
      <w:rFonts w:ascii="Calibri Light" w:eastAsia="Times New Roman" w:hAnsi="Calibri Light" w:cs="Times New Roman"/>
      <w:sz w:val="26"/>
      <w:szCs w:val="26"/>
    </w:rPr>
  </w:style>
  <w:style w:type="character" w:customStyle="1" w:styleId="Neensklic1">
    <w:name w:val="Nežen sklic1"/>
    <w:basedOn w:val="Privzetapisavaodstavka"/>
    <w:uiPriority w:val="31"/>
    <w:qFormat/>
    <w:rsid w:val="00EC6D96"/>
    <w:rPr>
      <w:smallCaps/>
      <w:color w:val="auto"/>
      <w:u w:val="single" w:color="7F7F7F"/>
    </w:rPr>
  </w:style>
  <w:style w:type="character" w:customStyle="1" w:styleId="Naslov1Znak1">
    <w:name w:val="Naslov 1 Znak1"/>
    <w:basedOn w:val="Privzetapisavaodstavka"/>
    <w:uiPriority w:val="9"/>
    <w:rsid w:val="00EC6D96"/>
    <w:rPr>
      <w:rFonts w:ascii="Calibri Light" w:eastAsia="Times New Roman" w:hAnsi="Calibri Light" w:cs="Times New Roman"/>
      <w:color w:val="2F5496"/>
      <w:sz w:val="32"/>
      <w:szCs w:val="32"/>
    </w:rPr>
  </w:style>
  <w:style w:type="character" w:customStyle="1" w:styleId="Naslov5Znak1">
    <w:name w:val="Naslov 5 Znak1"/>
    <w:basedOn w:val="Privzetapisavaodstavka"/>
    <w:uiPriority w:val="9"/>
    <w:semiHidden/>
    <w:rsid w:val="00EC6D96"/>
    <w:rPr>
      <w:rFonts w:ascii="Calibri Light" w:eastAsia="Times New Roman" w:hAnsi="Calibri Light" w:cs="Times New Roman"/>
      <w:color w:val="2F5496"/>
    </w:rPr>
  </w:style>
  <w:style w:type="character" w:customStyle="1" w:styleId="Naslov3Znak2">
    <w:name w:val="Naslov 3 Znak2"/>
    <w:basedOn w:val="Privzetapisavaodstavka"/>
    <w:uiPriority w:val="9"/>
    <w:semiHidden/>
    <w:rsid w:val="00EC6D96"/>
    <w:rPr>
      <w:rFonts w:ascii="Calibri Light" w:eastAsia="Times New Roman" w:hAnsi="Calibri Light" w:cs="Times New Roman"/>
      <w:color w:val="1F3763"/>
      <w:sz w:val="24"/>
      <w:szCs w:val="24"/>
    </w:rPr>
  </w:style>
  <w:style w:type="character" w:customStyle="1" w:styleId="Naslov4Znak1">
    <w:name w:val="Naslov 4 Znak1"/>
    <w:basedOn w:val="Privzetapisavaodstavka"/>
    <w:uiPriority w:val="9"/>
    <w:semiHidden/>
    <w:rsid w:val="00EC6D96"/>
    <w:rPr>
      <w:rFonts w:ascii="Calibri Light" w:eastAsia="Times New Roman" w:hAnsi="Calibri Light" w:cs="Times New Roman"/>
      <w:i/>
      <w:iCs/>
      <w:color w:val="2F5496"/>
    </w:rPr>
  </w:style>
  <w:style w:type="character" w:customStyle="1" w:styleId="Naslov6Znak1">
    <w:name w:val="Naslov 6 Znak1"/>
    <w:basedOn w:val="Privzetapisavaodstavka"/>
    <w:uiPriority w:val="9"/>
    <w:semiHidden/>
    <w:rsid w:val="00EC6D96"/>
    <w:rPr>
      <w:rFonts w:ascii="Calibri Light" w:eastAsia="Times New Roman" w:hAnsi="Calibri Light" w:cs="Times New Roman"/>
      <w:color w:val="1F3763"/>
    </w:rPr>
  </w:style>
  <w:style w:type="character" w:customStyle="1" w:styleId="NaslovZnak1">
    <w:name w:val="Naslov Znak1"/>
    <w:basedOn w:val="Privzetapisavaodstavka"/>
    <w:uiPriority w:val="10"/>
    <w:rsid w:val="00EC6D96"/>
    <w:rPr>
      <w:rFonts w:ascii="Calibri Light" w:eastAsia="Times New Roman" w:hAnsi="Calibri Light" w:cs="Times New Roman"/>
      <w:spacing w:val="-10"/>
      <w:kern w:val="28"/>
      <w:sz w:val="56"/>
      <w:szCs w:val="56"/>
    </w:rPr>
  </w:style>
  <w:style w:type="character" w:customStyle="1" w:styleId="PodnaslovZnak1">
    <w:name w:val="Podnaslov Znak1"/>
    <w:basedOn w:val="Privzetapisavaodstavka"/>
    <w:uiPriority w:val="11"/>
    <w:rsid w:val="00EC6D96"/>
    <w:rPr>
      <w:rFonts w:eastAsia="Times New Roman"/>
      <w:color w:val="5A5A5A"/>
      <w:spacing w:val="15"/>
    </w:rPr>
  </w:style>
  <w:style w:type="character" w:customStyle="1" w:styleId="CitatZnak1">
    <w:name w:val="Citat Znak1"/>
    <w:basedOn w:val="Privzetapisavaodstavka"/>
    <w:uiPriority w:val="29"/>
    <w:rsid w:val="00EC6D96"/>
    <w:rPr>
      <w:i/>
      <w:iCs/>
      <w:color w:val="404040"/>
    </w:rPr>
  </w:style>
  <w:style w:type="character" w:customStyle="1" w:styleId="IntenzivencitatZnak1">
    <w:name w:val="Intenziven citat Znak1"/>
    <w:basedOn w:val="Privzetapisavaodstavka"/>
    <w:uiPriority w:val="30"/>
    <w:rsid w:val="00EC6D96"/>
    <w:rPr>
      <w:i/>
      <w:iCs/>
      <w:color w:val="4472C4"/>
    </w:rPr>
  </w:style>
  <w:style w:type="numbering" w:customStyle="1" w:styleId="Trenutniseznam1">
    <w:name w:val="Trenutni seznam1"/>
    <w:uiPriority w:val="99"/>
    <w:rsid w:val="00E36CE1"/>
    <w:pPr>
      <w:numPr>
        <w:numId w:val="15"/>
      </w:numPr>
    </w:pPr>
  </w:style>
  <w:style w:type="numbering" w:customStyle="1" w:styleId="Trenutniseznam2">
    <w:name w:val="Trenutni seznam2"/>
    <w:uiPriority w:val="99"/>
    <w:rsid w:val="00E36CE1"/>
    <w:pPr>
      <w:numPr>
        <w:numId w:val="16"/>
      </w:numPr>
    </w:pPr>
  </w:style>
  <w:style w:type="paragraph" w:customStyle="1" w:styleId="alineazaodstavkom2">
    <w:name w:val="alinea_za_odstavkom"/>
    <w:basedOn w:val="Navaden"/>
    <w:rsid w:val="00AA1C78"/>
    <w:pPr>
      <w:spacing w:after="0" w:line="240" w:lineRule="auto"/>
      <w:ind w:hanging="425"/>
    </w:pPr>
    <w:rPr>
      <w:rFonts w:ascii="Times New Roman" w:eastAsia="Times New Roman" w:hAnsi="Times New Roman" w:cs="Times New Roman"/>
      <w:sz w:val="24"/>
      <w:szCs w:val="24"/>
      <w:lang w:val="en-US"/>
    </w:rPr>
  </w:style>
  <w:style w:type="paragraph" w:customStyle="1" w:styleId="rkovnatokazaodstavkomi">
    <w:name w:val="Črkovna točka za odstavkom (i)"/>
    <w:basedOn w:val="Alineazaodstavkom"/>
    <w:rsid w:val="005A1726"/>
    <w:pPr>
      <w:numPr>
        <w:numId w:val="17"/>
      </w:numPr>
      <w:suppressAutoHyphens/>
      <w:overflowPunct/>
      <w:autoSpaceDE/>
      <w:autoSpaceDN/>
      <w:adjustRightInd/>
      <w:spacing w:line="240" w:lineRule="auto"/>
      <w:textAlignment w:val="auto"/>
    </w:pPr>
    <w:rPr>
      <w:sz w:val="22"/>
      <w:lang w:eastAsia="ar-SA"/>
    </w:rPr>
  </w:style>
  <w:style w:type="paragraph" w:customStyle="1" w:styleId="center">
    <w:name w:val="center"/>
    <w:basedOn w:val="Navaden"/>
    <w:rsid w:val="002F57BC"/>
    <w:pPr>
      <w:spacing w:after="0" w:line="240" w:lineRule="auto"/>
      <w:jc w:val="center"/>
    </w:pPr>
    <w:rPr>
      <w:rFonts w:ascii="Times New Roman" w:eastAsia="Times New Roman" w:hAnsi="Times New Roman" w:cs="Times New Roman"/>
      <w:sz w:val="24"/>
      <w:szCs w:val="24"/>
      <w:lang w:val="en-US"/>
    </w:rPr>
  </w:style>
  <w:style w:type="numbering" w:customStyle="1" w:styleId="Brezseznama2">
    <w:name w:val="Brez seznama2"/>
    <w:next w:val="Brezseznama"/>
    <w:uiPriority w:val="99"/>
    <w:semiHidden/>
    <w:unhideWhenUsed/>
    <w:rsid w:val="004F289B"/>
  </w:style>
  <w:style w:type="paragraph" w:customStyle="1" w:styleId="mainText">
    <w:name w:val="mainText"/>
    <w:basedOn w:val="Navaden"/>
    <w:rsid w:val="004F289B"/>
    <w:pPr>
      <w:spacing w:after="0" w:line="240" w:lineRule="auto"/>
      <w:jc w:val="left"/>
    </w:pPr>
    <w:rPr>
      <w:rFonts w:ascii="Times New Roman" w:eastAsia="Times New Roman" w:hAnsi="Times New Roman" w:cs="Times New Roman"/>
      <w:sz w:val="24"/>
      <w:szCs w:val="24"/>
      <w:lang w:val="en-US"/>
    </w:rPr>
  </w:style>
  <w:style w:type="paragraph" w:customStyle="1" w:styleId="textJustify">
    <w:name w:val="textJustify"/>
    <w:basedOn w:val="Navaden"/>
    <w:rsid w:val="004F289B"/>
    <w:pPr>
      <w:spacing w:after="0" w:line="240" w:lineRule="auto"/>
    </w:pPr>
    <w:rPr>
      <w:rFonts w:ascii="Times New Roman" w:eastAsia="Times New Roman" w:hAnsi="Times New Roman" w:cs="Times New Roman"/>
      <w:sz w:val="24"/>
      <w:szCs w:val="24"/>
      <w:lang w:val="en-US"/>
    </w:rPr>
  </w:style>
  <w:style w:type="paragraph" w:customStyle="1" w:styleId="zamik">
    <w:name w:val="zamik"/>
    <w:basedOn w:val="Navaden"/>
    <w:rsid w:val="004F289B"/>
    <w:pPr>
      <w:spacing w:after="0" w:line="240" w:lineRule="auto"/>
      <w:ind w:firstLine="1021"/>
      <w:jc w:val="left"/>
    </w:pPr>
    <w:rPr>
      <w:rFonts w:ascii="Times New Roman" w:eastAsia="Times New Roman" w:hAnsi="Times New Roman" w:cs="Times New Roman"/>
      <w:sz w:val="24"/>
      <w:szCs w:val="24"/>
      <w:lang w:val="en-US"/>
    </w:rPr>
  </w:style>
  <w:style w:type="paragraph" w:customStyle="1" w:styleId="crkovnatockazastevilcnotocko">
    <w:name w:val="crkovna_tocka_za_stevilcno_tocko"/>
    <w:basedOn w:val="Navaden"/>
    <w:rsid w:val="004F289B"/>
    <w:pPr>
      <w:spacing w:after="0" w:line="240" w:lineRule="auto"/>
      <w:ind w:hanging="356"/>
    </w:pPr>
    <w:rPr>
      <w:rFonts w:ascii="Times New Roman" w:eastAsia="Times New Roman" w:hAnsi="Times New Roman" w:cs="Times New Roman"/>
      <w:sz w:val="24"/>
      <w:szCs w:val="24"/>
      <w:lang w:val="en-US"/>
    </w:rPr>
  </w:style>
  <w:style w:type="paragraph" w:customStyle="1" w:styleId="crkovnatockazaodstavkom">
    <w:name w:val="crkovna_tocka_za_odstavkom"/>
    <w:basedOn w:val="Navaden"/>
    <w:rsid w:val="004F289B"/>
    <w:pPr>
      <w:spacing w:after="0" w:line="240" w:lineRule="auto"/>
      <w:ind w:hanging="425"/>
    </w:pPr>
    <w:rPr>
      <w:rFonts w:ascii="Times New Roman" w:eastAsia="Times New Roman" w:hAnsi="Times New Roman" w:cs="Times New Roman"/>
      <w:sz w:val="24"/>
      <w:szCs w:val="24"/>
      <w:lang w:val="en-US"/>
    </w:rPr>
  </w:style>
  <w:style w:type="paragraph" w:customStyle="1" w:styleId="alineazacrkovnotocko">
    <w:name w:val="alinea_za_crkovno_tocko"/>
    <w:basedOn w:val="Navaden"/>
    <w:rsid w:val="004F289B"/>
    <w:pPr>
      <w:spacing w:after="0" w:line="240" w:lineRule="auto"/>
      <w:ind w:hanging="142"/>
    </w:pPr>
    <w:rPr>
      <w:rFonts w:ascii="Times New Roman" w:eastAsia="Times New Roman" w:hAnsi="Times New Roman" w:cs="Times New Roman"/>
      <w:sz w:val="24"/>
      <w:szCs w:val="24"/>
      <w:lang w:val="en-US"/>
    </w:rPr>
  </w:style>
  <w:style w:type="paragraph" w:customStyle="1" w:styleId="alineazastevilcnotocko">
    <w:name w:val="alinea_za_stevilcno_tocko"/>
    <w:basedOn w:val="Navaden"/>
    <w:rsid w:val="004F289B"/>
    <w:pPr>
      <w:spacing w:after="0" w:line="240" w:lineRule="auto"/>
      <w:ind w:hanging="142"/>
    </w:pPr>
    <w:rPr>
      <w:rFonts w:ascii="Times New Roman" w:eastAsia="Times New Roman" w:hAnsi="Times New Roman" w:cs="Times New Roman"/>
      <w:sz w:val="24"/>
      <w:szCs w:val="24"/>
      <w:lang w:val="en-US"/>
    </w:rPr>
  </w:style>
  <w:style w:type="paragraph" w:customStyle="1" w:styleId="evidencnastevilka">
    <w:name w:val="evidencna_stevilka"/>
    <w:basedOn w:val="Navaden"/>
    <w:rsid w:val="004F289B"/>
    <w:pPr>
      <w:spacing w:after="0" w:line="240" w:lineRule="auto"/>
    </w:pPr>
    <w:rPr>
      <w:rFonts w:ascii="Times New Roman" w:eastAsia="Times New Roman" w:hAnsi="Times New Roman" w:cs="Times New Roman"/>
      <w:sz w:val="24"/>
      <w:szCs w:val="24"/>
      <w:lang w:val="en-US"/>
    </w:rPr>
  </w:style>
  <w:style w:type="paragraph" w:customStyle="1" w:styleId="krajdatumsprejetja">
    <w:name w:val="kraj_datum_sprejetja"/>
    <w:basedOn w:val="Navaden"/>
    <w:rsid w:val="004F289B"/>
    <w:pPr>
      <w:pBdr>
        <w:top w:val="none" w:sz="0" w:space="20" w:color="auto"/>
        <w:bottom w:val="none" w:sz="0" w:space="20" w:color="auto"/>
      </w:pBdr>
      <w:spacing w:after="0" w:line="240" w:lineRule="auto"/>
      <w:jc w:val="left"/>
    </w:pPr>
    <w:rPr>
      <w:rFonts w:ascii="Times New Roman" w:eastAsia="Times New Roman" w:hAnsi="Times New Roman" w:cs="Times New Roman"/>
      <w:sz w:val="24"/>
      <w:szCs w:val="24"/>
      <w:lang w:val="en-US"/>
    </w:rPr>
  </w:style>
  <w:style w:type="paragraph" w:customStyle="1" w:styleId="podpisnik">
    <w:name w:val="podpisnik"/>
    <w:basedOn w:val="Navaden"/>
    <w:rsid w:val="004F289B"/>
    <w:pPr>
      <w:pBdr>
        <w:top w:val="none" w:sz="0" w:space="24" w:color="auto"/>
      </w:pBdr>
      <w:spacing w:after="0" w:line="240" w:lineRule="auto"/>
      <w:jc w:val="center"/>
    </w:pPr>
    <w:rPr>
      <w:rFonts w:ascii="Times New Roman" w:eastAsia="Times New Roman" w:hAnsi="Times New Roman" w:cs="Times New Roman"/>
      <w:sz w:val="24"/>
      <w:szCs w:val="24"/>
      <w:lang w:val="en-US"/>
    </w:rPr>
  </w:style>
  <w:style w:type="paragraph" w:customStyle="1" w:styleId="oj-normal">
    <w:name w:val="oj-normal"/>
    <w:basedOn w:val="Navaden"/>
    <w:rsid w:val="004F289B"/>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pf0">
    <w:name w:val="pf0"/>
    <w:basedOn w:val="Navaden"/>
    <w:rsid w:val="004F289B"/>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character" w:customStyle="1" w:styleId="Nerazreenaomemba2">
    <w:name w:val="Nerazrešena omemba2"/>
    <w:basedOn w:val="Privzetapisavaodstavka"/>
    <w:uiPriority w:val="99"/>
    <w:semiHidden/>
    <w:unhideWhenUsed/>
    <w:rsid w:val="004F289B"/>
    <w:rPr>
      <w:color w:val="605E5C"/>
      <w:shd w:val="clear" w:color="auto" w:fill="E1DFDD"/>
    </w:rPr>
  </w:style>
  <w:style w:type="numbering" w:customStyle="1" w:styleId="Brezseznama12">
    <w:name w:val="Brez seznama12"/>
    <w:next w:val="Brezseznama"/>
    <w:uiPriority w:val="99"/>
    <w:semiHidden/>
    <w:unhideWhenUsed/>
    <w:rsid w:val="004F289B"/>
  </w:style>
  <w:style w:type="paragraph" w:customStyle="1" w:styleId="rkovnatokazatevilnotokoi">
    <w:name w:val="Črkovna točka za številčno točko (i)"/>
    <w:rsid w:val="004F289B"/>
    <w:pPr>
      <w:numPr>
        <w:numId w:val="21"/>
      </w:numPr>
      <w:suppressAutoHyphens/>
      <w:spacing w:after="0" w:line="240" w:lineRule="auto"/>
      <w:jc w:val="left"/>
    </w:pPr>
    <w:rPr>
      <w:rFonts w:ascii="Arial" w:eastAsia="Times New Roman" w:hAnsi="Arial" w:cs="Arial"/>
      <w:lang w:eastAsia="ar-SA"/>
    </w:rPr>
  </w:style>
  <w:style w:type="paragraph" w:styleId="Kazalovsebine1">
    <w:name w:val="toc 1"/>
    <w:basedOn w:val="Navaden"/>
    <w:next w:val="Navaden"/>
    <w:autoRedefine/>
    <w:uiPriority w:val="39"/>
    <w:unhideWhenUsed/>
    <w:rsid w:val="004F289B"/>
    <w:pPr>
      <w:spacing w:after="100" w:line="240" w:lineRule="auto"/>
      <w:jc w:val="left"/>
    </w:pPr>
    <w:rPr>
      <w:rFonts w:ascii="Times New Roman" w:eastAsia="Times New Roman" w:hAnsi="Times New Roman" w:cs="Times New Roman"/>
      <w:sz w:val="24"/>
      <w:szCs w:val="24"/>
      <w:lang w:val="en-US"/>
    </w:rPr>
  </w:style>
  <w:style w:type="paragraph" w:customStyle="1" w:styleId="Kazalovsebine21">
    <w:name w:val="Kazalo vsebine 21"/>
    <w:basedOn w:val="Navaden"/>
    <w:next w:val="Navaden"/>
    <w:autoRedefine/>
    <w:uiPriority w:val="39"/>
    <w:unhideWhenUsed/>
    <w:rsid w:val="004F289B"/>
    <w:pPr>
      <w:spacing w:after="100" w:line="259" w:lineRule="auto"/>
      <w:ind w:left="220"/>
      <w:jc w:val="left"/>
    </w:pPr>
    <w:rPr>
      <w:rFonts w:ascii="Calibri" w:hAnsi="Calibri"/>
      <w:kern w:val="2"/>
      <w:sz w:val="22"/>
      <w:lang w:eastAsia="sl-SI"/>
      <w14:ligatures w14:val="standardContextual"/>
    </w:rPr>
  </w:style>
  <w:style w:type="paragraph" w:customStyle="1" w:styleId="Kazalovsebine31">
    <w:name w:val="Kazalo vsebine 31"/>
    <w:basedOn w:val="Navaden"/>
    <w:next w:val="Navaden"/>
    <w:autoRedefine/>
    <w:uiPriority w:val="39"/>
    <w:unhideWhenUsed/>
    <w:rsid w:val="004F289B"/>
    <w:pPr>
      <w:spacing w:after="100" w:line="259" w:lineRule="auto"/>
      <w:ind w:left="440"/>
      <w:jc w:val="left"/>
    </w:pPr>
    <w:rPr>
      <w:rFonts w:ascii="Calibri" w:hAnsi="Calibri"/>
      <w:kern w:val="2"/>
      <w:sz w:val="22"/>
      <w:lang w:eastAsia="sl-SI"/>
      <w14:ligatures w14:val="standardContextual"/>
    </w:rPr>
  </w:style>
  <w:style w:type="paragraph" w:customStyle="1" w:styleId="Kazalovsebine41">
    <w:name w:val="Kazalo vsebine 41"/>
    <w:basedOn w:val="Navaden"/>
    <w:next w:val="Navaden"/>
    <w:autoRedefine/>
    <w:uiPriority w:val="39"/>
    <w:unhideWhenUsed/>
    <w:rsid w:val="004F289B"/>
    <w:pPr>
      <w:spacing w:after="100" w:line="259" w:lineRule="auto"/>
      <w:ind w:left="660"/>
      <w:jc w:val="left"/>
    </w:pPr>
    <w:rPr>
      <w:rFonts w:ascii="Calibri" w:hAnsi="Calibri"/>
      <w:kern w:val="2"/>
      <w:sz w:val="22"/>
      <w:lang w:eastAsia="sl-SI"/>
      <w14:ligatures w14:val="standardContextual"/>
    </w:rPr>
  </w:style>
  <w:style w:type="paragraph" w:customStyle="1" w:styleId="Kazalovsebine51">
    <w:name w:val="Kazalo vsebine 51"/>
    <w:basedOn w:val="Navaden"/>
    <w:next w:val="Navaden"/>
    <w:autoRedefine/>
    <w:uiPriority w:val="39"/>
    <w:unhideWhenUsed/>
    <w:rsid w:val="004F289B"/>
    <w:pPr>
      <w:spacing w:after="100" w:line="259" w:lineRule="auto"/>
      <w:ind w:left="880"/>
      <w:jc w:val="left"/>
    </w:pPr>
    <w:rPr>
      <w:rFonts w:ascii="Calibri" w:hAnsi="Calibri"/>
      <w:kern w:val="2"/>
      <w:sz w:val="22"/>
      <w:lang w:eastAsia="sl-SI"/>
      <w14:ligatures w14:val="standardContextual"/>
    </w:rPr>
  </w:style>
  <w:style w:type="paragraph" w:customStyle="1" w:styleId="Kazalovsebine61">
    <w:name w:val="Kazalo vsebine 61"/>
    <w:basedOn w:val="Navaden"/>
    <w:next w:val="Navaden"/>
    <w:autoRedefine/>
    <w:uiPriority w:val="39"/>
    <w:unhideWhenUsed/>
    <w:rsid w:val="004F289B"/>
    <w:pPr>
      <w:spacing w:after="100" w:line="259" w:lineRule="auto"/>
      <w:ind w:left="1100"/>
      <w:jc w:val="left"/>
    </w:pPr>
    <w:rPr>
      <w:rFonts w:ascii="Calibri" w:hAnsi="Calibri"/>
      <w:kern w:val="2"/>
      <w:sz w:val="22"/>
      <w:lang w:eastAsia="sl-SI"/>
      <w14:ligatures w14:val="standardContextual"/>
    </w:rPr>
  </w:style>
  <w:style w:type="paragraph" w:customStyle="1" w:styleId="Kazalovsebine71">
    <w:name w:val="Kazalo vsebine 71"/>
    <w:basedOn w:val="Navaden"/>
    <w:next w:val="Navaden"/>
    <w:autoRedefine/>
    <w:uiPriority w:val="39"/>
    <w:unhideWhenUsed/>
    <w:rsid w:val="004F289B"/>
    <w:pPr>
      <w:spacing w:after="100" w:line="259" w:lineRule="auto"/>
      <w:ind w:left="1320"/>
      <w:jc w:val="left"/>
    </w:pPr>
    <w:rPr>
      <w:rFonts w:ascii="Calibri" w:hAnsi="Calibri"/>
      <w:kern w:val="2"/>
      <w:sz w:val="22"/>
      <w:lang w:eastAsia="sl-SI"/>
      <w14:ligatures w14:val="standardContextual"/>
    </w:rPr>
  </w:style>
  <w:style w:type="paragraph" w:customStyle="1" w:styleId="Kazalovsebine81">
    <w:name w:val="Kazalo vsebine 81"/>
    <w:basedOn w:val="Navaden"/>
    <w:next w:val="Navaden"/>
    <w:autoRedefine/>
    <w:uiPriority w:val="39"/>
    <w:unhideWhenUsed/>
    <w:rsid w:val="004F289B"/>
    <w:pPr>
      <w:spacing w:after="100" w:line="259" w:lineRule="auto"/>
      <w:ind w:left="1540"/>
      <w:jc w:val="left"/>
    </w:pPr>
    <w:rPr>
      <w:rFonts w:ascii="Calibri" w:hAnsi="Calibri"/>
      <w:kern w:val="2"/>
      <w:sz w:val="22"/>
      <w:lang w:eastAsia="sl-SI"/>
      <w14:ligatures w14:val="standardContextual"/>
    </w:rPr>
  </w:style>
  <w:style w:type="paragraph" w:customStyle="1" w:styleId="Kazalovsebine91">
    <w:name w:val="Kazalo vsebine 91"/>
    <w:basedOn w:val="Navaden"/>
    <w:next w:val="Navaden"/>
    <w:autoRedefine/>
    <w:uiPriority w:val="39"/>
    <w:unhideWhenUsed/>
    <w:rsid w:val="004F289B"/>
    <w:pPr>
      <w:spacing w:after="100" w:line="259" w:lineRule="auto"/>
      <w:ind w:left="1760"/>
      <w:jc w:val="left"/>
    </w:pPr>
    <w:rPr>
      <w:rFonts w:ascii="Calibri" w:hAnsi="Calibri"/>
      <w:kern w:val="2"/>
      <w:sz w:val="22"/>
      <w:lang w:eastAsia="sl-SI"/>
      <w14:ligatures w14:val="standardContextual"/>
    </w:rPr>
  </w:style>
  <w:style w:type="character" w:customStyle="1" w:styleId="cf21">
    <w:name w:val="cf21"/>
    <w:basedOn w:val="Privzetapisavaodstavka"/>
    <w:rsid w:val="004F289B"/>
    <w:rPr>
      <w:rFonts w:ascii="Segoe UI" w:hAnsi="Segoe UI" w:cs="Segoe UI" w:hint="default"/>
      <w:sz w:val="18"/>
      <w:szCs w:val="18"/>
      <w:shd w:val="clear" w:color="auto" w:fill="FFFF00"/>
      <w:vertAlign w:val="superscript"/>
    </w:rPr>
  </w:style>
  <w:style w:type="table" w:customStyle="1" w:styleId="GridTable5Dark-Accent11">
    <w:name w:val="Grid Table 5 Dark - Accent 11"/>
    <w:basedOn w:val="Navadnatabela"/>
    <w:uiPriority w:val="50"/>
    <w:rsid w:val="001F1CE7"/>
    <w:pPr>
      <w:spacing w:after="0" w:line="240" w:lineRule="auto"/>
      <w:jc w:val="left"/>
    </w:pPr>
    <w:rPr>
      <w:rFonts w:ascii="Cambria" w:eastAsia="MS Mincho" w:hAnsi="Cambria" w:cs="Times New Roman"/>
      <w:lang w:eastAsia="sl-SI"/>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4717631">
      <w:bodyDiv w:val="1"/>
      <w:marLeft w:val="0"/>
      <w:marRight w:val="0"/>
      <w:marTop w:val="0"/>
      <w:marBottom w:val="0"/>
      <w:divBdr>
        <w:top w:val="none" w:sz="0" w:space="0" w:color="auto"/>
        <w:left w:val="none" w:sz="0" w:space="0" w:color="auto"/>
        <w:bottom w:val="none" w:sz="0" w:space="0" w:color="auto"/>
        <w:right w:val="none" w:sz="0" w:space="0" w:color="auto"/>
      </w:divBdr>
    </w:div>
    <w:div w:id="160899289">
      <w:bodyDiv w:val="1"/>
      <w:marLeft w:val="0"/>
      <w:marRight w:val="0"/>
      <w:marTop w:val="0"/>
      <w:marBottom w:val="0"/>
      <w:divBdr>
        <w:top w:val="none" w:sz="0" w:space="0" w:color="auto"/>
        <w:left w:val="none" w:sz="0" w:space="0" w:color="auto"/>
        <w:bottom w:val="none" w:sz="0" w:space="0" w:color="auto"/>
        <w:right w:val="none" w:sz="0" w:space="0" w:color="auto"/>
      </w:divBdr>
    </w:div>
    <w:div w:id="184831135">
      <w:bodyDiv w:val="1"/>
      <w:marLeft w:val="0"/>
      <w:marRight w:val="0"/>
      <w:marTop w:val="0"/>
      <w:marBottom w:val="0"/>
      <w:divBdr>
        <w:top w:val="none" w:sz="0" w:space="0" w:color="auto"/>
        <w:left w:val="none" w:sz="0" w:space="0" w:color="auto"/>
        <w:bottom w:val="none" w:sz="0" w:space="0" w:color="auto"/>
        <w:right w:val="none" w:sz="0" w:space="0" w:color="auto"/>
      </w:divBdr>
    </w:div>
    <w:div w:id="305864313">
      <w:bodyDiv w:val="1"/>
      <w:marLeft w:val="0"/>
      <w:marRight w:val="0"/>
      <w:marTop w:val="0"/>
      <w:marBottom w:val="0"/>
      <w:divBdr>
        <w:top w:val="none" w:sz="0" w:space="0" w:color="auto"/>
        <w:left w:val="none" w:sz="0" w:space="0" w:color="auto"/>
        <w:bottom w:val="none" w:sz="0" w:space="0" w:color="auto"/>
        <w:right w:val="none" w:sz="0" w:space="0" w:color="auto"/>
      </w:divBdr>
    </w:div>
    <w:div w:id="395206860">
      <w:bodyDiv w:val="1"/>
      <w:marLeft w:val="0"/>
      <w:marRight w:val="0"/>
      <w:marTop w:val="0"/>
      <w:marBottom w:val="0"/>
      <w:divBdr>
        <w:top w:val="none" w:sz="0" w:space="0" w:color="auto"/>
        <w:left w:val="none" w:sz="0" w:space="0" w:color="auto"/>
        <w:bottom w:val="none" w:sz="0" w:space="0" w:color="auto"/>
        <w:right w:val="none" w:sz="0" w:space="0" w:color="auto"/>
      </w:divBdr>
    </w:div>
    <w:div w:id="493185081">
      <w:bodyDiv w:val="1"/>
      <w:marLeft w:val="0"/>
      <w:marRight w:val="0"/>
      <w:marTop w:val="0"/>
      <w:marBottom w:val="0"/>
      <w:divBdr>
        <w:top w:val="none" w:sz="0" w:space="0" w:color="auto"/>
        <w:left w:val="none" w:sz="0" w:space="0" w:color="auto"/>
        <w:bottom w:val="none" w:sz="0" w:space="0" w:color="auto"/>
        <w:right w:val="none" w:sz="0" w:space="0" w:color="auto"/>
      </w:divBdr>
    </w:div>
    <w:div w:id="710769155">
      <w:bodyDiv w:val="1"/>
      <w:marLeft w:val="0"/>
      <w:marRight w:val="0"/>
      <w:marTop w:val="0"/>
      <w:marBottom w:val="0"/>
      <w:divBdr>
        <w:top w:val="none" w:sz="0" w:space="0" w:color="auto"/>
        <w:left w:val="none" w:sz="0" w:space="0" w:color="auto"/>
        <w:bottom w:val="none" w:sz="0" w:space="0" w:color="auto"/>
        <w:right w:val="none" w:sz="0" w:space="0" w:color="auto"/>
      </w:divBdr>
      <w:divsChild>
        <w:div w:id="262999587">
          <w:marLeft w:val="0"/>
          <w:marRight w:val="0"/>
          <w:marTop w:val="0"/>
          <w:marBottom w:val="0"/>
          <w:divBdr>
            <w:top w:val="none" w:sz="0" w:space="0" w:color="auto"/>
            <w:left w:val="none" w:sz="0" w:space="0" w:color="auto"/>
            <w:bottom w:val="none" w:sz="0" w:space="0" w:color="auto"/>
            <w:right w:val="none" w:sz="0" w:space="0" w:color="auto"/>
          </w:divBdr>
        </w:div>
        <w:div w:id="345407320">
          <w:marLeft w:val="0"/>
          <w:marRight w:val="0"/>
          <w:marTop w:val="0"/>
          <w:marBottom w:val="0"/>
          <w:divBdr>
            <w:top w:val="none" w:sz="0" w:space="0" w:color="auto"/>
            <w:left w:val="none" w:sz="0" w:space="0" w:color="auto"/>
            <w:bottom w:val="none" w:sz="0" w:space="0" w:color="auto"/>
            <w:right w:val="none" w:sz="0" w:space="0" w:color="auto"/>
          </w:divBdr>
        </w:div>
        <w:div w:id="508177221">
          <w:marLeft w:val="0"/>
          <w:marRight w:val="0"/>
          <w:marTop w:val="0"/>
          <w:marBottom w:val="0"/>
          <w:divBdr>
            <w:top w:val="none" w:sz="0" w:space="0" w:color="auto"/>
            <w:left w:val="none" w:sz="0" w:space="0" w:color="auto"/>
            <w:bottom w:val="none" w:sz="0" w:space="0" w:color="auto"/>
            <w:right w:val="none" w:sz="0" w:space="0" w:color="auto"/>
          </w:divBdr>
        </w:div>
        <w:div w:id="878393995">
          <w:marLeft w:val="0"/>
          <w:marRight w:val="0"/>
          <w:marTop w:val="0"/>
          <w:marBottom w:val="0"/>
          <w:divBdr>
            <w:top w:val="none" w:sz="0" w:space="0" w:color="auto"/>
            <w:left w:val="none" w:sz="0" w:space="0" w:color="auto"/>
            <w:bottom w:val="none" w:sz="0" w:space="0" w:color="auto"/>
            <w:right w:val="none" w:sz="0" w:space="0" w:color="auto"/>
          </w:divBdr>
        </w:div>
        <w:div w:id="1431853075">
          <w:marLeft w:val="0"/>
          <w:marRight w:val="0"/>
          <w:marTop w:val="0"/>
          <w:marBottom w:val="0"/>
          <w:divBdr>
            <w:top w:val="none" w:sz="0" w:space="0" w:color="auto"/>
            <w:left w:val="none" w:sz="0" w:space="0" w:color="auto"/>
            <w:bottom w:val="none" w:sz="0" w:space="0" w:color="auto"/>
            <w:right w:val="none" w:sz="0" w:space="0" w:color="auto"/>
          </w:divBdr>
        </w:div>
        <w:div w:id="1599827740">
          <w:marLeft w:val="0"/>
          <w:marRight w:val="0"/>
          <w:marTop w:val="0"/>
          <w:marBottom w:val="0"/>
          <w:divBdr>
            <w:top w:val="none" w:sz="0" w:space="0" w:color="auto"/>
            <w:left w:val="none" w:sz="0" w:space="0" w:color="auto"/>
            <w:bottom w:val="none" w:sz="0" w:space="0" w:color="auto"/>
            <w:right w:val="none" w:sz="0" w:space="0" w:color="auto"/>
          </w:divBdr>
        </w:div>
        <w:div w:id="1910925010">
          <w:marLeft w:val="0"/>
          <w:marRight w:val="0"/>
          <w:marTop w:val="0"/>
          <w:marBottom w:val="0"/>
          <w:divBdr>
            <w:top w:val="none" w:sz="0" w:space="0" w:color="auto"/>
            <w:left w:val="none" w:sz="0" w:space="0" w:color="auto"/>
            <w:bottom w:val="none" w:sz="0" w:space="0" w:color="auto"/>
            <w:right w:val="none" w:sz="0" w:space="0" w:color="auto"/>
          </w:divBdr>
        </w:div>
        <w:div w:id="1938245665">
          <w:marLeft w:val="0"/>
          <w:marRight w:val="0"/>
          <w:marTop w:val="0"/>
          <w:marBottom w:val="0"/>
          <w:divBdr>
            <w:top w:val="none" w:sz="0" w:space="0" w:color="auto"/>
            <w:left w:val="none" w:sz="0" w:space="0" w:color="auto"/>
            <w:bottom w:val="none" w:sz="0" w:space="0" w:color="auto"/>
            <w:right w:val="none" w:sz="0" w:space="0" w:color="auto"/>
          </w:divBdr>
        </w:div>
        <w:div w:id="2023318851">
          <w:marLeft w:val="0"/>
          <w:marRight w:val="0"/>
          <w:marTop w:val="0"/>
          <w:marBottom w:val="0"/>
          <w:divBdr>
            <w:top w:val="none" w:sz="0" w:space="0" w:color="auto"/>
            <w:left w:val="none" w:sz="0" w:space="0" w:color="auto"/>
            <w:bottom w:val="none" w:sz="0" w:space="0" w:color="auto"/>
            <w:right w:val="none" w:sz="0" w:space="0" w:color="auto"/>
          </w:divBdr>
        </w:div>
      </w:divsChild>
    </w:div>
    <w:div w:id="767459033">
      <w:bodyDiv w:val="1"/>
      <w:marLeft w:val="0"/>
      <w:marRight w:val="0"/>
      <w:marTop w:val="0"/>
      <w:marBottom w:val="0"/>
      <w:divBdr>
        <w:top w:val="none" w:sz="0" w:space="0" w:color="auto"/>
        <w:left w:val="none" w:sz="0" w:space="0" w:color="auto"/>
        <w:bottom w:val="none" w:sz="0" w:space="0" w:color="auto"/>
        <w:right w:val="none" w:sz="0" w:space="0" w:color="auto"/>
      </w:divBdr>
    </w:div>
    <w:div w:id="862598698">
      <w:bodyDiv w:val="1"/>
      <w:marLeft w:val="0"/>
      <w:marRight w:val="0"/>
      <w:marTop w:val="0"/>
      <w:marBottom w:val="0"/>
      <w:divBdr>
        <w:top w:val="none" w:sz="0" w:space="0" w:color="auto"/>
        <w:left w:val="none" w:sz="0" w:space="0" w:color="auto"/>
        <w:bottom w:val="none" w:sz="0" w:space="0" w:color="auto"/>
        <w:right w:val="none" w:sz="0" w:space="0" w:color="auto"/>
      </w:divBdr>
    </w:div>
    <w:div w:id="882669273">
      <w:bodyDiv w:val="1"/>
      <w:marLeft w:val="0"/>
      <w:marRight w:val="0"/>
      <w:marTop w:val="0"/>
      <w:marBottom w:val="0"/>
      <w:divBdr>
        <w:top w:val="none" w:sz="0" w:space="0" w:color="auto"/>
        <w:left w:val="none" w:sz="0" w:space="0" w:color="auto"/>
        <w:bottom w:val="none" w:sz="0" w:space="0" w:color="auto"/>
        <w:right w:val="none" w:sz="0" w:space="0" w:color="auto"/>
      </w:divBdr>
      <w:divsChild>
        <w:div w:id="1763642955">
          <w:marLeft w:val="0"/>
          <w:marRight w:val="0"/>
          <w:marTop w:val="0"/>
          <w:marBottom w:val="0"/>
          <w:divBdr>
            <w:top w:val="none" w:sz="0" w:space="0" w:color="auto"/>
            <w:left w:val="none" w:sz="0" w:space="0" w:color="auto"/>
            <w:bottom w:val="none" w:sz="0" w:space="0" w:color="auto"/>
            <w:right w:val="none" w:sz="0" w:space="0" w:color="auto"/>
          </w:divBdr>
        </w:div>
        <w:div w:id="1445269734">
          <w:marLeft w:val="0"/>
          <w:marRight w:val="0"/>
          <w:marTop w:val="0"/>
          <w:marBottom w:val="0"/>
          <w:divBdr>
            <w:top w:val="none" w:sz="0" w:space="0" w:color="auto"/>
            <w:left w:val="none" w:sz="0" w:space="0" w:color="auto"/>
            <w:bottom w:val="none" w:sz="0" w:space="0" w:color="auto"/>
            <w:right w:val="none" w:sz="0" w:space="0" w:color="auto"/>
          </w:divBdr>
        </w:div>
        <w:div w:id="1296523615">
          <w:marLeft w:val="0"/>
          <w:marRight w:val="0"/>
          <w:marTop w:val="0"/>
          <w:marBottom w:val="0"/>
          <w:divBdr>
            <w:top w:val="none" w:sz="0" w:space="0" w:color="auto"/>
            <w:left w:val="none" w:sz="0" w:space="0" w:color="auto"/>
            <w:bottom w:val="none" w:sz="0" w:space="0" w:color="auto"/>
            <w:right w:val="none" w:sz="0" w:space="0" w:color="auto"/>
          </w:divBdr>
        </w:div>
        <w:div w:id="620965081">
          <w:marLeft w:val="0"/>
          <w:marRight w:val="0"/>
          <w:marTop w:val="0"/>
          <w:marBottom w:val="0"/>
          <w:divBdr>
            <w:top w:val="none" w:sz="0" w:space="0" w:color="auto"/>
            <w:left w:val="none" w:sz="0" w:space="0" w:color="auto"/>
            <w:bottom w:val="none" w:sz="0" w:space="0" w:color="auto"/>
            <w:right w:val="none" w:sz="0" w:space="0" w:color="auto"/>
          </w:divBdr>
        </w:div>
        <w:div w:id="397098672">
          <w:marLeft w:val="0"/>
          <w:marRight w:val="0"/>
          <w:marTop w:val="0"/>
          <w:marBottom w:val="0"/>
          <w:divBdr>
            <w:top w:val="none" w:sz="0" w:space="0" w:color="auto"/>
            <w:left w:val="none" w:sz="0" w:space="0" w:color="auto"/>
            <w:bottom w:val="none" w:sz="0" w:space="0" w:color="auto"/>
            <w:right w:val="none" w:sz="0" w:space="0" w:color="auto"/>
          </w:divBdr>
        </w:div>
        <w:div w:id="266891458">
          <w:marLeft w:val="0"/>
          <w:marRight w:val="0"/>
          <w:marTop w:val="0"/>
          <w:marBottom w:val="0"/>
          <w:divBdr>
            <w:top w:val="none" w:sz="0" w:space="0" w:color="auto"/>
            <w:left w:val="none" w:sz="0" w:space="0" w:color="auto"/>
            <w:bottom w:val="none" w:sz="0" w:space="0" w:color="auto"/>
            <w:right w:val="none" w:sz="0" w:space="0" w:color="auto"/>
          </w:divBdr>
        </w:div>
        <w:div w:id="1998875980">
          <w:marLeft w:val="0"/>
          <w:marRight w:val="0"/>
          <w:marTop w:val="0"/>
          <w:marBottom w:val="0"/>
          <w:divBdr>
            <w:top w:val="none" w:sz="0" w:space="0" w:color="auto"/>
            <w:left w:val="none" w:sz="0" w:space="0" w:color="auto"/>
            <w:bottom w:val="none" w:sz="0" w:space="0" w:color="auto"/>
            <w:right w:val="none" w:sz="0" w:space="0" w:color="auto"/>
          </w:divBdr>
        </w:div>
      </w:divsChild>
    </w:div>
    <w:div w:id="1029572830">
      <w:bodyDiv w:val="1"/>
      <w:marLeft w:val="0"/>
      <w:marRight w:val="0"/>
      <w:marTop w:val="0"/>
      <w:marBottom w:val="0"/>
      <w:divBdr>
        <w:top w:val="none" w:sz="0" w:space="0" w:color="auto"/>
        <w:left w:val="none" w:sz="0" w:space="0" w:color="auto"/>
        <w:bottom w:val="none" w:sz="0" w:space="0" w:color="auto"/>
        <w:right w:val="none" w:sz="0" w:space="0" w:color="auto"/>
      </w:divBdr>
    </w:div>
    <w:div w:id="1106772511">
      <w:bodyDiv w:val="1"/>
      <w:marLeft w:val="0"/>
      <w:marRight w:val="0"/>
      <w:marTop w:val="0"/>
      <w:marBottom w:val="0"/>
      <w:divBdr>
        <w:top w:val="none" w:sz="0" w:space="0" w:color="auto"/>
        <w:left w:val="none" w:sz="0" w:space="0" w:color="auto"/>
        <w:bottom w:val="none" w:sz="0" w:space="0" w:color="auto"/>
        <w:right w:val="none" w:sz="0" w:space="0" w:color="auto"/>
      </w:divBdr>
    </w:div>
    <w:div w:id="1190028899">
      <w:bodyDiv w:val="1"/>
      <w:marLeft w:val="0"/>
      <w:marRight w:val="0"/>
      <w:marTop w:val="0"/>
      <w:marBottom w:val="0"/>
      <w:divBdr>
        <w:top w:val="none" w:sz="0" w:space="0" w:color="auto"/>
        <w:left w:val="none" w:sz="0" w:space="0" w:color="auto"/>
        <w:bottom w:val="none" w:sz="0" w:space="0" w:color="auto"/>
        <w:right w:val="none" w:sz="0" w:space="0" w:color="auto"/>
      </w:divBdr>
    </w:div>
    <w:div w:id="1209105708">
      <w:bodyDiv w:val="1"/>
      <w:marLeft w:val="0"/>
      <w:marRight w:val="0"/>
      <w:marTop w:val="0"/>
      <w:marBottom w:val="0"/>
      <w:divBdr>
        <w:top w:val="none" w:sz="0" w:space="0" w:color="auto"/>
        <w:left w:val="none" w:sz="0" w:space="0" w:color="auto"/>
        <w:bottom w:val="none" w:sz="0" w:space="0" w:color="auto"/>
        <w:right w:val="none" w:sz="0" w:space="0" w:color="auto"/>
      </w:divBdr>
    </w:div>
    <w:div w:id="1212184586">
      <w:bodyDiv w:val="1"/>
      <w:marLeft w:val="0"/>
      <w:marRight w:val="0"/>
      <w:marTop w:val="0"/>
      <w:marBottom w:val="0"/>
      <w:divBdr>
        <w:top w:val="none" w:sz="0" w:space="0" w:color="auto"/>
        <w:left w:val="none" w:sz="0" w:space="0" w:color="auto"/>
        <w:bottom w:val="none" w:sz="0" w:space="0" w:color="auto"/>
        <w:right w:val="none" w:sz="0" w:space="0" w:color="auto"/>
      </w:divBdr>
    </w:div>
    <w:div w:id="1276786758">
      <w:bodyDiv w:val="1"/>
      <w:marLeft w:val="0"/>
      <w:marRight w:val="0"/>
      <w:marTop w:val="0"/>
      <w:marBottom w:val="0"/>
      <w:divBdr>
        <w:top w:val="none" w:sz="0" w:space="0" w:color="auto"/>
        <w:left w:val="none" w:sz="0" w:space="0" w:color="auto"/>
        <w:bottom w:val="none" w:sz="0" w:space="0" w:color="auto"/>
        <w:right w:val="none" w:sz="0" w:space="0" w:color="auto"/>
      </w:divBdr>
    </w:div>
    <w:div w:id="1320966832">
      <w:bodyDiv w:val="1"/>
      <w:marLeft w:val="0"/>
      <w:marRight w:val="0"/>
      <w:marTop w:val="0"/>
      <w:marBottom w:val="0"/>
      <w:divBdr>
        <w:top w:val="none" w:sz="0" w:space="0" w:color="auto"/>
        <w:left w:val="none" w:sz="0" w:space="0" w:color="auto"/>
        <w:bottom w:val="none" w:sz="0" w:space="0" w:color="auto"/>
        <w:right w:val="none" w:sz="0" w:space="0" w:color="auto"/>
      </w:divBdr>
    </w:div>
    <w:div w:id="1392532554">
      <w:bodyDiv w:val="1"/>
      <w:marLeft w:val="0"/>
      <w:marRight w:val="0"/>
      <w:marTop w:val="0"/>
      <w:marBottom w:val="0"/>
      <w:divBdr>
        <w:top w:val="none" w:sz="0" w:space="0" w:color="auto"/>
        <w:left w:val="none" w:sz="0" w:space="0" w:color="auto"/>
        <w:bottom w:val="none" w:sz="0" w:space="0" w:color="auto"/>
        <w:right w:val="none" w:sz="0" w:space="0" w:color="auto"/>
      </w:divBdr>
    </w:div>
    <w:div w:id="1473014527">
      <w:bodyDiv w:val="1"/>
      <w:marLeft w:val="0"/>
      <w:marRight w:val="0"/>
      <w:marTop w:val="0"/>
      <w:marBottom w:val="0"/>
      <w:divBdr>
        <w:top w:val="none" w:sz="0" w:space="0" w:color="auto"/>
        <w:left w:val="none" w:sz="0" w:space="0" w:color="auto"/>
        <w:bottom w:val="none" w:sz="0" w:space="0" w:color="auto"/>
        <w:right w:val="none" w:sz="0" w:space="0" w:color="auto"/>
      </w:divBdr>
      <w:divsChild>
        <w:div w:id="72555480">
          <w:marLeft w:val="0"/>
          <w:marRight w:val="0"/>
          <w:marTop w:val="0"/>
          <w:marBottom w:val="0"/>
          <w:divBdr>
            <w:top w:val="none" w:sz="0" w:space="0" w:color="auto"/>
            <w:left w:val="none" w:sz="0" w:space="0" w:color="auto"/>
            <w:bottom w:val="none" w:sz="0" w:space="0" w:color="auto"/>
            <w:right w:val="none" w:sz="0" w:space="0" w:color="auto"/>
          </w:divBdr>
        </w:div>
        <w:div w:id="559099079">
          <w:marLeft w:val="0"/>
          <w:marRight w:val="0"/>
          <w:marTop w:val="0"/>
          <w:marBottom w:val="0"/>
          <w:divBdr>
            <w:top w:val="none" w:sz="0" w:space="0" w:color="auto"/>
            <w:left w:val="none" w:sz="0" w:space="0" w:color="auto"/>
            <w:bottom w:val="none" w:sz="0" w:space="0" w:color="auto"/>
            <w:right w:val="none" w:sz="0" w:space="0" w:color="auto"/>
          </w:divBdr>
        </w:div>
        <w:div w:id="1161040964">
          <w:marLeft w:val="0"/>
          <w:marRight w:val="0"/>
          <w:marTop w:val="0"/>
          <w:marBottom w:val="0"/>
          <w:divBdr>
            <w:top w:val="none" w:sz="0" w:space="0" w:color="auto"/>
            <w:left w:val="none" w:sz="0" w:space="0" w:color="auto"/>
            <w:bottom w:val="none" w:sz="0" w:space="0" w:color="auto"/>
            <w:right w:val="none" w:sz="0" w:space="0" w:color="auto"/>
          </w:divBdr>
        </w:div>
        <w:div w:id="1601797008">
          <w:marLeft w:val="0"/>
          <w:marRight w:val="0"/>
          <w:marTop w:val="0"/>
          <w:marBottom w:val="0"/>
          <w:divBdr>
            <w:top w:val="none" w:sz="0" w:space="0" w:color="auto"/>
            <w:left w:val="none" w:sz="0" w:space="0" w:color="auto"/>
            <w:bottom w:val="none" w:sz="0" w:space="0" w:color="auto"/>
            <w:right w:val="none" w:sz="0" w:space="0" w:color="auto"/>
          </w:divBdr>
        </w:div>
        <w:div w:id="1695498666">
          <w:marLeft w:val="0"/>
          <w:marRight w:val="0"/>
          <w:marTop w:val="0"/>
          <w:marBottom w:val="0"/>
          <w:divBdr>
            <w:top w:val="none" w:sz="0" w:space="0" w:color="auto"/>
            <w:left w:val="none" w:sz="0" w:space="0" w:color="auto"/>
            <w:bottom w:val="none" w:sz="0" w:space="0" w:color="auto"/>
            <w:right w:val="none" w:sz="0" w:space="0" w:color="auto"/>
          </w:divBdr>
        </w:div>
        <w:div w:id="1953900836">
          <w:marLeft w:val="0"/>
          <w:marRight w:val="0"/>
          <w:marTop w:val="0"/>
          <w:marBottom w:val="0"/>
          <w:divBdr>
            <w:top w:val="none" w:sz="0" w:space="0" w:color="auto"/>
            <w:left w:val="none" w:sz="0" w:space="0" w:color="auto"/>
            <w:bottom w:val="none" w:sz="0" w:space="0" w:color="auto"/>
            <w:right w:val="none" w:sz="0" w:space="0" w:color="auto"/>
          </w:divBdr>
        </w:div>
      </w:divsChild>
    </w:div>
    <w:div w:id="1473448234">
      <w:bodyDiv w:val="1"/>
      <w:marLeft w:val="0"/>
      <w:marRight w:val="0"/>
      <w:marTop w:val="0"/>
      <w:marBottom w:val="0"/>
      <w:divBdr>
        <w:top w:val="none" w:sz="0" w:space="0" w:color="auto"/>
        <w:left w:val="none" w:sz="0" w:space="0" w:color="auto"/>
        <w:bottom w:val="none" w:sz="0" w:space="0" w:color="auto"/>
        <w:right w:val="none" w:sz="0" w:space="0" w:color="auto"/>
      </w:divBdr>
    </w:div>
    <w:div w:id="1528832186">
      <w:bodyDiv w:val="1"/>
      <w:marLeft w:val="0"/>
      <w:marRight w:val="0"/>
      <w:marTop w:val="0"/>
      <w:marBottom w:val="0"/>
      <w:divBdr>
        <w:top w:val="none" w:sz="0" w:space="0" w:color="auto"/>
        <w:left w:val="none" w:sz="0" w:space="0" w:color="auto"/>
        <w:bottom w:val="none" w:sz="0" w:space="0" w:color="auto"/>
        <w:right w:val="none" w:sz="0" w:space="0" w:color="auto"/>
      </w:divBdr>
    </w:div>
    <w:div w:id="1578787782">
      <w:bodyDiv w:val="1"/>
      <w:marLeft w:val="0"/>
      <w:marRight w:val="0"/>
      <w:marTop w:val="0"/>
      <w:marBottom w:val="0"/>
      <w:divBdr>
        <w:top w:val="none" w:sz="0" w:space="0" w:color="auto"/>
        <w:left w:val="none" w:sz="0" w:space="0" w:color="auto"/>
        <w:bottom w:val="none" w:sz="0" w:space="0" w:color="auto"/>
        <w:right w:val="none" w:sz="0" w:space="0" w:color="auto"/>
      </w:divBdr>
    </w:div>
    <w:div w:id="1606382212">
      <w:bodyDiv w:val="1"/>
      <w:marLeft w:val="0"/>
      <w:marRight w:val="0"/>
      <w:marTop w:val="0"/>
      <w:marBottom w:val="0"/>
      <w:divBdr>
        <w:top w:val="none" w:sz="0" w:space="0" w:color="auto"/>
        <w:left w:val="none" w:sz="0" w:space="0" w:color="auto"/>
        <w:bottom w:val="none" w:sz="0" w:space="0" w:color="auto"/>
        <w:right w:val="none" w:sz="0" w:space="0" w:color="auto"/>
      </w:divBdr>
    </w:div>
    <w:div w:id="1630279137">
      <w:bodyDiv w:val="1"/>
      <w:marLeft w:val="0"/>
      <w:marRight w:val="0"/>
      <w:marTop w:val="0"/>
      <w:marBottom w:val="0"/>
      <w:divBdr>
        <w:top w:val="none" w:sz="0" w:space="0" w:color="auto"/>
        <w:left w:val="none" w:sz="0" w:space="0" w:color="auto"/>
        <w:bottom w:val="none" w:sz="0" w:space="0" w:color="auto"/>
        <w:right w:val="none" w:sz="0" w:space="0" w:color="auto"/>
      </w:divBdr>
    </w:div>
    <w:div w:id="1678341697">
      <w:bodyDiv w:val="1"/>
      <w:marLeft w:val="0"/>
      <w:marRight w:val="0"/>
      <w:marTop w:val="0"/>
      <w:marBottom w:val="0"/>
      <w:divBdr>
        <w:top w:val="none" w:sz="0" w:space="0" w:color="auto"/>
        <w:left w:val="none" w:sz="0" w:space="0" w:color="auto"/>
        <w:bottom w:val="none" w:sz="0" w:space="0" w:color="auto"/>
        <w:right w:val="none" w:sz="0" w:space="0" w:color="auto"/>
      </w:divBdr>
    </w:div>
    <w:div w:id="1730152812">
      <w:bodyDiv w:val="1"/>
      <w:marLeft w:val="0"/>
      <w:marRight w:val="0"/>
      <w:marTop w:val="0"/>
      <w:marBottom w:val="0"/>
      <w:divBdr>
        <w:top w:val="none" w:sz="0" w:space="0" w:color="auto"/>
        <w:left w:val="none" w:sz="0" w:space="0" w:color="auto"/>
        <w:bottom w:val="none" w:sz="0" w:space="0" w:color="auto"/>
        <w:right w:val="none" w:sz="0" w:space="0" w:color="auto"/>
      </w:divBdr>
    </w:div>
    <w:div w:id="1743601899">
      <w:bodyDiv w:val="1"/>
      <w:marLeft w:val="0"/>
      <w:marRight w:val="0"/>
      <w:marTop w:val="0"/>
      <w:marBottom w:val="0"/>
      <w:divBdr>
        <w:top w:val="none" w:sz="0" w:space="0" w:color="auto"/>
        <w:left w:val="none" w:sz="0" w:space="0" w:color="auto"/>
        <w:bottom w:val="none" w:sz="0" w:space="0" w:color="auto"/>
        <w:right w:val="none" w:sz="0" w:space="0" w:color="auto"/>
      </w:divBdr>
    </w:div>
    <w:div w:id="1795520374">
      <w:bodyDiv w:val="1"/>
      <w:marLeft w:val="0"/>
      <w:marRight w:val="0"/>
      <w:marTop w:val="0"/>
      <w:marBottom w:val="0"/>
      <w:divBdr>
        <w:top w:val="none" w:sz="0" w:space="0" w:color="auto"/>
        <w:left w:val="none" w:sz="0" w:space="0" w:color="auto"/>
        <w:bottom w:val="none" w:sz="0" w:space="0" w:color="auto"/>
        <w:right w:val="none" w:sz="0" w:space="0" w:color="auto"/>
      </w:divBdr>
    </w:div>
    <w:div w:id="1930891324">
      <w:bodyDiv w:val="1"/>
      <w:marLeft w:val="0"/>
      <w:marRight w:val="0"/>
      <w:marTop w:val="0"/>
      <w:marBottom w:val="0"/>
      <w:divBdr>
        <w:top w:val="none" w:sz="0" w:space="0" w:color="auto"/>
        <w:left w:val="none" w:sz="0" w:space="0" w:color="auto"/>
        <w:bottom w:val="none" w:sz="0" w:space="0" w:color="auto"/>
        <w:right w:val="none" w:sz="0" w:space="0" w:color="auto"/>
      </w:divBdr>
    </w:div>
    <w:div w:id="2003510896">
      <w:bodyDiv w:val="1"/>
      <w:marLeft w:val="0"/>
      <w:marRight w:val="0"/>
      <w:marTop w:val="0"/>
      <w:marBottom w:val="0"/>
      <w:divBdr>
        <w:top w:val="none" w:sz="0" w:space="0" w:color="auto"/>
        <w:left w:val="none" w:sz="0" w:space="0" w:color="auto"/>
        <w:bottom w:val="none" w:sz="0" w:space="0" w:color="auto"/>
        <w:right w:val="none" w:sz="0" w:space="0" w:color="auto"/>
      </w:divBdr>
      <w:divsChild>
        <w:div w:id="344409403">
          <w:marLeft w:val="0"/>
          <w:marRight w:val="0"/>
          <w:marTop w:val="0"/>
          <w:marBottom w:val="0"/>
          <w:divBdr>
            <w:top w:val="none" w:sz="0" w:space="0" w:color="auto"/>
            <w:left w:val="none" w:sz="0" w:space="0" w:color="auto"/>
            <w:bottom w:val="none" w:sz="0" w:space="0" w:color="auto"/>
            <w:right w:val="none" w:sz="0" w:space="0" w:color="auto"/>
          </w:divBdr>
          <w:divsChild>
            <w:div w:id="249511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7319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eex.com"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roedl.com/insights/renewable-energy/2025/april/italy-energy-release-two-zero-potential-for-producers" TargetMode="External"/><Relationship Id="rId1" Type="http://schemas.openxmlformats.org/officeDocument/2006/relationships/hyperlink" Target="https://www.lemonde.fr/economie/article/2024/04/16/electricite-inquietude-des-industriels-sur-la-tarification-a-long-terme_6228097_3234.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7D431C-3037-451E-85D4-1EA2339B73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17441</Words>
  <Characters>99419</Characters>
  <Application>Microsoft Office Word</Application>
  <DocSecurity>0</DocSecurity>
  <Lines>828</Lines>
  <Paragraphs>233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116627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2026-01-09T11:28:00Z</dcterms:created>
  <dcterms:modified xsi:type="dcterms:W3CDTF">2026-01-09T11:29:00Z</dcterms:modified>
</cp:coreProperties>
</file>