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C91E2C">
        <w:rPr>
          <w:rFonts w:cs="Arial"/>
          <w:color w:val="000000"/>
        </w:rPr>
        <w:t>2025-2030-0033</w:t>
      </w:r>
    </w:p>
    <w:p w:rsidR="009C657E" w:rsidRPr="002760DC" w:rsidRDefault="009C657E" w:rsidP="009C657E">
      <w:pPr>
        <w:pStyle w:val="datumtevilka"/>
      </w:pPr>
      <w:r w:rsidRPr="002760DC">
        <w:t xml:space="preserve">Številka: </w:t>
      </w:r>
      <w:r w:rsidRPr="002760DC">
        <w:tab/>
      </w:r>
      <w:r w:rsidR="00C91E2C">
        <w:rPr>
          <w:rFonts w:cs="Arial"/>
          <w:color w:val="000000"/>
        </w:rPr>
        <w:t>00704-330/2025/15</w:t>
      </w:r>
    </w:p>
    <w:p w:rsidR="009C657E" w:rsidRPr="002760DC" w:rsidRDefault="009C657E" w:rsidP="009C657E">
      <w:pPr>
        <w:pStyle w:val="datumtevilka"/>
      </w:pPr>
      <w:r>
        <w:t>Datum:</w:t>
      </w:r>
      <w:r w:rsidRPr="002760DC">
        <w:tab/>
      </w:r>
      <w:r w:rsidR="00C91E2C">
        <w:rPr>
          <w:rFonts w:cs="Arial"/>
          <w:color w:val="000000"/>
        </w:rPr>
        <w:t>6. 1. 2026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BF78FD" w:rsidRPr="00063F0A" w:rsidRDefault="00BF78FD" w:rsidP="00063F0A">
      <w:pPr>
        <w:tabs>
          <w:tab w:val="left" w:pos="7920"/>
        </w:tabs>
        <w:autoSpaceDE w:val="0"/>
        <w:autoSpaceDN w:val="0"/>
        <w:adjustRightInd w:val="0"/>
        <w:ind w:left="709" w:hanging="709"/>
        <w:jc w:val="center"/>
        <w:rPr>
          <w:rFonts w:cs="Arial"/>
          <w:b/>
          <w:color w:val="000000"/>
          <w:szCs w:val="20"/>
        </w:rPr>
      </w:pPr>
      <w:r w:rsidRPr="00063F0A">
        <w:rPr>
          <w:rFonts w:cs="Arial"/>
          <w:b/>
          <w:color w:val="000000"/>
          <w:szCs w:val="20"/>
        </w:rPr>
        <w:t>Predlog amandmajev k Predlogu zakona o spremembah in dopolnitvah Zakona o odvetništvu</w:t>
      </w:r>
    </w:p>
    <w:p w:rsidR="009C657E" w:rsidRPr="002760DC" w:rsidRDefault="009C657E" w:rsidP="00BF78FD">
      <w:pPr>
        <w:tabs>
          <w:tab w:val="left" w:pos="7920"/>
        </w:tabs>
        <w:autoSpaceDE w:val="0"/>
        <w:autoSpaceDN w:val="0"/>
        <w:adjustRightInd w:val="0"/>
        <w:jc w:val="both"/>
        <w:rPr>
          <w:rFonts w:cs="Arial"/>
          <w:color w:val="000000"/>
          <w:szCs w:val="20"/>
        </w:rPr>
      </w:pPr>
    </w:p>
    <w:p w:rsidR="009C657E" w:rsidRPr="002760DC" w:rsidRDefault="009C657E" w:rsidP="00BF78FD">
      <w:pPr>
        <w:tabs>
          <w:tab w:val="left" w:pos="5570"/>
        </w:tabs>
        <w:autoSpaceDE w:val="0"/>
        <w:autoSpaceDN w:val="0"/>
        <w:adjustRightInd w:val="0"/>
        <w:jc w:val="both"/>
        <w:rPr>
          <w:rFonts w:cs="Arial"/>
          <w:color w:val="000000"/>
          <w:szCs w:val="20"/>
        </w:rPr>
      </w:pPr>
    </w:p>
    <w:p w:rsidR="00063F0A" w:rsidRDefault="00063F0A" w:rsidP="00063F0A">
      <w:pPr>
        <w:spacing w:line="288" w:lineRule="auto"/>
        <w:jc w:val="both"/>
        <w:rPr>
          <w:rFonts w:cs="Arial"/>
          <w:b/>
          <w:bCs/>
          <w:szCs w:val="20"/>
          <w:u w:val="single"/>
        </w:rPr>
      </w:pPr>
      <w:r>
        <w:rPr>
          <w:rFonts w:cs="Arial"/>
          <w:b/>
          <w:bCs/>
          <w:szCs w:val="20"/>
          <w:u w:val="single"/>
        </w:rPr>
        <w:t>K 1. členu:</w:t>
      </w:r>
    </w:p>
    <w:p w:rsidR="00063F0A" w:rsidRDefault="00063F0A" w:rsidP="00063F0A">
      <w:pPr>
        <w:spacing w:after="4" w:line="256" w:lineRule="auto"/>
        <w:jc w:val="both"/>
      </w:pPr>
      <w:r>
        <w:t xml:space="preserve">Besedilo člena se spremeni tako, da se glasi:  </w:t>
      </w:r>
    </w:p>
    <w:p w:rsidR="00063F0A" w:rsidRDefault="00063F0A" w:rsidP="00063F0A">
      <w:pPr>
        <w:spacing w:line="288" w:lineRule="auto"/>
        <w:jc w:val="both"/>
      </w:pPr>
      <w:r>
        <w:t xml:space="preserve">»V Zakonu o odvetništvu (Uradni list RS, št. 18/93, 24/96 – </w:t>
      </w:r>
      <w:proofErr w:type="spellStart"/>
      <w:r>
        <w:t>odl</w:t>
      </w:r>
      <w:proofErr w:type="spellEnd"/>
      <w:r>
        <w:t>. US, 24/01, 54/08, 35/09, 97/14,</w:t>
      </w:r>
    </w:p>
    <w:p w:rsidR="00063F0A" w:rsidRDefault="00063F0A" w:rsidP="00063F0A">
      <w:pPr>
        <w:spacing w:line="288" w:lineRule="auto"/>
        <w:jc w:val="both"/>
      </w:pPr>
      <w:r>
        <w:t xml:space="preserve">8/16 – </w:t>
      </w:r>
      <w:proofErr w:type="spellStart"/>
      <w:r>
        <w:t>odl</w:t>
      </w:r>
      <w:proofErr w:type="spellEnd"/>
      <w:r>
        <w:t>. US, 46/16, 36/19 in 130/22) se v 21. členu drugi odstavek spremeni tako, da se glasi:</w:t>
      </w:r>
    </w:p>
    <w:p w:rsidR="00063F0A" w:rsidRDefault="00063F0A" w:rsidP="00063F0A">
      <w:pPr>
        <w:spacing w:line="288" w:lineRule="auto"/>
        <w:jc w:val="both"/>
        <w:rPr>
          <w:rFonts w:cs="Arial"/>
          <w:szCs w:val="20"/>
        </w:rPr>
      </w:pPr>
      <w:r>
        <w:rPr>
          <w:rFonts w:cs="Arial"/>
          <w:szCs w:val="20"/>
        </w:rPr>
        <w:t>»Prejšnji odstavek se uporablja tudi za odvetniškega kandidata in odvetniškega pripravnika.«.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t>Tretji odstavek se črta.</w:t>
      </w:r>
      <w:r>
        <w:t>«.</w:t>
      </w: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 xml:space="preserve">Amandma sledi mnenju Zakonodajno-pravne službe glede </w:t>
      </w:r>
      <w:proofErr w:type="spellStart"/>
      <w:r>
        <w:rPr>
          <w:rFonts w:cs="Arial"/>
          <w:szCs w:val="20"/>
        </w:rPr>
        <w:t>nomotehničnega</w:t>
      </w:r>
      <w:proofErr w:type="spellEnd"/>
      <w:r>
        <w:rPr>
          <w:rFonts w:cs="Arial"/>
          <w:szCs w:val="20"/>
        </w:rPr>
        <w:t xml:space="preserve"> pristopa, saj na ta način zagotavlja najpreglednejši zapis mesta in vsebine sprememb, ter s tem zagotavlja konsistentnost noveliranega besedila zakona. Prav tako se glede na opozorilo Zakonodajno-pravne službe tudi črta na novo predlagana omejitev glede nezdružljivosti z odvetniškim poklicem in sicer s poklicnim opravljanjem funkcije v lokalni samoupravi, ker za to ni stvarnih in razumnih razlogov. Z vidika splošnega načela sorazmernosti, ki se nanaša na poklicno opravljanje službe ali funkcije v lokalni samoupravi, ocenjujemo, da gre za prekomeren poseg, prav tako z vidika splošnega načela enakosti zakon ne omogoča, da mu za čas opravljanja poklicne funkcije v lokalni samoupravi opravljanje odvetniškega poklica miruje, kot je to omogočeno za opravljanje državne funkcije.</w:t>
      </w: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szCs w:val="20"/>
          <w:u w:val="single"/>
        </w:rPr>
      </w:pPr>
      <w:r>
        <w:rPr>
          <w:rFonts w:cs="Arial"/>
          <w:b/>
          <w:bCs/>
          <w:szCs w:val="20"/>
          <w:u w:val="single"/>
        </w:rPr>
        <w:t>K 2. členu:</w:t>
      </w:r>
    </w:p>
    <w:p w:rsidR="00063F0A" w:rsidRDefault="00063F0A" w:rsidP="00063F0A">
      <w:pPr>
        <w:spacing w:line="288" w:lineRule="auto"/>
        <w:jc w:val="both"/>
        <w:rPr>
          <w:rFonts w:cs="Arial"/>
          <w:szCs w:val="20"/>
        </w:rPr>
      </w:pPr>
      <w:r>
        <w:rPr>
          <w:rFonts w:cs="Arial"/>
          <w:szCs w:val="20"/>
        </w:rPr>
        <w:t>2. člen se črta.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 xml:space="preserve">Amandma sledi mnenju Zakonodajno-pravne službe glede </w:t>
      </w:r>
      <w:proofErr w:type="spellStart"/>
      <w:r>
        <w:rPr>
          <w:rFonts w:cs="Arial"/>
          <w:szCs w:val="20"/>
        </w:rPr>
        <w:t>nomotehničnega</w:t>
      </w:r>
      <w:proofErr w:type="spellEnd"/>
      <w:r>
        <w:rPr>
          <w:rFonts w:cs="Arial"/>
          <w:szCs w:val="20"/>
        </w:rPr>
        <w:t xml:space="preserve"> pristopa, saj bo vsebina 2. člena urejena v 3. členu. </w:t>
      </w:r>
    </w:p>
    <w:p w:rsidR="00063F0A" w:rsidRDefault="00063F0A" w:rsidP="00063F0A">
      <w:pPr>
        <w:spacing w:line="288" w:lineRule="auto"/>
        <w:jc w:val="both"/>
        <w:rPr>
          <w:rFonts w:cs="Arial"/>
          <w:b/>
          <w:bCs/>
          <w:szCs w:val="20"/>
          <w:highlight w:val="yellow"/>
          <w:u w:val="single"/>
        </w:rPr>
      </w:pPr>
    </w:p>
    <w:p w:rsidR="00063F0A" w:rsidRDefault="00063F0A" w:rsidP="00063F0A">
      <w:pPr>
        <w:spacing w:line="288" w:lineRule="auto"/>
        <w:jc w:val="both"/>
        <w:rPr>
          <w:rFonts w:cs="Arial"/>
          <w:b/>
          <w:bCs/>
          <w:color w:val="FF0000"/>
          <w:szCs w:val="20"/>
        </w:rPr>
      </w:pPr>
    </w:p>
    <w:p w:rsidR="00063F0A" w:rsidRDefault="00063F0A" w:rsidP="00063F0A">
      <w:pPr>
        <w:spacing w:line="288" w:lineRule="auto"/>
        <w:jc w:val="both"/>
        <w:rPr>
          <w:rFonts w:cs="Arial"/>
          <w:b/>
          <w:bCs/>
          <w:szCs w:val="20"/>
          <w:u w:val="single"/>
        </w:rPr>
      </w:pPr>
      <w:r>
        <w:rPr>
          <w:rFonts w:cs="Arial"/>
          <w:b/>
          <w:bCs/>
          <w:szCs w:val="20"/>
          <w:u w:val="single"/>
        </w:rPr>
        <w:t>K 3. členu:</w:t>
      </w:r>
    </w:p>
    <w:p w:rsidR="00063F0A" w:rsidRDefault="00063F0A" w:rsidP="00063F0A">
      <w:pPr>
        <w:spacing w:after="4" w:line="256" w:lineRule="auto"/>
        <w:jc w:val="both"/>
      </w:pPr>
      <w:r>
        <w:t xml:space="preserve">Besedilo člena se spremeni tako, da se glasi:  </w:t>
      </w:r>
    </w:p>
    <w:p w:rsidR="00063F0A" w:rsidRDefault="00063F0A" w:rsidP="00063F0A">
      <w:pPr>
        <w:spacing w:line="288" w:lineRule="auto"/>
        <w:jc w:val="both"/>
      </w:pPr>
      <w:r>
        <w:t>»21.a člen se spremeni tako, da se glasi:</w:t>
      </w:r>
    </w:p>
    <w:p w:rsidR="00063F0A" w:rsidRDefault="00063F0A" w:rsidP="00063F0A">
      <w:pPr>
        <w:spacing w:line="288" w:lineRule="auto"/>
        <w:jc w:val="center"/>
      </w:pPr>
      <w:r>
        <w:t>»21.a člen</w:t>
      </w:r>
    </w:p>
    <w:p w:rsidR="00063F0A" w:rsidRDefault="00063F0A" w:rsidP="00063F0A">
      <w:pPr>
        <w:spacing w:line="288" w:lineRule="auto"/>
        <w:jc w:val="both"/>
      </w:pPr>
      <w:r>
        <w:t xml:space="preserve">Odvetnik sme informirati javnost o svoji dejavnosti pod pogojem, da je informacija resnična in </w:t>
      </w:r>
      <w:proofErr w:type="spellStart"/>
      <w:r>
        <w:t>nezavajajoča</w:t>
      </w:r>
      <w:proofErr w:type="spellEnd"/>
      <w:r>
        <w:t>, varuje zavezo o zaupnosti ter je v skladu z etičnimi zahtevami, ki veljajo za opravljanje odvetniškega poklica.</w:t>
      </w:r>
    </w:p>
    <w:p w:rsidR="00063F0A" w:rsidRDefault="00063F0A" w:rsidP="00063F0A">
      <w:pPr>
        <w:spacing w:line="288" w:lineRule="auto"/>
        <w:jc w:val="both"/>
      </w:pPr>
    </w:p>
    <w:p w:rsidR="00063F0A" w:rsidRDefault="00063F0A" w:rsidP="00063F0A">
      <w:pPr>
        <w:spacing w:line="288" w:lineRule="auto"/>
        <w:jc w:val="both"/>
      </w:pPr>
      <w:r>
        <w:lastRenderedPageBreak/>
        <w:t>Odvetnik sme v javnosti izražati svoje mnenje o aktualnih družbenih dogodkih. Pri tem se mora izogibati izjavam, ki škodijo ali utegnejo škodovati ugledu odvetniškega poklica ali pravosodja,</w:t>
      </w:r>
      <w:r>
        <w:rPr>
          <w:rFonts w:cs="Arial"/>
          <w:szCs w:val="20"/>
        </w:rPr>
        <w:t xml:space="preserve"> pri čemer je dopustno kritično in strokovno izražanje v skladu z etičnimi načeli.</w:t>
      </w:r>
    </w:p>
    <w:p w:rsidR="00063F0A" w:rsidRDefault="00063F0A" w:rsidP="00063F0A">
      <w:pPr>
        <w:spacing w:line="288" w:lineRule="auto"/>
        <w:jc w:val="both"/>
      </w:pPr>
    </w:p>
    <w:p w:rsidR="00063F0A" w:rsidRDefault="00063F0A" w:rsidP="00063F0A">
      <w:pPr>
        <w:spacing w:line="288" w:lineRule="auto"/>
        <w:jc w:val="both"/>
      </w:pPr>
      <w:r>
        <w:t>Odvetnikova osebna publiciteta v kateri koli medijski obliki, na primer v tisku, v radijskem ali televizijskem programu, v elektronskem komercialnem komuniciranju ali drugače, je dopustna le</w:t>
      </w:r>
    </w:p>
    <w:p w:rsidR="00063F0A" w:rsidRDefault="00063F0A" w:rsidP="00063F0A">
      <w:pPr>
        <w:spacing w:line="288" w:lineRule="auto"/>
        <w:jc w:val="both"/>
      </w:pPr>
      <w:r>
        <w:t>v obsegu izpolnitve zahtev iz prvega in drugega odstavka tega člena.</w:t>
      </w:r>
    </w:p>
    <w:p w:rsidR="00063F0A" w:rsidRDefault="00063F0A" w:rsidP="00063F0A">
      <w:pPr>
        <w:spacing w:line="288" w:lineRule="auto"/>
        <w:jc w:val="both"/>
      </w:pPr>
    </w:p>
    <w:p w:rsidR="00063F0A" w:rsidRDefault="00063F0A" w:rsidP="00063F0A">
      <w:pPr>
        <w:spacing w:line="288" w:lineRule="auto"/>
        <w:jc w:val="both"/>
      </w:pPr>
      <w:r>
        <w:t>Kadar na način iz tega člena izraža svoje mnenje in informira javnost o odvetniški dejavnosti druga oseba, ki dela pri odvetniku ali v odvetniški družbi, se zanjo smiselno uporabljajo določbe prvega, drugega in tretjega odstavka tega člena.«.«.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 xml:space="preserve">Amandma sledi mnenju Zakonodajno-pravne službe glede </w:t>
      </w:r>
      <w:proofErr w:type="spellStart"/>
      <w:r>
        <w:rPr>
          <w:rFonts w:cs="Arial"/>
          <w:szCs w:val="20"/>
        </w:rPr>
        <w:t>nomotehničnega</w:t>
      </w:r>
      <w:proofErr w:type="spellEnd"/>
      <w:r>
        <w:rPr>
          <w:rFonts w:cs="Arial"/>
          <w:szCs w:val="20"/>
        </w:rPr>
        <w:t xml:space="preserve"> pristop. Prav tako  v drugemu odstavku spremenjenega 21.a člena na pobudo Odvetniške zbornice Slovenije in Državnega sveta Republike Slovenije amandma dopolnjuje določbo, v kateri se izrecno poudari, da omejitev ne posega v svobodo kritičnega izražanja v okviru etičnih načel. S tem jasno sporoča, da je strokovna in argumentirana kritika pravosodja dovoljena in varovana. Namen je torej varovati ugled poklica in pravosodja, hkrati pa ohraniti jasno pravico do kritične javne razprave.</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szCs w:val="20"/>
          <w:u w:val="single"/>
        </w:rPr>
      </w:pPr>
      <w:r>
        <w:rPr>
          <w:rFonts w:cs="Arial"/>
          <w:b/>
          <w:bCs/>
          <w:szCs w:val="20"/>
          <w:u w:val="single"/>
        </w:rPr>
        <w:t>K 4. členu:</w:t>
      </w:r>
    </w:p>
    <w:p w:rsidR="00063F0A" w:rsidRDefault="00063F0A" w:rsidP="00063F0A">
      <w:pPr>
        <w:spacing w:line="288" w:lineRule="auto"/>
        <w:jc w:val="both"/>
        <w:rPr>
          <w:rFonts w:cs="Arial"/>
          <w:szCs w:val="20"/>
        </w:rPr>
      </w:pPr>
      <w:r>
        <w:rPr>
          <w:rFonts w:cs="Arial"/>
          <w:szCs w:val="20"/>
        </w:rPr>
        <w:t>Besedilo člena se spremeni tako, da se glasi:</w:t>
      </w:r>
    </w:p>
    <w:p w:rsidR="00063F0A" w:rsidRDefault="00063F0A" w:rsidP="00063F0A">
      <w:pPr>
        <w:spacing w:line="288" w:lineRule="auto"/>
        <w:jc w:val="both"/>
        <w:rPr>
          <w:rFonts w:cs="Arial"/>
          <w:szCs w:val="20"/>
        </w:rPr>
      </w:pPr>
      <w:r>
        <w:rPr>
          <w:rFonts w:cs="Arial"/>
          <w:szCs w:val="20"/>
        </w:rPr>
        <w:t>»V 62. členu se v prvem odstavku besedilo »je mogoče odvzeti pravico« nadomesti z besedilom »disciplinski tožilec v obtožbi predlaga ukrep odvzema pravice«.«</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Amandma sledi mnenju Zakonodajno-pravne službe, ki zaradi terminološke uskladitve 62. člena z 61. b in 61.č členom predlaga drugačen zapis.</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szCs w:val="20"/>
          <w:u w:val="single"/>
        </w:rPr>
      </w:pPr>
      <w:r>
        <w:rPr>
          <w:rFonts w:cs="Arial"/>
          <w:b/>
          <w:bCs/>
          <w:szCs w:val="20"/>
          <w:u w:val="single"/>
        </w:rPr>
        <w:t>K 5. členu:</w:t>
      </w:r>
    </w:p>
    <w:p w:rsidR="00063F0A" w:rsidRDefault="00063F0A" w:rsidP="00063F0A">
      <w:pPr>
        <w:spacing w:after="4" w:line="256" w:lineRule="auto"/>
        <w:jc w:val="both"/>
      </w:pPr>
      <w:r>
        <w:t xml:space="preserve">Besedilo člena se spremeni tako, da se glasi:  </w:t>
      </w:r>
    </w:p>
    <w:p w:rsidR="00063F0A" w:rsidRDefault="00063F0A" w:rsidP="00063F0A">
      <w:pPr>
        <w:spacing w:line="288" w:lineRule="auto"/>
        <w:jc w:val="both"/>
        <w:rPr>
          <w:rFonts w:cs="Arial"/>
          <w:szCs w:val="20"/>
        </w:rPr>
      </w:pPr>
      <w:r>
        <w:rPr>
          <w:rFonts w:cs="Arial"/>
          <w:szCs w:val="20"/>
        </w:rPr>
        <w:t>»V 65. členu se tretji odstavek spremeni tako, da se glasi:</w:t>
      </w:r>
    </w:p>
    <w:p w:rsidR="00063F0A" w:rsidRDefault="00063F0A" w:rsidP="00063F0A">
      <w:pPr>
        <w:spacing w:line="288" w:lineRule="auto"/>
        <w:jc w:val="both"/>
        <w:rPr>
          <w:rFonts w:cs="Arial"/>
          <w:szCs w:val="20"/>
        </w:rPr>
      </w:pPr>
      <w:r>
        <w:rPr>
          <w:rFonts w:cs="Arial"/>
          <w:szCs w:val="20"/>
        </w:rPr>
        <w:t>»Pravnomočna odločba disciplinskega organa Odvetniške zbornice Slovenije je izvršljiva. Pravnomočna odločba, s katero je bila izrečena denarna kazen ali naložena povrnitev stroškov disciplinskega postopka, je izvršilni naslov, na podlagi katerega se na predlog Odvetniške zbornice Slovenije lahko izvede prisilna izterjava v postopku sodne izvršbe.«.«.</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Amandma je pripravljen na podlagi mnenja Zakonodajno-pravne službe, tako da lastnost izvršilnega naslova določi samo za pravnomočne odločbe disciplinskega organa Odvetniške zbornice Slovenije, s katerim je izrečena denarna kazen ali naložena povrnitev stroškov disciplinskega postopka.</w:t>
      </w: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szCs w:val="20"/>
          <w:u w:val="single"/>
        </w:rPr>
      </w:pPr>
      <w:r>
        <w:rPr>
          <w:rFonts w:cs="Arial"/>
          <w:b/>
          <w:bCs/>
          <w:szCs w:val="20"/>
          <w:u w:val="single"/>
        </w:rPr>
        <w:t>K 6. členu:</w:t>
      </w:r>
    </w:p>
    <w:p w:rsidR="00063F0A" w:rsidRDefault="00063F0A" w:rsidP="00063F0A">
      <w:pPr>
        <w:spacing w:after="4" w:line="256" w:lineRule="auto"/>
        <w:jc w:val="both"/>
      </w:pPr>
      <w:r>
        <w:t xml:space="preserve">Besedilo člena se spremeni tako, da se glasi: </w:t>
      </w:r>
    </w:p>
    <w:p w:rsidR="00063F0A" w:rsidRDefault="00063F0A" w:rsidP="00063F0A">
      <w:pPr>
        <w:spacing w:line="288" w:lineRule="auto"/>
        <w:jc w:val="both"/>
        <w:rPr>
          <w:rFonts w:cs="Arial"/>
          <w:szCs w:val="20"/>
        </w:rPr>
      </w:pPr>
      <w:r>
        <w:rPr>
          <w:rFonts w:cs="Arial"/>
          <w:szCs w:val="20"/>
        </w:rPr>
        <w:t>»71.a člen se spremeni tako, da se glasi:</w:t>
      </w:r>
    </w:p>
    <w:p w:rsidR="00063F0A" w:rsidRDefault="00063F0A" w:rsidP="00063F0A">
      <w:pPr>
        <w:spacing w:after="4" w:line="256" w:lineRule="auto"/>
        <w:jc w:val="both"/>
      </w:pPr>
    </w:p>
    <w:p w:rsidR="00063F0A" w:rsidRDefault="00063F0A" w:rsidP="00063F0A">
      <w:pPr>
        <w:spacing w:line="288" w:lineRule="auto"/>
        <w:jc w:val="center"/>
        <w:rPr>
          <w:rFonts w:cs="Arial"/>
          <w:szCs w:val="20"/>
        </w:rPr>
      </w:pPr>
      <w:r>
        <w:rPr>
          <w:rFonts w:eastAsia="Aptos" w:cs="Arial"/>
          <w:kern w:val="2"/>
          <w:szCs w:val="20"/>
        </w:rPr>
        <w:t>»</w:t>
      </w:r>
      <w:r>
        <w:rPr>
          <w:rFonts w:cs="Arial"/>
          <w:szCs w:val="20"/>
        </w:rPr>
        <w:t>71.a člen</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lastRenderedPageBreak/>
        <w:t>(1) Z globo od 20.000 do 250.000 eurov oziroma če gre za srednjo ali veliko gospodarsko družbo od 20.000 do 500.000 eurov se kaznuje za prekršek pravna oseba, ki ni odvetniška družba po tem zakonu, če proti plačilu opravlja storitve iz drugega odstavka 2. člena tega zakona.</w:t>
      </w:r>
    </w:p>
    <w:p w:rsidR="00063F0A" w:rsidRDefault="00063F0A" w:rsidP="00063F0A"/>
    <w:p w:rsidR="00063F0A" w:rsidRDefault="00063F0A" w:rsidP="00063F0A">
      <w:pPr>
        <w:spacing w:line="288" w:lineRule="auto"/>
        <w:jc w:val="both"/>
        <w:rPr>
          <w:rFonts w:cs="Arial"/>
          <w:szCs w:val="20"/>
        </w:rPr>
      </w:pPr>
      <w:r>
        <w:rPr>
          <w:rFonts w:cs="Arial"/>
          <w:szCs w:val="20"/>
        </w:rPr>
        <w:t>(2) Z globo od 8.000 do 150.000 eurov se za prekršek kaznuje samostojni podjetnik posameznik ali posameznik, ki samostojno opravlja dejavnost, ki ni odvetnik, če proti plačilu opravlja storitve iz drugega odstavka 2. člena tega zakona.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t xml:space="preserve">(3) Z globo od 3.000 do 8.000 eurov se za prekršek iz prvega in drugega odstavka tega člena kaznuje tudi odgovorna oseba pravne osebe, ki ni odvetniška družba po tem zakonu, ali odgovorna oseba samostojnega podjetnika posameznika oziroma posameznika, ki samostojno opravlja dejavnost, ki ni odvetnik. </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t>(4)</w:t>
      </w:r>
      <w:r>
        <w:t xml:space="preserve"> </w:t>
      </w:r>
      <w:r>
        <w:rPr>
          <w:rFonts w:cs="Arial"/>
          <w:szCs w:val="20"/>
        </w:rPr>
        <w:t xml:space="preserve">Z globo </w:t>
      </w:r>
      <w:r>
        <w:rPr>
          <w:rFonts w:eastAsia="Aptos" w:cs="Arial"/>
          <w:kern w:val="2"/>
          <w:szCs w:val="20"/>
        </w:rPr>
        <w:t xml:space="preserve">od </w:t>
      </w:r>
      <w:r>
        <w:rPr>
          <w:rFonts w:eastAsia="Aptos" w:cs="Arial"/>
          <w:color w:val="000000" w:themeColor="text1"/>
          <w:kern w:val="2"/>
          <w:szCs w:val="20"/>
        </w:rPr>
        <w:t xml:space="preserve">3.000 do 8.000 </w:t>
      </w:r>
      <w:r>
        <w:rPr>
          <w:rFonts w:eastAsia="Aptos" w:cs="Arial"/>
          <w:kern w:val="2"/>
          <w:szCs w:val="20"/>
        </w:rPr>
        <w:t xml:space="preserve">eurov </w:t>
      </w:r>
      <w:r>
        <w:rPr>
          <w:rFonts w:cs="Arial"/>
          <w:szCs w:val="20"/>
        </w:rPr>
        <w:t>se kaznuje za prekršek tuj odvetnik, ki v Republiki Sloveniji opravlja odvetniške storitve ali odvetniški poklic v nasprotju z določbami III. A poglavja tega zakona.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eastAsia="Aptos" w:cs="Arial"/>
          <w:kern w:val="2"/>
          <w:szCs w:val="20"/>
        </w:rPr>
      </w:pPr>
      <w:r>
        <w:rPr>
          <w:rFonts w:eastAsia="Aptos" w:cs="Arial"/>
          <w:kern w:val="2"/>
          <w:szCs w:val="20"/>
        </w:rPr>
        <w:t>(5) Z globo od 1.000 do 3.000 eurov se kaznuje za prekršek posameznik, ki v nasprotju z drugim odstavkom 1. člena tega zakona proti plačilu opravlja storitve iz drugega odstavka 2. člena tega zakona.</w:t>
      </w:r>
    </w:p>
    <w:p w:rsidR="00063F0A" w:rsidRDefault="00063F0A" w:rsidP="00063F0A">
      <w:pPr>
        <w:spacing w:line="288" w:lineRule="auto"/>
        <w:jc w:val="both"/>
        <w:rPr>
          <w:rFonts w:cs="Arial"/>
          <w:szCs w:val="20"/>
        </w:rPr>
      </w:pPr>
    </w:p>
    <w:p w:rsidR="00063F0A" w:rsidRDefault="00063F0A" w:rsidP="00063F0A">
      <w:pPr>
        <w:spacing w:after="160" w:line="288" w:lineRule="auto"/>
        <w:jc w:val="both"/>
        <w:rPr>
          <w:rFonts w:eastAsia="Aptos" w:cs="Arial"/>
          <w:kern w:val="2"/>
          <w:szCs w:val="20"/>
        </w:rPr>
      </w:pPr>
      <w:r>
        <w:rPr>
          <w:rFonts w:cs="Arial"/>
          <w:szCs w:val="20"/>
        </w:rPr>
        <w:t xml:space="preserve">(6) </w:t>
      </w:r>
      <w:r>
        <w:rPr>
          <w:rFonts w:eastAsia="Aptos" w:cs="Arial"/>
          <w:kern w:val="2"/>
          <w:szCs w:val="20"/>
        </w:rPr>
        <w:t>O prekrških iz prvega do četrtega odstavka tega člena odloča Tržni inšpektorat Republike Slovenije, o prekršku iz prejšnjega odstavka pa Finančna uprava Republike Slovenije.«.«.</w:t>
      </w: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 xml:space="preserve">Amandma sledi mnenju Zakonodajno-pravne službe in na novo v skladu z Zakonom o prekrških glede na posamezne kategorije storilcev prekrškov določa globe v razponu ter opredeli organ, ki je pristojen za vodenje in odločanje v </w:t>
      </w:r>
      <w:proofErr w:type="spellStart"/>
      <w:r>
        <w:rPr>
          <w:rFonts w:cs="Arial"/>
          <w:szCs w:val="20"/>
        </w:rPr>
        <w:t>prekrškovnem</w:t>
      </w:r>
      <w:proofErr w:type="spellEnd"/>
      <w:r>
        <w:rPr>
          <w:rFonts w:cs="Arial"/>
          <w:szCs w:val="20"/>
        </w:rPr>
        <w:t xml:space="preserve"> postopku.</w:t>
      </w: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szCs w:val="20"/>
          <w:u w:val="single"/>
        </w:rPr>
      </w:pPr>
      <w:r>
        <w:rPr>
          <w:rFonts w:cs="Arial"/>
          <w:b/>
          <w:bCs/>
          <w:szCs w:val="20"/>
          <w:u w:val="single"/>
        </w:rPr>
        <w:t>K 7. členu:</w:t>
      </w:r>
    </w:p>
    <w:p w:rsidR="00063F0A" w:rsidRDefault="00063F0A" w:rsidP="00063F0A">
      <w:pPr>
        <w:spacing w:line="288" w:lineRule="auto"/>
        <w:jc w:val="both"/>
        <w:rPr>
          <w:rFonts w:cs="Arial"/>
          <w:b/>
          <w:bCs/>
          <w:szCs w:val="20"/>
          <w:u w:val="single"/>
        </w:rPr>
      </w:pPr>
    </w:p>
    <w:p w:rsidR="00063F0A" w:rsidRDefault="00063F0A" w:rsidP="00063F0A">
      <w:pPr>
        <w:spacing w:after="4" w:line="256" w:lineRule="auto"/>
        <w:jc w:val="both"/>
      </w:pPr>
      <w:r>
        <w:t xml:space="preserve">Besedilo člena se spremeni tako, da se glasi: </w:t>
      </w:r>
    </w:p>
    <w:p w:rsidR="00063F0A" w:rsidRDefault="00063F0A" w:rsidP="00063F0A">
      <w:pPr>
        <w:spacing w:line="288" w:lineRule="auto"/>
        <w:jc w:val="both"/>
        <w:rPr>
          <w:rFonts w:cs="Arial"/>
          <w:szCs w:val="20"/>
        </w:rPr>
      </w:pPr>
      <w:r>
        <w:rPr>
          <w:rFonts w:cs="Arial"/>
          <w:szCs w:val="20"/>
        </w:rPr>
        <w:t>»71.b člen se spremeni tako, da se glasi:</w:t>
      </w: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center"/>
        <w:rPr>
          <w:rFonts w:cs="Arial"/>
          <w:szCs w:val="20"/>
        </w:rPr>
      </w:pPr>
      <w:r>
        <w:rPr>
          <w:rFonts w:eastAsia="Aptos" w:cs="Arial"/>
          <w:kern w:val="2"/>
          <w:szCs w:val="20"/>
        </w:rPr>
        <w:t>»</w:t>
      </w:r>
      <w:r>
        <w:rPr>
          <w:rFonts w:cs="Arial"/>
          <w:szCs w:val="20"/>
        </w:rPr>
        <w:t>71.b člen</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t>Z globo od 3.000 do 10.000 eurov se kaznuje odvetnik, ki ravna v nasprotju z 21.a členom tega zakona.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t>Z globo od 10.000 do 20.000 eurov se za prekršek iz prejšnjega odstavka kaznuje odvetniška družba, če gre za odvetniško družbo, ki spada med srednje ali velike gospodarske družbe, pa od 20.000 do 40.000 eurov.</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szCs w:val="20"/>
        </w:rPr>
      </w:pPr>
      <w:r>
        <w:rPr>
          <w:rFonts w:cs="Arial"/>
          <w:szCs w:val="20"/>
        </w:rPr>
        <w:t>Z globo od 3.000 do 8.000 eurov se za prekršek iz prvega odstavka tega člena kaznuje tudi odgovorna oseba odvetniške družbe.</w:t>
      </w:r>
    </w:p>
    <w:p w:rsidR="00063F0A" w:rsidRDefault="00063F0A" w:rsidP="00063F0A">
      <w:pPr>
        <w:spacing w:line="288" w:lineRule="auto"/>
        <w:jc w:val="both"/>
        <w:rPr>
          <w:rFonts w:cs="Arial"/>
          <w:szCs w:val="20"/>
        </w:rPr>
      </w:pPr>
    </w:p>
    <w:p w:rsidR="00063F0A" w:rsidRDefault="00063F0A" w:rsidP="00063F0A">
      <w:pPr>
        <w:spacing w:after="160" w:line="288" w:lineRule="auto"/>
        <w:jc w:val="both"/>
        <w:rPr>
          <w:rFonts w:eastAsia="Aptos" w:cs="Arial"/>
          <w:kern w:val="2"/>
          <w:szCs w:val="20"/>
        </w:rPr>
      </w:pPr>
      <w:r>
        <w:rPr>
          <w:rFonts w:cs="Arial"/>
          <w:szCs w:val="20"/>
        </w:rPr>
        <w:t>O prekrških iz tega člena odloča Tržni inšpektorat Republike Slovenije</w:t>
      </w:r>
      <w:r>
        <w:rPr>
          <w:rFonts w:eastAsia="Aptos" w:cs="Arial"/>
          <w:kern w:val="2"/>
          <w:szCs w:val="20"/>
        </w:rPr>
        <w:t>.«.«.</w:t>
      </w: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lastRenderedPageBreak/>
        <w:t xml:space="preserve">Amandma sledi mnenju Zakonodajno-pravne službe in na novo v skladu z Zakonom o prekrških glede na posamezne kategorije storilcev prekrškov določa globe v razponu ter opredeli organ, ki je pristojen za vodenje in odločanje v </w:t>
      </w:r>
      <w:proofErr w:type="spellStart"/>
      <w:r>
        <w:rPr>
          <w:rFonts w:cs="Arial"/>
          <w:szCs w:val="20"/>
        </w:rPr>
        <w:t>prekrškovnem</w:t>
      </w:r>
      <w:proofErr w:type="spellEnd"/>
      <w:r>
        <w:rPr>
          <w:rFonts w:cs="Arial"/>
          <w:szCs w:val="20"/>
        </w:rPr>
        <w:t xml:space="preserve"> postopku.</w:t>
      </w: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szCs w:val="20"/>
          <w:u w:val="single"/>
        </w:rPr>
      </w:pPr>
      <w:r>
        <w:rPr>
          <w:rFonts w:cs="Arial"/>
          <w:b/>
          <w:bCs/>
          <w:szCs w:val="20"/>
          <w:u w:val="single"/>
        </w:rPr>
        <w:t>K 9. členu:</w:t>
      </w:r>
    </w:p>
    <w:p w:rsidR="00063F0A" w:rsidRDefault="00063F0A" w:rsidP="00063F0A">
      <w:pPr>
        <w:spacing w:line="288" w:lineRule="auto"/>
        <w:jc w:val="both"/>
        <w:rPr>
          <w:rFonts w:cs="Arial"/>
          <w:szCs w:val="20"/>
        </w:rPr>
      </w:pPr>
      <w:r>
        <w:rPr>
          <w:rFonts w:cs="Arial"/>
          <w:szCs w:val="20"/>
        </w:rPr>
        <w:t>V 9. členu se besedilo »</w:t>
      </w:r>
      <w:r>
        <w:rPr>
          <w:rFonts w:cs="Arial"/>
          <w:szCs w:val="20"/>
          <w:lang w:eastAsia="sl-SI"/>
        </w:rPr>
        <w:t>s tem zakonom</w:t>
      </w:r>
      <w:r>
        <w:rPr>
          <w:rFonts w:cs="Arial"/>
          <w:szCs w:val="20"/>
        </w:rPr>
        <w:t>« nadomesti z besedilom »s spremenjenimi 21., 21.a, 62. in 65. členom zakona«.</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i/>
          <w:iCs/>
          <w:szCs w:val="20"/>
        </w:rPr>
      </w:pPr>
      <w:r>
        <w:rPr>
          <w:rFonts w:cs="Arial"/>
          <w:b/>
          <w:bCs/>
          <w:i/>
          <w:iCs/>
          <w:szCs w:val="20"/>
        </w:rPr>
        <w:t xml:space="preserve">Obrazložitev: </w:t>
      </w:r>
    </w:p>
    <w:p w:rsidR="00063F0A" w:rsidRDefault="00063F0A" w:rsidP="00063F0A">
      <w:pPr>
        <w:spacing w:line="288" w:lineRule="auto"/>
        <w:jc w:val="both"/>
        <w:rPr>
          <w:rFonts w:cs="Arial"/>
          <w:szCs w:val="20"/>
        </w:rPr>
      </w:pPr>
      <w:r>
        <w:rPr>
          <w:rFonts w:cs="Arial"/>
          <w:szCs w:val="20"/>
        </w:rPr>
        <w:t>Ker bodo spremembe in dopolnitve, ki jih uvaja ta predlog zakona, z njegovo uveljavitvijo postale sestavni del besedila Zakona o odvetništvu amandma na predlog Zakonodajno-pravne službe ustrezno preoblikuje besedilo prehodne določbe.</w:t>
      </w:r>
    </w:p>
    <w:p w:rsidR="00063F0A" w:rsidRDefault="00063F0A" w:rsidP="00063F0A">
      <w:pPr>
        <w:spacing w:line="288" w:lineRule="auto"/>
        <w:jc w:val="both"/>
        <w:rPr>
          <w:rFonts w:cs="Arial"/>
          <w:szCs w:val="20"/>
        </w:rPr>
      </w:pP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b/>
          <w:bCs/>
          <w:szCs w:val="20"/>
          <w:u w:val="single"/>
        </w:rPr>
      </w:pPr>
    </w:p>
    <w:p w:rsidR="00063F0A" w:rsidRDefault="00063F0A" w:rsidP="00063F0A">
      <w:pPr>
        <w:spacing w:line="288" w:lineRule="auto"/>
        <w:jc w:val="both"/>
        <w:rPr>
          <w:rFonts w:cs="Arial"/>
          <w:szCs w:val="20"/>
        </w:rPr>
      </w:pPr>
    </w:p>
    <w:p w:rsidR="007E1230" w:rsidRDefault="007E1230" w:rsidP="007E1230">
      <w:pPr>
        <w:autoSpaceDE w:val="0"/>
        <w:autoSpaceDN w:val="0"/>
        <w:adjustRightInd w:val="0"/>
        <w:spacing w:line="240" w:lineRule="auto"/>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57E0" w:rsidRDefault="00AB57E0" w:rsidP="00767987">
      <w:pPr>
        <w:spacing w:line="240" w:lineRule="auto"/>
      </w:pPr>
      <w:r>
        <w:separator/>
      </w:r>
    </w:p>
  </w:endnote>
  <w:endnote w:type="continuationSeparator" w:id="0">
    <w:p w:rsidR="00AB57E0" w:rsidRDefault="00AB57E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752A" w:rsidRDefault="0031752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752A" w:rsidRDefault="0031752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752A" w:rsidRDefault="0031752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57E0" w:rsidRDefault="00AB57E0" w:rsidP="00767987">
      <w:pPr>
        <w:spacing w:line="240" w:lineRule="auto"/>
      </w:pPr>
      <w:r>
        <w:separator/>
      </w:r>
    </w:p>
  </w:footnote>
  <w:footnote w:type="continuationSeparator" w:id="0">
    <w:p w:rsidR="00AB57E0" w:rsidRDefault="00AB57E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752A" w:rsidRDefault="0031752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752A" w:rsidRDefault="0031752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63F0A"/>
    <w:rsid w:val="00084FCB"/>
    <w:rsid w:val="000B37A4"/>
    <w:rsid w:val="000B3FE6"/>
    <w:rsid w:val="000E4B03"/>
    <w:rsid w:val="002837E1"/>
    <w:rsid w:val="00286CB6"/>
    <w:rsid w:val="0031752A"/>
    <w:rsid w:val="00366636"/>
    <w:rsid w:val="00367DE6"/>
    <w:rsid w:val="003B3E19"/>
    <w:rsid w:val="004076C6"/>
    <w:rsid w:val="00457A58"/>
    <w:rsid w:val="004964D7"/>
    <w:rsid w:val="004B7F76"/>
    <w:rsid w:val="004E1BCE"/>
    <w:rsid w:val="0057353E"/>
    <w:rsid w:val="00592079"/>
    <w:rsid w:val="00594080"/>
    <w:rsid w:val="005D29F3"/>
    <w:rsid w:val="00674FD5"/>
    <w:rsid w:val="00682FFE"/>
    <w:rsid w:val="00684751"/>
    <w:rsid w:val="006C69EC"/>
    <w:rsid w:val="007039D0"/>
    <w:rsid w:val="00767987"/>
    <w:rsid w:val="00782FD4"/>
    <w:rsid w:val="007E1230"/>
    <w:rsid w:val="00811140"/>
    <w:rsid w:val="00902D57"/>
    <w:rsid w:val="00904A48"/>
    <w:rsid w:val="00980294"/>
    <w:rsid w:val="009C5392"/>
    <w:rsid w:val="009C657E"/>
    <w:rsid w:val="00A04FA3"/>
    <w:rsid w:val="00A16E6F"/>
    <w:rsid w:val="00A50E4B"/>
    <w:rsid w:val="00A56EFB"/>
    <w:rsid w:val="00A9231D"/>
    <w:rsid w:val="00AB57E0"/>
    <w:rsid w:val="00AD3BB3"/>
    <w:rsid w:val="00B31063"/>
    <w:rsid w:val="00BC534D"/>
    <w:rsid w:val="00BF78FD"/>
    <w:rsid w:val="00C0216A"/>
    <w:rsid w:val="00C91E2C"/>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88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1114</Words>
  <Characters>6353</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2026-01-06T09:43:00Z</dcterms:created>
  <dcterms:modified xsi:type="dcterms:W3CDTF">2026-01-06T09:43:00Z</dcterms:modified>
</cp:coreProperties>
</file>