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CD7B42">
        <w:rPr>
          <w:rFonts w:cs="Arial"/>
          <w:color w:val="000000"/>
        </w:rPr>
        <w:t>2024-2030-0031</w:t>
      </w:r>
    </w:p>
    <w:p w:rsidR="009C657E" w:rsidRPr="002760DC" w:rsidRDefault="009C657E" w:rsidP="009C657E">
      <w:pPr>
        <w:pStyle w:val="datumtevilka"/>
      </w:pPr>
      <w:r w:rsidRPr="002760DC">
        <w:t xml:space="preserve">Številka: </w:t>
      </w:r>
      <w:r w:rsidRPr="002760DC">
        <w:tab/>
      </w:r>
      <w:r w:rsidR="00CD7B42">
        <w:rPr>
          <w:rFonts w:cs="Arial"/>
          <w:color w:val="000000"/>
        </w:rPr>
        <w:t>00704-289/2024/16</w:t>
      </w:r>
    </w:p>
    <w:p w:rsidR="009C657E" w:rsidRPr="002760DC" w:rsidRDefault="009C657E" w:rsidP="009C657E">
      <w:pPr>
        <w:pStyle w:val="datumtevilka"/>
      </w:pPr>
      <w:r>
        <w:t>Datum:</w:t>
      </w:r>
      <w:r w:rsidRPr="002760DC">
        <w:tab/>
      </w:r>
      <w:r w:rsidR="00CD7B42">
        <w:rPr>
          <w:rFonts w:cs="Arial"/>
          <w:color w:val="000000"/>
        </w:rPr>
        <w:t>6. 1. 2026</w:t>
      </w:r>
      <w:r w:rsidRPr="002760DC">
        <w:t xml:space="preserve"> </w:t>
      </w:r>
    </w:p>
    <w:p w:rsidR="009C657E" w:rsidRPr="002760DC" w:rsidRDefault="009C657E" w:rsidP="009C657E"/>
    <w:p w:rsidR="009C657E" w:rsidRPr="00D06B39" w:rsidRDefault="009C657E" w:rsidP="00D06B39">
      <w:pPr>
        <w:autoSpaceDE w:val="0"/>
        <w:autoSpaceDN w:val="0"/>
        <w:adjustRightInd w:val="0"/>
        <w:jc w:val="center"/>
        <w:rPr>
          <w:rFonts w:cs="Arial"/>
          <w:b/>
          <w:color w:val="000000"/>
          <w:szCs w:val="20"/>
        </w:rPr>
      </w:pPr>
    </w:p>
    <w:p w:rsidR="009C657E" w:rsidRPr="00D06B39" w:rsidRDefault="00607FDC" w:rsidP="00D06B39">
      <w:pPr>
        <w:jc w:val="center"/>
        <w:rPr>
          <w:rFonts w:cs="Arial"/>
          <w:b/>
          <w:color w:val="000000"/>
          <w:szCs w:val="20"/>
        </w:rPr>
      </w:pPr>
      <w:r w:rsidRPr="00D06B39">
        <w:rPr>
          <w:rFonts w:cs="Arial"/>
          <w:b/>
          <w:color w:val="000000"/>
          <w:szCs w:val="20"/>
        </w:rPr>
        <w:t>Predlog</w:t>
      </w:r>
      <w:bookmarkStart w:id="1" w:name="_GoBack"/>
      <w:bookmarkEnd w:id="1"/>
      <w:r w:rsidRPr="00D06B39">
        <w:rPr>
          <w:rFonts w:cs="Arial"/>
          <w:b/>
          <w:color w:val="000000"/>
          <w:szCs w:val="20"/>
        </w:rPr>
        <w:t xml:space="preserve"> </w:t>
      </w:r>
      <w:r w:rsidR="00CD7B42" w:rsidRPr="00D06B39">
        <w:rPr>
          <w:rFonts w:cs="Arial"/>
          <w:b/>
          <w:color w:val="000000"/>
          <w:szCs w:val="20"/>
        </w:rPr>
        <w:t>amandmajev k Predlogu zakona o zaščitnih ukrepih zoper strateške tožbe za onemogočanje javnega udejstvovanja</w:t>
      </w:r>
    </w:p>
    <w:p w:rsidR="00D06B39" w:rsidRDefault="00D06B39" w:rsidP="00674FD5">
      <w:pPr>
        <w:jc w:val="both"/>
        <w:rPr>
          <w:rFonts w:cs="Arial"/>
          <w:color w:val="000000"/>
          <w:szCs w:val="20"/>
        </w:rPr>
      </w:pPr>
    </w:p>
    <w:p w:rsidR="00D06B39" w:rsidRDefault="00D06B39" w:rsidP="00674FD5">
      <w:pPr>
        <w:jc w:val="both"/>
        <w:rPr>
          <w:rFonts w:cs="Arial"/>
          <w:color w:val="000000"/>
          <w:szCs w:val="20"/>
        </w:rPr>
      </w:pPr>
    </w:p>
    <w:p w:rsidR="00607FDC" w:rsidRDefault="00607FDC" w:rsidP="00607FDC">
      <w:pPr>
        <w:jc w:val="both"/>
        <w:rPr>
          <w:rFonts w:cs="Arial"/>
          <w:szCs w:val="20"/>
          <w:lang w:eastAsia="sl-SI"/>
        </w:rPr>
      </w:pPr>
    </w:p>
    <w:p w:rsidR="00D06B39" w:rsidRDefault="00D06B39" w:rsidP="00D06B39">
      <w:pPr>
        <w:rPr>
          <w:rFonts w:eastAsia="Calibri" w:cs="Arial"/>
          <w:b/>
          <w:bCs/>
          <w:szCs w:val="20"/>
        </w:rPr>
      </w:pPr>
      <w:r>
        <w:rPr>
          <w:rFonts w:eastAsia="Calibri" w:cs="Arial"/>
          <w:b/>
          <w:bCs/>
          <w:szCs w:val="20"/>
        </w:rPr>
        <w:t>K 1. členu</w:t>
      </w:r>
    </w:p>
    <w:p w:rsidR="00D06B39" w:rsidRDefault="00D06B39" w:rsidP="00D06B39">
      <w:pPr>
        <w:rPr>
          <w:rFonts w:eastAsia="Calibri" w:cs="Arial"/>
          <w:szCs w:val="20"/>
        </w:rPr>
      </w:pPr>
    </w:p>
    <w:p w:rsidR="00D06B39" w:rsidRDefault="00D06B39" w:rsidP="00D06B39">
      <w:pPr>
        <w:jc w:val="both"/>
        <w:rPr>
          <w:rFonts w:eastAsia="Calibri" w:cs="Arial"/>
          <w:szCs w:val="20"/>
        </w:rPr>
      </w:pPr>
      <w:r>
        <w:rPr>
          <w:rFonts w:eastAsia="Calibri" w:cs="Arial"/>
          <w:szCs w:val="20"/>
        </w:rPr>
        <w:t>V prvem odstavku se besedilo »in njihovo varstvo pred« nadomesti z vejico in besedilom »</w:t>
      </w:r>
      <w:bookmarkStart w:id="2" w:name="_Hlk218504321"/>
      <w:r>
        <w:rPr>
          <w:rFonts w:eastAsia="Calibri" w:cs="Arial"/>
          <w:szCs w:val="20"/>
        </w:rPr>
        <w:t>tako da jim zagotavlja varstvo pred očitno neutemeljenimi zahtevki in</w:t>
      </w:r>
      <w:bookmarkEnd w:id="2"/>
      <w:r>
        <w:rPr>
          <w:rFonts w:eastAsia="Calibri" w:cs="Arial"/>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Drugi odstavek se spremeni tako, da se glasi:</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bookmarkStart w:id="3" w:name="_Hlk218504350"/>
      <w:r>
        <w:rPr>
          <w:rFonts w:eastAsia="Calibri" w:cs="Arial"/>
          <w:szCs w:val="20"/>
        </w:rPr>
        <w:t>»(2) Namen tega zakona je varstvo in krepitev svobode izražanja, svobode znanosti in umetnosti ter pravice do zbiranja in združevanja glede zadev v javnem interesu.«.</w:t>
      </w:r>
    </w:p>
    <w:bookmarkEnd w:id="3"/>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 xml:space="preserve">Obrazložitev: </w:t>
      </w:r>
    </w:p>
    <w:p w:rsidR="00D06B39" w:rsidRDefault="00D06B39" w:rsidP="00D06B39">
      <w:pPr>
        <w:jc w:val="both"/>
        <w:rPr>
          <w:rFonts w:eastAsia="Calibri" w:cs="Arial"/>
          <w:szCs w:val="20"/>
        </w:rPr>
      </w:pPr>
      <w:r>
        <w:rPr>
          <w:rFonts w:eastAsia="Calibri" w:cs="Arial"/>
          <w:szCs w:val="20"/>
        </w:rPr>
        <w:t>Z amandmajem predlagana sprememba prvega odstavka sledi pripombi Zakonodajno-pravne službe (v nadaljnjem besedilu ZPS), ki je opozorila, da je treba v skladu 1. odstavkom Direktive (EU) 2024/1069 Evropskega parlamenta in Sveta z dne 11. aprila 2024 o zaščiti oseb, ki se udejstvujejo pri udeležbi javnosti, pred očitno neutemeljenimi tožbenimi zahtevki ali zlorabljenimi sodnimi postopki („strateške tožbe za onemogočanje udeležbe javnosti“) (v nadaljnjem besedilu Direktiva (EU) 2024/1069) in zaradi  usklajenosti z drugim odstavkom tega člena določbo zapisati tako, da bo jasno določeno, da se s predlogom zakona zagotavlja tako varstvo pred očitno neutemeljenimi zahtevki kot tudi pred zlorabljenimi sodnimi postopki za onemogočanje javnega udejstvovanja.</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Spremenjeni drugi odstavek sledi pripombam in predlogom ZPS, ki je opozorila, da predlog zakona sicer ureja zaščitne ukrepe v sodnem postopku, do katerih je upravičena le oseba, zoper katero je SLAPP tožba vložena, vendar drugi odstavek (za razliko od prvega) določa namen predloga zakona, ki pa je širši. Predlagana sprememba drugega odstavka tako jasno določa, da je namen zakona varstvo in krepitev svobode izražanja, svobode znanosti in umetnosti ter pravice do zbiranja in združevanja glede zadev v javnem interesu. Takšna določitev namena je potrebna, ker SLAPP tožbe nimajo zastraševalnega učinka zgolj na tožene stranke, ampak (posredno) tudi na celo družbo, tako na druge osebe, ki sodelujejo v javnosti v zadevah v javnem interesu, kot tudi na osebe, ki imajo po ustavi pravico do obveščenosti v zadevah v javnem interesu. Poleg tega se s spremenjenim drugim odstavkom terminologija glede posameznih človekovih pravic in temeljnih svoboščin uskladi s terminologijo, ki jo uporablja Ustava Republike Slovenije.</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3. členu</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V prvem odstavku se besedilo »</w:t>
      </w:r>
      <w:r>
        <w:rPr>
          <w:rFonts w:cs="Arial"/>
          <w:szCs w:val="20"/>
          <w:shd w:val="clear" w:color="auto" w:fill="FFFFFF"/>
        </w:rPr>
        <w:t xml:space="preserve">z izjemo postopkov, za katere so pristojna specializirana sodišča, ali če gre za </w:t>
      </w:r>
      <w:r>
        <w:rPr>
          <w:rFonts w:eastAsia="Calibri" w:cs="Arial"/>
          <w:szCs w:val="20"/>
        </w:rPr>
        <w:t>postopke« nadomesti z besedilom »</w:t>
      </w:r>
      <w:bookmarkStart w:id="4" w:name="_Hlk218504768"/>
      <w:r>
        <w:rPr>
          <w:rFonts w:eastAsia="Calibri" w:cs="Arial"/>
          <w:szCs w:val="20"/>
        </w:rPr>
        <w:t>razen v postopkih</w:t>
      </w:r>
      <w:bookmarkEnd w:id="4"/>
      <w:r>
        <w:rPr>
          <w:rFonts w:eastAsia="Calibri" w:cs="Arial"/>
          <w:szCs w:val="20"/>
        </w:rPr>
        <w:t>«.</w:t>
      </w:r>
    </w:p>
    <w:p w:rsidR="00D06B39" w:rsidRDefault="00D06B39" w:rsidP="00D06B39">
      <w:pPr>
        <w:jc w:val="both"/>
        <w:rPr>
          <w:rFonts w:eastAsia="Calibri" w:cs="Arial"/>
          <w:szCs w:val="20"/>
        </w:rPr>
      </w:pPr>
    </w:p>
    <w:p w:rsidR="00D06B39" w:rsidRDefault="00D06B39" w:rsidP="00D06B39">
      <w:pPr>
        <w:jc w:val="both"/>
        <w:rPr>
          <w:rFonts w:cs="Arial"/>
          <w:szCs w:val="20"/>
          <w:shd w:val="clear" w:color="auto" w:fill="FFFFFF"/>
        </w:rPr>
      </w:pPr>
      <w:r>
        <w:rPr>
          <w:rFonts w:eastAsia="Calibri" w:cs="Arial"/>
          <w:szCs w:val="20"/>
        </w:rPr>
        <w:lastRenderedPageBreak/>
        <w:t>V drugem odstavku se besedilo »</w:t>
      </w:r>
      <w:r>
        <w:rPr>
          <w:rFonts w:cs="Arial"/>
          <w:szCs w:val="20"/>
          <w:shd w:val="clear" w:color="auto" w:fill="FFFFFF"/>
        </w:rPr>
        <w:t>prvega odstavka tega člena« nadomesti z besedilom »</w:t>
      </w:r>
      <w:bookmarkStart w:id="5" w:name="_Hlk218504803"/>
      <w:r>
        <w:rPr>
          <w:rFonts w:cs="Arial"/>
          <w:szCs w:val="20"/>
          <w:shd w:val="clear" w:color="auto" w:fill="FFFFFF"/>
        </w:rPr>
        <w:t>prejšnjega odstavka</w:t>
      </w:r>
      <w:bookmarkEnd w:id="5"/>
      <w:r>
        <w:rPr>
          <w:rFonts w:cs="Arial"/>
          <w:szCs w:val="20"/>
          <w:shd w:val="clear" w:color="auto" w:fill="FFFFFF"/>
        </w:rPr>
        <w:t>«, besedi »v celoti« pa se črtata.</w:t>
      </w:r>
    </w:p>
    <w:p w:rsidR="00D06B39" w:rsidRDefault="00D06B39" w:rsidP="00D06B39">
      <w:pPr>
        <w:jc w:val="both"/>
        <w:rPr>
          <w:rFonts w:cs="Arial"/>
          <w:szCs w:val="20"/>
          <w:shd w:val="clear" w:color="auto" w:fill="FFFFFF"/>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 xml:space="preserve">Z amandmajem predlagana sprememba prvega odstavka sledi mnenju ZPS, ki je opozorila, da bi bilo treba v skladu z Direktivo (EU) 2024/1069 zagotoviti zaščitne ukrepe po tem zakonu vsaj za delovne in socialne spore s čezmejnim elementom, saj 2. člen Direktive (EU) 2024/1069 določa, da se ta direktiva uporablja za zadeve civilne narave s čezmejnimi posledicami, ki so predmet obravnave v civilnih postopkih, </w:t>
      </w:r>
      <w:r>
        <w:rPr>
          <w:rFonts w:eastAsia="Calibri" w:cs="Arial"/>
          <w:i/>
          <w:iCs/>
          <w:szCs w:val="20"/>
        </w:rPr>
        <w:t>ne glede na vrsto sodišča</w:t>
      </w:r>
      <w:r>
        <w:rPr>
          <w:rFonts w:eastAsia="Calibri" w:cs="Arial"/>
          <w:szCs w:val="20"/>
        </w:rPr>
        <w:t>, v nadaljevanju pa, v katerih zadevah se ta direktiva ne uporablja (npr. upravne zadeve).</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Ker ni utemeljenega stvarnega razloga za razlikovanje med postopki s čezmejnim elementom in postopki brez čezmejnega elementa, se z amandmajem razširja področje uporabe zakona tudi na civilne postopke pred delovnimi in socialnimi sodišči, in sicer tako na postopke s čezmejnim elementom kot na postopke brez njega.</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 xml:space="preserve">Sprememba drugega odstavka je redakcijske narave, z njo se opravi </w:t>
      </w:r>
      <w:proofErr w:type="spellStart"/>
      <w:r>
        <w:rPr>
          <w:rFonts w:eastAsia="Calibri" w:cs="Arial"/>
          <w:szCs w:val="20"/>
        </w:rPr>
        <w:t>nomotehničnih</w:t>
      </w:r>
      <w:proofErr w:type="spellEnd"/>
      <w:r>
        <w:rPr>
          <w:rFonts w:eastAsia="Calibri" w:cs="Arial"/>
          <w:szCs w:val="20"/>
        </w:rPr>
        <w:t xml:space="preserve"> pravilno sklicevanje na prejšnji odstavek, besedilo »v celoti« pa črta, saj po nepotrebnem obremenjuje besedilo člena. Sprememba sledi pripombi ZPS.</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4. členu</w:t>
      </w:r>
    </w:p>
    <w:p w:rsidR="00D06B39" w:rsidRDefault="00D06B39" w:rsidP="00D06B39"/>
    <w:p w:rsidR="00D06B39" w:rsidRDefault="00D06B39" w:rsidP="00D06B39">
      <w:pPr>
        <w:jc w:val="both"/>
        <w:rPr>
          <w:rFonts w:eastAsia="Calibri" w:cs="Arial"/>
          <w:szCs w:val="20"/>
        </w:rPr>
      </w:pPr>
      <w:r>
        <w:rPr>
          <w:rFonts w:eastAsia="Calibri" w:cs="Arial"/>
          <w:szCs w:val="20"/>
        </w:rPr>
        <w:t>V drugem odstavku se besedilo »</w:t>
      </w:r>
      <w:r>
        <w:rPr>
          <w:rFonts w:cs="Arial"/>
          <w:szCs w:val="20"/>
          <w:shd w:val="clear" w:color="auto" w:fill="FFFFFF"/>
        </w:rPr>
        <w:t>pravice do svobode izražanja in obveščanja, svobode umetnosti in znanosti ali svobode zbiranja in združevanja o zadevi« nadomesti z besedilom »</w:t>
      </w:r>
      <w:bookmarkStart w:id="6" w:name="_Hlk218504876"/>
      <w:r>
        <w:rPr>
          <w:rFonts w:cs="Arial"/>
          <w:szCs w:val="20"/>
          <w:shd w:val="clear" w:color="auto" w:fill="FFFFFF"/>
        </w:rPr>
        <w:t>svobode izražanja, svobode znanosti in umetnosti ali pravice do zbiranja in združevanja glede zadev</w:t>
      </w:r>
      <w:bookmarkEnd w:id="6"/>
      <w:r>
        <w:rPr>
          <w:rFonts w:cs="Arial"/>
          <w:szCs w:val="20"/>
          <w:shd w:val="clear" w:color="auto" w:fill="FFFFFF"/>
        </w:rPr>
        <w:t>«.</w:t>
      </w:r>
    </w:p>
    <w:p w:rsidR="00D06B39" w:rsidRDefault="00D06B39" w:rsidP="00D06B39"/>
    <w:p w:rsidR="00D06B39" w:rsidRDefault="00D06B39" w:rsidP="00D06B39">
      <w:pPr>
        <w:jc w:val="both"/>
        <w:rPr>
          <w:rFonts w:cs="Arial"/>
          <w:szCs w:val="20"/>
          <w:shd w:val="clear" w:color="auto" w:fill="FFFFFF"/>
        </w:rPr>
      </w:pPr>
      <w:r>
        <w:rPr>
          <w:rFonts w:cs="Arial"/>
          <w:szCs w:val="20"/>
          <w:shd w:val="clear" w:color="auto" w:fill="FFFFFF"/>
        </w:rPr>
        <w:t>V tretjem odstavku se v napovednem stavku besedilo »kot na primer« nadomesti z besedo »zlasti«, v prvi alineji se besedilo »temeljne pravice« nadomesti z besedilom »človekove pravice in temeljne svoboščine«, v tretji alineji se besedilo »obravnava zakonodajni, izvršilni ali sodni organ« nadomesti z besedilom »</w:t>
      </w:r>
      <w:bookmarkStart w:id="7" w:name="_Hlk218504976"/>
      <w:r>
        <w:rPr>
          <w:rFonts w:cs="Arial"/>
          <w:szCs w:val="20"/>
          <w:shd w:val="clear" w:color="auto" w:fill="FFFFFF"/>
        </w:rPr>
        <w:t>obravnavajo organi zakonodajne, izvršilne ali sodne oblasti</w:t>
      </w:r>
      <w:bookmarkEnd w:id="7"/>
      <w:r>
        <w:rPr>
          <w:rFonts w:cs="Arial"/>
          <w:szCs w:val="20"/>
          <w:shd w:val="clear" w:color="auto" w:fill="FFFFFF"/>
        </w:rPr>
        <w:t>«, v četrti alineji se za besedo »prekrških« doda besedilo »</w:t>
      </w:r>
      <w:bookmarkStart w:id="8" w:name="_Hlk218504997"/>
      <w:r>
        <w:rPr>
          <w:rFonts w:cs="Arial"/>
          <w:szCs w:val="20"/>
          <w:shd w:val="clear" w:color="auto" w:fill="FFFFFF"/>
        </w:rPr>
        <w:t>ali drugih prestopkih</w:t>
      </w:r>
      <w:bookmarkEnd w:id="8"/>
      <w:r>
        <w:rPr>
          <w:rFonts w:cs="Arial"/>
          <w:szCs w:val="20"/>
          <w:shd w:val="clear" w:color="auto" w:fill="FFFFFF"/>
        </w:rPr>
        <w:t>«, v peti alineji pa se besedilo »člena 2« nadomesti z besedilom »2. člena«.</w:t>
      </w:r>
    </w:p>
    <w:p w:rsidR="00D06B39" w:rsidRDefault="00D06B39" w:rsidP="00D06B39"/>
    <w:p w:rsidR="00D06B39" w:rsidRDefault="00D06B39" w:rsidP="00D06B39">
      <w:pPr>
        <w:jc w:val="both"/>
        <w:rPr>
          <w:rFonts w:cs="Arial"/>
          <w:szCs w:val="20"/>
          <w:shd w:val="clear" w:color="auto" w:fill="FFFFFF"/>
        </w:rPr>
      </w:pPr>
      <w:r>
        <w:rPr>
          <w:rFonts w:cs="Arial"/>
          <w:szCs w:val="20"/>
          <w:shd w:val="clear" w:color="auto" w:fill="FFFFFF"/>
        </w:rPr>
        <w:t>V četrtem odstavku se v prvem stavku za besedo »pravice« doda besedilo »</w:t>
      </w:r>
      <w:bookmarkStart w:id="9" w:name="_Hlk218505054"/>
      <w:r>
        <w:rPr>
          <w:rFonts w:cs="Arial"/>
          <w:szCs w:val="20"/>
          <w:shd w:val="clear" w:color="auto" w:fill="FFFFFF"/>
        </w:rPr>
        <w:t>do sodnega varstva</w:t>
      </w:r>
      <w:bookmarkEnd w:id="9"/>
      <w:r>
        <w:rPr>
          <w:rFonts w:cs="Arial"/>
          <w:szCs w:val="20"/>
          <w:shd w:val="clear" w:color="auto" w:fill="FFFFFF"/>
        </w:rPr>
        <w:t>«, besedilo »pri čemer se pogosto izkorišča neravnovesje moči med strankami,« pa se črta. V drugem stavku se besedilo »na primer« nadomesti z besedo »zlasti«, doda se nova prva alineja, ki se glasi:</w:t>
      </w:r>
    </w:p>
    <w:p w:rsidR="00D06B39" w:rsidRDefault="00D06B39" w:rsidP="00D06B39">
      <w:pPr>
        <w:jc w:val="both"/>
        <w:rPr>
          <w:rFonts w:cs="Arial"/>
          <w:szCs w:val="20"/>
          <w:shd w:val="clear" w:color="auto" w:fill="FFFFFF"/>
        </w:rPr>
      </w:pPr>
      <w:bookmarkStart w:id="10" w:name="_Hlk218505176"/>
      <w:r>
        <w:rPr>
          <w:rFonts w:cs="Arial"/>
          <w:szCs w:val="20"/>
          <w:shd w:val="clear" w:color="auto" w:fill="FFFFFF"/>
        </w:rPr>
        <w:t>»– obstoj neravnovesja moči med strankama</w:t>
      </w:r>
      <w:bookmarkEnd w:id="10"/>
      <w:r>
        <w:rPr>
          <w:rFonts w:cs="Arial"/>
          <w:szCs w:val="20"/>
          <w:shd w:val="clear" w:color="auto" w:fill="FFFFFF"/>
        </w:rPr>
        <w:t xml:space="preserve">,«, </w:t>
      </w:r>
    </w:p>
    <w:p w:rsidR="00D06B39" w:rsidRDefault="00D06B39" w:rsidP="00D06B39">
      <w:pPr>
        <w:jc w:val="both"/>
        <w:rPr>
          <w:rFonts w:cs="Arial"/>
          <w:szCs w:val="20"/>
          <w:shd w:val="clear" w:color="auto" w:fill="FFFFFF"/>
        </w:rPr>
      </w:pPr>
      <w:r>
        <w:rPr>
          <w:rFonts w:cs="Arial"/>
          <w:szCs w:val="20"/>
          <w:shd w:val="clear" w:color="auto" w:fill="FFFFFF"/>
        </w:rPr>
        <w:t>dosedanje prva, druga, tretja in četrta alineja pa postanejo druga, tretja, četrta in peta alineja.</w:t>
      </w:r>
    </w:p>
    <w:p w:rsidR="00D06B39" w:rsidRDefault="00D06B39" w:rsidP="00D06B39">
      <w:pPr>
        <w:jc w:val="both"/>
      </w:pPr>
      <w:r>
        <w:rPr>
          <w:rFonts w:cs="Arial"/>
          <w:szCs w:val="20"/>
          <w:shd w:val="clear" w:color="auto" w:fill="FFFFFF"/>
        </w:rPr>
        <w:t xml:space="preserve"> </w:t>
      </w:r>
    </w:p>
    <w:p w:rsidR="00D06B39" w:rsidRDefault="00D06B39" w:rsidP="00D06B39">
      <w:pPr>
        <w:jc w:val="both"/>
        <w:rPr>
          <w:rFonts w:eastAsia="Calibri" w:cs="Arial"/>
          <w:szCs w:val="20"/>
        </w:rPr>
      </w:pPr>
      <w:r>
        <w:rPr>
          <w:rFonts w:eastAsia="Calibri" w:cs="Arial"/>
          <w:szCs w:val="20"/>
        </w:rPr>
        <w:t>V petem odstavku se besedilo »o zaščiti žvižgačev in« nadomesti z vejico in besedilom »</w:t>
      </w:r>
      <w:bookmarkStart w:id="11" w:name="_Hlk218505409"/>
      <w:r>
        <w:rPr>
          <w:rFonts w:eastAsia="Calibri" w:cs="Arial"/>
          <w:szCs w:val="20"/>
        </w:rPr>
        <w:t>ki ureja zaščito prijaviteljev,</w:t>
      </w:r>
      <w:bookmarkEnd w:id="11"/>
      <w:r>
        <w:rPr>
          <w:rFonts w:eastAsia="Calibri" w:cs="Arial"/>
          <w:szCs w:val="20"/>
        </w:rPr>
        <w:t>«, beseda »civilne« pa se črta.</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 xml:space="preserve">Z amandmajem predlagana sprememba drugega odstavka je redakcijske narave, in sicer se terminologija glede posameznih človekovih pravic in temeljnih svoboščin usklajuje s terminologijo, ki jo določa Ustava Republike Slovenije. Ta in naslednji popravki sledijo mnenju ZPS, da se mora direktiva prenesti v nacionalni predpis v skladu s pravili nacionalne </w:t>
      </w:r>
      <w:proofErr w:type="spellStart"/>
      <w:r>
        <w:rPr>
          <w:rFonts w:eastAsia="Calibri" w:cs="Arial"/>
          <w:szCs w:val="20"/>
        </w:rPr>
        <w:t>nomotehnike</w:t>
      </w:r>
      <w:proofErr w:type="spellEnd"/>
      <w:r>
        <w:rPr>
          <w:rFonts w:eastAsia="Calibri" w:cs="Arial"/>
          <w:szCs w:val="20"/>
        </w:rPr>
        <w:t>. Tako so tudi spremembe tretjega in četrtega odstavka redakcijske narave in sledijo mnenju ZPS.</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lastRenderedPageBreak/>
        <w:t xml:space="preserve">Prav tako sprememba petega odstavka sledi mnenju ZPS in je redakcijske narave. Popravlja se sklic na zakon, ki ureja zaščito prijaviteljev, črta se beseda »civilne« v besedni zvezi »civilne nevladne organizacije«. </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5. členu</w:t>
      </w:r>
    </w:p>
    <w:p w:rsidR="00D06B39" w:rsidRDefault="00D06B39" w:rsidP="00D06B39">
      <w:pPr>
        <w:jc w:val="both"/>
        <w:rPr>
          <w:rFonts w:eastAsia="Calibri" w:cs="Arial"/>
          <w:szCs w:val="20"/>
        </w:rPr>
      </w:pPr>
    </w:p>
    <w:p w:rsidR="00D06B39" w:rsidRDefault="00D06B39" w:rsidP="00D06B39">
      <w:pPr>
        <w:jc w:val="both"/>
        <w:rPr>
          <w:rFonts w:cs="Arial"/>
          <w:szCs w:val="20"/>
        </w:rPr>
      </w:pPr>
      <w:r>
        <w:rPr>
          <w:rFonts w:cs="Arial"/>
          <w:szCs w:val="20"/>
        </w:rPr>
        <w:t>V prvem odstavku se v tretji alineji črta pika in doda besedilo »</w:t>
      </w:r>
      <w:bookmarkStart w:id="12" w:name="_Hlk218505463"/>
      <w:r>
        <w:rPr>
          <w:rFonts w:cs="Arial"/>
          <w:szCs w:val="20"/>
        </w:rPr>
        <w:t>očitno neutemeljenega zahtevka,</w:t>
      </w:r>
      <w:bookmarkEnd w:id="12"/>
      <w:r>
        <w:rPr>
          <w:rFonts w:cs="Arial"/>
          <w:szCs w:val="20"/>
        </w:rPr>
        <w:t>«, v peti alineji pa se za besedo »in« doda besedilo »</w:t>
      </w:r>
      <w:bookmarkStart w:id="13" w:name="_Hlk218505482"/>
      <w:r>
        <w:rPr>
          <w:rFonts w:cs="Arial"/>
          <w:szCs w:val="20"/>
        </w:rPr>
        <w:t>objava sodbe ter</w:t>
      </w:r>
      <w:bookmarkEnd w:id="13"/>
      <w:r>
        <w:rPr>
          <w:rFonts w:cs="Arial"/>
          <w:szCs w:val="20"/>
        </w:rPr>
        <w:t>«.</w:t>
      </w:r>
    </w:p>
    <w:p w:rsidR="00D06B39" w:rsidRDefault="00D06B39" w:rsidP="00D06B39">
      <w:pPr>
        <w:jc w:val="both"/>
        <w:rPr>
          <w:rFonts w:cs="Arial"/>
          <w:szCs w:val="20"/>
        </w:rPr>
      </w:pPr>
    </w:p>
    <w:p w:rsidR="00D06B39" w:rsidRDefault="00D06B39" w:rsidP="00D06B39">
      <w:pPr>
        <w:jc w:val="both"/>
        <w:rPr>
          <w:rFonts w:cs="Arial"/>
          <w:szCs w:val="20"/>
        </w:rPr>
      </w:pPr>
      <w:r>
        <w:rPr>
          <w:rFonts w:cs="Arial"/>
          <w:szCs w:val="20"/>
        </w:rPr>
        <w:t>V drugem odstavku se v prvem stavku črta besedilo »oziroma jih izvede«, besedi »tožene stranke« pa se nadomestita z besedo »upravičenca«. Za drugim stavkom se doda nov tretji stavek, ki se glasi: »</w:t>
      </w:r>
      <w:bookmarkStart w:id="14" w:name="_Hlk218505530"/>
      <w:r>
        <w:rPr>
          <w:rFonts w:cs="Arial"/>
          <w:szCs w:val="20"/>
        </w:rPr>
        <w:t>Zaščitni ukrep podpore in pomoči upravičencu se izvede v skladu s 7. členom tega zakona.</w:t>
      </w:r>
      <w:bookmarkEnd w:id="14"/>
      <w:r>
        <w:rPr>
          <w:rFonts w:cs="Arial"/>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Z amandmajem predlagani spremembi prvega odstavka sledita mnenju ZPS. Zaradi jasnosti ureditve se v tretji alineji ime ukrepa dopolni, tako da bo že iz imena jasno razvidno, da gre za hitro obravnavo in zgodnjo zavrnitev očitno neutemeljenega zahtevka. Sprememba pete alineje je posledica z amandmajem k 10. členu predlagane spremembe naslova 10. člena predloga zakona, ki poleg povrnitve škode ureja tudi objavo sodbe.</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Z amandmajem se v drugem odstavku glede na opozorilo ZPS določa jasnejši in razumljivejši zapis zakonskega besedila, tako da se nedvoumno določa, da sodišče odloča o vseh zaščitnih ukrepih, razen o zaščitnem ukrepu podpore in pomoči. Poleg tega se zaradi poenotenja terminologije in notranje skladnosti v zakonskem besedilu izraz »tožena stranka« nadomesti z izrazom »upravičenec«. Do zaščitnih ukrepov je namreč upravičen upravičenec in ne vsaka tožena stranka.</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p>
    <w:p w:rsidR="00D06B39" w:rsidRDefault="00D06B39" w:rsidP="00D06B39">
      <w:pPr>
        <w:jc w:val="both"/>
        <w:rPr>
          <w:rFonts w:eastAsia="Calibri" w:cs="Arial"/>
          <w:b/>
          <w:bCs/>
          <w:szCs w:val="20"/>
        </w:rPr>
      </w:pPr>
      <w:r>
        <w:rPr>
          <w:rFonts w:eastAsia="Calibri" w:cs="Arial"/>
          <w:b/>
          <w:bCs/>
          <w:szCs w:val="20"/>
        </w:rPr>
        <w:t>K 6. členu</w:t>
      </w:r>
    </w:p>
    <w:p w:rsidR="00D06B39" w:rsidRDefault="00D06B39" w:rsidP="00D06B39">
      <w:pPr>
        <w:jc w:val="both"/>
        <w:rPr>
          <w:rFonts w:eastAsia="Calibri" w:cs="Arial"/>
          <w:szCs w:val="20"/>
          <w:u w:val="single"/>
        </w:rPr>
      </w:pPr>
    </w:p>
    <w:p w:rsidR="00D06B39" w:rsidRDefault="00D06B39" w:rsidP="00D06B39">
      <w:pPr>
        <w:jc w:val="both"/>
        <w:rPr>
          <w:rFonts w:eastAsia="Calibri" w:cs="Arial"/>
          <w:szCs w:val="20"/>
        </w:rPr>
      </w:pPr>
      <w:r>
        <w:rPr>
          <w:rFonts w:eastAsia="Calibri" w:cs="Arial"/>
          <w:szCs w:val="20"/>
        </w:rPr>
        <w:t>V drugem odstavku se doda nov drugi stavek, ki se glasi: »</w:t>
      </w:r>
      <w:bookmarkStart w:id="15" w:name="_Hlk218505555"/>
      <w:r>
        <w:rPr>
          <w:rFonts w:eastAsia="Calibri" w:cs="Arial"/>
          <w:szCs w:val="20"/>
        </w:rPr>
        <w:t>Če upravičenec v postopku uveljavlja povrnitev škode v skladu s tem zakonom, sodišče pri določitvi višine varščine upošteva tudi višino zahtevane odškodnine, če je ta verjetno izkazana.</w:t>
      </w:r>
      <w:bookmarkEnd w:id="15"/>
      <w:r>
        <w:rPr>
          <w:rFonts w:eastAsia="Calibri" w:cs="Arial"/>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Za drugim odstavkom se doda nov tretji odstavek, ki se glasi:</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bookmarkStart w:id="16" w:name="_Hlk218505589"/>
      <w:r>
        <w:rPr>
          <w:rFonts w:eastAsia="Calibri" w:cs="Arial"/>
          <w:szCs w:val="20"/>
        </w:rPr>
        <w:t>»(3) Ne glede na prejšnji odstavek lahko sodišče določi varščino tudi v nižjem znesku, pri čemer upošteva premoženjski položaj tožeče stranke in pomen sodnega varstva za njen materialni ali družbeni položaj.«.</w:t>
      </w:r>
    </w:p>
    <w:bookmarkEnd w:id="16"/>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Dosedanji tretji odstavek postane četrti odstavek.</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Dosedanji četrti odstavek se črta.</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V šestem odstavku se besedilo »o naložitvi plačila varščine odloča« nadomesti z besedilom »</w:t>
      </w:r>
      <w:bookmarkStart w:id="17" w:name="_Hlk218505642"/>
      <w:r>
        <w:rPr>
          <w:rFonts w:eastAsia="Calibri" w:cs="Arial"/>
          <w:szCs w:val="20"/>
        </w:rPr>
        <w:t>o predlogu za naložitev plačila varščine odloči</w:t>
      </w:r>
      <w:bookmarkEnd w:id="17"/>
      <w:r>
        <w:rPr>
          <w:rFonts w:eastAsia="Calibri" w:cs="Arial"/>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Sedmi odstavek se spremeni tako, da se glasi:</w:t>
      </w:r>
    </w:p>
    <w:p w:rsidR="00D06B39" w:rsidRDefault="00D06B39" w:rsidP="00D06B39">
      <w:pPr>
        <w:jc w:val="both"/>
        <w:rPr>
          <w:rFonts w:eastAsia="Calibri" w:cs="Arial"/>
          <w:szCs w:val="20"/>
        </w:rPr>
      </w:pPr>
    </w:p>
    <w:p w:rsidR="00D06B39" w:rsidRDefault="00D06B39" w:rsidP="00D06B39">
      <w:pPr>
        <w:jc w:val="both"/>
        <w:rPr>
          <w:rFonts w:cs="Arial"/>
          <w:szCs w:val="20"/>
        </w:rPr>
      </w:pPr>
      <w:bookmarkStart w:id="18" w:name="_Hlk218505668"/>
      <w:r>
        <w:rPr>
          <w:rFonts w:eastAsia="Calibri" w:cs="Arial"/>
          <w:szCs w:val="20"/>
        </w:rPr>
        <w:t>»</w:t>
      </w:r>
      <w:r>
        <w:rPr>
          <w:rFonts w:cs="Arial"/>
          <w:szCs w:val="20"/>
        </w:rPr>
        <w:t>(7) Zoper sklep iz prejšnjega odstavka ni posebne pritožbe.«.</w:t>
      </w:r>
    </w:p>
    <w:bookmarkEnd w:id="18"/>
    <w:p w:rsidR="00D06B39" w:rsidRDefault="00D06B39" w:rsidP="00D06B39">
      <w:pPr>
        <w:jc w:val="both"/>
        <w:rPr>
          <w:rFonts w:cs="Arial"/>
          <w:szCs w:val="20"/>
        </w:rPr>
      </w:pPr>
    </w:p>
    <w:p w:rsidR="00D06B39" w:rsidRDefault="00D06B39" w:rsidP="00D06B39">
      <w:pPr>
        <w:jc w:val="both"/>
        <w:rPr>
          <w:rFonts w:cs="Arial"/>
          <w:szCs w:val="20"/>
        </w:rPr>
      </w:pPr>
      <w:r>
        <w:rPr>
          <w:rFonts w:cs="Arial"/>
          <w:szCs w:val="20"/>
        </w:rPr>
        <w:lastRenderedPageBreak/>
        <w:t>Za sedmim odstavkom se doda nov osmi odstavek, ki se glasi:</w:t>
      </w:r>
    </w:p>
    <w:p w:rsidR="00D06B39" w:rsidRDefault="00D06B39" w:rsidP="00D06B39">
      <w:pPr>
        <w:jc w:val="both"/>
        <w:rPr>
          <w:rFonts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rPr>
      </w:pPr>
      <w:bookmarkStart w:id="19" w:name="_Hlk218505691"/>
      <w:r>
        <w:rPr>
          <w:rFonts w:ascii="Arial" w:hAnsi="Arial" w:cs="Arial"/>
          <w:sz w:val="20"/>
          <w:szCs w:val="20"/>
        </w:rPr>
        <w:t>»(8) Tožeča stranka lahko zoper sklep o ustavitvi postopka, izdan na podlagi petega odstavka tega člena, uveljavlja tudi, da niso bili podani pogoji za določitev varščine ali da višina varščine ni bila ustrezno določena.</w:t>
      </w:r>
      <w:bookmarkEnd w:id="19"/>
      <w:r>
        <w:rPr>
          <w:rFonts w:ascii="Arial" w:hAnsi="Arial" w:cs="Arial"/>
          <w:sz w:val="20"/>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Z amandmajem predlagana dopolnitev drugega odstavka sledi mnenju ZPS, ki je opozorila ne določbo 9. člena Direktive (EU) 2024/1069 in uvodno izjavo 36, kjer je določeno oziroma navedeno, da varščina lahko vključuje stroške pravnega zastopanja, ki jih utrpi tožena stranka, in, če je tako določeno v nacionalnem pravu, tudi ocenjeno odškodnino (zlasti tedaj, ko obstaja tveganje za nepopravljivo škodo), pri čemer je treba poiskati ravnovesje med tem ukrepom in pravico tožeče stranke do dostopa do sodišča. Zaradi celovitega prenosa Direktive (EU) 2024/1069 se dopolnjuje drugi odstavek, tako da bo lahko sodišče pri določitvi višine varščine upoštevalo tudi višino zahtevane odškodnine, če bo ta verjetno izkazana. Določitev višine varščine v višini odškodnine, ki jo bo tožena stranka že v tem postopku uveljavljala v okviru nasprotne tožbe, bo po mnenju vlagateljev amandmaja v praksi redka, saj se bo praviloma obseg škode ustalil in bil znan šele po koncu postopka, prav tako pa bo šele ob koncu postopka z gotovostjo ugotovljeno, ali gre za zlorabljeni sodni postopek.</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Z novim tretjim odstavkom se vsebina četrtega odstavka istega člena predloga zakona, ki ureja plačilo nižjega zneska varščine, prenaša v tretji odstavek, posledično se četrti odstavek črta.</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Predlaga se sprememba šestega odstavka zaradi jasnejšega in razumljivejšega zapisa določbe, saj sodišče odloča o predlogu za naložitev plačila varščine, ne o samem plačilu.</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Zaradi zagotovitve pravice do pritožbe se v sedmem odstavku določi, da zoper sklep, s katerim se odloči o varščini, ni dopustna posebna pritožba, kar pomeni, da bo stranka lahko to odločitev izpodbijala s pritožbo zoper končno odločitev. Izključitev pravice do pritožbe bi pomenila ustavno nedopusten poseg, na kar sta opozorila tako ZPS kot Sodni svet.</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rPr>
      </w:pPr>
      <w:r>
        <w:rPr>
          <w:rFonts w:ascii="Arial" w:eastAsia="Calibri" w:hAnsi="Arial" w:cs="Arial"/>
          <w:sz w:val="20"/>
          <w:szCs w:val="20"/>
        </w:rPr>
        <w:t>Vsebina drugega stavka predlaganega sedmega odstavka 6. člena se zaradi večje preglednosti in jasnosti ter razumljivosti besedila prenaša v nov osmi odstavek, pri čemer se pri oblikovanju besedila upošteva pripomba ZPS in se iz besedila določbe črta »poleg ostalih pritožbenih razlogov«.</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 xml:space="preserve">K 7. členu </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Besedilo člena se spremeni tako, da se glasi:</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bookmarkStart w:id="20" w:name="_Hlk218505725"/>
      <w:r>
        <w:rPr>
          <w:rFonts w:eastAsia="Calibri" w:cs="Arial"/>
          <w:szCs w:val="20"/>
        </w:rPr>
        <w:t>»Predstavnik nevladne organizacije, sindikata, zbornice ali druga oseba, ki deluje na področju varstva pravic oseb, ki se javno udejstvujejo, lahko s soglasjem upravičenca v sodnem postopku spremlja upravičenca in mu nudi podporo. Sodišče izključi to osebo z glavne obravnave, če to zahtevajo koristi uradne, poslovne ali osebne skrivnosti, koristi javnega reda ali razlogi morale ali bi to ogrozilo osebno ali družinsko življenje tožeče stranke.«.</w:t>
      </w:r>
    </w:p>
    <w:bookmarkEnd w:id="20"/>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 xml:space="preserve">Glede na opozorila ZPS, podana k 7. členu predloga zakona, se besedilo člena, ki ureja podporo in pomoč upravičencu, preoblikuje tako, da lahko predstavnik nevladne organizacije, sindikata, zbornice ali druga oseba, ki deluje na področju varstva pravic oseb, ki se javno udejstvujejo, s soglasjem upravičenca v sodnem postopku le tega spremlja in mu nudi podporo. Sodišče o tem ne odloča, razen v primeru, če so podani razlogi za izključitev te osebe z glavne obravnave, in </w:t>
      </w:r>
      <w:r>
        <w:rPr>
          <w:rFonts w:eastAsia="Calibri" w:cs="Arial"/>
          <w:szCs w:val="20"/>
        </w:rPr>
        <w:lastRenderedPageBreak/>
        <w:t>sicer če to zahtevajo koristi uradne, poslovne ali osebne skrivnosti, koristi javnega reda ali razlogi morale ali bi to ogrozilo osebno ali družinsko življenje tožeče stranke.</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8.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Naslov člena se spremeni tako, da se glasi: </w:t>
      </w:r>
      <w:bookmarkStart w:id="21" w:name="_Hlk218505796"/>
      <w:r>
        <w:rPr>
          <w:rFonts w:ascii="Arial" w:hAnsi="Arial" w:cs="Arial"/>
          <w:sz w:val="20"/>
          <w:szCs w:val="20"/>
          <w:shd w:val="clear" w:color="auto" w:fill="FFFFFF"/>
        </w:rPr>
        <w:t xml:space="preserve">»(hitra obravnava in zgodnja zavrnitev </w:t>
      </w:r>
      <w:bookmarkStart w:id="22" w:name="_Hlk218505767"/>
      <w:r>
        <w:rPr>
          <w:rFonts w:ascii="Arial" w:hAnsi="Arial" w:cs="Arial"/>
          <w:sz w:val="20"/>
          <w:szCs w:val="20"/>
        </w:rPr>
        <w:t>očitno neutemeljenega zahtevka</w:t>
      </w:r>
      <w:bookmarkEnd w:id="22"/>
      <w:r>
        <w:rPr>
          <w:rFonts w:ascii="Arial" w:hAnsi="Arial" w:cs="Arial"/>
          <w:sz w:val="20"/>
          <w:szCs w:val="20"/>
          <w:shd w:val="clear" w:color="auto" w:fill="FFFFFF"/>
        </w:rPr>
        <w:t>)</w:t>
      </w:r>
      <w:bookmarkEnd w:id="21"/>
      <w:r>
        <w:rPr>
          <w:rFonts w:ascii="Arial" w:hAnsi="Arial" w:cs="Arial"/>
          <w:sz w:val="20"/>
          <w:szCs w:val="20"/>
          <w:shd w:val="clear" w:color="auto" w:fill="FFFFFF"/>
        </w:rPr>
        <w:t>«.</w:t>
      </w:r>
    </w:p>
    <w:p w:rsidR="00D06B39" w:rsidRDefault="00D06B39" w:rsidP="00D06B39">
      <w:pPr>
        <w:jc w:val="both"/>
        <w:rPr>
          <w:rFonts w:eastAsia="Calibri" w:cs="Arial"/>
          <w:szCs w:val="20"/>
        </w:rPr>
      </w:pPr>
    </w:p>
    <w:p w:rsidR="00D06B39" w:rsidRDefault="00D06B39" w:rsidP="00D06B39">
      <w:pPr>
        <w:jc w:val="both"/>
        <w:rPr>
          <w:rFonts w:cs="Arial"/>
          <w:szCs w:val="20"/>
          <w:shd w:val="clear" w:color="auto" w:fill="FFFFFF"/>
        </w:rPr>
      </w:pPr>
      <w:r>
        <w:rPr>
          <w:rFonts w:cs="Arial"/>
          <w:szCs w:val="20"/>
          <w:shd w:val="clear" w:color="auto" w:fill="FFFFFF"/>
        </w:rPr>
        <w:t>V prvem odstavku se besedilo »gre za zlorabljeni sodni postopek za onemogočanje javnega udejstvovanja zoper upravičenca« nadomesti z besedilom »</w:t>
      </w:r>
      <w:bookmarkStart w:id="23" w:name="_Hlk218505849"/>
      <w:r>
        <w:rPr>
          <w:rFonts w:cs="Arial"/>
          <w:szCs w:val="20"/>
          <w:shd w:val="clear" w:color="auto" w:fill="FFFFFF"/>
        </w:rPr>
        <w:t>je zahtevek zoper upravičenca očitno neutemeljen</w:t>
      </w:r>
      <w:bookmarkEnd w:id="23"/>
      <w:r>
        <w:rPr>
          <w:rFonts w:cs="Arial"/>
          <w:szCs w:val="20"/>
          <w:shd w:val="clear" w:color="auto" w:fill="FFFFFF"/>
        </w:rPr>
        <w:t>«.</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Drugi odstavek se črta.</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Dosedanji tretji odstavek postane drugi odstavek.</w:t>
      </w:r>
    </w:p>
    <w:p w:rsidR="00D06B39" w:rsidRDefault="00D06B39" w:rsidP="00D06B39">
      <w:pPr>
        <w:jc w:val="both"/>
        <w:rPr>
          <w:rFonts w:cs="Arial"/>
          <w:szCs w:val="20"/>
          <w:shd w:val="clear" w:color="auto" w:fill="FFFFFF"/>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Z amandmajem predlagana sprememba naslova je posledica amandmaja k 5. členu, s katerim se v  tretji alineji prvega odstavka v skladu z mnenjem ZPS z</w:t>
      </w:r>
      <w:r>
        <w:rPr>
          <w:rFonts w:eastAsia="Calibri" w:cs="Arial"/>
          <w:szCs w:val="20"/>
        </w:rPr>
        <w:t>aradi jasnosti ureditve ime ukrepa dopolni, tako da bo že iz imena jasno razvidno, da gre za hitro obravnavo in zgodnjo zavrnitev očitno neutemeljenega zahtevka.</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V prvem odstavku se zaščitni ukrep hitre obravnave in zgodnje zavrnitve določa za primere, ko je zahtevek očitno neutemeljen, kar je v skladu z 11. členom Direktiva (EU) 2024/1069, ki določa, da države članice zagotovijo, da lahko sodišča, po ustreznem preizkusu, kot očitno neutemeljene zavrnejo tožbene zahtevke za onemogočanje udeležbe javnosti v najzgodnejši možni fazi postopka v skladu z nacionalnim pravom.</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 xml:space="preserve">Predlagano črtanje drugega odstavka sledi mnenju ZPS, ki je glede določbe, ki ureja institut pisnega materialnega procesnega vodstva pred pripravljalnim narokom, opozorila na razmislek o potrebnosti takšne določbe, saj je ta institut izčrpno in celovito urejen v 285. do 286.a členu Zakona o pravdnem postopku (ZPP). Glede na to, da je bil namen predlagatelja, da se materialno procesno vodstvo uredi vsebinsko na enak način, kot to ureja ZPP, zasledovalo se je le hitrejše postopanje sodišča, se z amandmajem predlaga črtanje drugega odstavka. Kljub črtanju te določbe bo  </w:t>
      </w:r>
      <w:proofErr w:type="spellStart"/>
      <w:r>
        <w:rPr>
          <w:rFonts w:cs="Arial"/>
          <w:szCs w:val="20"/>
          <w:shd w:val="clear" w:color="auto" w:fill="FFFFFF"/>
        </w:rPr>
        <w:t>bo</w:t>
      </w:r>
      <w:proofErr w:type="spellEnd"/>
      <w:r>
        <w:rPr>
          <w:rFonts w:cs="Arial"/>
          <w:szCs w:val="20"/>
          <w:shd w:val="clear" w:color="auto" w:fill="FFFFFF"/>
        </w:rPr>
        <w:t xml:space="preserve"> sodišče v skladu z ureditvijo v ZPP lahko opravilo tudi pisno materialno-procesno vodstvo in na ta način poskrbelo za hitrejše razjasnitve zadeve, kar je v skladu z namenom hitrega postopanja v teh zahtevah in posledično hitre zavrnitve očitno neutemeljenih zahtevkov.</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p>
    <w:p w:rsidR="00D06B39" w:rsidRDefault="00D06B39" w:rsidP="00D06B39">
      <w:pPr>
        <w:jc w:val="both"/>
        <w:rPr>
          <w:rFonts w:cs="Arial"/>
          <w:b/>
          <w:bCs/>
          <w:szCs w:val="20"/>
          <w:shd w:val="clear" w:color="auto" w:fill="FFFFFF"/>
        </w:rPr>
      </w:pPr>
      <w:r>
        <w:rPr>
          <w:rFonts w:cs="Arial"/>
          <w:b/>
          <w:bCs/>
          <w:szCs w:val="20"/>
          <w:shd w:val="clear" w:color="auto" w:fill="FFFFFF"/>
        </w:rPr>
        <w:t>K 9. členu</w:t>
      </w:r>
    </w:p>
    <w:p w:rsidR="00D06B39" w:rsidRDefault="00D06B39" w:rsidP="00D06B39">
      <w:pPr>
        <w:jc w:val="both"/>
        <w:rPr>
          <w:rFonts w:cs="Arial"/>
          <w:szCs w:val="20"/>
          <w:shd w:val="clear" w:color="auto" w:fill="FFFFFF"/>
        </w:rPr>
      </w:pPr>
    </w:p>
    <w:p w:rsidR="00D06B39" w:rsidRDefault="00D06B39" w:rsidP="00D06B39">
      <w:pPr>
        <w:jc w:val="both"/>
        <w:rPr>
          <w:rFonts w:cs="Arial"/>
          <w:szCs w:val="20"/>
          <w:shd w:val="clear" w:color="auto" w:fill="FFFFFF"/>
        </w:rPr>
      </w:pPr>
      <w:r>
        <w:rPr>
          <w:rFonts w:cs="Arial"/>
          <w:szCs w:val="20"/>
          <w:shd w:val="clear" w:color="auto" w:fill="FFFFFF"/>
        </w:rPr>
        <w:t>V prvem odstavku se za besedilom »je tožbo umaknila« doda besedilo »</w:t>
      </w:r>
      <w:bookmarkStart w:id="24" w:name="_Hlk218505893"/>
      <w:r>
        <w:rPr>
          <w:rFonts w:cs="Arial"/>
          <w:szCs w:val="20"/>
          <w:shd w:val="clear" w:color="auto" w:fill="FFFFFF"/>
        </w:rPr>
        <w:t>ali se je zahtevku odpovedala</w:t>
      </w:r>
      <w:bookmarkEnd w:id="24"/>
      <w:r>
        <w:rPr>
          <w:rFonts w:cs="Arial"/>
          <w:szCs w:val="20"/>
          <w:shd w:val="clear" w:color="auto" w:fill="FFFFFF"/>
        </w:rPr>
        <w:t>«, besedilo »upravičencu zlorabljenega sodnega postopka« pa se nadomesti z besedilom »</w:t>
      </w:r>
      <w:bookmarkStart w:id="25" w:name="_Hlk218505920"/>
      <w:r>
        <w:rPr>
          <w:rFonts w:cs="Arial"/>
          <w:szCs w:val="20"/>
          <w:shd w:val="clear" w:color="auto" w:fill="FFFFFF"/>
        </w:rPr>
        <w:t>upravičencu, zoper katerega je potekal zlorabljeni sodni postopek za onemogočanje javnega udejstvovanja,</w:t>
      </w:r>
      <w:bookmarkEnd w:id="25"/>
      <w:r>
        <w:rPr>
          <w:rFonts w:cs="Arial"/>
          <w:szCs w:val="20"/>
          <w:shd w:val="clear" w:color="auto" w:fill="FFFFFF"/>
        </w:rPr>
        <w:t>«.</w:t>
      </w:r>
    </w:p>
    <w:p w:rsidR="00D06B39" w:rsidRDefault="00D06B39" w:rsidP="00D06B39">
      <w:pPr>
        <w:jc w:val="both"/>
        <w:rPr>
          <w:rFonts w:cs="Arial"/>
          <w:szCs w:val="20"/>
          <w:shd w:val="clear" w:color="auto" w:fill="FFFFFF"/>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 xml:space="preserve">Z amandmajem se predlaga dopolnitev prvega odstavka tako, da se doda možnost, da bo tožena stranka upravičena do povrnitve polnih stroškov tudi v primeru, ko se bo tožeča stranka zahtevku odpovedala. Takšna sprememba je potrebna v izogib situacijam, ko bi se tožeča stranka poskušala izogniti plačilu polnih stroškov z odpovedjo zahtevku. Predlagana sprememba sledi </w:t>
      </w:r>
      <w:r>
        <w:rPr>
          <w:rFonts w:eastAsia="Calibri" w:cs="Arial"/>
          <w:szCs w:val="20"/>
        </w:rPr>
        <w:lastRenderedPageBreak/>
        <w:t>mnenju ZPS, ki je opozorila, da odpoved tožbenemu zahtevku ne predstavlja umika tožbe, saj se v skladu z ZPP v primeru umika tožbe postopek ustavi (tretji odstavek 188. člena ZPP), v primeru odpovedi tožbenemu zahtevku pa se izda sodba na podlagi odpovedi, s katero se tožbeni zahtevek zavrne (317. člen ZPP). V posledici navedenega se predlaga, da se z amandmajem v prvem odstavku zaradi večje jasnosti določbe izrecno določi obveznost povrnitve polnih stroškov tudi v primeru odpovedi zahtevku.</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Zaradi poenotenja terminologije in notranje skladnosti se besedilo »upravičencu zlorabljenega sodnega postopka« nadomešča z besedilom »zoper katero se je vodil zlorabljeni sodni postopek za onemogočanje javnega udejstvovanja«.</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10.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Naslov člena se spremeni tako, da se glasi: </w:t>
      </w:r>
      <w:bookmarkStart w:id="26" w:name="_Hlk218505951"/>
      <w:r>
        <w:rPr>
          <w:rFonts w:ascii="Arial" w:hAnsi="Arial" w:cs="Arial"/>
          <w:sz w:val="20"/>
          <w:szCs w:val="20"/>
          <w:shd w:val="clear" w:color="auto" w:fill="FFFFFF"/>
        </w:rPr>
        <w:t>»(povrnitev škode in objava sodbe)«.</w:t>
      </w:r>
      <w:bookmarkEnd w:id="26"/>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V prvem odstavku se v prvem stavku za besedilom »sodnem postopku« doda besedilo »</w:t>
      </w:r>
      <w:bookmarkStart w:id="27" w:name="_Hlk218506002"/>
      <w:r>
        <w:rPr>
          <w:rFonts w:ascii="Arial" w:hAnsi="Arial" w:cs="Arial"/>
          <w:sz w:val="20"/>
          <w:szCs w:val="20"/>
          <w:shd w:val="clear" w:color="auto" w:fill="FFFFFF"/>
        </w:rPr>
        <w:t>za onemogočanje javnega udejstvovanja</w:t>
      </w:r>
      <w:bookmarkEnd w:id="27"/>
      <w:r>
        <w:rPr>
          <w:rFonts w:ascii="Arial" w:hAnsi="Arial" w:cs="Arial"/>
          <w:sz w:val="20"/>
          <w:szCs w:val="20"/>
          <w:shd w:val="clear" w:color="auto" w:fill="FFFFFF"/>
        </w:rPr>
        <w:t>«.</w:t>
      </w: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Drugi odstavek se spremeni tako, da se glasi:</w:t>
      </w: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bookmarkStart w:id="28" w:name="_Hlk218506067"/>
      <w:r>
        <w:rPr>
          <w:rFonts w:ascii="Arial" w:hAnsi="Arial" w:cs="Arial"/>
          <w:sz w:val="20"/>
          <w:szCs w:val="20"/>
          <w:shd w:val="clear" w:color="auto" w:fill="FFFFFF"/>
        </w:rPr>
        <w:t>»(2) Sodišče lahko odredi, da se na stroške tožeče stranke tudi objavi sodba.«.</w:t>
      </w:r>
    </w:p>
    <w:bookmarkEnd w:id="28"/>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Sprememba prvega odstavka je redakcijske narave in sledi mnenju ZPS.</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 xml:space="preserve">Z amandmajem predlagana sprememba naslova člena ter tretjega (pravilno drugega) odstavka sledi mnenju ZPS, ki je opozorila, da je upoštevaje 15. člen Direktive (EU) 2024/1069 objava sodbe eden od samostojnih zaščitnih ukrepov (poleg povrnitve škode in denarne kazni), zato bi ga kazalo zaradi preglednosti zakona vključiti v 5. člen predloga zakona. Ta predlog je bil upoštevan tudi v amandmaju k 5. členu, s katerim se kot enega od zaščitnih ukrepov določi »povrnitev škode in objava sodbe«, z amandmajem k 10. členu pa se predlaga sprememba naslova člena, tako da se ta glasi »povrnitev škode in objava sodbe«. Dodatno pa se, tudi upoštevaje mnenje ZPS, drugi odstavek spremeni tako, da ta ne vsebuje več določila, da o objavi sodbe sodišče odloči na predlog upravičenca, saj glede na določbo drugega odstavka 5. člena ni treba ponavljati, da se ta zaščitni ukrep izreče na predlog upravičenca. </w:t>
      </w:r>
    </w:p>
    <w:p w:rsidR="00D06B39" w:rsidRDefault="00D06B39" w:rsidP="00D06B39">
      <w:pPr>
        <w:jc w:val="both"/>
        <w:rPr>
          <w:rFonts w:eastAsia="Calibri" w:cs="Arial"/>
          <w:b/>
          <w:bCs/>
          <w:szCs w:val="20"/>
        </w:rPr>
      </w:pPr>
    </w:p>
    <w:p w:rsidR="00D06B39" w:rsidRDefault="00D06B39" w:rsidP="00D06B39">
      <w:pPr>
        <w:jc w:val="both"/>
        <w:rPr>
          <w:rFonts w:eastAsia="Calibri" w:cs="Arial"/>
          <w:b/>
          <w:bCs/>
          <w:szCs w:val="20"/>
        </w:rPr>
      </w:pPr>
    </w:p>
    <w:p w:rsidR="00D06B39" w:rsidRDefault="00D06B39" w:rsidP="00D06B39">
      <w:pPr>
        <w:jc w:val="both"/>
        <w:rPr>
          <w:rFonts w:eastAsia="Calibri" w:cs="Arial"/>
          <w:b/>
          <w:bCs/>
          <w:szCs w:val="20"/>
        </w:rPr>
      </w:pPr>
      <w:r>
        <w:rPr>
          <w:rFonts w:eastAsia="Calibri" w:cs="Arial"/>
          <w:b/>
          <w:bCs/>
          <w:szCs w:val="20"/>
        </w:rPr>
        <w:t>K 11.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rPr>
      </w:pPr>
      <w:r>
        <w:rPr>
          <w:rFonts w:ascii="Arial" w:hAnsi="Arial" w:cs="Arial"/>
          <w:sz w:val="20"/>
          <w:szCs w:val="20"/>
        </w:rPr>
        <w:t>V prvem odstavku se besedilo »odvetniku in pooblaščencu« nadomesti z besedilom »</w:t>
      </w:r>
      <w:bookmarkStart w:id="29" w:name="_Hlk218506100"/>
      <w:r>
        <w:rPr>
          <w:rFonts w:ascii="Arial" w:hAnsi="Arial" w:cs="Arial"/>
          <w:sz w:val="20"/>
          <w:szCs w:val="20"/>
        </w:rPr>
        <w:t>lahko pa tudi odvetniku</w:t>
      </w:r>
      <w:bookmarkEnd w:id="29"/>
      <w:r>
        <w:rPr>
          <w:rFonts w:ascii="Arial" w:hAnsi="Arial" w:cs="Arial"/>
          <w:sz w:val="20"/>
          <w:szCs w:val="20"/>
        </w:rPr>
        <w:t>«.</w:t>
      </w: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 xml:space="preserve">Amandma sledi mnenju ZPS, iz katerega izhaja, da lahko stranko poleg odvetnika pred okrajnim sodiščem zastopa tudi vsaka poslovno sposobna oseba, pred okrožnim in višjim sodiščem pa tudi pravnik z opravljenim pravniškim državnim izpitom. ZPS opozarja na različna pravna položaja odvetnika in pooblaščenca. Odvetniki imajo poseben ustavni položaj, saj je odvetništvo kot del pravosodja samostojna in neodvisna služba, svojo dejavnost pa odvetnik opravlja kot poklic; pri svojem delu je samostojen in neodvisen; v mejah zakona in pooblastila ima pravico uporabiti vsako pravno sredstvo, za katero misli, da lahko koristi stranki, ki jo zastopa; pri zastopanju stranke je dolžan ravnati vestno, pošteno, skrbno ter po načelih odvetniške poklicne etike; prosto </w:t>
      </w:r>
      <w:r>
        <w:rPr>
          <w:rFonts w:eastAsia="Calibri" w:cs="Arial"/>
          <w:szCs w:val="20"/>
        </w:rPr>
        <w:lastRenderedPageBreak/>
        <w:t>odloča, ali bo prevzel zastopanje stranke, ki se je nanj obrnila;  je upravičen do plačila za svoje delo in do povračila stroškov v zvezi z opravljenim delom po odvetniški tarifi oziroma do višjega plačila za svoje delo, če se o tem pisno dogovori s stranko; je zavarovan pred odgovornostjo za škodo, ki bi utegnila nastati stranki v zvezi z opravljanjem njegovega poklica. Drugi pooblaščenci stranke, ki lahko v skladu s procesnimi predpisi zastopajo stranko pred sodiščem, tega (ustavnega) položaja, pravic in obveznosti nimajo oziroma zanje veljajo nižji etični standardi (prepoved škodovati drugemu, dolžnost ravnanja v skladu z dobrimi običaji, vestnostjo in poštenjem; npr. 11. člen ZPP), poleg tega pa pravnega svetovanja in zastopanja pred sodiščem ne opravljajo kot poklic in zato niso upravičeni do plačila za svoje delo in do povračila stroškov v zvezi z opravljenim delom. Glede na različen položaj odvetnika in pooblaščenca se predlaga sprememba določbe, tako da bo denarno kazen sodišče lahko izreklo stranki in njenemu odvetniku, ne pa tudi pooblaščencu, saj je slednji lahko nenazadnje tudi oseba, zaposlena pri stranki, ki jo zastopa in v tem primeru spada zastopanje delodajalca v njeno delovnopravno obveznost (t. i. in-</w:t>
      </w:r>
      <w:proofErr w:type="spellStart"/>
      <w:r>
        <w:rPr>
          <w:rFonts w:eastAsia="Calibri" w:cs="Arial"/>
          <w:szCs w:val="20"/>
        </w:rPr>
        <w:t>house</w:t>
      </w:r>
      <w:proofErr w:type="spellEnd"/>
      <w:r>
        <w:rPr>
          <w:rFonts w:eastAsia="Calibri" w:cs="Arial"/>
          <w:szCs w:val="20"/>
        </w:rPr>
        <w:t xml:space="preserve"> pravnik).</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12.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V prvem odstavku se besedilo »16. člena« nadomesti z besedilom »17. člena«.</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Z amandmajem, ki sledi mnenju ZPS, se popravlja napačno sklicevanje v prvem odstavku.</w:t>
      </w:r>
    </w:p>
    <w:p w:rsidR="00D06B39" w:rsidRDefault="00D06B39" w:rsidP="00D06B39">
      <w:pPr>
        <w:jc w:val="both"/>
        <w:rPr>
          <w:rFonts w:eastAsia="Calibri" w:cs="Arial"/>
          <w:szCs w:val="20"/>
          <w:u w:val="single"/>
        </w:rPr>
      </w:pPr>
    </w:p>
    <w:p w:rsidR="00D06B39" w:rsidRDefault="00D06B39" w:rsidP="00D06B39">
      <w:pPr>
        <w:jc w:val="both"/>
        <w:rPr>
          <w:rFonts w:eastAsia="Calibri" w:cs="Arial"/>
          <w:szCs w:val="20"/>
          <w:u w:val="single"/>
        </w:rPr>
      </w:pPr>
    </w:p>
    <w:p w:rsidR="00D06B39" w:rsidRDefault="00D06B39" w:rsidP="00D06B39">
      <w:pPr>
        <w:jc w:val="both"/>
        <w:rPr>
          <w:rFonts w:eastAsia="Calibri" w:cs="Arial"/>
          <w:b/>
          <w:bCs/>
          <w:szCs w:val="20"/>
        </w:rPr>
      </w:pPr>
      <w:r>
        <w:rPr>
          <w:rFonts w:eastAsia="Calibri" w:cs="Arial"/>
          <w:b/>
          <w:bCs/>
          <w:szCs w:val="20"/>
        </w:rPr>
        <w:t>K 13. členu</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V 13. členu se pred besedama »zoper upravičenca« vstavi besedilo »</w:t>
      </w:r>
      <w:bookmarkStart w:id="30" w:name="_Hlk218506149"/>
      <w:r>
        <w:rPr>
          <w:rFonts w:eastAsia="Calibri" w:cs="Arial"/>
          <w:szCs w:val="20"/>
        </w:rPr>
        <w:t>ali bi šlo za očitno neutemeljen zahtevek</w:t>
      </w:r>
      <w:bookmarkEnd w:id="30"/>
      <w:r>
        <w:rPr>
          <w:rFonts w:eastAsia="Calibri" w:cs="Arial"/>
          <w:szCs w:val="20"/>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 xml:space="preserve">Obrazložitev: </w:t>
      </w:r>
    </w:p>
    <w:p w:rsidR="00D06B39" w:rsidRDefault="00D06B39" w:rsidP="00D06B39">
      <w:pPr>
        <w:jc w:val="both"/>
        <w:rPr>
          <w:rFonts w:eastAsia="Calibri" w:cs="Arial"/>
          <w:szCs w:val="20"/>
        </w:rPr>
      </w:pPr>
      <w:r>
        <w:rPr>
          <w:rFonts w:eastAsia="Calibri" w:cs="Arial"/>
          <w:szCs w:val="20"/>
        </w:rPr>
        <w:t>Amandma sledi mnenju ZPS, ki je opozorila na 16. člen Direktive (EU) 2024/1069 v povezavi z uvodno izjavo 43, iz katerih izhaja, da je treba zagotoviti tudi zaščito pred očitno neutemeljenimi zahtevki v tretji državi. Ker člen v predlogu zakona ureja samo zaščito pred zlorabljenimi sodnimi postopki za onemogočanje javnega udejstvovanja, se z amandmajem dodaja še zaščita pred očitno neutemeljenimi zahtevki v tretji državi.</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15.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Besedilo člena se spremeni tako, da se glasi:</w:t>
      </w: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p>
    <w:p w:rsidR="00D06B39" w:rsidRDefault="00D06B39" w:rsidP="00D06B39">
      <w:pPr>
        <w:jc w:val="both"/>
        <w:rPr>
          <w:rFonts w:cs="Arial"/>
          <w:szCs w:val="20"/>
          <w:shd w:val="clear" w:color="auto" w:fill="FFFFFF"/>
        </w:rPr>
      </w:pPr>
      <w:bookmarkStart w:id="31" w:name="_Hlk218506181"/>
      <w:r>
        <w:rPr>
          <w:rFonts w:cs="Arial"/>
          <w:szCs w:val="20"/>
          <w:shd w:val="clear" w:color="auto" w:fill="FFFFFF"/>
        </w:rPr>
        <w:t>»Ministrstvo, pristojno za pravosodje, ustanovi enotno kontaktno točko, ki zagotavlja dostop do informacij o razpoložljivih zaščitnih ukrepih, pravnih sredstvih in podpornih ukrepih, skrbi za objavo pravnomočnih odločb, v katerih je sodišče odločilo o zaščitnih ukrepih po tem zakonu, ter zbira in pošlje podatke o zaščitnih ukrepih Evropski komisiji.«.</w:t>
      </w:r>
      <w:bookmarkEnd w:id="31"/>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Amandma sledi mnenju ZPS, ki je opozorila, da je treba najprej določiti, da ministrstvo ustanovi enotno kontaktno točko in nato v nadaljevanju navesti, kakšne so njene naloge, pri čemer je treba upoštevati terminologijo, ki se uporablja v predlogu zakona in ne terminologijo, ki izhaja iz Direktive. Zaradi večje jasnosti in nedvoumnosti določbe se izrecno dodaja tudi, da enotna kontaktna točka skrbi za objavo pravnomočnih odločb, v katerih je sodišče odločilo o zaščitnih ukrepih po tem zakonu.</w:t>
      </w: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p>
    <w:p w:rsidR="00D06B39" w:rsidRDefault="00D06B39" w:rsidP="00D06B39">
      <w:pPr>
        <w:jc w:val="both"/>
        <w:rPr>
          <w:rFonts w:eastAsia="Calibri" w:cs="Arial"/>
          <w:b/>
          <w:bCs/>
          <w:szCs w:val="20"/>
        </w:rPr>
      </w:pPr>
      <w:r>
        <w:rPr>
          <w:rFonts w:eastAsia="Calibri" w:cs="Arial"/>
          <w:b/>
          <w:bCs/>
          <w:szCs w:val="20"/>
        </w:rPr>
        <w:t>K 16. členu</w:t>
      </w:r>
    </w:p>
    <w:p w:rsidR="00D06B39" w:rsidRDefault="00D06B39" w:rsidP="00D06B39">
      <w:pPr>
        <w:jc w:val="both"/>
        <w:rPr>
          <w:rFonts w:eastAsia="Calibri" w:cs="Arial"/>
          <w:szCs w:val="20"/>
        </w:rPr>
      </w:pPr>
    </w:p>
    <w:p w:rsidR="00D06B39" w:rsidRDefault="00D06B39" w:rsidP="00D06B39">
      <w:pPr>
        <w:pStyle w:val="odstavek"/>
        <w:shd w:val="clear" w:color="auto" w:fill="FFFFFF" w:themeFill="background1"/>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Besedilo »postopkovnih jamstvih in pravnih sredstvih ter« se nadomesti z besedilom »</w:t>
      </w:r>
      <w:bookmarkStart w:id="32" w:name="_Hlk218506221"/>
      <w:r>
        <w:rPr>
          <w:rFonts w:ascii="Arial" w:hAnsi="Arial" w:cs="Arial"/>
          <w:sz w:val="20"/>
          <w:szCs w:val="20"/>
          <w:shd w:val="clear" w:color="auto" w:fill="FFFFFF"/>
        </w:rPr>
        <w:t>zaščitnih ukrepih, pravnih sredstvih in</w:t>
      </w:r>
      <w:bookmarkEnd w:id="32"/>
      <w:r>
        <w:rPr>
          <w:rFonts w:ascii="Arial" w:hAnsi="Arial" w:cs="Arial"/>
          <w:sz w:val="20"/>
          <w:szCs w:val="20"/>
          <w:shd w:val="clear" w:color="auto" w:fill="FFFFFF"/>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Amandma je redakcijske narave in je predlagan z namenom, da se poenoti terminologija v predlogu zakona.</w:t>
      </w: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p>
    <w:p w:rsidR="00D06B39" w:rsidRDefault="00D06B39" w:rsidP="00D06B39">
      <w:pPr>
        <w:jc w:val="both"/>
        <w:rPr>
          <w:rFonts w:eastAsia="Calibri" w:cs="Arial"/>
          <w:b/>
          <w:bCs/>
          <w:szCs w:val="20"/>
        </w:rPr>
      </w:pPr>
      <w:r>
        <w:rPr>
          <w:rFonts w:eastAsia="Calibri" w:cs="Arial"/>
          <w:b/>
          <w:bCs/>
          <w:szCs w:val="20"/>
        </w:rPr>
        <w:t>K 17. členu</w:t>
      </w:r>
    </w:p>
    <w:p w:rsidR="00D06B39" w:rsidRDefault="00D06B39" w:rsidP="00D06B39">
      <w:pPr>
        <w:jc w:val="both"/>
        <w:rPr>
          <w:rFonts w:eastAsia="Calibri" w:cs="Arial"/>
          <w:szCs w:val="20"/>
        </w:rPr>
      </w:pPr>
    </w:p>
    <w:p w:rsidR="00D06B39" w:rsidRDefault="00D06B39" w:rsidP="00D06B39">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V prvem odstavku se za besedo »obliki« doda beseda »</w:t>
      </w:r>
      <w:bookmarkStart w:id="33" w:name="_Hlk218506250"/>
      <w:r>
        <w:rPr>
          <w:rFonts w:ascii="Arial" w:hAnsi="Arial" w:cs="Arial"/>
          <w:sz w:val="20"/>
          <w:szCs w:val="20"/>
          <w:shd w:val="clear" w:color="auto" w:fill="FFFFFF"/>
        </w:rPr>
        <w:t>pravnomočne</w:t>
      </w:r>
      <w:bookmarkEnd w:id="33"/>
      <w:r>
        <w:rPr>
          <w:rFonts w:ascii="Arial" w:hAnsi="Arial" w:cs="Arial"/>
          <w:sz w:val="20"/>
          <w:szCs w:val="20"/>
          <w:shd w:val="clear" w:color="auto" w:fill="FFFFFF"/>
        </w:rPr>
        <w:t>«, besedilo »bil sodni postopek zoper upravičenca zlorabljen za onemogočanje njegovega javnega udejstvovanja« pa se nadomesti z besedilom »</w:t>
      </w:r>
      <w:bookmarkStart w:id="34" w:name="_Hlk218506315"/>
      <w:r>
        <w:rPr>
          <w:rFonts w:ascii="Arial" w:hAnsi="Arial" w:cs="Arial"/>
          <w:sz w:val="20"/>
          <w:szCs w:val="20"/>
          <w:shd w:val="clear" w:color="auto" w:fill="FFFFFF"/>
        </w:rPr>
        <w:t>šlo za zlorabljen sodni postopek za onemogočanje javnega udejstvovanja</w:t>
      </w:r>
      <w:bookmarkEnd w:id="34"/>
      <w:r>
        <w:rPr>
          <w:rFonts w:ascii="Arial" w:hAnsi="Arial" w:cs="Arial"/>
          <w:sz w:val="20"/>
          <w:szCs w:val="20"/>
          <w:shd w:val="clear" w:color="auto" w:fill="FFFFFF"/>
        </w:rPr>
        <w:t>«.</w:t>
      </w:r>
    </w:p>
    <w:p w:rsidR="00D06B39" w:rsidRDefault="00D06B39" w:rsidP="00D06B39">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p>
    <w:p w:rsidR="00D06B39" w:rsidRDefault="00D06B39" w:rsidP="00D06B39">
      <w:pPr>
        <w:pStyle w:val="odstavek"/>
        <w:shd w:val="clear" w:color="auto" w:fill="FFFFFF"/>
        <w:spacing w:before="0" w:beforeAutospacing="0" w:after="0" w:afterAutospacing="0" w:line="260" w:lineRule="exact"/>
        <w:jc w:val="both"/>
        <w:rPr>
          <w:rFonts w:ascii="Arial" w:hAnsi="Arial" w:cs="Arial"/>
          <w:sz w:val="20"/>
          <w:szCs w:val="20"/>
          <w:shd w:val="clear" w:color="auto" w:fill="FFFFFF"/>
        </w:rPr>
      </w:pPr>
      <w:r>
        <w:rPr>
          <w:rFonts w:ascii="Arial" w:hAnsi="Arial" w:cs="Arial"/>
          <w:sz w:val="20"/>
          <w:szCs w:val="20"/>
          <w:shd w:val="clear" w:color="auto" w:fill="FFFFFF"/>
        </w:rPr>
        <w:t>V drugem odstavku se za besedo »številu« doda beseda »</w:t>
      </w:r>
      <w:bookmarkStart w:id="35" w:name="_Hlk218506336"/>
      <w:r>
        <w:rPr>
          <w:rFonts w:ascii="Arial" w:hAnsi="Arial" w:cs="Arial"/>
          <w:sz w:val="20"/>
          <w:szCs w:val="20"/>
          <w:shd w:val="clear" w:color="auto" w:fill="FFFFFF"/>
        </w:rPr>
        <w:t>zlorabljenih</w:t>
      </w:r>
      <w:bookmarkEnd w:id="35"/>
      <w:r>
        <w:rPr>
          <w:rFonts w:ascii="Arial" w:hAnsi="Arial" w:cs="Arial"/>
          <w:sz w:val="20"/>
          <w:szCs w:val="20"/>
          <w:shd w:val="clear" w:color="auto" w:fill="FFFFFF"/>
        </w:rPr>
        <w:t>«, pred besedo »končanih« pa se vstavi beseda »</w:t>
      </w:r>
      <w:bookmarkStart w:id="36" w:name="_Hlk218506357"/>
      <w:r>
        <w:rPr>
          <w:rFonts w:ascii="Arial" w:hAnsi="Arial" w:cs="Arial"/>
          <w:sz w:val="20"/>
          <w:szCs w:val="20"/>
          <w:shd w:val="clear" w:color="auto" w:fill="FFFFFF"/>
        </w:rPr>
        <w:t>pravnomočno</w:t>
      </w:r>
      <w:bookmarkEnd w:id="36"/>
      <w:r>
        <w:rPr>
          <w:rFonts w:ascii="Arial" w:hAnsi="Arial" w:cs="Arial"/>
          <w:sz w:val="20"/>
          <w:szCs w:val="20"/>
          <w:shd w:val="clear" w:color="auto" w:fill="FFFFFF"/>
        </w:rPr>
        <w:t>«.</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pPr>
        <w:jc w:val="both"/>
        <w:rPr>
          <w:rFonts w:eastAsia="Calibri" w:cs="Arial"/>
          <w:szCs w:val="20"/>
        </w:rPr>
      </w:pPr>
      <w:r>
        <w:rPr>
          <w:rFonts w:eastAsia="Calibri" w:cs="Arial"/>
          <w:szCs w:val="20"/>
        </w:rPr>
        <w:t>Amandma je redakcijske narave. Poleg tega jasno določa, da se objava tako odločb kot tudi podatkov o številu odločb nanaša samo na pravnomočne sodne odločbe, ne pa tudi na nepravnomočne.</w:t>
      </w:r>
    </w:p>
    <w:p w:rsidR="00D06B39" w:rsidRDefault="00D06B39" w:rsidP="00D06B39">
      <w:pPr>
        <w:jc w:val="both"/>
        <w:rPr>
          <w:rFonts w:eastAsia="Calibri" w:cs="Arial"/>
          <w:szCs w:val="20"/>
          <w:u w:val="single"/>
        </w:rPr>
      </w:pPr>
    </w:p>
    <w:p w:rsidR="00D06B39" w:rsidRDefault="00D06B39" w:rsidP="00D06B39">
      <w:pPr>
        <w:jc w:val="both"/>
        <w:rPr>
          <w:rFonts w:eastAsia="Calibri" w:cs="Arial"/>
          <w:szCs w:val="20"/>
        </w:rPr>
      </w:pPr>
    </w:p>
    <w:p w:rsidR="00D06B39" w:rsidRDefault="00D06B39" w:rsidP="00D06B39">
      <w:pPr>
        <w:jc w:val="both"/>
        <w:rPr>
          <w:rFonts w:eastAsia="Calibri" w:cs="Arial"/>
          <w:b/>
          <w:bCs/>
          <w:szCs w:val="20"/>
        </w:rPr>
      </w:pPr>
      <w:r>
        <w:rPr>
          <w:rFonts w:eastAsia="Calibri" w:cs="Arial"/>
          <w:b/>
          <w:bCs/>
          <w:szCs w:val="20"/>
        </w:rPr>
        <w:t>K 18. členu</w:t>
      </w:r>
    </w:p>
    <w:p w:rsidR="00D06B39" w:rsidRDefault="00D06B39" w:rsidP="00D06B39">
      <w:pPr>
        <w:jc w:val="both"/>
        <w:rPr>
          <w:rFonts w:eastAsia="Calibri" w:cs="Arial"/>
          <w:szCs w:val="20"/>
        </w:rPr>
      </w:pPr>
    </w:p>
    <w:p w:rsidR="00D06B39" w:rsidRDefault="00D06B39" w:rsidP="00D06B39">
      <w:pPr>
        <w:jc w:val="both"/>
        <w:rPr>
          <w:rFonts w:eastAsia="Calibri" w:cs="Arial"/>
          <w:szCs w:val="20"/>
        </w:rPr>
      </w:pPr>
      <w:r>
        <w:rPr>
          <w:rFonts w:eastAsia="Calibri" w:cs="Arial"/>
          <w:szCs w:val="20"/>
        </w:rPr>
        <w:t>Besedilo »14. člena« se nadomesti z besedilom »15. člena«.</w:t>
      </w:r>
    </w:p>
    <w:p w:rsidR="00D06B39" w:rsidRDefault="00D06B39" w:rsidP="00D06B39">
      <w:pPr>
        <w:jc w:val="both"/>
        <w:rPr>
          <w:rFonts w:eastAsia="Calibri" w:cs="Arial"/>
          <w:szCs w:val="20"/>
        </w:rPr>
      </w:pPr>
    </w:p>
    <w:p w:rsidR="00D06B39" w:rsidRDefault="00D06B39" w:rsidP="00D06B39">
      <w:pPr>
        <w:jc w:val="both"/>
        <w:rPr>
          <w:rFonts w:eastAsia="Calibri" w:cs="Arial"/>
          <w:szCs w:val="20"/>
          <w:u w:val="single"/>
        </w:rPr>
      </w:pPr>
      <w:r>
        <w:rPr>
          <w:rFonts w:eastAsia="Calibri" w:cs="Arial"/>
          <w:szCs w:val="20"/>
          <w:u w:val="single"/>
        </w:rPr>
        <w:t>Obrazložitev:</w:t>
      </w:r>
    </w:p>
    <w:p w:rsidR="00D06B39" w:rsidRDefault="00D06B39" w:rsidP="00D06B39">
      <w:r>
        <w:rPr>
          <w:rFonts w:eastAsia="Calibri" w:cs="Arial"/>
          <w:szCs w:val="20"/>
        </w:rPr>
        <w:t>Z amandmajem, ki sledi mnenju ZPS, se popravi sklicevanje na pravilni člen predloga zakona.</w:t>
      </w:r>
    </w:p>
    <w:p w:rsidR="007E1230" w:rsidRDefault="007E1230" w:rsidP="00D06B39">
      <w:pPr>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818" w:rsidRDefault="00F50818" w:rsidP="00767987">
      <w:pPr>
        <w:spacing w:line="240" w:lineRule="auto"/>
      </w:pPr>
      <w:r>
        <w:separator/>
      </w:r>
    </w:p>
  </w:endnote>
  <w:endnote w:type="continuationSeparator" w:id="0">
    <w:p w:rsidR="00F50818" w:rsidRDefault="00F5081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099" w:rsidRDefault="000B5099">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099" w:rsidRDefault="000B5099">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099" w:rsidRDefault="000B509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818" w:rsidRDefault="00F50818" w:rsidP="00767987">
      <w:pPr>
        <w:spacing w:line="240" w:lineRule="auto"/>
      </w:pPr>
      <w:r>
        <w:separator/>
      </w:r>
    </w:p>
  </w:footnote>
  <w:footnote w:type="continuationSeparator" w:id="0">
    <w:p w:rsidR="00F50818" w:rsidRDefault="00F50818"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099" w:rsidRDefault="000B5099">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099" w:rsidRDefault="000B5099">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B5099"/>
    <w:rsid w:val="000E4B03"/>
    <w:rsid w:val="002837E1"/>
    <w:rsid w:val="00286CB6"/>
    <w:rsid w:val="00366636"/>
    <w:rsid w:val="00367DE6"/>
    <w:rsid w:val="003B3E19"/>
    <w:rsid w:val="004076C6"/>
    <w:rsid w:val="00457A58"/>
    <w:rsid w:val="004964D7"/>
    <w:rsid w:val="004B7F76"/>
    <w:rsid w:val="004E1BCE"/>
    <w:rsid w:val="0057353E"/>
    <w:rsid w:val="005776EF"/>
    <w:rsid w:val="00583E40"/>
    <w:rsid w:val="00592079"/>
    <w:rsid w:val="00594080"/>
    <w:rsid w:val="005D29F3"/>
    <w:rsid w:val="00607FDC"/>
    <w:rsid w:val="00674FD5"/>
    <w:rsid w:val="00682FFE"/>
    <w:rsid w:val="00684751"/>
    <w:rsid w:val="006C69EC"/>
    <w:rsid w:val="007039D0"/>
    <w:rsid w:val="00767987"/>
    <w:rsid w:val="00782FD4"/>
    <w:rsid w:val="007E1230"/>
    <w:rsid w:val="00811140"/>
    <w:rsid w:val="00902D57"/>
    <w:rsid w:val="00904A48"/>
    <w:rsid w:val="00980294"/>
    <w:rsid w:val="009C5392"/>
    <w:rsid w:val="009C657E"/>
    <w:rsid w:val="00A04FA3"/>
    <w:rsid w:val="00A16E6F"/>
    <w:rsid w:val="00A50E4B"/>
    <w:rsid w:val="00A56EFB"/>
    <w:rsid w:val="00A9231D"/>
    <w:rsid w:val="00AD3BB3"/>
    <w:rsid w:val="00B31063"/>
    <w:rsid w:val="00BC534D"/>
    <w:rsid w:val="00C0216A"/>
    <w:rsid w:val="00CD6077"/>
    <w:rsid w:val="00CD7B42"/>
    <w:rsid w:val="00CE234E"/>
    <w:rsid w:val="00D00B65"/>
    <w:rsid w:val="00D02973"/>
    <w:rsid w:val="00D06B39"/>
    <w:rsid w:val="00DA09BE"/>
    <w:rsid w:val="00E83A83"/>
    <w:rsid w:val="00F502C5"/>
    <w:rsid w:val="00F50818"/>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odstavek">
    <w:name w:val="odstavek"/>
    <w:basedOn w:val="Navaden"/>
    <w:rsid w:val="00D06B3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7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3179</Words>
  <Characters>18126</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2026-01-06T09:37:00Z</dcterms:created>
  <dcterms:modified xsi:type="dcterms:W3CDTF">2026-01-06T10:33:00Z</dcterms:modified>
</cp:coreProperties>
</file>