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9C657E">
      <w:pPr>
        <w:pStyle w:val="datumtevilka"/>
      </w:pPr>
      <w:bookmarkStart w:id="0" w:name="_Hlk61014710"/>
      <w:bookmarkEnd w:id="0"/>
      <w:r w:rsidRPr="002760DC">
        <w:rPr>
          <w:rFonts w:cs="Arial"/>
          <w:color w:val="000000"/>
        </w:rPr>
        <w:t>EVA:</w:t>
      </w:r>
      <w:r w:rsidRPr="002760DC">
        <w:rPr>
          <w:rFonts w:cs="Arial"/>
          <w:color w:val="000000"/>
        </w:rPr>
        <w:tab/>
      </w:r>
      <w:r w:rsidR="00CD7B42">
        <w:rPr>
          <w:rFonts w:cs="Arial"/>
          <w:color w:val="000000"/>
        </w:rPr>
        <w:t>2024-2030-0031</w:t>
      </w:r>
    </w:p>
    <w:p w:rsidR="009C657E" w:rsidRPr="002760DC" w:rsidRDefault="009C657E" w:rsidP="009C657E">
      <w:pPr>
        <w:pStyle w:val="datumtevilka"/>
      </w:pPr>
      <w:r w:rsidRPr="002760DC">
        <w:t xml:space="preserve">Številka: </w:t>
      </w:r>
      <w:r w:rsidRPr="002760DC">
        <w:tab/>
      </w:r>
      <w:r w:rsidR="00CD7B42">
        <w:rPr>
          <w:rFonts w:cs="Arial"/>
          <w:color w:val="000000"/>
        </w:rPr>
        <w:t>00704-289/2024/16</w:t>
      </w:r>
    </w:p>
    <w:p w:rsidR="009C657E" w:rsidRPr="002760DC" w:rsidRDefault="009C657E" w:rsidP="009C657E">
      <w:pPr>
        <w:pStyle w:val="datumtevilka"/>
      </w:pPr>
      <w:r>
        <w:t>Datum:</w:t>
      </w:r>
      <w:r w:rsidRPr="002760DC">
        <w:tab/>
      </w:r>
      <w:r w:rsidR="00CD7B42">
        <w:rPr>
          <w:rFonts w:cs="Arial"/>
          <w:color w:val="000000"/>
        </w:rPr>
        <w:t>6. 1. 2026</w:t>
      </w:r>
      <w:r w:rsidRPr="002760DC">
        <w:t xml:space="preserve"> </w:t>
      </w:r>
    </w:p>
    <w:p w:rsidR="009C657E" w:rsidRPr="002760DC" w:rsidRDefault="009C657E" w:rsidP="009C657E"/>
    <w:p w:rsidR="009C657E" w:rsidRPr="00D06B39" w:rsidRDefault="009C657E" w:rsidP="00D06B39">
      <w:pPr>
        <w:autoSpaceDE w:val="0"/>
        <w:autoSpaceDN w:val="0"/>
        <w:adjustRightInd w:val="0"/>
        <w:jc w:val="center"/>
        <w:rPr>
          <w:rFonts w:cs="Arial"/>
          <w:b/>
          <w:color w:val="000000"/>
          <w:szCs w:val="20"/>
        </w:rPr>
      </w:pPr>
    </w:p>
    <w:p w:rsidR="009C657E" w:rsidRPr="00D06B39" w:rsidRDefault="00607FDC" w:rsidP="00D06B39">
      <w:pPr>
        <w:jc w:val="center"/>
        <w:rPr>
          <w:rFonts w:cs="Arial"/>
          <w:b/>
          <w:color w:val="000000"/>
          <w:szCs w:val="20"/>
        </w:rPr>
      </w:pPr>
      <w:r w:rsidRPr="00D06B39">
        <w:rPr>
          <w:rFonts w:cs="Arial"/>
          <w:b/>
          <w:color w:val="000000"/>
          <w:szCs w:val="20"/>
        </w:rPr>
        <w:t>Predlog</w:t>
      </w:r>
      <w:bookmarkStart w:id="1" w:name="_GoBack"/>
      <w:bookmarkEnd w:id="1"/>
      <w:r w:rsidRPr="00D06B39">
        <w:rPr>
          <w:rFonts w:cs="Arial"/>
          <w:b/>
          <w:color w:val="000000"/>
          <w:szCs w:val="20"/>
        </w:rPr>
        <w:t xml:space="preserve"> </w:t>
      </w:r>
      <w:r w:rsidR="00CD7B42" w:rsidRPr="00D06B39">
        <w:rPr>
          <w:rFonts w:cs="Arial"/>
          <w:b/>
          <w:color w:val="000000"/>
          <w:szCs w:val="20"/>
        </w:rPr>
        <w:t>amandmajev k Predlogu zakona o zaščitnih ukrepih zoper strateške tožbe za onemogočanje javnega udejstvovanja</w:t>
      </w:r>
    </w:p>
    <w:p w:rsidR="00D06B39" w:rsidRDefault="00D06B39" w:rsidP="00674FD5">
      <w:pPr>
        <w:jc w:val="both"/>
        <w:rPr>
          <w:rFonts w:cs="Arial"/>
          <w:color w:val="000000"/>
          <w:szCs w:val="20"/>
        </w:rPr>
      </w:pPr>
    </w:p>
    <w:p w:rsidR="00D06B39" w:rsidRDefault="00D06B39" w:rsidP="00674FD5">
      <w:pPr>
        <w:jc w:val="both"/>
        <w:rPr>
          <w:rFonts w:cs="Arial"/>
          <w:color w:val="000000"/>
          <w:szCs w:val="20"/>
        </w:rPr>
      </w:pPr>
    </w:p>
    <w:p w:rsidR="00607FDC" w:rsidRDefault="00607FDC" w:rsidP="00607FDC">
      <w:pPr>
        <w:jc w:val="both"/>
        <w:rPr>
          <w:rFonts w:cs="Arial"/>
          <w:szCs w:val="20"/>
          <w:lang w:eastAsia="sl-SI"/>
        </w:rPr>
      </w:pPr>
    </w:p>
    <w:p w:rsidR="00D06B39" w:rsidRDefault="00D06B39" w:rsidP="00D06B39">
      <w:pPr>
        <w:rPr>
          <w:rFonts w:eastAsia="Calibri" w:cs="Arial"/>
          <w:b/>
          <w:bCs/>
          <w:szCs w:val="20"/>
        </w:rPr>
      </w:pPr>
      <w:r>
        <w:rPr>
          <w:rFonts w:eastAsia="Calibri" w:cs="Arial"/>
          <w:b/>
          <w:bCs/>
          <w:szCs w:val="20"/>
        </w:rPr>
        <w:t>K 1. členu</w:t>
      </w:r>
    </w:p>
    <w:p w:rsidR="00D06B39" w:rsidRDefault="00D06B39" w:rsidP="00D06B39">
      <w:pPr>
        <w:rPr>
          <w:rFonts w:eastAsia="Calibri" w:cs="Arial"/>
          <w:szCs w:val="20"/>
        </w:rPr>
      </w:pPr>
    </w:p>
    <w:p w:rsidR="00D06B39" w:rsidRDefault="00D06B39" w:rsidP="00D06B39">
      <w:pPr>
        <w:jc w:val="both"/>
        <w:rPr>
          <w:rFonts w:eastAsia="Calibri" w:cs="Arial"/>
          <w:szCs w:val="20"/>
        </w:rPr>
      </w:pPr>
      <w:r>
        <w:rPr>
          <w:rFonts w:eastAsia="Calibri" w:cs="Arial"/>
          <w:szCs w:val="20"/>
        </w:rPr>
        <w:t>V prvem odstavku se besedilo »in njihovo varstvo pred« nadomesti z vejico in besedilom »</w:t>
      </w:r>
      <w:bookmarkStart w:id="2" w:name="_Hlk218504321"/>
      <w:r>
        <w:rPr>
          <w:rFonts w:eastAsia="Calibri" w:cs="Arial"/>
          <w:szCs w:val="20"/>
        </w:rPr>
        <w:t>tako da jim zagotavlja varstvo pred očitno neutemeljenimi zahtevki in</w:t>
      </w:r>
      <w:bookmarkEnd w:id="2"/>
      <w:r>
        <w:rPr>
          <w:rFonts w:eastAsia="Calibri" w:cs="Arial"/>
          <w:szCs w:val="20"/>
        </w:rPr>
        <w:t>«.</w:t>
      </w:r>
    </w:p>
    <w:p w:rsidR="00D06B39" w:rsidRDefault="00D06B39" w:rsidP="00D06B39">
      <w:pPr>
        <w:jc w:val="both"/>
        <w:rPr>
          <w:rFonts w:eastAsia="Calibri" w:cs="Arial"/>
          <w:szCs w:val="20"/>
        </w:rPr>
      </w:pPr>
    </w:p>
    <w:p w:rsidR="00D06B39" w:rsidRDefault="00D06B39" w:rsidP="00D06B39">
      <w:pPr>
        <w:jc w:val="both"/>
        <w:rPr>
          <w:rFonts w:eastAsia="Calibri" w:cs="Arial"/>
          <w:szCs w:val="20"/>
        </w:rPr>
      </w:pPr>
      <w:r>
        <w:rPr>
          <w:rFonts w:eastAsia="Calibri" w:cs="Arial"/>
          <w:szCs w:val="20"/>
        </w:rPr>
        <w:t>Drugi odstavek se spremeni tako, da se glasi:</w:t>
      </w:r>
    </w:p>
    <w:p w:rsidR="00D06B39" w:rsidRDefault="00D06B39" w:rsidP="00D06B39">
      <w:pPr>
        <w:jc w:val="both"/>
        <w:rPr>
          <w:rFonts w:eastAsia="Calibri" w:cs="Arial"/>
          <w:szCs w:val="20"/>
        </w:rPr>
      </w:pPr>
    </w:p>
    <w:p w:rsidR="00D06B39" w:rsidRDefault="00D06B39" w:rsidP="00D06B39">
      <w:pPr>
        <w:jc w:val="both"/>
        <w:rPr>
          <w:rFonts w:eastAsia="Calibri" w:cs="Arial"/>
          <w:szCs w:val="20"/>
        </w:rPr>
      </w:pPr>
      <w:bookmarkStart w:id="3" w:name="_Hlk218504350"/>
      <w:r>
        <w:rPr>
          <w:rFonts w:eastAsia="Calibri" w:cs="Arial"/>
          <w:szCs w:val="20"/>
        </w:rPr>
        <w:t>»(2) Namen tega zakona je varstvo in krepitev svobode izražanja, svobode znanosti in umetnosti ter pravice do zbiranja in združevanja glede zadev v javnem interesu.«.</w:t>
      </w:r>
    </w:p>
    <w:bookmarkEnd w:id="3"/>
    <w:p w:rsidR="00D06B39" w:rsidRDefault="00D06B39" w:rsidP="00D06B39">
      <w:pPr>
        <w:jc w:val="both"/>
        <w:rPr>
          <w:rFonts w:eastAsia="Calibri" w:cs="Arial"/>
          <w:szCs w:val="20"/>
        </w:rPr>
      </w:pPr>
    </w:p>
    <w:p w:rsidR="00D06B39" w:rsidRDefault="00D06B39" w:rsidP="00D06B39">
      <w:pPr>
        <w:jc w:val="both"/>
        <w:rPr>
          <w:rFonts w:eastAsia="Calibri" w:cs="Arial"/>
          <w:szCs w:val="20"/>
          <w:u w:val="single"/>
        </w:rPr>
      </w:pPr>
      <w:r>
        <w:rPr>
          <w:rFonts w:eastAsia="Calibri" w:cs="Arial"/>
          <w:szCs w:val="20"/>
          <w:u w:val="single"/>
        </w:rPr>
        <w:t xml:space="preserve">Obrazložitev: </w:t>
      </w:r>
    </w:p>
    <w:p w:rsidR="00D06B39" w:rsidRDefault="00D06B39" w:rsidP="00D06B39">
      <w:pPr>
        <w:jc w:val="both"/>
        <w:rPr>
          <w:rFonts w:eastAsia="Calibri" w:cs="Arial"/>
          <w:szCs w:val="20"/>
        </w:rPr>
      </w:pPr>
      <w:r>
        <w:rPr>
          <w:rFonts w:eastAsia="Calibri" w:cs="Arial"/>
          <w:szCs w:val="20"/>
        </w:rPr>
        <w:t>Z amandmajem predlagana sprememba prvega odstavka sledi pripombi Zakonodajno-pravne službe (v nadaljnjem besedilu ZPS), ki je opozorila, da je treba v skladu 1. odstavkom Direktive (EU) 2024/1069 Evropskega parlamenta in Sveta z dne 11. aprila 2024 o zaščiti oseb, ki se udejstvujejo pri udeležbi javnosti, pred očitno neutemeljenimi tožbenimi zahtevki ali zlorabljenimi sodnimi postopki („strateške tožbe za onemogočanje udeležbe javnosti“) (v nadaljnjem besedilu Direktiva (EU) 2024/1069) in zaradi  usklajenosti z drugim odstavkom tega člena določbo zapisati tako, da bo jasno določeno, da se s predlogom zakona zagotavlja tako varstvo pred očitno neutemeljenimi zahtevki kot tudi pred zlorabljenimi sodnimi postopki za onemogočanje javnega udejstvovanja.</w:t>
      </w:r>
    </w:p>
    <w:p w:rsidR="00D06B39" w:rsidRDefault="00D06B39" w:rsidP="00D06B39">
      <w:pPr>
        <w:jc w:val="both"/>
        <w:rPr>
          <w:rFonts w:eastAsia="Calibri" w:cs="Arial"/>
          <w:szCs w:val="20"/>
        </w:rPr>
      </w:pPr>
    </w:p>
    <w:p w:rsidR="00D06B39" w:rsidRDefault="00D06B39" w:rsidP="00D06B39">
      <w:pPr>
        <w:jc w:val="both"/>
        <w:rPr>
          <w:rFonts w:eastAsia="Calibri" w:cs="Arial"/>
          <w:szCs w:val="20"/>
        </w:rPr>
      </w:pPr>
      <w:r>
        <w:rPr>
          <w:rFonts w:eastAsia="Calibri" w:cs="Arial"/>
          <w:szCs w:val="20"/>
        </w:rPr>
        <w:t>Spremenjeni drugi odstavek sledi pripombam in predlogom ZPS, ki je opozorila, da predlog zakona sicer ureja zaščitne ukrepe v sodnem postopku, do katerih je upravičena le oseba, zoper katero je SLAPP tožba vložena, vendar drugi odstavek (za razliko od prvega) določa namen predloga zakona, ki pa je širši. Predlagana sprememba drugega odstavka tako jasno določa, da je namen zakona varstvo in krepitev svobode izražanja, svobode znanosti in umetnosti ter pravice do zbiranja in združevanja glede zadev v javnem interesu. Takšna določitev namena je potrebna, ker SLAPP tožbe nimajo zastraševalnega učinka zgolj na tožene stranke, ampak (posredno) tudi na celo družbo, tako na druge osebe, ki sodelujejo v javnosti v zadevah v javnem interesu, kot tudi na osebe, ki imajo po ustavi pravico do obveščenosti v zadevah v javnem interesu. Poleg tega se s spremenjenim drugim odstavkom terminologija glede posameznih človekovih pravic in temeljnih svoboščin uskladi s terminologijo, ki jo uporablja Ustava Republike Slovenije.</w:t>
      </w:r>
    </w:p>
    <w:p w:rsidR="00D06B39" w:rsidRDefault="00D06B39" w:rsidP="00D06B39">
      <w:pPr>
        <w:jc w:val="both"/>
        <w:rPr>
          <w:rFonts w:eastAsia="Calibri" w:cs="Arial"/>
          <w:szCs w:val="20"/>
        </w:rPr>
      </w:pPr>
    </w:p>
    <w:p w:rsidR="00D06B39" w:rsidRDefault="00D06B39" w:rsidP="00D06B39">
      <w:pPr>
        <w:jc w:val="both"/>
        <w:rPr>
          <w:rFonts w:eastAsia="Calibri" w:cs="Arial"/>
          <w:szCs w:val="20"/>
        </w:rPr>
      </w:pPr>
    </w:p>
    <w:p w:rsidR="00D06B39" w:rsidRDefault="00D06B39" w:rsidP="00D06B39">
      <w:pPr>
        <w:jc w:val="both"/>
        <w:rPr>
          <w:rFonts w:eastAsia="Calibri" w:cs="Arial"/>
          <w:b/>
          <w:bCs/>
          <w:szCs w:val="20"/>
        </w:rPr>
      </w:pPr>
      <w:r>
        <w:rPr>
          <w:rFonts w:eastAsia="Calibri" w:cs="Arial"/>
          <w:b/>
          <w:bCs/>
          <w:szCs w:val="20"/>
        </w:rPr>
        <w:t>K 3. členu</w:t>
      </w:r>
    </w:p>
    <w:p w:rsidR="00D06B39" w:rsidRDefault="00D06B39" w:rsidP="00D06B39">
      <w:pPr>
        <w:jc w:val="both"/>
        <w:rPr>
          <w:rFonts w:eastAsia="Calibri" w:cs="Arial"/>
          <w:szCs w:val="20"/>
        </w:rPr>
      </w:pPr>
    </w:p>
    <w:p w:rsidR="00D06B39" w:rsidRDefault="00D06B39" w:rsidP="00D06B39">
      <w:pPr>
        <w:jc w:val="both"/>
        <w:rPr>
          <w:rFonts w:eastAsia="Calibri" w:cs="Arial"/>
          <w:szCs w:val="20"/>
        </w:rPr>
      </w:pPr>
      <w:r>
        <w:rPr>
          <w:rFonts w:eastAsia="Calibri" w:cs="Arial"/>
          <w:szCs w:val="20"/>
        </w:rPr>
        <w:t>V prvem odstavku se besedilo »</w:t>
      </w:r>
      <w:r>
        <w:rPr>
          <w:rFonts w:cs="Arial"/>
          <w:szCs w:val="20"/>
          <w:shd w:val="clear" w:color="auto" w:fill="FFFFFF"/>
        </w:rPr>
        <w:t xml:space="preserve">z izjemo postopkov, za katere so pristojna specializirana sodišča, ali če gre za </w:t>
      </w:r>
      <w:r>
        <w:rPr>
          <w:rFonts w:eastAsia="Calibri" w:cs="Arial"/>
          <w:szCs w:val="20"/>
        </w:rPr>
        <w:t>postopke« nadomesti z besedilom »</w:t>
      </w:r>
      <w:bookmarkStart w:id="4" w:name="_Hlk218504768"/>
      <w:r>
        <w:rPr>
          <w:rFonts w:eastAsia="Calibri" w:cs="Arial"/>
          <w:szCs w:val="20"/>
        </w:rPr>
        <w:t>razen v postopkih</w:t>
      </w:r>
      <w:bookmarkEnd w:id="4"/>
      <w:r>
        <w:rPr>
          <w:rFonts w:eastAsia="Calibri" w:cs="Arial"/>
          <w:szCs w:val="20"/>
        </w:rPr>
        <w:t>«.</w:t>
      </w:r>
    </w:p>
    <w:p w:rsidR="00D06B39" w:rsidRDefault="00D06B39" w:rsidP="00D06B39">
      <w:pPr>
        <w:jc w:val="both"/>
        <w:rPr>
          <w:rFonts w:eastAsia="Calibri" w:cs="Arial"/>
          <w:szCs w:val="20"/>
        </w:rPr>
      </w:pPr>
    </w:p>
    <w:p w:rsidR="00D06B39" w:rsidRDefault="00D06B39" w:rsidP="00D06B39">
      <w:pPr>
        <w:jc w:val="both"/>
        <w:rPr>
          <w:rFonts w:cs="Arial"/>
          <w:szCs w:val="20"/>
          <w:shd w:val="clear" w:color="auto" w:fill="FFFFFF"/>
        </w:rPr>
      </w:pPr>
      <w:r>
        <w:rPr>
          <w:rFonts w:eastAsia="Calibri" w:cs="Arial"/>
          <w:szCs w:val="20"/>
        </w:rPr>
        <w:lastRenderedPageBreak/>
        <w:t>V drugem odstavku se besedilo »</w:t>
      </w:r>
      <w:r>
        <w:rPr>
          <w:rFonts w:cs="Arial"/>
          <w:szCs w:val="20"/>
          <w:shd w:val="clear" w:color="auto" w:fill="FFFFFF"/>
        </w:rPr>
        <w:t>prvega odstavka tega člena« nadomesti z besedilom »</w:t>
      </w:r>
      <w:bookmarkStart w:id="5" w:name="_Hlk218504803"/>
      <w:r>
        <w:rPr>
          <w:rFonts w:cs="Arial"/>
          <w:szCs w:val="20"/>
          <w:shd w:val="clear" w:color="auto" w:fill="FFFFFF"/>
        </w:rPr>
        <w:t>prejšnjega odstavka</w:t>
      </w:r>
      <w:bookmarkEnd w:id="5"/>
      <w:r>
        <w:rPr>
          <w:rFonts w:cs="Arial"/>
          <w:szCs w:val="20"/>
          <w:shd w:val="clear" w:color="auto" w:fill="FFFFFF"/>
        </w:rPr>
        <w:t>«, besedi »v celoti« pa se črtata.</w:t>
      </w:r>
    </w:p>
    <w:p w:rsidR="00D06B39" w:rsidRDefault="00D06B39" w:rsidP="00D06B39">
      <w:pPr>
        <w:jc w:val="both"/>
        <w:rPr>
          <w:rFonts w:cs="Arial"/>
          <w:szCs w:val="20"/>
          <w:shd w:val="clear" w:color="auto" w:fill="FFFFFF"/>
        </w:rPr>
      </w:pPr>
    </w:p>
    <w:p w:rsidR="00D06B39" w:rsidRDefault="00D06B39" w:rsidP="00D06B39">
      <w:pPr>
        <w:jc w:val="both"/>
        <w:rPr>
          <w:rFonts w:eastAsia="Calibri" w:cs="Arial"/>
          <w:szCs w:val="20"/>
          <w:u w:val="single"/>
        </w:rPr>
      </w:pPr>
      <w:r>
        <w:rPr>
          <w:rFonts w:eastAsia="Calibri" w:cs="Arial"/>
          <w:szCs w:val="20"/>
          <w:u w:val="single"/>
        </w:rPr>
        <w:t>Obrazložitev:</w:t>
      </w:r>
    </w:p>
    <w:p w:rsidR="00D06B39" w:rsidRDefault="00D06B39" w:rsidP="00D06B39">
      <w:pPr>
        <w:jc w:val="both"/>
        <w:rPr>
          <w:rFonts w:eastAsia="Calibri" w:cs="Arial"/>
          <w:szCs w:val="20"/>
        </w:rPr>
      </w:pPr>
      <w:r>
        <w:rPr>
          <w:rFonts w:eastAsia="Calibri" w:cs="Arial"/>
          <w:szCs w:val="20"/>
        </w:rPr>
        <w:t xml:space="preserve">Z amandmajem predlagana sprememba prvega odstavka sledi mnenju ZPS, ki je opozorila, da bi bilo treba v skladu z Direktivo (EU) 2024/1069 zagotoviti zaščitne ukrepe po tem zakonu vsaj za delovne in socialne spore s čezmejnim elementom, saj 2. člen Direktive (EU) 2024/1069 določa, da se ta direktiva uporablja za zadeve civilne narave s čezmejnimi posledicami, ki so predmet obravnave v civilnih postopkih, </w:t>
      </w:r>
      <w:r>
        <w:rPr>
          <w:rFonts w:eastAsia="Calibri" w:cs="Arial"/>
          <w:i/>
          <w:iCs/>
          <w:szCs w:val="20"/>
        </w:rPr>
        <w:t>ne glede na vrsto sodišča</w:t>
      </w:r>
      <w:r>
        <w:rPr>
          <w:rFonts w:eastAsia="Calibri" w:cs="Arial"/>
          <w:szCs w:val="20"/>
        </w:rPr>
        <w:t>, v nadaljevanju pa, v katerih zadevah se ta direktiva ne uporablja (npr. upravne zadeve).</w:t>
      </w:r>
    </w:p>
    <w:p w:rsidR="00D06B39" w:rsidRDefault="00D06B39" w:rsidP="00D06B39">
      <w:pPr>
        <w:jc w:val="both"/>
        <w:rPr>
          <w:rFonts w:eastAsia="Calibri" w:cs="Arial"/>
          <w:szCs w:val="20"/>
        </w:rPr>
      </w:pPr>
    </w:p>
    <w:p w:rsidR="00D06B39" w:rsidRDefault="00D06B39" w:rsidP="00D06B39">
      <w:pPr>
        <w:jc w:val="both"/>
        <w:rPr>
          <w:rFonts w:eastAsia="Calibri" w:cs="Arial"/>
          <w:szCs w:val="20"/>
        </w:rPr>
      </w:pPr>
      <w:r>
        <w:rPr>
          <w:rFonts w:eastAsia="Calibri" w:cs="Arial"/>
          <w:szCs w:val="20"/>
        </w:rPr>
        <w:t>Ker ni utemeljenega stvarnega razloga za razlikovanje med postopki s čezmejnim elementom in postopki brez čezmejnega elementa, se z amandmajem razširja področje uporabe zakona tudi na civilne postopke pred delovnimi in socialnimi sodišči, in sicer tako na postopke s čezmejnim elementom kot na postopke brez njega.</w:t>
      </w:r>
    </w:p>
    <w:p w:rsidR="00D06B39" w:rsidRDefault="00D06B39" w:rsidP="00D06B39">
      <w:pPr>
        <w:jc w:val="both"/>
        <w:rPr>
          <w:rFonts w:eastAsia="Calibri" w:cs="Arial"/>
          <w:szCs w:val="20"/>
        </w:rPr>
      </w:pPr>
    </w:p>
    <w:p w:rsidR="00D06B39" w:rsidRDefault="00D06B39" w:rsidP="00D06B39">
      <w:pPr>
        <w:jc w:val="both"/>
        <w:rPr>
          <w:rFonts w:eastAsia="Calibri" w:cs="Arial"/>
          <w:szCs w:val="20"/>
        </w:rPr>
      </w:pPr>
      <w:r>
        <w:rPr>
          <w:rFonts w:eastAsia="Calibri" w:cs="Arial"/>
          <w:szCs w:val="20"/>
        </w:rPr>
        <w:t xml:space="preserve">Sprememba drugega odstavka je redakcijske narave, z njo se opravi </w:t>
      </w:r>
      <w:proofErr w:type="spellStart"/>
      <w:r>
        <w:rPr>
          <w:rFonts w:eastAsia="Calibri" w:cs="Arial"/>
          <w:szCs w:val="20"/>
        </w:rPr>
        <w:t>nomotehničnih</w:t>
      </w:r>
      <w:proofErr w:type="spellEnd"/>
      <w:r>
        <w:rPr>
          <w:rFonts w:eastAsia="Calibri" w:cs="Arial"/>
          <w:szCs w:val="20"/>
        </w:rPr>
        <w:t xml:space="preserve"> pravilno sklicevanje na prejšnji odstavek, besedilo »v celoti« pa črta, saj po nepotrebnem obremenjuje besedilo člena. Sprememba sledi pripombi ZPS.</w:t>
      </w:r>
    </w:p>
    <w:p w:rsidR="00D06B39" w:rsidRDefault="00D06B39" w:rsidP="00D06B39">
      <w:pPr>
        <w:jc w:val="both"/>
        <w:rPr>
          <w:rFonts w:eastAsia="Calibri" w:cs="Arial"/>
          <w:szCs w:val="20"/>
        </w:rPr>
      </w:pPr>
    </w:p>
    <w:p w:rsidR="00D06B39" w:rsidRDefault="00D06B39" w:rsidP="00D06B39">
      <w:pPr>
        <w:jc w:val="both"/>
        <w:rPr>
          <w:rFonts w:eastAsia="Calibri" w:cs="Arial"/>
          <w:szCs w:val="20"/>
        </w:rPr>
      </w:pPr>
    </w:p>
    <w:p w:rsidR="00D06B39" w:rsidRDefault="00D06B39" w:rsidP="00D06B39">
      <w:pPr>
        <w:jc w:val="both"/>
        <w:rPr>
          <w:rFonts w:eastAsia="Calibri" w:cs="Arial"/>
          <w:b/>
          <w:bCs/>
          <w:szCs w:val="20"/>
        </w:rPr>
      </w:pPr>
      <w:r>
        <w:rPr>
          <w:rFonts w:eastAsia="Calibri" w:cs="Arial"/>
          <w:b/>
          <w:bCs/>
          <w:szCs w:val="20"/>
        </w:rPr>
        <w:t>K 4. členu</w:t>
      </w:r>
    </w:p>
    <w:p w:rsidR="00D06B39" w:rsidRDefault="00D06B39" w:rsidP="00D06B39"/>
    <w:p w:rsidR="00D06B39" w:rsidRDefault="00D06B39" w:rsidP="00D06B39">
      <w:pPr>
        <w:jc w:val="both"/>
        <w:rPr>
          <w:rFonts w:eastAsia="Calibri" w:cs="Arial"/>
          <w:szCs w:val="20"/>
        </w:rPr>
      </w:pPr>
      <w:r>
        <w:rPr>
          <w:rFonts w:eastAsia="Calibri" w:cs="Arial"/>
          <w:szCs w:val="20"/>
        </w:rPr>
        <w:t>V drugem odstavku se besedilo »</w:t>
      </w:r>
      <w:r>
        <w:rPr>
          <w:rFonts w:cs="Arial"/>
          <w:szCs w:val="20"/>
          <w:shd w:val="clear" w:color="auto" w:fill="FFFFFF"/>
        </w:rPr>
        <w:t>pravice do svobode izražanja in obveščanja, svobode umetnosti in znanosti ali svobode zbiranja in združevanja o zadevi« nadomesti z besedilom »</w:t>
      </w:r>
      <w:bookmarkStart w:id="6" w:name="_Hlk218504876"/>
      <w:r>
        <w:rPr>
          <w:rFonts w:cs="Arial"/>
          <w:szCs w:val="20"/>
          <w:shd w:val="clear" w:color="auto" w:fill="FFFFFF"/>
        </w:rPr>
        <w:t>svobode izražanja, svobode znanosti in umetnosti ali pravice do zbiranja in združevanja glede zadev</w:t>
      </w:r>
      <w:bookmarkEnd w:id="6"/>
      <w:r>
        <w:rPr>
          <w:rFonts w:cs="Arial"/>
          <w:szCs w:val="20"/>
          <w:shd w:val="clear" w:color="auto" w:fill="FFFFFF"/>
        </w:rPr>
        <w:t>«.</w:t>
      </w:r>
    </w:p>
    <w:p w:rsidR="00D06B39" w:rsidRDefault="00D06B39" w:rsidP="00D06B39"/>
    <w:p w:rsidR="00D06B39" w:rsidRDefault="00D06B39" w:rsidP="00D06B39">
      <w:pPr>
        <w:jc w:val="both"/>
        <w:rPr>
          <w:rFonts w:cs="Arial"/>
          <w:szCs w:val="20"/>
          <w:shd w:val="clear" w:color="auto" w:fill="FFFFFF"/>
        </w:rPr>
      </w:pPr>
      <w:r>
        <w:rPr>
          <w:rFonts w:cs="Arial"/>
          <w:szCs w:val="20"/>
          <w:shd w:val="clear" w:color="auto" w:fill="FFFFFF"/>
        </w:rPr>
        <w:t>V tretjem odstavku se v napovednem stavku besedilo »kot na primer« nadomesti z besedo »zlasti«, v prvi alineji se besedilo »temeljne pravice« nadomesti z besedilom »človekove pravice in temeljne svoboščine«, v tretji alineji se besedilo »obravnava zakonodajni, izvršilni ali sodni organ« nadomesti z besedilom »</w:t>
      </w:r>
      <w:bookmarkStart w:id="7" w:name="_Hlk218504976"/>
      <w:r>
        <w:rPr>
          <w:rFonts w:cs="Arial"/>
          <w:szCs w:val="20"/>
          <w:shd w:val="clear" w:color="auto" w:fill="FFFFFF"/>
        </w:rPr>
        <w:t>obravnavajo organi zakonodajne, izvršilne ali sodne oblasti</w:t>
      </w:r>
      <w:bookmarkEnd w:id="7"/>
      <w:r>
        <w:rPr>
          <w:rFonts w:cs="Arial"/>
          <w:szCs w:val="20"/>
          <w:shd w:val="clear" w:color="auto" w:fill="FFFFFF"/>
        </w:rPr>
        <w:t>«, v četrti alineji se za besedo »prekrških« doda besedilo »</w:t>
      </w:r>
      <w:bookmarkStart w:id="8" w:name="_Hlk218504997"/>
      <w:r>
        <w:rPr>
          <w:rFonts w:cs="Arial"/>
          <w:szCs w:val="20"/>
          <w:shd w:val="clear" w:color="auto" w:fill="FFFFFF"/>
        </w:rPr>
        <w:t>ali drugih prestopkih</w:t>
      </w:r>
      <w:bookmarkEnd w:id="8"/>
      <w:r>
        <w:rPr>
          <w:rFonts w:cs="Arial"/>
          <w:szCs w:val="20"/>
          <w:shd w:val="clear" w:color="auto" w:fill="FFFFFF"/>
        </w:rPr>
        <w:t>«, v peti alineji pa se besedilo »člena 2« nadomesti z besedilom »2. člena«.</w:t>
      </w:r>
    </w:p>
    <w:p w:rsidR="00D06B39" w:rsidRDefault="00D06B39" w:rsidP="00D06B39"/>
    <w:p w:rsidR="00D06B39" w:rsidRDefault="00D06B39" w:rsidP="00D06B39">
      <w:pPr>
        <w:jc w:val="both"/>
        <w:rPr>
          <w:rFonts w:cs="Arial"/>
          <w:szCs w:val="20"/>
          <w:shd w:val="clear" w:color="auto" w:fill="FFFFFF"/>
        </w:rPr>
      </w:pPr>
      <w:r>
        <w:rPr>
          <w:rFonts w:cs="Arial"/>
          <w:szCs w:val="20"/>
          <w:shd w:val="clear" w:color="auto" w:fill="FFFFFF"/>
        </w:rPr>
        <w:t>V četrtem odstavku se v prvem stavku za besedo »pravice« doda besedilo »</w:t>
      </w:r>
      <w:bookmarkStart w:id="9" w:name="_Hlk218505054"/>
      <w:r>
        <w:rPr>
          <w:rFonts w:cs="Arial"/>
          <w:szCs w:val="20"/>
          <w:shd w:val="clear" w:color="auto" w:fill="FFFFFF"/>
        </w:rPr>
        <w:t>do sodnega varstva</w:t>
      </w:r>
      <w:bookmarkEnd w:id="9"/>
      <w:r>
        <w:rPr>
          <w:rFonts w:cs="Arial"/>
          <w:szCs w:val="20"/>
          <w:shd w:val="clear" w:color="auto" w:fill="FFFFFF"/>
        </w:rPr>
        <w:t>«, besedilo »pri čemer se pogosto izkorišča neravnovesje moči med strankami,« pa se črta. V drugem stavku se besedilo »na primer« nadomesti z besedo »zlasti«, doda se nova prva alineja, ki se glasi:</w:t>
      </w:r>
    </w:p>
    <w:p w:rsidR="00D06B39" w:rsidRDefault="00D06B39" w:rsidP="00D06B39">
      <w:pPr>
        <w:jc w:val="both"/>
        <w:rPr>
          <w:rFonts w:cs="Arial"/>
          <w:szCs w:val="20"/>
          <w:shd w:val="clear" w:color="auto" w:fill="FFFFFF"/>
        </w:rPr>
      </w:pPr>
      <w:bookmarkStart w:id="10" w:name="_Hlk218505176"/>
      <w:r>
        <w:rPr>
          <w:rFonts w:cs="Arial"/>
          <w:szCs w:val="20"/>
          <w:shd w:val="clear" w:color="auto" w:fill="FFFFFF"/>
        </w:rPr>
        <w:t>»– obstoj neravnovesja moči med strankama</w:t>
      </w:r>
      <w:bookmarkEnd w:id="10"/>
      <w:r>
        <w:rPr>
          <w:rFonts w:cs="Arial"/>
          <w:szCs w:val="20"/>
          <w:shd w:val="clear" w:color="auto" w:fill="FFFFFF"/>
        </w:rPr>
        <w:t xml:space="preserve">,«, </w:t>
      </w:r>
    </w:p>
    <w:p w:rsidR="00D06B39" w:rsidRDefault="00D06B39" w:rsidP="00D06B39">
      <w:pPr>
        <w:jc w:val="both"/>
        <w:rPr>
          <w:rFonts w:cs="Arial"/>
          <w:szCs w:val="20"/>
          <w:shd w:val="clear" w:color="auto" w:fill="FFFFFF"/>
        </w:rPr>
      </w:pPr>
      <w:r>
        <w:rPr>
          <w:rFonts w:cs="Arial"/>
          <w:szCs w:val="20"/>
          <w:shd w:val="clear" w:color="auto" w:fill="FFFFFF"/>
        </w:rPr>
        <w:t>dosedanje prva, druga, tretja in četrta alineja pa postanejo druga, tretja, četrta in peta alineja.</w:t>
      </w:r>
    </w:p>
    <w:p w:rsidR="00D06B39" w:rsidRDefault="00D06B39" w:rsidP="00D06B39">
      <w:pPr>
        <w:jc w:val="both"/>
      </w:pPr>
      <w:r>
        <w:rPr>
          <w:rFonts w:cs="Arial"/>
          <w:szCs w:val="20"/>
          <w:shd w:val="clear" w:color="auto" w:fill="FFFFFF"/>
        </w:rPr>
        <w:t xml:space="preserve"> </w:t>
      </w:r>
    </w:p>
    <w:p w:rsidR="00D06B39" w:rsidRDefault="00D06B39" w:rsidP="00D06B39">
      <w:pPr>
        <w:jc w:val="both"/>
        <w:rPr>
          <w:rFonts w:eastAsia="Calibri" w:cs="Arial"/>
          <w:szCs w:val="20"/>
        </w:rPr>
      </w:pPr>
      <w:r>
        <w:rPr>
          <w:rFonts w:eastAsia="Calibri" w:cs="Arial"/>
          <w:szCs w:val="20"/>
        </w:rPr>
        <w:t>V petem odstavku se besedilo »o zaščiti žvižgačev in« nadomesti z vejico in besedilom »</w:t>
      </w:r>
      <w:bookmarkStart w:id="11" w:name="_Hlk218505409"/>
      <w:r>
        <w:rPr>
          <w:rFonts w:eastAsia="Calibri" w:cs="Arial"/>
          <w:szCs w:val="20"/>
        </w:rPr>
        <w:t>ki ureja zaščito prijaviteljev,</w:t>
      </w:r>
      <w:bookmarkEnd w:id="11"/>
      <w:r>
        <w:rPr>
          <w:rFonts w:eastAsia="Calibri" w:cs="Arial"/>
          <w:szCs w:val="20"/>
        </w:rPr>
        <w:t>«, beseda »civilne« pa se črta.</w:t>
      </w:r>
    </w:p>
    <w:p w:rsidR="00D06B39" w:rsidRDefault="00D06B39" w:rsidP="00D06B39">
      <w:pPr>
        <w:jc w:val="both"/>
        <w:rPr>
          <w:rFonts w:eastAsia="Calibri" w:cs="Arial"/>
          <w:szCs w:val="20"/>
        </w:rPr>
      </w:pPr>
    </w:p>
    <w:p w:rsidR="00D06B39" w:rsidRDefault="00D06B39" w:rsidP="00D06B39">
      <w:pPr>
        <w:jc w:val="both"/>
        <w:rPr>
          <w:rFonts w:eastAsia="Calibri" w:cs="Arial"/>
          <w:szCs w:val="20"/>
          <w:u w:val="single"/>
        </w:rPr>
      </w:pPr>
      <w:r>
        <w:rPr>
          <w:rFonts w:eastAsia="Calibri" w:cs="Arial"/>
          <w:szCs w:val="20"/>
          <w:u w:val="single"/>
        </w:rPr>
        <w:t>Obrazložitev:</w:t>
      </w:r>
    </w:p>
    <w:p w:rsidR="00D06B39" w:rsidRDefault="00D06B39" w:rsidP="00D06B39">
      <w:pPr>
        <w:jc w:val="both"/>
        <w:rPr>
          <w:rFonts w:eastAsia="Calibri" w:cs="Arial"/>
          <w:szCs w:val="20"/>
        </w:rPr>
      </w:pPr>
      <w:r>
        <w:rPr>
          <w:rFonts w:eastAsia="Calibri" w:cs="Arial"/>
          <w:szCs w:val="20"/>
        </w:rPr>
        <w:t xml:space="preserve">Z amandmajem predlagana sprememba drugega odstavka je redakcijske narave, in sicer se terminologija glede posameznih človekovih pravic in temeljnih svoboščin usklajuje s terminologijo, ki jo določa Ustava Republike Slovenije. Ta in naslednji popravki sledijo mnenju ZPS, da se mora direktiva prenesti v nacionalni predpis v skladu s pravili nacionalne </w:t>
      </w:r>
      <w:proofErr w:type="spellStart"/>
      <w:r>
        <w:rPr>
          <w:rFonts w:eastAsia="Calibri" w:cs="Arial"/>
          <w:szCs w:val="20"/>
        </w:rPr>
        <w:t>nomotehnike</w:t>
      </w:r>
      <w:proofErr w:type="spellEnd"/>
      <w:r>
        <w:rPr>
          <w:rFonts w:eastAsia="Calibri" w:cs="Arial"/>
          <w:szCs w:val="20"/>
        </w:rPr>
        <w:t>. Tako so tudi spremembe tretjega in četrtega odstavka redakcijske narave in sledijo mnenju ZPS.</w:t>
      </w:r>
    </w:p>
    <w:p w:rsidR="00D06B39" w:rsidRDefault="00D06B39" w:rsidP="00D06B39">
      <w:pPr>
        <w:jc w:val="both"/>
        <w:rPr>
          <w:rFonts w:eastAsia="Calibri" w:cs="Arial"/>
          <w:szCs w:val="20"/>
        </w:rPr>
      </w:pPr>
    </w:p>
    <w:p w:rsidR="00D06B39" w:rsidRDefault="00D06B39" w:rsidP="00D06B39">
      <w:pPr>
        <w:jc w:val="both"/>
        <w:rPr>
          <w:rFonts w:eastAsia="Calibri" w:cs="Arial"/>
          <w:szCs w:val="20"/>
        </w:rPr>
      </w:pPr>
      <w:r>
        <w:rPr>
          <w:rFonts w:eastAsia="Calibri" w:cs="Arial"/>
          <w:szCs w:val="20"/>
        </w:rPr>
        <w:lastRenderedPageBreak/>
        <w:t xml:space="preserve">Prav tako sprememba petega odstavka sledi mnenju ZPS in je redakcijske narave. Popravlja se sklic na zakon, ki ureja zaščito prijaviteljev, črta se beseda »civilne« v besedni zvezi »civilne nevladne organizacije«. </w:t>
      </w:r>
    </w:p>
    <w:p w:rsidR="00D06B39" w:rsidRDefault="00D06B39" w:rsidP="00D06B39">
      <w:pPr>
        <w:jc w:val="both"/>
        <w:rPr>
          <w:rFonts w:eastAsia="Calibri" w:cs="Arial"/>
          <w:szCs w:val="20"/>
        </w:rPr>
      </w:pPr>
    </w:p>
    <w:p w:rsidR="00D06B39" w:rsidRDefault="00D06B39" w:rsidP="00D06B39">
      <w:pPr>
        <w:jc w:val="both"/>
        <w:rPr>
          <w:rFonts w:eastAsia="Calibri" w:cs="Arial"/>
          <w:szCs w:val="20"/>
        </w:rPr>
      </w:pPr>
    </w:p>
    <w:p w:rsidR="00D06B39" w:rsidRDefault="00D06B39" w:rsidP="00D06B39">
      <w:pPr>
        <w:jc w:val="both"/>
        <w:rPr>
          <w:rFonts w:eastAsia="Calibri" w:cs="Arial"/>
          <w:b/>
          <w:bCs/>
          <w:szCs w:val="20"/>
        </w:rPr>
      </w:pPr>
      <w:r>
        <w:rPr>
          <w:rFonts w:eastAsia="Calibri" w:cs="Arial"/>
          <w:b/>
          <w:bCs/>
          <w:szCs w:val="20"/>
        </w:rPr>
        <w:t>K 5. členu</w:t>
      </w:r>
    </w:p>
    <w:p w:rsidR="00D06B39" w:rsidRDefault="00D06B39" w:rsidP="00D06B39">
      <w:pPr>
        <w:jc w:val="both"/>
        <w:rPr>
          <w:rFonts w:eastAsia="Calibri" w:cs="Arial"/>
          <w:szCs w:val="20"/>
        </w:rPr>
      </w:pPr>
    </w:p>
    <w:p w:rsidR="00D06B39" w:rsidRDefault="00D06B39" w:rsidP="00D06B39">
      <w:pPr>
        <w:jc w:val="both"/>
        <w:rPr>
          <w:rFonts w:cs="Arial"/>
          <w:szCs w:val="20"/>
        </w:rPr>
      </w:pPr>
      <w:r>
        <w:rPr>
          <w:rFonts w:cs="Arial"/>
          <w:szCs w:val="20"/>
        </w:rPr>
        <w:t>V prvem odstavku se v tretji alineji črta pika in doda besedilo »</w:t>
      </w:r>
      <w:bookmarkStart w:id="12" w:name="_Hlk218505463"/>
      <w:r>
        <w:rPr>
          <w:rFonts w:cs="Arial"/>
          <w:szCs w:val="20"/>
        </w:rPr>
        <w:t>očitno neutemeljenega zahtevka,</w:t>
      </w:r>
      <w:bookmarkEnd w:id="12"/>
      <w:r>
        <w:rPr>
          <w:rFonts w:cs="Arial"/>
          <w:szCs w:val="20"/>
        </w:rPr>
        <w:t>«, v peti alineji pa se za besedo »in« doda besedilo »</w:t>
      </w:r>
      <w:bookmarkStart w:id="13" w:name="_Hlk218505482"/>
      <w:r>
        <w:rPr>
          <w:rFonts w:cs="Arial"/>
          <w:szCs w:val="20"/>
        </w:rPr>
        <w:t>objava sodbe ter</w:t>
      </w:r>
      <w:bookmarkEnd w:id="13"/>
      <w:r>
        <w:rPr>
          <w:rFonts w:cs="Arial"/>
          <w:szCs w:val="20"/>
        </w:rPr>
        <w:t>«.</w:t>
      </w:r>
    </w:p>
    <w:p w:rsidR="00D06B39" w:rsidRDefault="00D06B39" w:rsidP="00D06B39">
      <w:pPr>
        <w:jc w:val="both"/>
        <w:rPr>
          <w:rFonts w:cs="Arial"/>
          <w:szCs w:val="20"/>
        </w:rPr>
      </w:pPr>
    </w:p>
    <w:p w:rsidR="00D06B39" w:rsidRDefault="00D06B39" w:rsidP="00D06B39">
      <w:pPr>
        <w:jc w:val="both"/>
        <w:rPr>
          <w:rFonts w:cs="Arial"/>
          <w:szCs w:val="20"/>
        </w:rPr>
      </w:pPr>
      <w:r>
        <w:rPr>
          <w:rFonts w:cs="Arial"/>
          <w:szCs w:val="20"/>
        </w:rPr>
        <w:t>V drugem odstavku se v prvem stavku črta besedilo »oziroma jih izvede«, besedi »tožene stranke« pa se nadomestita z besedo »upravičenca«. Za drugim stavkom se doda nov tretji stavek, ki se glasi: »</w:t>
      </w:r>
      <w:bookmarkStart w:id="14" w:name="_Hlk218505530"/>
      <w:r>
        <w:rPr>
          <w:rFonts w:cs="Arial"/>
          <w:szCs w:val="20"/>
        </w:rPr>
        <w:t>Zaščitni ukrep podpore in pomoči upravičencu se izvede v skladu s 7. členom tega zakona.</w:t>
      </w:r>
      <w:bookmarkEnd w:id="14"/>
      <w:r>
        <w:rPr>
          <w:rFonts w:cs="Arial"/>
          <w:szCs w:val="20"/>
        </w:rPr>
        <w:t>«.</w:t>
      </w:r>
    </w:p>
    <w:p w:rsidR="00D06B39" w:rsidRDefault="00D06B39" w:rsidP="00D06B39">
      <w:pPr>
        <w:jc w:val="both"/>
        <w:rPr>
          <w:rFonts w:eastAsia="Calibri" w:cs="Arial"/>
          <w:szCs w:val="20"/>
        </w:rPr>
      </w:pPr>
    </w:p>
    <w:p w:rsidR="00D06B39" w:rsidRDefault="00D06B39" w:rsidP="00D06B39">
      <w:pPr>
        <w:jc w:val="both"/>
        <w:rPr>
          <w:rFonts w:eastAsia="Calibri" w:cs="Arial"/>
          <w:szCs w:val="20"/>
          <w:u w:val="single"/>
        </w:rPr>
      </w:pPr>
      <w:r>
        <w:rPr>
          <w:rFonts w:eastAsia="Calibri" w:cs="Arial"/>
          <w:szCs w:val="20"/>
          <w:u w:val="single"/>
        </w:rPr>
        <w:t>Obrazložitev:</w:t>
      </w:r>
    </w:p>
    <w:p w:rsidR="00D06B39" w:rsidRDefault="00D06B39" w:rsidP="00D06B39">
      <w:pPr>
        <w:jc w:val="both"/>
        <w:rPr>
          <w:rFonts w:eastAsia="Calibri" w:cs="Arial"/>
          <w:szCs w:val="20"/>
        </w:rPr>
      </w:pPr>
      <w:r>
        <w:rPr>
          <w:rFonts w:eastAsia="Calibri" w:cs="Arial"/>
          <w:szCs w:val="20"/>
        </w:rPr>
        <w:t>Z amandmajem predlagani spremembi prvega odstavka sledita mnenju ZPS. Zaradi jasnosti ureditve se v tretji alineji ime ukrepa dopolni, tako da bo že iz imena jasno razvidno, da gre za hitro obravnavo in zgodnjo zavrnitev očitno neutemeljenega zahtevka. Sprememba pete alineje je posledica z amandmajem k 10. členu predlagane spremembe naslova 10. člena predloga zakona, ki poleg povrnitve škode ureja tudi objavo sodbe.</w:t>
      </w:r>
    </w:p>
    <w:p w:rsidR="00D06B39" w:rsidRDefault="00D06B39" w:rsidP="00D06B39">
      <w:pPr>
        <w:jc w:val="both"/>
        <w:rPr>
          <w:rFonts w:eastAsia="Calibri" w:cs="Arial"/>
          <w:szCs w:val="20"/>
        </w:rPr>
      </w:pPr>
    </w:p>
    <w:p w:rsidR="00D06B39" w:rsidRDefault="00D06B39" w:rsidP="00D06B39">
      <w:pPr>
        <w:jc w:val="both"/>
        <w:rPr>
          <w:rFonts w:eastAsia="Calibri" w:cs="Arial"/>
          <w:szCs w:val="20"/>
        </w:rPr>
      </w:pPr>
      <w:r>
        <w:rPr>
          <w:rFonts w:eastAsia="Calibri" w:cs="Arial"/>
          <w:szCs w:val="20"/>
        </w:rPr>
        <w:t>Z amandmajem se v drugem odstavku glede na opozorilo ZPS določa jasnejši in razumljivejši zapis zakonskega besedila, tako da se nedvoumno določa, da sodišče odloča o vseh zaščitnih ukrepih, razen o zaščitnem ukrepu podpore in pomoči. Poleg tega se zaradi poenotenja terminologije in notranje skladnosti v zakonskem besedilu izraz »tožena stranka« nadomesti z izrazom »upravičenec«. Do zaščitnih ukrepov je namreč upravičen upravičenec in ne vsaka tožena stranka.</w:t>
      </w:r>
    </w:p>
    <w:p w:rsidR="00D06B39" w:rsidRDefault="00D06B39" w:rsidP="00D06B39">
      <w:pPr>
        <w:jc w:val="both"/>
        <w:rPr>
          <w:rFonts w:eastAsia="Calibri" w:cs="Arial"/>
          <w:szCs w:val="20"/>
        </w:rPr>
      </w:pPr>
    </w:p>
    <w:p w:rsidR="00D06B39" w:rsidRDefault="00D06B39" w:rsidP="00D06B39">
      <w:pPr>
        <w:jc w:val="both"/>
        <w:rPr>
          <w:rFonts w:eastAsia="Calibri" w:cs="Arial"/>
          <w:szCs w:val="20"/>
          <w:u w:val="single"/>
        </w:rPr>
      </w:pPr>
    </w:p>
    <w:p w:rsidR="00D06B39" w:rsidRDefault="00D06B39" w:rsidP="00D06B39">
      <w:pPr>
        <w:jc w:val="both"/>
        <w:rPr>
          <w:rFonts w:eastAsia="Calibri" w:cs="Arial"/>
          <w:b/>
          <w:bCs/>
          <w:szCs w:val="20"/>
        </w:rPr>
      </w:pPr>
      <w:r>
        <w:rPr>
          <w:rFonts w:eastAsia="Calibri" w:cs="Arial"/>
          <w:b/>
          <w:bCs/>
          <w:szCs w:val="20"/>
        </w:rPr>
        <w:t>K 6. členu</w:t>
      </w:r>
    </w:p>
    <w:p w:rsidR="00D06B39" w:rsidRDefault="00D06B39" w:rsidP="00D06B39">
      <w:pPr>
        <w:jc w:val="both"/>
        <w:rPr>
          <w:rFonts w:eastAsia="Calibri" w:cs="Arial"/>
          <w:szCs w:val="20"/>
          <w:u w:val="single"/>
        </w:rPr>
      </w:pPr>
    </w:p>
    <w:p w:rsidR="00D06B39" w:rsidRDefault="00D06B39" w:rsidP="00D06B39">
      <w:pPr>
        <w:jc w:val="both"/>
        <w:rPr>
          <w:rFonts w:eastAsia="Calibri" w:cs="Arial"/>
          <w:szCs w:val="20"/>
        </w:rPr>
      </w:pPr>
      <w:r>
        <w:rPr>
          <w:rFonts w:eastAsia="Calibri" w:cs="Arial"/>
          <w:szCs w:val="20"/>
        </w:rPr>
        <w:t>V drugem odstavku se doda nov drugi stavek, ki se glasi: »</w:t>
      </w:r>
      <w:bookmarkStart w:id="15" w:name="_Hlk218505555"/>
      <w:r>
        <w:rPr>
          <w:rFonts w:eastAsia="Calibri" w:cs="Arial"/>
          <w:szCs w:val="20"/>
        </w:rPr>
        <w:t>Če upravičenec v postopku uveljavlja povrnitev škode v skladu s tem zakonom, sodišče pri določitvi višine varščine upošteva tudi višino zahtevane odškodnine, če je ta verjetno izkazana.</w:t>
      </w:r>
      <w:bookmarkEnd w:id="15"/>
      <w:r>
        <w:rPr>
          <w:rFonts w:eastAsia="Calibri" w:cs="Arial"/>
          <w:szCs w:val="20"/>
        </w:rPr>
        <w:t>«.</w:t>
      </w:r>
    </w:p>
    <w:p w:rsidR="00D06B39" w:rsidRDefault="00D06B39" w:rsidP="00D06B39">
      <w:pPr>
        <w:jc w:val="both"/>
        <w:rPr>
          <w:rFonts w:eastAsia="Calibri" w:cs="Arial"/>
          <w:szCs w:val="20"/>
        </w:rPr>
      </w:pPr>
    </w:p>
    <w:p w:rsidR="00D06B39" w:rsidRDefault="00D06B39" w:rsidP="00D06B39">
      <w:pPr>
        <w:jc w:val="both"/>
        <w:rPr>
          <w:rFonts w:eastAsia="Calibri" w:cs="Arial"/>
          <w:szCs w:val="20"/>
        </w:rPr>
      </w:pPr>
      <w:r>
        <w:rPr>
          <w:rFonts w:eastAsia="Calibri" w:cs="Arial"/>
          <w:szCs w:val="20"/>
        </w:rPr>
        <w:t>Za drugim odstavkom se doda nov tretji odstavek, ki se glasi:</w:t>
      </w:r>
    </w:p>
    <w:p w:rsidR="00D06B39" w:rsidRDefault="00D06B39" w:rsidP="00D06B39">
      <w:pPr>
        <w:jc w:val="both"/>
        <w:rPr>
          <w:rFonts w:eastAsia="Calibri" w:cs="Arial"/>
          <w:szCs w:val="20"/>
        </w:rPr>
      </w:pPr>
    </w:p>
    <w:p w:rsidR="00D06B39" w:rsidRDefault="00D06B39" w:rsidP="00D06B39">
      <w:pPr>
        <w:jc w:val="both"/>
        <w:rPr>
          <w:rFonts w:eastAsia="Calibri" w:cs="Arial"/>
          <w:szCs w:val="20"/>
        </w:rPr>
      </w:pPr>
      <w:bookmarkStart w:id="16" w:name="_Hlk218505589"/>
      <w:r>
        <w:rPr>
          <w:rFonts w:eastAsia="Calibri" w:cs="Arial"/>
          <w:szCs w:val="20"/>
        </w:rPr>
        <w:t>»(3) Ne glede na prejšnji odstavek lahko sodišče določi varščino tudi v nižjem znesku, pri čemer upošteva premoženjski položaj tožeče stranke in pomen sodnega varstva za njen materialni ali družbeni položaj.«.</w:t>
      </w:r>
    </w:p>
    <w:bookmarkEnd w:id="16"/>
    <w:p w:rsidR="00D06B39" w:rsidRDefault="00D06B39" w:rsidP="00D06B39">
      <w:pPr>
        <w:jc w:val="both"/>
        <w:rPr>
          <w:rFonts w:eastAsia="Calibri" w:cs="Arial"/>
          <w:szCs w:val="20"/>
        </w:rPr>
      </w:pPr>
    </w:p>
    <w:p w:rsidR="00D06B39" w:rsidRDefault="00D06B39" w:rsidP="00D06B39">
      <w:pPr>
        <w:jc w:val="both"/>
        <w:rPr>
          <w:rFonts w:eastAsia="Calibri" w:cs="Arial"/>
          <w:szCs w:val="20"/>
        </w:rPr>
      </w:pPr>
      <w:r>
        <w:rPr>
          <w:rFonts w:eastAsia="Calibri" w:cs="Arial"/>
          <w:szCs w:val="20"/>
        </w:rPr>
        <w:t>Dosedanji tretji odstavek postane četrti odstavek.</w:t>
      </w:r>
    </w:p>
    <w:p w:rsidR="00D06B39" w:rsidRDefault="00D06B39" w:rsidP="00D06B39">
      <w:pPr>
        <w:jc w:val="both"/>
        <w:rPr>
          <w:rFonts w:eastAsia="Calibri" w:cs="Arial"/>
          <w:szCs w:val="20"/>
        </w:rPr>
      </w:pPr>
    </w:p>
    <w:p w:rsidR="00D06B39" w:rsidRDefault="00D06B39" w:rsidP="00D06B39">
      <w:pPr>
        <w:jc w:val="both"/>
        <w:rPr>
          <w:rFonts w:eastAsia="Calibri" w:cs="Arial"/>
          <w:szCs w:val="20"/>
        </w:rPr>
      </w:pPr>
      <w:r>
        <w:rPr>
          <w:rFonts w:eastAsia="Calibri" w:cs="Arial"/>
          <w:szCs w:val="20"/>
        </w:rPr>
        <w:t>Dosedanji četrti odstavek se črta.</w:t>
      </w:r>
    </w:p>
    <w:p w:rsidR="00D06B39" w:rsidRDefault="00D06B39" w:rsidP="00D06B39">
      <w:pPr>
        <w:jc w:val="both"/>
        <w:rPr>
          <w:rFonts w:eastAsia="Calibri" w:cs="Arial"/>
          <w:szCs w:val="20"/>
        </w:rPr>
      </w:pPr>
    </w:p>
    <w:p w:rsidR="00D06B39" w:rsidRDefault="00D06B39" w:rsidP="00D06B39">
      <w:pPr>
        <w:jc w:val="both"/>
        <w:rPr>
          <w:rFonts w:eastAsia="Calibri" w:cs="Arial"/>
          <w:szCs w:val="20"/>
        </w:rPr>
      </w:pPr>
      <w:r>
        <w:rPr>
          <w:rFonts w:eastAsia="Calibri" w:cs="Arial"/>
          <w:szCs w:val="20"/>
        </w:rPr>
        <w:t>V šestem odstavku se besedilo »o naložitvi plačila varščine odloča« nadomesti z besedilom »</w:t>
      </w:r>
      <w:bookmarkStart w:id="17" w:name="_Hlk218505642"/>
      <w:r>
        <w:rPr>
          <w:rFonts w:eastAsia="Calibri" w:cs="Arial"/>
          <w:szCs w:val="20"/>
        </w:rPr>
        <w:t>o predlogu za naložitev plačila varščine odloči</w:t>
      </w:r>
      <w:bookmarkEnd w:id="17"/>
      <w:r>
        <w:rPr>
          <w:rFonts w:eastAsia="Calibri" w:cs="Arial"/>
          <w:szCs w:val="20"/>
        </w:rPr>
        <w:t>«.</w:t>
      </w:r>
    </w:p>
    <w:p w:rsidR="00D06B39" w:rsidRDefault="00D06B39" w:rsidP="00D06B39">
      <w:pPr>
        <w:jc w:val="both"/>
        <w:rPr>
          <w:rFonts w:eastAsia="Calibri" w:cs="Arial"/>
          <w:szCs w:val="20"/>
        </w:rPr>
      </w:pPr>
    </w:p>
    <w:p w:rsidR="00D06B39" w:rsidRDefault="00D06B39" w:rsidP="00D06B39">
      <w:pPr>
        <w:jc w:val="both"/>
        <w:rPr>
          <w:rFonts w:eastAsia="Calibri" w:cs="Arial"/>
          <w:szCs w:val="20"/>
        </w:rPr>
      </w:pPr>
      <w:r>
        <w:rPr>
          <w:rFonts w:eastAsia="Calibri" w:cs="Arial"/>
          <w:szCs w:val="20"/>
        </w:rPr>
        <w:t>Sedmi odstavek se spremeni tako, da se glasi:</w:t>
      </w:r>
    </w:p>
    <w:p w:rsidR="00D06B39" w:rsidRDefault="00D06B39" w:rsidP="00D06B39">
      <w:pPr>
        <w:jc w:val="both"/>
        <w:rPr>
          <w:rFonts w:eastAsia="Calibri" w:cs="Arial"/>
          <w:szCs w:val="20"/>
        </w:rPr>
      </w:pPr>
    </w:p>
    <w:p w:rsidR="00D06B39" w:rsidRDefault="00D06B39" w:rsidP="00D06B39">
      <w:pPr>
        <w:jc w:val="both"/>
        <w:rPr>
          <w:rFonts w:cs="Arial"/>
          <w:szCs w:val="20"/>
        </w:rPr>
      </w:pPr>
      <w:bookmarkStart w:id="18" w:name="_Hlk218505668"/>
      <w:r>
        <w:rPr>
          <w:rFonts w:eastAsia="Calibri" w:cs="Arial"/>
          <w:szCs w:val="20"/>
        </w:rPr>
        <w:t>»</w:t>
      </w:r>
      <w:r>
        <w:rPr>
          <w:rFonts w:cs="Arial"/>
          <w:szCs w:val="20"/>
        </w:rPr>
        <w:t>(7) Zoper sklep iz prejšnjega odstavka ni posebne pritožbe.«.</w:t>
      </w:r>
    </w:p>
    <w:bookmarkEnd w:id="18"/>
    <w:p w:rsidR="00D06B39" w:rsidRDefault="00D06B39" w:rsidP="00D06B39">
      <w:pPr>
        <w:jc w:val="both"/>
        <w:rPr>
          <w:rFonts w:cs="Arial"/>
          <w:szCs w:val="20"/>
        </w:rPr>
      </w:pPr>
    </w:p>
    <w:p w:rsidR="00D06B39" w:rsidRDefault="00D06B39" w:rsidP="00D06B39">
      <w:pPr>
        <w:jc w:val="both"/>
        <w:rPr>
          <w:rFonts w:cs="Arial"/>
          <w:szCs w:val="20"/>
        </w:rPr>
      </w:pPr>
      <w:r>
        <w:rPr>
          <w:rFonts w:cs="Arial"/>
          <w:szCs w:val="20"/>
        </w:rPr>
        <w:lastRenderedPageBreak/>
        <w:t>Za sedmim odstavkom se doda nov osmi odstavek, ki se glasi:</w:t>
      </w:r>
    </w:p>
    <w:p w:rsidR="00D06B39" w:rsidRDefault="00D06B39" w:rsidP="00D06B39">
      <w:pPr>
        <w:jc w:val="both"/>
        <w:rPr>
          <w:rFonts w:cs="Arial"/>
          <w:szCs w:val="20"/>
        </w:rPr>
      </w:pPr>
    </w:p>
    <w:p w:rsidR="00D06B39" w:rsidRDefault="00D06B39" w:rsidP="00D06B39">
      <w:pPr>
        <w:pStyle w:val="odstavek"/>
        <w:shd w:val="clear" w:color="auto" w:fill="FFFFFF" w:themeFill="background1"/>
        <w:spacing w:before="0" w:beforeAutospacing="0" w:after="0" w:afterAutospacing="0" w:line="260" w:lineRule="exact"/>
        <w:jc w:val="both"/>
        <w:rPr>
          <w:rFonts w:ascii="Arial" w:hAnsi="Arial" w:cs="Arial"/>
          <w:sz w:val="20"/>
          <w:szCs w:val="20"/>
        </w:rPr>
      </w:pPr>
      <w:bookmarkStart w:id="19" w:name="_Hlk218505691"/>
      <w:r>
        <w:rPr>
          <w:rFonts w:ascii="Arial" w:hAnsi="Arial" w:cs="Arial"/>
          <w:sz w:val="20"/>
          <w:szCs w:val="20"/>
        </w:rPr>
        <w:t>»(8) Tožeča stranka lahko zoper sklep o ustavitvi postopka, izdan na podlagi petega odstavka tega člena, uveljavlja tudi, da niso bili podani pogoji za določitev varščine ali da višina varščine ni bila ustrezno določena.</w:t>
      </w:r>
      <w:bookmarkEnd w:id="19"/>
      <w:r>
        <w:rPr>
          <w:rFonts w:ascii="Arial" w:hAnsi="Arial" w:cs="Arial"/>
          <w:sz w:val="20"/>
          <w:szCs w:val="20"/>
        </w:rPr>
        <w:t>«.</w:t>
      </w:r>
    </w:p>
    <w:p w:rsidR="00D06B39" w:rsidRDefault="00D06B39" w:rsidP="00D06B39">
      <w:pPr>
        <w:jc w:val="both"/>
        <w:rPr>
          <w:rFonts w:eastAsia="Calibri" w:cs="Arial"/>
          <w:szCs w:val="20"/>
        </w:rPr>
      </w:pPr>
    </w:p>
    <w:p w:rsidR="00D06B39" w:rsidRDefault="00D06B39" w:rsidP="00D06B39">
      <w:pPr>
        <w:jc w:val="both"/>
        <w:rPr>
          <w:rFonts w:eastAsia="Calibri" w:cs="Arial"/>
          <w:szCs w:val="20"/>
          <w:u w:val="single"/>
        </w:rPr>
      </w:pPr>
      <w:r>
        <w:rPr>
          <w:rFonts w:eastAsia="Calibri" w:cs="Arial"/>
          <w:szCs w:val="20"/>
          <w:u w:val="single"/>
        </w:rPr>
        <w:t>Obrazložitev:</w:t>
      </w:r>
    </w:p>
    <w:p w:rsidR="00D06B39" w:rsidRDefault="00D06B39" w:rsidP="00D06B39">
      <w:pPr>
        <w:jc w:val="both"/>
        <w:rPr>
          <w:rFonts w:eastAsia="Calibri" w:cs="Arial"/>
          <w:szCs w:val="20"/>
        </w:rPr>
      </w:pPr>
      <w:r>
        <w:rPr>
          <w:rFonts w:eastAsia="Calibri" w:cs="Arial"/>
          <w:szCs w:val="20"/>
        </w:rPr>
        <w:t>Z amandmajem predlagana dopolnitev drugega odstavka sledi mnenju ZPS, ki je opozorila ne določbo 9. člena Direktive (EU) 2024/1069 in uvodno izjavo 36, kjer je določeno oziroma navedeno, da varščina lahko vključuje stroške pravnega zastopanja, ki jih utrpi tožena stranka, in, če je tako določeno v nacionalnem pravu, tudi ocenjeno odškodnino (zlasti tedaj, ko obstaja tveganje za nepopravljivo škodo), pri čemer je treba poiskati ravnovesje med tem ukrepom in pravico tožeče stranke do dostopa do sodišča. Zaradi celovitega prenosa Direktive (EU) 2024/1069 se dopolnjuje drugi odstavek, tako da bo lahko sodišče pri določitvi višine varščine upoštevalo tudi višino zahtevane odškodnine, če bo ta verjetno izkazana. Določitev višine varščine v višini odškodnine, ki jo bo tožena stranka že v tem postopku uveljavljala v okviru nasprotne tožbe, bo po mnenju vlagateljev amandmaja v praksi redka, saj se bo praviloma obseg škode ustalil in bil znan šele po koncu postopka, prav tako pa bo šele ob koncu postopka z gotovostjo ugotovljeno, ali gre za zlorabljeni sodni postopek.</w:t>
      </w:r>
    </w:p>
    <w:p w:rsidR="00D06B39" w:rsidRDefault="00D06B39" w:rsidP="00D06B39">
      <w:pPr>
        <w:jc w:val="both"/>
        <w:rPr>
          <w:rFonts w:eastAsia="Calibri" w:cs="Arial"/>
          <w:szCs w:val="20"/>
        </w:rPr>
      </w:pPr>
    </w:p>
    <w:p w:rsidR="00D06B39" w:rsidRDefault="00D06B39" w:rsidP="00D06B39">
      <w:pPr>
        <w:jc w:val="both"/>
        <w:rPr>
          <w:rFonts w:eastAsia="Calibri" w:cs="Arial"/>
          <w:szCs w:val="20"/>
        </w:rPr>
      </w:pPr>
      <w:r>
        <w:rPr>
          <w:rFonts w:eastAsia="Calibri" w:cs="Arial"/>
          <w:szCs w:val="20"/>
        </w:rPr>
        <w:t>Z novim tretjim odstavkom se vsebina četrtega odstavka istega člena predloga zakona, ki ureja plačilo nižjega zneska varščine, prenaša v tretji odstavek, posledično se četrti odstavek črta.</w:t>
      </w:r>
    </w:p>
    <w:p w:rsidR="00D06B39" w:rsidRDefault="00D06B39" w:rsidP="00D06B39">
      <w:pPr>
        <w:jc w:val="both"/>
        <w:rPr>
          <w:rFonts w:eastAsia="Calibri" w:cs="Arial"/>
          <w:szCs w:val="20"/>
        </w:rPr>
      </w:pPr>
    </w:p>
    <w:p w:rsidR="00D06B39" w:rsidRDefault="00D06B39" w:rsidP="00D06B39">
      <w:pPr>
        <w:jc w:val="both"/>
        <w:rPr>
          <w:rFonts w:eastAsia="Calibri" w:cs="Arial"/>
          <w:szCs w:val="20"/>
        </w:rPr>
      </w:pPr>
      <w:r>
        <w:rPr>
          <w:rFonts w:eastAsia="Calibri" w:cs="Arial"/>
          <w:szCs w:val="20"/>
        </w:rPr>
        <w:t>Predlaga se sprememba šestega odstavka zaradi jasnejšega in razumljivejšega zapisa določbe, saj sodišče odloča o predlogu za naložitev plačila varščine, ne o samem plačilu.</w:t>
      </w:r>
    </w:p>
    <w:p w:rsidR="00D06B39" w:rsidRDefault="00D06B39" w:rsidP="00D06B39">
      <w:pPr>
        <w:jc w:val="both"/>
        <w:rPr>
          <w:rFonts w:eastAsia="Calibri" w:cs="Arial"/>
          <w:szCs w:val="20"/>
        </w:rPr>
      </w:pPr>
    </w:p>
    <w:p w:rsidR="00D06B39" w:rsidRDefault="00D06B39" w:rsidP="00D06B39">
      <w:pPr>
        <w:jc w:val="both"/>
        <w:rPr>
          <w:rFonts w:eastAsia="Calibri" w:cs="Arial"/>
          <w:szCs w:val="20"/>
        </w:rPr>
      </w:pPr>
      <w:r>
        <w:rPr>
          <w:rFonts w:eastAsia="Calibri" w:cs="Arial"/>
          <w:szCs w:val="20"/>
        </w:rPr>
        <w:t>Zaradi zagotovitve pravice do pritožbe se v sedmem odstavku določi, da zoper sklep, s katerim se odloči o varščini, ni dopustna posebna pritožba, kar pomeni, da bo stranka lahko to odločitev izpodbijala s pritožbo zoper končno odločitev. Izključitev pravice do pritožbe bi pomenila ustavno nedopusten poseg, na kar sta opozorila tako ZPS kot Sodni svet.</w:t>
      </w:r>
    </w:p>
    <w:p w:rsidR="00D06B39" w:rsidRDefault="00D06B39" w:rsidP="00D06B39">
      <w:pPr>
        <w:jc w:val="both"/>
        <w:rPr>
          <w:rFonts w:eastAsia="Calibri" w:cs="Arial"/>
          <w:szCs w:val="20"/>
        </w:rPr>
      </w:pPr>
    </w:p>
    <w:p w:rsidR="00D06B39" w:rsidRDefault="00D06B39" w:rsidP="00D06B39">
      <w:pPr>
        <w:pStyle w:val="odstavek"/>
        <w:shd w:val="clear" w:color="auto" w:fill="FFFFFF" w:themeFill="background1"/>
        <w:spacing w:before="0" w:beforeAutospacing="0" w:after="0" w:afterAutospacing="0" w:line="260" w:lineRule="exact"/>
        <w:jc w:val="both"/>
        <w:rPr>
          <w:rFonts w:ascii="Arial" w:hAnsi="Arial" w:cs="Arial"/>
          <w:sz w:val="20"/>
          <w:szCs w:val="20"/>
        </w:rPr>
      </w:pPr>
      <w:r>
        <w:rPr>
          <w:rFonts w:ascii="Arial" w:eastAsia="Calibri" w:hAnsi="Arial" w:cs="Arial"/>
          <w:sz w:val="20"/>
          <w:szCs w:val="20"/>
        </w:rPr>
        <w:t>Vsebina drugega stavka predlaganega sedmega odstavka 6. člena se zaradi večje preglednosti in jasnosti ter razumljivosti besedila prenaša v nov osmi odstavek, pri čemer se pri oblikovanju besedila upošteva pripomba ZPS in se iz besedila določbe črta »poleg ostalih pritožbenih razlogov«.</w:t>
      </w:r>
    </w:p>
    <w:p w:rsidR="00D06B39" w:rsidRDefault="00D06B39" w:rsidP="00D06B39">
      <w:pPr>
        <w:jc w:val="both"/>
        <w:rPr>
          <w:rFonts w:eastAsia="Calibri" w:cs="Arial"/>
          <w:szCs w:val="20"/>
        </w:rPr>
      </w:pPr>
    </w:p>
    <w:p w:rsidR="00D06B39" w:rsidRDefault="00D06B39" w:rsidP="00D06B39">
      <w:pPr>
        <w:jc w:val="both"/>
        <w:rPr>
          <w:rFonts w:eastAsia="Calibri" w:cs="Arial"/>
          <w:szCs w:val="20"/>
        </w:rPr>
      </w:pPr>
    </w:p>
    <w:p w:rsidR="00D06B39" w:rsidRDefault="00D06B39" w:rsidP="00D06B39">
      <w:pPr>
        <w:jc w:val="both"/>
        <w:rPr>
          <w:rFonts w:eastAsia="Calibri" w:cs="Arial"/>
          <w:b/>
          <w:bCs/>
          <w:szCs w:val="20"/>
        </w:rPr>
      </w:pPr>
      <w:r>
        <w:rPr>
          <w:rFonts w:eastAsia="Calibri" w:cs="Arial"/>
          <w:b/>
          <w:bCs/>
          <w:szCs w:val="20"/>
        </w:rPr>
        <w:t xml:space="preserve">K 7. členu </w:t>
      </w:r>
    </w:p>
    <w:p w:rsidR="00D06B39" w:rsidRDefault="00D06B39" w:rsidP="00D06B39">
      <w:pPr>
        <w:jc w:val="both"/>
        <w:rPr>
          <w:rFonts w:eastAsia="Calibri" w:cs="Arial"/>
          <w:szCs w:val="20"/>
        </w:rPr>
      </w:pPr>
    </w:p>
    <w:p w:rsidR="00D06B39" w:rsidRDefault="00D06B39" w:rsidP="00D06B39">
      <w:pPr>
        <w:jc w:val="both"/>
        <w:rPr>
          <w:rFonts w:eastAsia="Calibri" w:cs="Arial"/>
          <w:szCs w:val="20"/>
        </w:rPr>
      </w:pPr>
      <w:r>
        <w:rPr>
          <w:rFonts w:eastAsia="Calibri" w:cs="Arial"/>
          <w:szCs w:val="20"/>
        </w:rPr>
        <w:t>Besedilo člena se spremeni tako, da se glasi:</w:t>
      </w:r>
    </w:p>
    <w:p w:rsidR="00D06B39" w:rsidRDefault="00D06B39" w:rsidP="00D06B39">
      <w:pPr>
        <w:jc w:val="both"/>
        <w:rPr>
          <w:rFonts w:eastAsia="Calibri" w:cs="Arial"/>
          <w:szCs w:val="20"/>
        </w:rPr>
      </w:pPr>
    </w:p>
    <w:p w:rsidR="00D06B39" w:rsidRDefault="00D06B39" w:rsidP="00D06B39">
      <w:pPr>
        <w:jc w:val="both"/>
        <w:rPr>
          <w:rFonts w:eastAsia="Calibri" w:cs="Arial"/>
          <w:szCs w:val="20"/>
        </w:rPr>
      </w:pPr>
      <w:bookmarkStart w:id="20" w:name="_Hlk218505725"/>
      <w:r>
        <w:rPr>
          <w:rFonts w:eastAsia="Calibri" w:cs="Arial"/>
          <w:szCs w:val="20"/>
        </w:rPr>
        <w:t>»Predstavnik nevladne organizacije, sindikata, zbornice ali druga oseba, ki deluje na področju varstva pravic oseb, ki se javno udejstvujejo, lahko s soglasjem upravičenca v sodnem postopku spremlja upravičenca in mu nudi podporo. Sodišče izključi to osebo z glavne obravnave, če to zahtevajo koristi uradne, poslovne ali osebne skrivnosti, koristi javnega reda ali razlogi morale ali bi to ogrozilo osebno ali družinsko življenje tožeče stranke.«.</w:t>
      </w:r>
    </w:p>
    <w:bookmarkEnd w:id="20"/>
    <w:p w:rsidR="00D06B39" w:rsidRDefault="00D06B39" w:rsidP="00D06B39">
      <w:pPr>
        <w:jc w:val="both"/>
        <w:rPr>
          <w:rFonts w:eastAsia="Calibri" w:cs="Arial"/>
          <w:szCs w:val="20"/>
        </w:rPr>
      </w:pPr>
    </w:p>
    <w:p w:rsidR="00D06B39" w:rsidRDefault="00D06B39" w:rsidP="00D06B39">
      <w:pPr>
        <w:jc w:val="both"/>
        <w:rPr>
          <w:rFonts w:eastAsia="Calibri" w:cs="Arial"/>
          <w:szCs w:val="20"/>
          <w:u w:val="single"/>
        </w:rPr>
      </w:pPr>
      <w:r>
        <w:rPr>
          <w:rFonts w:eastAsia="Calibri" w:cs="Arial"/>
          <w:szCs w:val="20"/>
          <w:u w:val="single"/>
        </w:rPr>
        <w:t>Obrazložitev:</w:t>
      </w:r>
    </w:p>
    <w:p w:rsidR="00D06B39" w:rsidRDefault="00D06B39" w:rsidP="00D06B39">
      <w:pPr>
        <w:jc w:val="both"/>
        <w:rPr>
          <w:rFonts w:eastAsia="Calibri" w:cs="Arial"/>
          <w:szCs w:val="20"/>
        </w:rPr>
      </w:pPr>
      <w:r>
        <w:rPr>
          <w:rFonts w:eastAsia="Calibri" w:cs="Arial"/>
          <w:szCs w:val="20"/>
        </w:rPr>
        <w:t xml:space="preserve">Glede na opozorila ZPS, podana k 7. členu predloga zakona, se besedilo člena, ki ureja podporo in pomoč upravičencu, preoblikuje tako, da lahko predstavnik nevladne organizacije, sindikata, zbornice ali druga oseba, ki deluje na področju varstva pravic oseb, ki se javno udejstvujejo, s soglasjem upravičenca v sodnem postopku le tega spremlja in mu nudi podporo. Sodišče o tem ne odloča, razen v primeru, če so podani razlogi za izključitev te osebe z glavne obravnave, in </w:t>
      </w:r>
      <w:r>
        <w:rPr>
          <w:rFonts w:eastAsia="Calibri" w:cs="Arial"/>
          <w:szCs w:val="20"/>
        </w:rPr>
        <w:lastRenderedPageBreak/>
        <w:t>sicer če to zahtevajo koristi uradne, poslovne ali osebne skrivnosti, koristi javnega reda ali razlogi morale ali bi to ogrozilo osebno ali družinsko življenje tožeče stranke.</w:t>
      </w:r>
    </w:p>
    <w:p w:rsidR="00D06B39" w:rsidRDefault="00D06B39" w:rsidP="00D06B39">
      <w:pPr>
        <w:jc w:val="both"/>
        <w:rPr>
          <w:rFonts w:eastAsia="Calibri" w:cs="Arial"/>
          <w:szCs w:val="20"/>
        </w:rPr>
      </w:pPr>
    </w:p>
    <w:p w:rsidR="00D06B39" w:rsidRDefault="00D06B39" w:rsidP="00D06B39">
      <w:pPr>
        <w:jc w:val="both"/>
        <w:rPr>
          <w:rFonts w:eastAsia="Calibri" w:cs="Arial"/>
          <w:szCs w:val="20"/>
        </w:rPr>
      </w:pPr>
    </w:p>
    <w:p w:rsidR="00D06B39" w:rsidRDefault="00D06B39" w:rsidP="00D06B39">
      <w:pPr>
        <w:jc w:val="both"/>
        <w:rPr>
          <w:rFonts w:eastAsia="Calibri" w:cs="Arial"/>
          <w:b/>
          <w:bCs/>
          <w:szCs w:val="20"/>
        </w:rPr>
      </w:pPr>
      <w:r>
        <w:rPr>
          <w:rFonts w:eastAsia="Calibri" w:cs="Arial"/>
          <w:b/>
          <w:bCs/>
          <w:szCs w:val="20"/>
        </w:rPr>
        <w:t>K 8. členu</w:t>
      </w:r>
    </w:p>
    <w:p w:rsidR="00D06B39" w:rsidRDefault="00D06B39" w:rsidP="00D06B39">
      <w:pPr>
        <w:jc w:val="both"/>
        <w:rPr>
          <w:rFonts w:eastAsia="Calibri" w:cs="Arial"/>
          <w:szCs w:val="20"/>
        </w:rPr>
      </w:pPr>
    </w:p>
    <w:p w:rsidR="00D06B39" w:rsidRDefault="00D06B39" w:rsidP="00D06B39">
      <w:pPr>
        <w:pStyle w:val="odstavek"/>
        <w:shd w:val="clear" w:color="auto" w:fill="FFFFFF" w:themeFill="background1"/>
        <w:spacing w:before="0" w:beforeAutospacing="0" w:after="0" w:afterAutospacing="0" w:line="260" w:lineRule="exact"/>
        <w:jc w:val="both"/>
        <w:rPr>
          <w:rFonts w:ascii="Arial" w:hAnsi="Arial" w:cs="Arial"/>
          <w:sz w:val="20"/>
          <w:szCs w:val="20"/>
          <w:shd w:val="clear" w:color="auto" w:fill="FFFFFF"/>
        </w:rPr>
      </w:pPr>
      <w:r>
        <w:rPr>
          <w:rFonts w:ascii="Arial" w:hAnsi="Arial" w:cs="Arial"/>
          <w:sz w:val="20"/>
          <w:szCs w:val="20"/>
          <w:shd w:val="clear" w:color="auto" w:fill="FFFFFF"/>
        </w:rPr>
        <w:t xml:space="preserve">Naslov člena se spremeni tako, da se glasi: </w:t>
      </w:r>
      <w:bookmarkStart w:id="21" w:name="_Hlk218505796"/>
      <w:r>
        <w:rPr>
          <w:rFonts w:ascii="Arial" w:hAnsi="Arial" w:cs="Arial"/>
          <w:sz w:val="20"/>
          <w:szCs w:val="20"/>
          <w:shd w:val="clear" w:color="auto" w:fill="FFFFFF"/>
        </w:rPr>
        <w:t xml:space="preserve">»(hitra obravnava in zgodnja zavrnitev </w:t>
      </w:r>
      <w:bookmarkStart w:id="22" w:name="_Hlk218505767"/>
      <w:r>
        <w:rPr>
          <w:rFonts w:ascii="Arial" w:hAnsi="Arial" w:cs="Arial"/>
          <w:sz w:val="20"/>
          <w:szCs w:val="20"/>
        </w:rPr>
        <w:t>očitno neutemeljenega zahtevka</w:t>
      </w:r>
      <w:bookmarkEnd w:id="22"/>
      <w:r>
        <w:rPr>
          <w:rFonts w:ascii="Arial" w:hAnsi="Arial" w:cs="Arial"/>
          <w:sz w:val="20"/>
          <w:szCs w:val="20"/>
          <w:shd w:val="clear" w:color="auto" w:fill="FFFFFF"/>
        </w:rPr>
        <w:t>)</w:t>
      </w:r>
      <w:bookmarkEnd w:id="21"/>
      <w:r>
        <w:rPr>
          <w:rFonts w:ascii="Arial" w:hAnsi="Arial" w:cs="Arial"/>
          <w:sz w:val="20"/>
          <w:szCs w:val="20"/>
          <w:shd w:val="clear" w:color="auto" w:fill="FFFFFF"/>
        </w:rPr>
        <w:t>«.</w:t>
      </w:r>
    </w:p>
    <w:p w:rsidR="00D06B39" w:rsidRDefault="00D06B39" w:rsidP="00D06B39">
      <w:pPr>
        <w:jc w:val="both"/>
        <w:rPr>
          <w:rFonts w:eastAsia="Calibri" w:cs="Arial"/>
          <w:szCs w:val="20"/>
        </w:rPr>
      </w:pPr>
    </w:p>
    <w:p w:rsidR="00D06B39" w:rsidRDefault="00D06B39" w:rsidP="00D06B39">
      <w:pPr>
        <w:jc w:val="both"/>
        <w:rPr>
          <w:rFonts w:cs="Arial"/>
          <w:szCs w:val="20"/>
          <w:shd w:val="clear" w:color="auto" w:fill="FFFFFF"/>
        </w:rPr>
      </w:pPr>
      <w:r>
        <w:rPr>
          <w:rFonts w:cs="Arial"/>
          <w:szCs w:val="20"/>
          <w:shd w:val="clear" w:color="auto" w:fill="FFFFFF"/>
        </w:rPr>
        <w:t>V prvem odstavku se besedilo »gre za zlorabljeni sodni postopek za onemogočanje javnega udejstvovanja zoper upravičenca« nadomesti z besedilom »</w:t>
      </w:r>
      <w:bookmarkStart w:id="23" w:name="_Hlk218505849"/>
      <w:r>
        <w:rPr>
          <w:rFonts w:cs="Arial"/>
          <w:szCs w:val="20"/>
          <w:shd w:val="clear" w:color="auto" w:fill="FFFFFF"/>
        </w:rPr>
        <w:t>je zahtevek zoper upravičenca očitno neutemeljen</w:t>
      </w:r>
      <w:bookmarkEnd w:id="23"/>
      <w:r>
        <w:rPr>
          <w:rFonts w:cs="Arial"/>
          <w:szCs w:val="20"/>
          <w:shd w:val="clear" w:color="auto" w:fill="FFFFFF"/>
        </w:rPr>
        <w:t>«.</w:t>
      </w:r>
    </w:p>
    <w:p w:rsidR="00D06B39" w:rsidRDefault="00D06B39" w:rsidP="00D06B39">
      <w:pPr>
        <w:jc w:val="both"/>
        <w:rPr>
          <w:rFonts w:cs="Arial"/>
          <w:szCs w:val="20"/>
          <w:shd w:val="clear" w:color="auto" w:fill="FFFFFF"/>
        </w:rPr>
      </w:pPr>
    </w:p>
    <w:p w:rsidR="00D06B39" w:rsidRDefault="00D06B39" w:rsidP="00D06B39">
      <w:pPr>
        <w:jc w:val="both"/>
        <w:rPr>
          <w:rFonts w:cs="Arial"/>
          <w:szCs w:val="20"/>
          <w:shd w:val="clear" w:color="auto" w:fill="FFFFFF"/>
        </w:rPr>
      </w:pPr>
      <w:r>
        <w:rPr>
          <w:rFonts w:cs="Arial"/>
          <w:szCs w:val="20"/>
          <w:shd w:val="clear" w:color="auto" w:fill="FFFFFF"/>
        </w:rPr>
        <w:t>Drugi odstavek se črta.</w:t>
      </w:r>
    </w:p>
    <w:p w:rsidR="00D06B39" w:rsidRDefault="00D06B39" w:rsidP="00D06B39">
      <w:pPr>
        <w:jc w:val="both"/>
        <w:rPr>
          <w:rFonts w:cs="Arial"/>
          <w:szCs w:val="20"/>
          <w:shd w:val="clear" w:color="auto" w:fill="FFFFFF"/>
        </w:rPr>
      </w:pPr>
    </w:p>
    <w:p w:rsidR="00D06B39" w:rsidRDefault="00D06B39" w:rsidP="00D06B39">
      <w:pPr>
        <w:jc w:val="both"/>
        <w:rPr>
          <w:rFonts w:cs="Arial"/>
          <w:szCs w:val="20"/>
          <w:shd w:val="clear" w:color="auto" w:fill="FFFFFF"/>
        </w:rPr>
      </w:pPr>
      <w:r>
        <w:rPr>
          <w:rFonts w:cs="Arial"/>
          <w:szCs w:val="20"/>
          <w:shd w:val="clear" w:color="auto" w:fill="FFFFFF"/>
        </w:rPr>
        <w:t>Dosedanji tretji odstavek postane drugi odstavek.</w:t>
      </w:r>
    </w:p>
    <w:p w:rsidR="00D06B39" w:rsidRDefault="00D06B39" w:rsidP="00D06B39">
      <w:pPr>
        <w:jc w:val="both"/>
        <w:rPr>
          <w:rFonts w:cs="Arial"/>
          <w:szCs w:val="20"/>
          <w:shd w:val="clear" w:color="auto" w:fill="FFFFFF"/>
        </w:rPr>
      </w:pPr>
    </w:p>
    <w:p w:rsidR="00D06B39" w:rsidRDefault="00D06B39" w:rsidP="00D06B39">
      <w:pPr>
        <w:jc w:val="both"/>
        <w:rPr>
          <w:rFonts w:eastAsia="Calibri" w:cs="Arial"/>
          <w:szCs w:val="20"/>
          <w:u w:val="single"/>
        </w:rPr>
      </w:pPr>
      <w:r>
        <w:rPr>
          <w:rFonts w:eastAsia="Calibri" w:cs="Arial"/>
          <w:szCs w:val="20"/>
          <w:u w:val="single"/>
        </w:rPr>
        <w:t>Obrazložitev:</w:t>
      </w:r>
    </w:p>
    <w:p w:rsidR="00D06B39" w:rsidRDefault="00D06B39" w:rsidP="00D06B39">
      <w:pPr>
        <w:jc w:val="both"/>
        <w:rPr>
          <w:rFonts w:cs="Arial"/>
          <w:szCs w:val="20"/>
          <w:shd w:val="clear" w:color="auto" w:fill="FFFFFF"/>
        </w:rPr>
      </w:pPr>
    </w:p>
    <w:p w:rsidR="00D06B39" w:rsidRDefault="00D06B39" w:rsidP="00D06B39">
      <w:pPr>
        <w:jc w:val="both"/>
        <w:rPr>
          <w:rFonts w:cs="Arial"/>
          <w:szCs w:val="20"/>
          <w:shd w:val="clear" w:color="auto" w:fill="FFFFFF"/>
        </w:rPr>
      </w:pPr>
      <w:r>
        <w:rPr>
          <w:rFonts w:cs="Arial"/>
          <w:szCs w:val="20"/>
          <w:shd w:val="clear" w:color="auto" w:fill="FFFFFF"/>
        </w:rPr>
        <w:t>Z amandmajem predlagana sprememba naslova je posledica amandmaja k 5. členu, s katerim se v  tretji alineji prvega odstavka v skladu z mnenjem ZPS z</w:t>
      </w:r>
      <w:r>
        <w:rPr>
          <w:rFonts w:eastAsia="Calibri" w:cs="Arial"/>
          <w:szCs w:val="20"/>
        </w:rPr>
        <w:t>aradi jasnosti ureditve ime ukrepa dopolni, tako da bo že iz imena jasno razvidno, da gre za hitro obravnavo in zgodnjo zavrnitev očitno neutemeljenega zahtevka.</w:t>
      </w:r>
    </w:p>
    <w:p w:rsidR="00D06B39" w:rsidRDefault="00D06B39" w:rsidP="00D06B39">
      <w:pPr>
        <w:jc w:val="both"/>
        <w:rPr>
          <w:rFonts w:cs="Arial"/>
          <w:szCs w:val="20"/>
          <w:shd w:val="clear" w:color="auto" w:fill="FFFFFF"/>
        </w:rPr>
      </w:pPr>
    </w:p>
    <w:p w:rsidR="00D06B39" w:rsidRDefault="00D06B39" w:rsidP="00D06B39">
      <w:pPr>
        <w:jc w:val="both"/>
        <w:rPr>
          <w:rFonts w:cs="Arial"/>
          <w:szCs w:val="20"/>
          <w:shd w:val="clear" w:color="auto" w:fill="FFFFFF"/>
        </w:rPr>
      </w:pPr>
      <w:r>
        <w:rPr>
          <w:rFonts w:cs="Arial"/>
          <w:szCs w:val="20"/>
          <w:shd w:val="clear" w:color="auto" w:fill="FFFFFF"/>
        </w:rPr>
        <w:t>V prvem odstavku se zaščitni ukrep hitre obravnave in zgodnje zavrnitve določa za primere, ko je zahtevek očitno neutemeljen, kar je v skladu z 11. členom Direktiva (EU) 2024/1069, ki določa, da države članice zagotovijo, da lahko sodišča, po ustreznem preizkusu, kot očitno neutemeljene zavrnejo tožbene zahtevke za onemogočanje udeležbe javnosti v najzgodnejši možni fazi postopka v skladu z nacionalnim pravom.</w:t>
      </w:r>
    </w:p>
    <w:p w:rsidR="00D06B39" w:rsidRDefault="00D06B39" w:rsidP="00D06B39">
      <w:pPr>
        <w:jc w:val="both"/>
        <w:rPr>
          <w:rFonts w:cs="Arial"/>
          <w:szCs w:val="20"/>
          <w:shd w:val="clear" w:color="auto" w:fill="FFFFFF"/>
        </w:rPr>
      </w:pPr>
    </w:p>
    <w:p w:rsidR="00D06B39" w:rsidRDefault="00D06B39" w:rsidP="00D06B39">
      <w:pPr>
        <w:jc w:val="both"/>
        <w:rPr>
          <w:rFonts w:cs="Arial"/>
          <w:szCs w:val="20"/>
          <w:shd w:val="clear" w:color="auto" w:fill="FFFFFF"/>
        </w:rPr>
      </w:pPr>
      <w:r>
        <w:rPr>
          <w:rFonts w:cs="Arial"/>
          <w:szCs w:val="20"/>
          <w:shd w:val="clear" w:color="auto" w:fill="FFFFFF"/>
        </w:rPr>
        <w:t xml:space="preserve">Predlagano črtanje drugega odstavka sledi mnenju ZPS, ki je glede določbe, ki ureja institut pisnega materialnega procesnega vodstva pred pripravljalnim narokom, opozorila na razmislek o potrebnosti takšne določbe, saj je ta institut izčrpno in celovito urejen v 285. do 286.a členu Zakona o pravdnem postopku (ZPP). Glede na to, da je bil namen predlagatelja, da se materialno procesno vodstvo uredi vsebinsko na enak način, kot to ureja ZPP, zasledovalo se je le hitrejše postopanje sodišča, se z amandmajem predlaga črtanje drugega odstavka. Kljub črtanju te določbe bo  </w:t>
      </w:r>
      <w:proofErr w:type="spellStart"/>
      <w:r>
        <w:rPr>
          <w:rFonts w:cs="Arial"/>
          <w:szCs w:val="20"/>
          <w:shd w:val="clear" w:color="auto" w:fill="FFFFFF"/>
        </w:rPr>
        <w:t>bo</w:t>
      </w:r>
      <w:proofErr w:type="spellEnd"/>
      <w:r>
        <w:rPr>
          <w:rFonts w:cs="Arial"/>
          <w:szCs w:val="20"/>
          <w:shd w:val="clear" w:color="auto" w:fill="FFFFFF"/>
        </w:rPr>
        <w:t xml:space="preserve"> sodišče v skladu z ureditvijo v ZPP lahko opravilo tudi pisno materialno-procesno vodstvo in na ta način poskrbelo za hitrejše razjasnitve zadeve, kar je v skladu z namenom hitrega postopanja v teh zahtevah in posledično hitre zavrnitve očitno neutemeljenih zahtevkov.</w:t>
      </w:r>
    </w:p>
    <w:p w:rsidR="00D06B39" w:rsidRDefault="00D06B39" w:rsidP="00D06B39">
      <w:pPr>
        <w:jc w:val="both"/>
        <w:rPr>
          <w:rFonts w:cs="Arial"/>
          <w:szCs w:val="20"/>
          <w:shd w:val="clear" w:color="auto" w:fill="FFFFFF"/>
        </w:rPr>
      </w:pPr>
    </w:p>
    <w:p w:rsidR="00D06B39" w:rsidRDefault="00D06B39" w:rsidP="00D06B39">
      <w:pPr>
        <w:jc w:val="both"/>
        <w:rPr>
          <w:rFonts w:cs="Arial"/>
          <w:szCs w:val="20"/>
          <w:shd w:val="clear" w:color="auto" w:fill="FFFFFF"/>
        </w:rPr>
      </w:pPr>
    </w:p>
    <w:p w:rsidR="00D06B39" w:rsidRDefault="00D06B39" w:rsidP="00D06B39">
      <w:pPr>
        <w:jc w:val="both"/>
        <w:rPr>
          <w:rFonts w:cs="Arial"/>
          <w:b/>
          <w:bCs/>
          <w:szCs w:val="20"/>
          <w:shd w:val="clear" w:color="auto" w:fill="FFFFFF"/>
        </w:rPr>
      </w:pPr>
      <w:r>
        <w:rPr>
          <w:rFonts w:cs="Arial"/>
          <w:b/>
          <w:bCs/>
          <w:szCs w:val="20"/>
          <w:shd w:val="clear" w:color="auto" w:fill="FFFFFF"/>
        </w:rPr>
        <w:t>K 9. členu</w:t>
      </w:r>
    </w:p>
    <w:p w:rsidR="00D06B39" w:rsidRDefault="00D06B39" w:rsidP="00D06B39">
      <w:pPr>
        <w:jc w:val="both"/>
        <w:rPr>
          <w:rFonts w:cs="Arial"/>
          <w:szCs w:val="20"/>
          <w:shd w:val="clear" w:color="auto" w:fill="FFFFFF"/>
        </w:rPr>
      </w:pPr>
    </w:p>
    <w:p w:rsidR="00D06B39" w:rsidRDefault="00D06B39" w:rsidP="00D06B39">
      <w:pPr>
        <w:jc w:val="both"/>
        <w:rPr>
          <w:rFonts w:cs="Arial"/>
          <w:szCs w:val="20"/>
          <w:shd w:val="clear" w:color="auto" w:fill="FFFFFF"/>
        </w:rPr>
      </w:pPr>
      <w:r>
        <w:rPr>
          <w:rFonts w:cs="Arial"/>
          <w:szCs w:val="20"/>
          <w:shd w:val="clear" w:color="auto" w:fill="FFFFFF"/>
        </w:rPr>
        <w:t>V prvem odstavku se za besedilom »je tožbo umaknila« doda besedilo »</w:t>
      </w:r>
      <w:bookmarkStart w:id="24" w:name="_Hlk218505893"/>
      <w:r>
        <w:rPr>
          <w:rFonts w:cs="Arial"/>
          <w:szCs w:val="20"/>
          <w:shd w:val="clear" w:color="auto" w:fill="FFFFFF"/>
        </w:rPr>
        <w:t>ali se je zahtevku odpovedala</w:t>
      </w:r>
      <w:bookmarkEnd w:id="24"/>
      <w:r>
        <w:rPr>
          <w:rFonts w:cs="Arial"/>
          <w:szCs w:val="20"/>
          <w:shd w:val="clear" w:color="auto" w:fill="FFFFFF"/>
        </w:rPr>
        <w:t>«, besedilo »upravičencu zlorabljenega sodnega postopka« pa se nadomesti z besedilom »</w:t>
      </w:r>
      <w:bookmarkStart w:id="25" w:name="_Hlk218505920"/>
      <w:r>
        <w:rPr>
          <w:rFonts w:cs="Arial"/>
          <w:szCs w:val="20"/>
          <w:shd w:val="clear" w:color="auto" w:fill="FFFFFF"/>
        </w:rPr>
        <w:t>upravičencu, zoper katerega je potekal zlorabljeni sodni postopek za onemogočanje javnega udejstvovanja,</w:t>
      </w:r>
      <w:bookmarkEnd w:id="25"/>
      <w:r>
        <w:rPr>
          <w:rFonts w:cs="Arial"/>
          <w:szCs w:val="20"/>
          <w:shd w:val="clear" w:color="auto" w:fill="FFFFFF"/>
        </w:rPr>
        <w:t>«.</w:t>
      </w:r>
    </w:p>
    <w:p w:rsidR="00D06B39" w:rsidRDefault="00D06B39" w:rsidP="00D06B39">
      <w:pPr>
        <w:jc w:val="both"/>
        <w:rPr>
          <w:rFonts w:cs="Arial"/>
          <w:szCs w:val="20"/>
          <w:shd w:val="clear" w:color="auto" w:fill="FFFFFF"/>
        </w:rPr>
      </w:pPr>
    </w:p>
    <w:p w:rsidR="00D06B39" w:rsidRDefault="00D06B39" w:rsidP="00D06B39">
      <w:pPr>
        <w:jc w:val="both"/>
        <w:rPr>
          <w:rFonts w:eastAsia="Calibri" w:cs="Arial"/>
          <w:szCs w:val="20"/>
          <w:u w:val="single"/>
        </w:rPr>
      </w:pPr>
      <w:r>
        <w:rPr>
          <w:rFonts w:eastAsia="Calibri" w:cs="Arial"/>
          <w:szCs w:val="20"/>
          <w:u w:val="single"/>
        </w:rPr>
        <w:t>Obrazložitev:</w:t>
      </w:r>
    </w:p>
    <w:p w:rsidR="00D06B39" w:rsidRDefault="00D06B39" w:rsidP="00D06B39">
      <w:pPr>
        <w:jc w:val="both"/>
        <w:rPr>
          <w:rFonts w:eastAsia="Calibri" w:cs="Arial"/>
          <w:szCs w:val="20"/>
        </w:rPr>
      </w:pPr>
      <w:r>
        <w:rPr>
          <w:rFonts w:eastAsia="Calibri" w:cs="Arial"/>
          <w:szCs w:val="20"/>
        </w:rPr>
        <w:t xml:space="preserve">Z amandmajem se predlaga dopolnitev prvega odstavka tako, da se doda možnost, da bo tožena stranka upravičena do povrnitve polnih stroškov tudi v primeru, ko se bo tožeča stranka zahtevku odpovedala. Takšna sprememba je potrebna v izogib situacijam, ko bi se tožeča stranka poskušala izogniti plačilu polnih stroškov z odpovedjo zahtevku. Predlagana sprememba sledi </w:t>
      </w:r>
      <w:r>
        <w:rPr>
          <w:rFonts w:eastAsia="Calibri" w:cs="Arial"/>
          <w:szCs w:val="20"/>
        </w:rPr>
        <w:lastRenderedPageBreak/>
        <w:t>mnenju ZPS, ki je opozorila, da odpoved tožbenemu zahtevku ne predstavlja umika tožbe, saj se v skladu z ZPP v primeru umika tožbe postopek ustavi (tretji odstavek 188. člena ZPP), v primeru odpovedi tožbenemu zahtevku pa se izda sodba na podlagi odpovedi, s katero se tožbeni zahtevek zavrne (317. člen ZPP). V posledici navedenega se predlaga, da se z amandmajem v prvem odstavku zaradi večje jasnosti določbe izrecno določi obveznost povrnitve polnih stroškov tudi v primeru odpovedi zahtevku.</w:t>
      </w:r>
    </w:p>
    <w:p w:rsidR="00D06B39" w:rsidRDefault="00D06B39" w:rsidP="00D06B39">
      <w:pPr>
        <w:jc w:val="both"/>
        <w:rPr>
          <w:rFonts w:eastAsia="Calibri" w:cs="Arial"/>
          <w:szCs w:val="20"/>
        </w:rPr>
      </w:pPr>
    </w:p>
    <w:p w:rsidR="00D06B39" w:rsidRDefault="00D06B39" w:rsidP="00D06B39">
      <w:pPr>
        <w:jc w:val="both"/>
        <w:rPr>
          <w:rFonts w:eastAsia="Calibri" w:cs="Arial"/>
          <w:szCs w:val="20"/>
        </w:rPr>
      </w:pPr>
      <w:r>
        <w:rPr>
          <w:rFonts w:eastAsia="Calibri" w:cs="Arial"/>
          <w:szCs w:val="20"/>
        </w:rPr>
        <w:t>Zaradi poenotenja terminologije in notranje skladnosti se besedilo »upravičencu zlorabljenega sodnega postopka« nadomešča z besedilom »zoper katero se je vodil zlorabljeni sodni postopek za onemogočanje javnega udejstvovanja«.</w:t>
      </w:r>
    </w:p>
    <w:p w:rsidR="00D06B39" w:rsidRDefault="00D06B39" w:rsidP="00D06B39">
      <w:pPr>
        <w:jc w:val="both"/>
        <w:rPr>
          <w:rFonts w:eastAsia="Calibri" w:cs="Arial"/>
          <w:szCs w:val="20"/>
        </w:rPr>
      </w:pPr>
    </w:p>
    <w:p w:rsidR="00D06B39" w:rsidRDefault="00D06B39" w:rsidP="00D06B39">
      <w:pPr>
        <w:jc w:val="both"/>
        <w:rPr>
          <w:rFonts w:eastAsia="Calibri" w:cs="Arial"/>
          <w:szCs w:val="20"/>
        </w:rPr>
      </w:pPr>
    </w:p>
    <w:p w:rsidR="00D06B39" w:rsidRDefault="00D06B39" w:rsidP="00D06B39">
      <w:pPr>
        <w:jc w:val="both"/>
        <w:rPr>
          <w:rFonts w:eastAsia="Calibri" w:cs="Arial"/>
          <w:b/>
          <w:bCs/>
          <w:szCs w:val="20"/>
        </w:rPr>
      </w:pPr>
      <w:r>
        <w:rPr>
          <w:rFonts w:eastAsia="Calibri" w:cs="Arial"/>
          <w:b/>
          <w:bCs/>
          <w:szCs w:val="20"/>
        </w:rPr>
        <w:t>K 10. členu</w:t>
      </w:r>
    </w:p>
    <w:p w:rsidR="00D06B39" w:rsidRDefault="00D06B39" w:rsidP="00D06B39">
      <w:pPr>
        <w:jc w:val="both"/>
        <w:rPr>
          <w:rFonts w:eastAsia="Calibri" w:cs="Arial"/>
          <w:szCs w:val="20"/>
        </w:rPr>
      </w:pPr>
    </w:p>
    <w:p w:rsidR="00D06B39" w:rsidRDefault="00D06B39" w:rsidP="00D06B39">
      <w:pPr>
        <w:pStyle w:val="odstavek"/>
        <w:shd w:val="clear" w:color="auto" w:fill="FFFFFF" w:themeFill="background1"/>
        <w:spacing w:before="0" w:beforeAutospacing="0" w:after="0" w:afterAutospacing="0" w:line="260" w:lineRule="exact"/>
        <w:jc w:val="both"/>
        <w:rPr>
          <w:rFonts w:ascii="Arial" w:hAnsi="Arial" w:cs="Arial"/>
          <w:sz w:val="20"/>
          <w:szCs w:val="20"/>
          <w:shd w:val="clear" w:color="auto" w:fill="FFFFFF"/>
        </w:rPr>
      </w:pPr>
      <w:r>
        <w:rPr>
          <w:rFonts w:ascii="Arial" w:hAnsi="Arial" w:cs="Arial"/>
          <w:sz w:val="20"/>
          <w:szCs w:val="20"/>
          <w:shd w:val="clear" w:color="auto" w:fill="FFFFFF"/>
        </w:rPr>
        <w:t xml:space="preserve">Naslov člena se spremeni tako, da se glasi: </w:t>
      </w:r>
      <w:bookmarkStart w:id="26" w:name="_Hlk218505951"/>
      <w:r>
        <w:rPr>
          <w:rFonts w:ascii="Arial" w:hAnsi="Arial" w:cs="Arial"/>
          <w:sz w:val="20"/>
          <w:szCs w:val="20"/>
          <w:shd w:val="clear" w:color="auto" w:fill="FFFFFF"/>
        </w:rPr>
        <w:t>»(povrnitev škode in objava sodbe)«.</w:t>
      </w:r>
      <w:bookmarkEnd w:id="26"/>
    </w:p>
    <w:p w:rsidR="00D06B39" w:rsidRDefault="00D06B39" w:rsidP="00D06B39">
      <w:pPr>
        <w:pStyle w:val="odstavek"/>
        <w:shd w:val="clear" w:color="auto" w:fill="FFFFFF" w:themeFill="background1"/>
        <w:spacing w:before="0" w:beforeAutospacing="0" w:after="0" w:afterAutospacing="0" w:line="260" w:lineRule="exact"/>
        <w:jc w:val="both"/>
        <w:rPr>
          <w:rFonts w:ascii="Arial" w:hAnsi="Arial" w:cs="Arial"/>
          <w:sz w:val="20"/>
          <w:szCs w:val="20"/>
          <w:shd w:val="clear" w:color="auto" w:fill="FFFFFF"/>
        </w:rPr>
      </w:pPr>
    </w:p>
    <w:p w:rsidR="00D06B39" w:rsidRDefault="00D06B39" w:rsidP="00D06B39">
      <w:pPr>
        <w:pStyle w:val="odstavek"/>
        <w:shd w:val="clear" w:color="auto" w:fill="FFFFFF" w:themeFill="background1"/>
        <w:spacing w:before="0" w:beforeAutospacing="0" w:after="0" w:afterAutospacing="0" w:line="260" w:lineRule="exact"/>
        <w:jc w:val="both"/>
        <w:rPr>
          <w:rFonts w:ascii="Arial" w:hAnsi="Arial" w:cs="Arial"/>
          <w:sz w:val="20"/>
          <w:szCs w:val="20"/>
          <w:shd w:val="clear" w:color="auto" w:fill="FFFFFF"/>
        </w:rPr>
      </w:pPr>
      <w:r>
        <w:rPr>
          <w:rFonts w:ascii="Arial" w:hAnsi="Arial" w:cs="Arial"/>
          <w:sz w:val="20"/>
          <w:szCs w:val="20"/>
          <w:shd w:val="clear" w:color="auto" w:fill="FFFFFF"/>
        </w:rPr>
        <w:t>V prvem odstavku se v prvem stavku za besedilom »sodnem postopku« doda besedilo »</w:t>
      </w:r>
      <w:bookmarkStart w:id="27" w:name="_Hlk218506002"/>
      <w:r>
        <w:rPr>
          <w:rFonts w:ascii="Arial" w:hAnsi="Arial" w:cs="Arial"/>
          <w:sz w:val="20"/>
          <w:szCs w:val="20"/>
          <w:shd w:val="clear" w:color="auto" w:fill="FFFFFF"/>
        </w:rPr>
        <w:t>za onemogočanje javnega udejstvovanja</w:t>
      </w:r>
      <w:bookmarkEnd w:id="27"/>
      <w:r>
        <w:rPr>
          <w:rFonts w:ascii="Arial" w:hAnsi="Arial" w:cs="Arial"/>
          <w:sz w:val="20"/>
          <w:szCs w:val="20"/>
          <w:shd w:val="clear" w:color="auto" w:fill="FFFFFF"/>
        </w:rPr>
        <w:t>«.</w:t>
      </w:r>
    </w:p>
    <w:p w:rsidR="00D06B39" w:rsidRDefault="00D06B39" w:rsidP="00D06B39">
      <w:pPr>
        <w:pStyle w:val="odstavek"/>
        <w:shd w:val="clear" w:color="auto" w:fill="FFFFFF" w:themeFill="background1"/>
        <w:spacing w:before="0" w:beforeAutospacing="0" w:after="0" w:afterAutospacing="0" w:line="260" w:lineRule="exact"/>
        <w:jc w:val="both"/>
        <w:rPr>
          <w:rFonts w:ascii="Arial" w:hAnsi="Arial" w:cs="Arial"/>
          <w:sz w:val="20"/>
          <w:szCs w:val="20"/>
          <w:shd w:val="clear" w:color="auto" w:fill="FFFFFF"/>
        </w:rPr>
      </w:pPr>
    </w:p>
    <w:p w:rsidR="00D06B39" w:rsidRDefault="00D06B39" w:rsidP="00D06B39">
      <w:pPr>
        <w:pStyle w:val="odstavek"/>
        <w:shd w:val="clear" w:color="auto" w:fill="FFFFFF" w:themeFill="background1"/>
        <w:spacing w:before="0" w:beforeAutospacing="0" w:after="0" w:afterAutospacing="0" w:line="260" w:lineRule="exact"/>
        <w:jc w:val="both"/>
        <w:rPr>
          <w:rFonts w:ascii="Arial" w:hAnsi="Arial" w:cs="Arial"/>
          <w:sz w:val="20"/>
          <w:szCs w:val="20"/>
          <w:shd w:val="clear" w:color="auto" w:fill="FFFFFF"/>
        </w:rPr>
      </w:pPr>
      <w:r>
        <w:rPr>
          <w:rFonts w:ascii="Arial" w:hAnsi="Arial" w:cs="Arial"/>
          <w:sz w:val="20"/>
          <w:szCs w:val="20"/>
          <w:shd w:val="clear" w:color="auto" w:fill="FFFFFF"/>
        </w:rPr>
        <w:t>Drugi odstavek se spremeni tako, da se glasi:</w:t>
      </w:r>
    </w:p>
    <w:p w:rsidR="00D06B39" w:rsidRDefault="00D06B39" w:rsidP="00D06B39">
      <w:pPr>
        <w:pStyle w:val="odstavek"/>
        <w:shd w:val="clear" w:color="auto" w:fill="FFFFFF" w:themeFill="background1"/>
        <w:spacing w:before="0" w:beforeAutospacing="0" w:after="0" w:afterAutospacing="0" w:line="260" w:lineRule="exact"/>
        <w:jc w:val="both"/>
        <w:rPr>
          <w:rFonts w:ascii="Arial" w:hAnsi="Arial" w:cs="Arial"/>
          <w:sz w:val="20"/>
          <w:szCs w:val="20"/>
          <w:shd w:val="clear" w:color="auto" w:fill="FFFFFF"/>
        </w:rPr>
      </w:pPr>
    </w:p>
    <w:p w:rsidR="00D06B39" w:rsidRDefault="00D06B39" w:rsidP="00D06B39">
      <w:pPr>
        <w:pStyle w:val="odstavek"/>
        <w:shd w:val="clear" w:color="auto" w:fill="FFFFFF" w:themeFill="background1"/>
        <w:spacing w:before="0" w:beforeAutospacing="0" w:after="0" w:afterAutospacing="0" w:line="260" w:lineRule="exact"/>
        <w:jc w:val="both"/>
        <w:rPr>
          <w:rFonts w:ascii="Arial" w:hAnsi="Arial" w:cs="Arial"/>
          <w:sz w:val="20"/>
          <w:szCs w:val="20"/>
          <w:shd w:val="clear" w:color="auto" w:fill="FFFFFF"/>
        </w:rPr>
      </w:pPr>
      <w:bookmarkStart w:id="28" w:name="_Hlk218506067"/>
      <w:r>
        <w:rPr>
          <w:rFonts w:ascii="Arial" w:hAnsi="Arial" w:cs="Arial"/>
          <w:sz w:val="20"/>
          <w:szCs w:val="20"/>
          <w:shd w:val="clear" w:color="auto" w:fill="FFFFFF"/>
        </w:rPr>
        <w:t>»(2) Sodišče lahko odredi, da se na stroške tožeče stranke tudi objavi sodba.«.</w:t>
      </w:r>
    </w:p>
    <w:bookmarkEnd w:id="28"/>
    <w:p w:rsidR="00D06B39" w:rsidRDefault="00D06B39" w:rsidP="00D06B39">
      <w:pPr>
        <w:jc w:val="both"/>
        <w:rPr>
          <w:rFonts w:eastAsia="Calibri" w:cs="Arial"/>
          <w:szCs w:val="20"/>
        </w:rPr>
      </w:pPr>
    </w:p>
    <w:p w:rsidR="00D06B39" w:rsidRDefault="00D06B39" w:rsidP="00D06B39">
      <w:pPr>
        <w:jc w:val="both"/>
        <w:rPr>
          <w:rFonts w:eastAsia="Calibri" w:cs="Arial"/>
          <w:szCs w:val="20"/>
          <w:u w:val="single"/>
        </w:rPr>
      </w:pPr>
      <w:r>
        <w:rPr>
          <w:rFonts w:eastAsia="Calibri" w:cs="Arial"/>
          <w:szCs w:val="20"/>
          <w:u w:val="single"/>
        </w:rPr>
        <w:t>Obrazložitev:</w:t>
      </w:r>
    </w:p>
    <w:p w:rsidR="00D06B39" w:rsidRDefault="00D06B39" w:rsidP="00D06B39">
      <w:pPr>
        <w:jc w:val="both"/>
        <w:rPr>
          <w:rFonts w:eastAsia="Calibri" w:cs="Arial"/>
          <w:szCs w:val="20"/>
        </w:rPr>
      </w:pPr>
    </w:p>
    <w:p w:rsidR="00D06B39" w:rsidRDefault="00D06B39" w:rsidP="00D06B39">
      <w:pPr>
        <w:jc w:val="both"/>
        <w:rPr>
          <w:rFonts w:eastAsia="Calibri" w:cs="Arial"/>
          <w:szCs w:val="20"/>
        </w:rPr>
      </w:pPr>
      <w:r>
        <w:rPr>
          <w:rFonts w:eastAsia="Calibri" w:cs="Arial"/>
          <w:szCs w:val="20"/>
        </w:rPr>
        <w:t>Sprememba prvega odstavka je redakcijske narave in sledi mnenju ZPS.</w:t>
      </w:r>
    </w:p>
    <w:p w:rsidR="00D06B39" w:rsidRDefault="00D06B39" w:rsidP="00D06B39">
      <w:pPr>
        <w:jc w:val="both"/>
        <w:rPr>
          <w:rFonts w:eastAsia="Calibri" w:cs="Arial"/>
          <w:szCs w:val="20"/>
        </w:rPr>
      </w:pPr>
    </w:p>
    <w:p w:rsidR="00D06B39" w:rsidRDefault="00D06B39" w:rsidP="00D06B39">
      <w:pPr>
        <w:jc w:val="both"/>
        <w:rPr>
          <w:rFonts w:eastAsia="Calibri" w:cs="Arial"/>
          <w:szCs w:val="20"/>
        </w:rPr>
      </w:pPr>
      <w:r>
        <w:rPr>
          <w:rFonts w:eastAsia="Calibri" w:cs="Arial"/>
          <w:szCs w:val="20"/>
        </w:rPr>
        <w:t xml:space="preserve">Z amandmajem predlagana sprememba naslova člena ter tretjega (pravilno drugega) odstavka sledi mnenju ZPS, ki je opozorila, da je upoštevaje 15. člen Direktive (EU) 2024/1069 objava sodbe eden od samostojnih zaščitnih ukrepov (poleg povrnitve škode in denarne kazni), zato bi ga kazalo zaradi preglednosti zakona vključiti v 5. člen predloga zakona. Ta predlog je bil upoštevan tudi v amandmaju k 5. členu, s katerim se kot enega od zaščitnih ukrepov določi »povrnitev škode in objava sodbe«, z amandmajem k 10. členu pa se predlaga sprememba naslova člena, tako da se ta glasi »povrnitev škode in objava sodbe«. Dodatno pa se, tudi upoštevaje mnenje ZPS, drugi odstavek spremeni tako, da ta ne vsebuje več določila, da o objavi sodbe sodišče odloči na predlog upravičenca, saj glede na določbo drugega odstavka 5. člena ni treba ponavljati, da se ta zaščitni ukrep izreče na predlog upravičenca. </w:t>
      </w:r>
    </w:p>
    <w:p w:rsidR="00D06B39" w:rsidRDefault="00D06B39" w:rsidP="00D06B39">
      <w:pPr>
        <w:jc w:val="both"/>
        <w:rPr>
          <w:rFonts w:eastAsia="Calibri" w:cs="Arial"/>
          <w:b/>
          <w:bCs/>
          <w:szCs w:val="20"/>
        </w:rPr>
      </w:pPr>
    </w:p>
    <w:p w:rsidR="00D06B39" w:rsidRDefault="00D06B39" w:rsidP="00D06B39">
      <w:pPr>
        <w:jc w:val="both"/>
        <w:rPr>
          <w:rFonts w:eastAsia="Calibri" w:cs="Arial"/>
          <w:b/>
          <w:bCs/>
          <w:szCs w:val="20"/>
        </w:rPr>
      </w:pPr>
    </w:p>
    <w:p w:rsidR="00D06B39" w:rsidRDefault="00D06B39" w:rsidP="00D06B39">
      <w:pPr>
        <w:jc w:val="both"/>
        <w:rPr>
          <w:rFonts w:eastAsia="Calibri" w:cs="Arial"/>
          <w:b/>
          <w:bCs/>
          <w:szCs w:val="20"/>
        </w:rPr>
      </w:pPr>
      <w:r>
        <w:rPr>
          <w:rFonts w:eastAsia="Calibri" w:cs="Arial"/>
          <w:b/>
          <w:bCs/>
          <w:szCs w:val="20"/>
        </w:rPr>
        <w:t>K 11. členu</w:t>
      </w:r>
    </w:p>
    <w:p w:rsidR="00D06B39" w:rsidRDefault="00D06B39" w:rsidP="00D06B39">
      <w:pPr>
        <w:jc w:val="both"/>
        <w:rPr>
          <w:rFonts w:eastAsia="Calibri" w:cs="Arial"/>
          <w:szCs w:val="20"/>
        </w:rPr>
      </w:pPr>
    </w:p>
    <w:p w:rsidR="00D06B39" w:rsidRDefault="00D06B39" w:rsidP="00D06B39">
      <w:pPr>
        <w:pStyle w:val="odstavek"/>
        <w:shd w:val="clear" w:color="auto" w:fill="FFFFFF" w:themeFill="background1"/>
        <w:spacing w:before="0" w:beforeAutospacing="0" w:after="0" w:afterAutospacing="0" w:line="260" w:lineRule="exact"/>
        <w:jc w:val="both"/>
        <w:rPr>
          <w:rFonts w:ascii="Arial" w:hAnsi="Arial" w:cs="Arial"/>
          <w:sz w:val="20"/>
          <w:szCs w:val="20"/>
        </w:rPr>
      </w:pPr>
      <w:r>
        <w:rPr>
          <w:rFonts w:ascii="Arial" w:hAnsi="Arial" w:cs="Arial"/>
          <w:sz w:val="20"/>
          <w:szCs w:val="20"/>
        </w:rPr>
        <w:t>V prvem odstavku se besedilo »odvetniku in pooblaščencu« nadomesti z besedilom »</w:t>
      </w:r>
      <w:bookmarkStart w:id="29" w:name="_Hlk218506100"/>
      <w:r>
        <w:rPr>
          <w:rFonts w:ascii="Arial" w:hAnsi="Arial" w:cs="Arial"/>
          <w:sz w:val="20"/>
          <w:szCs w:val="20"/>
        </w:rPr>
        <w:t>lahko pa tudi odvetniku</w:t>
      </w:r>
      <w:bookmarkEnd w:id="29"/>
      <w:r>
        <w:rPr>
          <w:rFonts w:ascii="Arial" w:hAnsi="Arial" w:cs="Arial"/>
          <w:sz w:val="20"/>
          <w:szCs w:val="20"/>
        </w:rPr>
        <w:t>«.</w:t>
      </w:r>
    </w:p>
    <w:p w:rsidR="00D06B39" w:rsidRDefault="00D06B39" w:rsidP="00D06B39">
      <w:pPr>
        <w:pStyle w:val="odstavek"/>
        <w:shd w:val="clear" w:color="auto" w:fill="FFFFFF" w:themeFill="background1"/>
        <w:spacing w:before="0" w:beforeAutospacing="0" w:after="0" w:afterAutospacing="0" w:line="260" w:lineRule="exact"/>
        <w:jc w:val="both"/>
        <w:rPr>
          <w:rFonts w:ascii="Arial" w:hAnsi="Arial" w:cs="Arial"/>
          <w:sz w:val="20"/>
          <w:szCs w:val="20"/>
        </w:rPr>
      </w:pPr>
    </w:p>
    <w:p w:rsidR="00D06B39" w:rsidRDefault="00D06B39" w:rsidP="00D06B39">
      <w:pPr>
        <w:jc w:val="both"/>
        <w:rPr>
          <w:rFonts w:eastAsia="Calibri" w:cs="Arial"/>
          <w:szCs w:val="20"/>
          <w:u w:val="single"/>
        </w:rPr>
      </w:pPr>
      <w:r>
        <w:rPr>
          <w:rFonts w:eastAsia="Calibri" w:cs="Arial"/>
          <w:szCs w:val="20"/>
          <w:u w:val="single"/>
        </w:rPr>
        <w:t>Obrazložitev:</w:t>
      </w:r>
    </w:p>
    <w:p w:rsidR="00D06B39" w:rsidRDefault="00D06B39" w:rsidP="00D06B39">
      <w:pPr>
        <w:jc w:val="both"/>
        <w:rPr>
          <w:rFonts w:eastAsia="Calibri" w:cs="Arial"/>
          <w:szCs w:val="20"/>
        </w:rPr>
      </w:pPr>
      <w:r>
        <w:rPr>
          <w:rFonts w:eastAsia="Calibri" w:cs="Arial"/>
          <w:szCs w:val="20"/>
        </w:rPr>
        <w:t xml:space="preserve">Amandma sledi mnenju ZPS, iz katerega izhaja, da lahko stranko poleg odvetnika pred okrajnim sodiščem zastopa tudi vsaka poslovno sposobna oseba, pred okrožnim in višjim sodiščem pa tudi pravnik z opravljenim pravniškim državnim izpitom. ZPS opozarja na različna pravna položaja odvetnika in pooblaščenca. Odvetniki imajo poseben ustavni položaj, saj je odvetništvo kot del pravosodja samostojna in neodvisna služba, svojo dejavnost pa odvetnik opravlja kot poklic; pri svojem delu je samostojen in neodvisen; v mejah zakona in pooblastila ima pravico uporabiti vsako pravno sredstvo, za katero misli, da lahko koristi stranki, ki jo zastopa; pri zastopanju stranke je dolžan ravnati vestno, pošteno, skrbno ter po načelih odvetniške poklicne etike; prosto </w:t>
      </w:r>
      <w:r>
        <w:rPr>
          <w:rFonts w:eastAsia="Calibri" w:cs="Arial"/>
          <w:szCs w:val="20"/>
        </w:rPr>
        <w:lastRenderedPageBreak/>
        <w:t>odloča, ali bo prevzel zastopanje stranke, ki se je nanj obrnila;  je upravičen do plačila za svoje delo in do povračila stroškov v zvezi z opravljenim delom po odvetniški tarifi oziroma do višjega plačila za svoje delo, če se o tem pisno dogovori s stranko; je zavarovan pred odgovornostjo za škodo, ki bi utegnila nastati stranki v zvezi z opravljanjem njegovega poklica. Drugi pooblaščenci stranke, ki lahko v skladu s procesnimi predpisi zastopajo stranko pred sodiščem, tega (ustavnega) položaja, pravic in obveznosti nimajo oziroma zanje veljajo nižji etični standardi (prepoved škodovati drugemu, dolžnost ravnanja v skladu z dobrimi običaji, vestnostjo in poštenjem; npr. 11. člen ZPP), poleg tega pa pravnega svetovanja in zastopanja pred sodiščem ne opravljajo kot poklic in zato niso upravičeni do plačila za svoje delo in do povračila stroškov v zvezi z opravljenim delom. Glede na različen položaj odvetnika in pooblaščenca se predlaga sprememba določbe, tako da bo denarno kazen sodišče lahko izreklo stranki in njenemu odvetniku, ne pa tudi pooblaščencu, saj je slednji lahko nenazadnje tudi oseba, zaposlena pri stranki, ki jo zastopa in v tem primeru spada zastopanje delodajalca v njeno delovnopravno obveznost (t. i. in-</w:t>
      </w:r>
      <w:proofErr w:type="spellStart"/>
      <w:r>
        <w:rPr>
          <w:rFonts w:eastAsia="Calibri" w:cs="Arial"/>
          <w:szCs w:val="20"/>
        </w:rPr>
        <w:t>house</w:t>
      </w:r>
      <w:proofErr w:type="spellEnd"/>
      <w:r>
        <w:rPr>
          <w:rFonts w:eastAsia="Calibri" w:cs="Arial"/>
          <w:szCs w:val="20"/>
        </w:rPr>
        <w:t xml:space="preserve"> pravnik).</w:t>
      </w:r>
    </w:p>
    <w:p w:rsidR="00D06B39" w:rsidRDefault="00D06B39" w:rsidP="00D06B39">
      <w:pPr>
        <w:jc w:val="both"/>
        <w:rPr>
          <w:rFonts w:eastAsia="Calibri" w:cs="Arial"/>
          <w:szCs w:val="20"/>
        </w:rPr>
      </w:pPr>
    </w:p>
    <w:p w:rsidR="00D06B39" w:rsidRDefault="00D06B39" w:rsidP="00D06B39">
      <w:pPr>
        <w:jc w:val="both"/>
        <w:rPr>
          <w:rFonts w:eastAsia="Calibri" w:cs="Arial"/>
          <w:szCs w:val="20"/>
        </w:rPr>
      </w:pPr>
    </w:p>
    <w:p w:rsidR="00D06B39" w:rsidRDefault="00D06B39" w:rsidP="00D06B39">
      <w:pPr>
        <w:jc w:val="both"/>
        <w:rPr>
          <w:rFonts w:eastAsia="Calibri" w:cs="Arial"/>
          <w:b/>
          <w:bCs/>
          <w:szCs w:val="20"/>
        </w:rPr>
      </w:pPr>
      <w:r>
        <w:rPr>
          <w:rFonts w:eastAsia="Calibri" w:cs="Arial"/>
          <w:b/>
          <w:bCs/>
          <w:szCs w:val="20"/>
        </w:rPr>
        <w:t>K 12. členu</w:t>
      </w:r>
    </w:p>
    <w:p w:rsidR="00D06B39" w:rsidRDefault="00D06B39" w:rsidP="00D06B39">
      <w:pPr>
        <w:jc w:val="both"/>
        <w:rPr>
          <w:rFonts w:eastAsia="Calibri" w:cs="Arial"/>
          <w:szCs w:val="20"/>
        </w:rPr>
      </w:pPr>
    </w:p>
    <w:p w:rsidR="00D06B39" w:rsidRDefault="00D06B39" w:rsidP="00D06B39">
      <w:pPr>
        <w:pStyle w:val="odstavek"/>
        <w:shd w:val="clear" w:color="auto" w:fill="FFFFFF" w:themeFill="background1"/>
        <w:spacing w:before="0" w:beforeAutospacing="0" w:after="0" w:afterAutospacing="0" w:line="260" w:lineRule="exact"/>
        <w:jc w:val="both"/>
        <w:rPr>
          <w:rFonts w:ascii="Arial" w:hAnsi="Arial" w:cs="Arial"/>
          <w:sz w:val="20"/>
          <w:szCs w:val="20"/>
          <w:shd w:val="clear" w:color="auto" w:fill="FFFFFF"/>
        </w:rPr>
      </w:pPr>
      <w:r>
        <w:rPr>
          <w:rFonts w:ascii="Arial" w:hAnsi="Arial" w:cs="Arial"/>
          <w:sz w:val="20"/>
          <w:szCs w:val="20"/>
          <w:shd w:val="clear" w:color="auto" w:fill="FFFFFF"/>
        </w:rPr>
        <w:t>V prvem odstavku se besedilo »16. člena« nadomesti z besedilom »17. člena«.</w:t>
      </w:r>
    </w:p>
    <w:p w:rsidR="00D06B39" w:rsidRDefault="00D06B39" w:rsidP="00D06B39">
      <w:pPr>
        <w:jc w:val="both"/>
        <w:rPr>
          <w:rFonts w:eastAsia="Calibri" w:cs="Arial"/>
          <w:szCs w:val="20"/>
        </w:rPr>
      </w:pPr>
    </w:p>
    <w:p w:rsidR="00D06B39" w:rsidRDefault="00D06B39" w:rsidP="00D06B39">
      <w:pPr>
        <w:jc w:val="both"/>
        <w:rPr>
          <w:rFonts w:eastAsia="Calibri" w:cs="Arial"/>
          <w:szCs w:val="20"/>
          <w:u w:val="single"/>
        </w:rPr>
      </w:pPr>
      <w:r>
        <w:rPr>
          <w:rFonts w:eastAsia="Calibri" w:cs="Arial"/>
          <w:szCs w:val="20"/>
          <w:u w:val="single"/>
        </w:rPr>
        <w:t>Obrazložitev:</w:t>
      </w:r>
    </w:p>
    <w:p w:rsidR="00D06B39" w:rsidRDefault="00D06B39" w:rsidP="00D06B39">
      <w:pPr>
        <w:jc w:val="both"/>
        <w:rPr>
          <w:rFonts w:eastAsia="Calibri" w:cs="Arial"/>
          <w:szCs w:val="20"/>
        </w:rPr>
      </w:pPr>
      <w:r>
        <w:rPr>
          <w:rFonts w:eastAsia="Calibri" w:cs="Arial"/>
          <w:szCs w:val="20"/>
        </w:rPr>
        <w:t>Z amandmajem, ki sledi mnenju ZPS, se popravlja napačno sklicevanje v prvem odstavku.</w:t>
      </w:r>
    </w:p>
    <w:p w:rsidR="00D06B39" w:rsidRDefault="00D06B39" w:rsidP="00D06B39">
      <w:pPr>
        <w:jc w:val="both"/>
        <w:rPr>
          <w:rFonts w:eastAsia="Calibri" w:cs="Arial"/>
          <w:szCs w:val="20"/>
          <w:u w:val="single"/>
        </w:rPr>
      </w:pPr>
    </w:p>
    <w:p w:rsidR="00D06B39" w:rsidRDefault="00D06B39" w:rsidP="00D06B39">
      <w:pPr>
        <w:jc w:val="both"/>
        <w:rPr>
          <w:rFonts w:eastAsia="Calibri" w:cs="Arial"/>
          <w:szCs w:val="20"/>
          <w:u w:val="single"/>
        </w:rPr>
      </w:pPr>
    </w:p>
    <w:p w:rsidR="00D06B39" w:rsidRDefault="00D06B39" w:rsidP="00D06B39">
      <w:pPr>
        <w:jc w:val="both"/>
        <w:rPr>
          <w:rFonts w:eastAsia="Calibri" w:cs="Arial"/>
          <w:b/>
          <w:bCs/>
          <w:szCs w:val="20"/>
        </w:rPr>
      </w:pPr>
      <w:r>
        <w:rPr>
          <w:rFonts w:eastAsia="Calibri" w:cs="Arial"/>
          <w:b/>
          <w:bCs/>
          <w:szCs w:val="20"/>
        </w:rPr>
        <w:t>K 13. členu</w:t>
      </w:r>
    </w:p>
    <w:p w:rsidR="00D06B39" w:rsidRDefault="00D06B39" w:rsidP="00D06B39">
      <w:pPr>
        <w:jc w:val="both"/>
        <w:rPr>
          <w:rFonts w:eastAsia="Calibri" w:cs="Arial"/>
          <w:szCs w:val="20"/>
        </w:rPr>
      </w:pPr>
    </w:p>
    <w:p w:rsidR="00D06B39" w:rsidRDefault="00D06B39" w:rsidP="00D06B39">
      <w:pPr>
        <w:jc w:val="both"/>
        <w:rPr>
          <w:rFonts w:eastAsia="Calibri" w:cs="Arial"/>
          <w:szCs w:val="20"/>
        </w:rPr>
      </w:pPr>
      <w:r>
        <w:rPr>
          <w:rFonts w:eastAsia="Calibri" w:cs="Arial"/>
          <w:szCs w:val="20"/>
        </w:rPr>
        <w:t>V 13. členu se pred besedama »zoper upravičenca« vstavi besedilo »</w:t>
      </w:r>
      <w:bookmarkStart w:id="30" w:name="_Hlk218506149"/>
      <w:r>
        <w:rPr>
          <w:rFonts w:eastAsia="Calibri" w:cs="Arial"/>
          <w:szCs w:val="20"/>
        </w:rPr>
        <w:t>ali bi šlo za očitno neutemeljen zahtevek</w:t>
      </w:r>
      <w:bookmarkEnd w:id="30"/>
      <w:r>
        <w:rPr>
          <w:rFonts w:eastAsia="Calibri" w:cs="Arial"/>
          <w:szCs w:val="20"/>
        </w:rPr>
        <w:t>«.</w:t>
      </w:r>
    </w:p>
    <w:p w:rsidR="00D06B39" w:rsidRDefault="00D06B39" w:rsidP="00D06B39">
      <w:pPr>
        <w:jc w:val="both"/>
        <w:rPr>
          <w:rFonts w:eastAsia="Calibri" w:cs="Arial"/>
          <w:szCs w:val="20"/>
        </w:rPr>
      </w:pPr>
    </w:p>
    <w:p w:rsidR="00D06B39" w:rsidRDefault="00D06B39" w:rsidP="00D06B39">
      <w:pPr>
        <w:jc w:val="both"/>
        <w:rPr>
          <w:rFonts w:eastAsia="Calibri" w:cs="Arial"/>
          <w:szCs w:val="20"/>
          <w:u w:val="single"/>
        </w:rPr>
      </w:pPr>
      <w:r>
        <w:rPr>
          <w:rFonts w:eastAsia="Calibri" w:cs="Arial"/>
          <w:szCs w:val="20"/>
          <w:u w:val="single"/>
        </w:rPr>
        <w:t xml:space="preserve">Obrazložitev: </w:t>
      </w:r>
    </w:p>
    <w:p w:rsidR="00D06B39" w:rsidRDefault="00D06B39" w:rsidP="00D06B39">
      <w:pPr>
        <w:jc w:val="both"/>
        <w:rPr>
          <w:rFonts w:eastAsia="Calibri" w:cs="Arial"/>
          <w:szCs w:val="20"/>
        </w:rPr>
      </w:pPr>
      <w:r>
        <w:rPr>
          <w:rFonts w:eastAsia="Calibri" w:cs="Arial"/>
          <w:szCs w:val="20"/>
        </w:rPr>
        <w:t>Amandma sledi mnenju ZPS, ki je opozorila na 16. člen Direktive (EU) 2024/1069 v povezavi z uvodno izjavo 43, iz katerih izhaja, da je treba zagotoviti tudi zaščito pred očitno neutemeljenimi zahtevki v tretji državi. Ker člen v predlogu zakona ureja samo zaščito pred zlorabljenimi sodnimi postopki za onemogočanje javnega udejstvovanja, se z amandmajem dodaja še zaščita pred očitno neutemeljenimi zahtevki v tretji državi.</w:t>
      </w:r>
    </w:p>
    <w:p w:rsidR="00D06B39" w:rsidRDefault="00D06B39" w:rsidP="00D06B39">
      <w:pPr>
        <w:jc w:val="both"/>
        <w:rPr>
          <w:rFonts w:eastAsia="Calibri" w:cs="Arial"/>
          <w:szCs w:val="20"/>
        </w:rPr>
      </w:pPr>
    </w:p>
    <w:p w:rsidR="00D06B39" w:rsidRDefault="00D06B39" w:rsidP="00D06B39">
      <w:pPr>
        <w:jc w:val="both"/>
        <w:rPr>
          <w:rFonts w:eastAsia="Calibri" w:cs="Arial"/>
          <w:szCs w:val="20"/>
        </w:rPr>
      </w:pPr>
    </w:p>
    <w:p w:rsidR="00D06B39" w:rsidRDefault="00D06B39" w:rsidP="00D06B39">
      <w:pPr>
        <w:jc w:val="both"/>
        <w:rPr>
          <w:rFonts w:eastAsia="Calibri" w:cs="Arial"/>
          <w:b/>
          <w:bCs/>
          <w:szCs w:val="20"/>
        </w:rPr>
      </w:pPr>
      <w:r>
        <w:rPr>
          <w:rFonts w:eastAsia="Calibri" w:cs="Arial"/>
          <w:b/>
          <w:bCs/>
          <w:szCs w:val="20"/>
        </w:rPr>
        <w:t>K 15. členu</w:t>
      </w:r>
    </w:p>
    <w:p w:rsidR="00D06B39" w:rsidRDefault="00D06B39" w:rsidP="00D06B39">
      <w:pPr>
        <w:jc w:val="both"/>
        <w:rPr>
          <w:rFonts w:eastAsia="Calibri" w:cs="Arial"/>
          <w:szCs w:val="20"/>
        </w:rPr>
      </w:pPr>
    </w:p>
    <w:p w:rsidR="00D06B39" w:rsidRDefault="00D06B39" w:rsidP="00D06B39">
      <w:pPr>
        <w:pStyle w:val="odstavek"/>
        <w:shd w:val="clear" w:color="auto" w:fill="FFFFFF" w:themeFill="background1"/>
        <w:spacing w:before="0" w:beforeAutospacing="0" w:after="0" w:afterAutospacing="0" w:line="260" w:lineRule="exact"/>
        <w:jc w:val="both"/>
        <w:rPr>
          <w:rFonts w:ascii="Arial" w:hAnsi="Arial" w:cs="Arial"/>
          <w:sz w:val="20"/>
          <w:szCs w:val="20"/>
          <w:shd w:val="clear" w:color="auto" w:fill="FFFFFF"/>
        </w:rPr>
      </w:pPr>
      <w:r>
        <w:rPr>
          <w:rFonts w:ascii="Arial" w:hAnsi="Arial" w:cs="Arial"/>
          <w:sz w:val="20"/>
          <w:szCs w:val="20"/>
          <w:shd w:val="clear" w:color="auto" w:fill="FFFFFF"/>
        </w:rPr>
        <w:t>Besedilo člena se spremeni tako, da se glasi:</w:t>
      </w:r>
    </w:p>
    <w:p w:rsidR="00D06B39" w:rsidRDefault="00D06B39" w:rsidP="00D06B39">
      <w:pPr>
        <w:pStyle w:val="odstavek"/>
        <w:shd w:val="clear" w:color="auto" w:fill="FFFFFF" w:themeFill="background1"/>
        <w:spacing w:before="0" w:beforeAutospacing="0" w:after="0" w:afterAutospacing="0" w:line="260" w:lineRule="exact"/>
        <w:jc w:val="both"/>
        <w:rPr>
          <w:rFonts w:ascii="Arial" w:hAnsi="Arial" w:cs="Arial"/>
          <w:sz w:val="20"/>
          <w:szCs w:val="20"/>
          <w:shd w:val="clear" w:color="auto" w:fill="FFFFFF"/>
        </w:rPr>
      </w:pPr>
    </w:p>
    <w:p w:rsidR="00D06B39" w:rsidRDefault="00D06B39" w:rsidP="00D06B39">
      <w:pPr>
        <w:jc w:val="both"/>
        <w:rPr>
          <w:rFonts w:cs="Arial"/>
          <w:szCs w:val="20"/>
          <w:shd w:val="clear" w:color="auto" w:fill="FFFFFF"/>
        </w:rPr>
      </w:pPr>
      <w:bookmarkStart w:id="31" w:name="_Hlk218506181"/>
      <w:r>
        <w:rPr>
          <w:rFonts w:cs="Arial"/>
          <w:szCs w:val="20"/>
          <w:shd w:val="clear" w:color="auto" w:fill="FFFFFF"/>
        </w:rPr>
        <w:t>»Ministrstvo, pristojno za pravosodje, ustanovi enotno kontaktno točko, ki zagotavlja dostop do informacij o razpoložljivih zaščitnih ukrepih, pravnih sredstvih in podpornih ukrepih, skrbi za objavo pravnomočnih odločb, v katerih je sodišče odločilo o zaščitnih ukrepih po tem zakonu, ter zbira in pošlje podatke o zaščitnih ukrepih Evropski komisiji.«.</w:t>
      </w:r>
      <w:bookmarkEnd w:id="31"/>
    </w:p>
    <w:p w:rsidR="00D06B39" w:rsidRDefault="00D06B39" w:rsidP="00D06B39">
      <w:pPr>
        <w:jc w:val="both"/>
        <w:rPr>
          <w:rFonts w:eastAsia="Calibri" w:cs="Arial"/>
          <w:szCs w:val="20"/>
        </w:rPr>
      </w:pPr>
    </w:p>
    <w:p w:rsidR="00D06B39" w:rsidRDefault="00D06B39" w:rsidP="00D06B39">
      <w:pPr>
        <w:jc w:val="both"/>
        <w:rPr>
          <w:rFonts w:eastAsia="Calibri" w:cs="Arial"/>
          <w:szCs w:val="20"/>
          <w:u w:val="single"/>
        </w:rPr>
      </w:pPr>
      <w:r>
        <w:rPr>
          <w:rFonts w:eastAsia="Calibri" w:cs="Arial"/>
          <w:szCs w:val="20"/>
          <w:u w:val="single"/>
        </w:rPr>
        <w:t>Obrazložitev:</w:t>
      </w:r>
    </w:p>
    <w:p w:rsidR="00D06B39" w:rsidRDefault="00D06B39" w:rsidP="00D06B39">
      <w:pPr>
        <w:jc w:val="both"/>
        <w:rPr>
          <w:rFonts w:eastAsia="Calibri" w:cs="Arial"/>
          <w:szCs w:val="20"/>
        </w:rPr>
      </w:pPr>
      <w:r>
        <w:rPr>
          <w:rFonts w:eastAsia="Calibri" w:cs="Arial"/>
          <w:szCs w:val="20"/>
        </w:rPr>
        <w:t>Amandma sledi mnenju ZPS, ki je opozorila, da je treba najprej določiti, da ministrstvo ustanovi enotno kontaktno točko in nato v nadaljevanju navesti, kakšne so njene naloge, pri čemer je treba upoštevati terminologijo, ki se uporablja v predlogu zakona in ne terminologijo, ki izhaja iz Direktive. Zaradi večje jasnosti in nedvoumnosti določbe se izrecno dodaja tudi, da enotna kontaktna točka skrbi za objavo pravnomočnih odločb, v katerih je sodišče odločilo o zaščitnih ukrepih po tem zakonu.</w:t>
      </w:r>
    </w:p>
    <w:p w:rsidR="00D06B39" w:rsidRDefault="00D06B39" w:rsidP="00D06B39">
      <w:pPr>
        <w:jc w:val="both"/>
        <w:rPr>
          <w:rFonts w:eastAsia="Calibri" w:cs="Arial"/>
          <w:szCs w:val="20"/>
        </w:rPr>
      </w:pPr>
    </w:p>
    <w:p w:rsidR="00D06B39" w:rsidRDefault="00D06B39" w:rsidP="00D06B39">
      <w:pPr>
        <w:jc w:val="both"/>
        <w:rPr>
          <w:rFonts w:eastAsia="Calibri" w:cs="Arial"/>
          <w:b/>
          <w:bCs/>
          <w:szCs w:val="20"/>
        </w:rPr>
      </w:pPr>
    </w:p>
    <w:p w:rsidR="00D06B39" w:rsidRDefault="00D06B39" w:rsidP="00D06B39">
      <w:pPr>
        <w:jc w:val="both"/>
        <w:rPr>
          <w:rFonts w:eastAsia="Calibri" w:cs="Arial"/>
          <w:b/>
          <w:bCs/>
          <w:szCs w:val="20"/>
        </w:rPr>
      </w:pPr>
      <w:r>
        <w:rPr>
          <w:rFonts w:eastAsia="Calibri" w:cs="Arial"/>
          <w:b/>
          <w:bCs/>
          <w:szCs w:val="20"/>
        </w:rPr>
        <w:t>K 16. členu</w:t>
      </w:r>
    </w:p>
    <w:p w:rsidR="00D06B39" w:rsidRDefault="00D06B39" w:rsidP="00D06B39">
      <w:pPr>
        <w:jc w:val="both"/>
        <w:rPr>
          <w:rFonts w:eastAsia="Calibri" w:cs="Arial"/>
          <w:szCs w:val="20"/>
        </w:rPr>
      </w:pPr>
    </w:p>
    <w:p w:rsidR="00D06B39" w:rsidRDefault="00D06B39" w:rsidP="00D06B39">
      <w:pPr>
        <w:pStyle w:val="odstavek"/>
        <w:shd w:val="clear" w:color="auto" w:fill="FFFFFF" w:themeFill="background1"/>
        <w:spacing w:before="0" w:beforeAutospacing="0" w:after="0" w:afterAutospacing="0" w:line="260" w:lineRule="exact"/>
        <w:jc w:val="both"/>
        <w:rPr>
          <w:rFonts w:ascii="Arial" w:hAnsi="Arial" w:cs="Arial"/>
          <w:sz w:val="20"/>
          <w:szCs w:val="20"/>
          <w:shd w:val="clear" w:color="auto" w:fill="FFFFFF"/>
        </w:rPr>
      </w:pPr>
      <w:r>
        <w:rPr>
          <w:rFonts w:ascii="Arial" w:hAnsi="Arial" w:cs="Arial"/>
          <w:sz w:val="20"/>
          <w:szCs w:val="20"/>
          <w:shd w:val="clear" w:color="auto" w:fill="FFFFFF"/>
        </w:rPr>
        <w:t>Besedilo »postopkovnih jamstvih in pravnih sredstvih ter« se nadomesti z besedilom »</w:t>
      </w:r>
      <w:bookmarkStart w:id="32" w:name="_Hlk218506221"/>
      <w:r>
        <w:rPr>
          <w:rFonts w:ascii="Arial" w:hAnsi="Arial" w:cs="Arial"/>
          <w:sz w:val="20"/>
          <w:szCs w:val="20"/>
          <w:shd w:val="clear" w:color="auto" w:fill="FFFFFF"/>
        </w:rPr>
        <w:t>zaščitnih ukrepih, pravnih sredstvih in</w:t>
      </w:r>
      <w:bookmarkEnd w:id="32"/>
      <w:r>
        <w:rPr>
          <w:rFonts w:ascii="Arial" w:hAnsi="Arial" w:cs="Arial"/>
          <w:sz w:val="20"/>
          <w:szCs w:val="20"/>
          <w:shd w:val="clear" w:color="auto" w:fill="FFFFFF"/>
        </w:rPr>
        <w:t>«.</w:t>
      </w:r>
    </w:p>
    <w:p w:rsidR="00D06B39" w:rsidRDefault="00D06B39" w:rsidP="00D06B39">
      <w:pPr>
        <w:jc w:val="both"/>
        <w:rPr>
          <w:rFonts w:eastAsia="Calibri" w:cs="Arial"/>
          <w:szCs w:val="20"/>
        </w:rPr>
      </w:pPr>
    </w:p>
    <w:p w:rsidR="00D06B39" w:rsidRDefault="00D06B39" w:rsidP="00D06B39">
      <w:pPr>
        <w:jc w:val="both"/>
        <w:rPr>
          <w:rFonts w:eastAsia="Calibri" w:cs="Arial"/>
          <w:szCs w:val="20"/>
          <w:u w:val="single"/>
        </w:rPr>
      </w:pPr>
      <w:r>
        <w:rPr>
          <w:rFonts w:eastAsia="Calibri" w:cs="Arial"/>
          <w:szCs w:val="20"/>
          <w:u w:val="single"/>
        </w:rPr>
        <w:t>Obrazložitev:</w:t>
      </w:r>
    </w:p>
    <w:p w:rsidR="00D06B39" w:rsidRDefault="00D06B39" w:rsidP="00D06B39">
      <w:pPr>
        <w:jc w:val="both"/>
        <w:rPr>
          <w:rFonts w:eastAsia="Calibri" w:cs="Arial"/>
          <w:szCs w:val="20"/>
        </w:rPr>
      </w:pPr>
      <w:r>
        <w:rPr>
          <w:rFonts w:eastAsia="Calibri" w:cs="Arial"/>
          <w:szCs w:val="20"/>
        </w:rPr>
        <w:t>Amandma je redakcijske narave in je predlagan z namenom, da se poenoti terminologija v predlogu zakona.</w:t>
      </w:r>
    </w:p>
    <w:p w:rsidR="00D06B39" w:rsidRDefault="00D06B39" w:rsidP="00D06B39">
      <w:pPr>
        <w:jc w:val="both"/>
        <w:rPr>
          <w:rFonts w:eastAsia="Calibri" w:cs="Arial"/>
          <w:szCs w:val="20"/>
        </w:rPr>
      </w:pPr>
    </w:p>
    <w:p w:rsidR="00D06B39" w:rsidRDefault="00D06B39" w:rsidP="00D06B39">
      <w:pPr>
        <w:jc w:val="both"/>
        <w:rPr>
          <w:rFonts w:eastAsia="Calibri" w:cs="Arial"/>
          <w:b/>
          <w:bCs/>
          <w:szCs w:val="20"/>
        </w:rPr>
      </w:pPr>
    </w:p>
    <w:p w:rsidR="00D06B39" w:rsidRDefault="00D06B39" w:rsidP="00D06B39">
      <w:pPr>
        <w:jc w:val="both"/>
        <w:rPr>
          <w:rFonts w:eastAsia="Calibri" w:cs="Arial"/>
          <w:b/>
          <w:bCs/>
          <w:szCs w:val="20"/>
        </w:rPr>
      </w:pPr>
      <w:r>
        <w:rPr>
          <w:rFonts w:eastAsia="Calibri" w:cs="Arial"/>
          <w:b/>
          <w:bCs/>
          <w:szCs w:val="20"/>
        </w:rPr>
        <w:t>K 17. členu</w:t>
      </w:r>
    </w:p>
    <w:p w:rsidR="00D06B39" w:rsidRDefault="00D06B39" w:rsidP="00D06B39">
      <w:pPr>
        <w:jc w:val="both"/>
        <w:rPr>
          <w:rFonts w:eastAsia="Calibri" w:cs="Arial"/>
          <w:szCs w:val="20"/>
        </w:rPr>
      </w:pPr>
    </w:p>
    <w:p w:rsidR="00D06B39" w:rsidRDefault="00D06B39" w:rsidP="00D06B39">
      <w:pPr>
        <w:pStyle w:val="odstavek"/>
        <w:shd w:val="clear" w:color="auto" w:fill="FFFFFF"/>
        <w:spacing w:before="0" w:beforeAutospacing="0" w:after="0" w:afterAutospacing="0" w:line="260" w:lineRule="exact"/>
        <w:jc w:val="both"/>
        <w:rPr>
          <w:rFonts w:ascii="Arial" w:hAnsi="Arial" w:cs="Arial"/>
          <w:sz w:val="20"/>
          <w:szCs w:val="20"/>
          <w:shd w:val="clear" w:color="auto" w:fill="FFFFFF"/>
        </w:rPr>
      </w:pPr>
      <w:r>
        <w:rPr>
          <w:rFonts w:ascii="Arial" w:hAnsi="Arial" w:cs="Arial"/>
          <w:sz w:val="20"/>
          <w:szCs w:val="20"/>
          <w:shd w:val="clear" w:color="auto" w:fill="FFFFFF"/>
        </w:rPr>
        <w:t>V prvem odstavku se za besedo »obliki« doda beseda »</w:t>
      </w:r>
      <w:bookmarkStart w:id="33" w:name="_Hlk218506250"/>
      <w:r>
        <w:rPr>
          <w:rFonts w:ascii="Arial" w:hAnsi="Arial" w:cs="Arial"/>
          <w:sz w:val="20"/>
          <w:szCs w:val="20"/>
          <w:shd w:val="clear" w:color="auto" w:fill="FFFFFF"/>
        </w:rPr>
        <w:t>pravnomočne</w:t>
      </w:r>
      <w:bookmarkEnd w:id="33"/>
      <w:r>
        <w:rPr>
          <w:rFonts w:ascii="Arial" w:hAnsi="Arial" w:cs="Arial"/>
          <w:sz w:val="20"/>
          <w:szCs w:val="20"/>
          <w:shd w:val="clear" w:color="auto" w:fill="FFFFFF"/>
        </w:rPr>
        <w:t>«, besedilo »bil sodni postopek zoper upravičenca zlorabljen za onemogočanje njegovega javnega udejstvovanja« pa se nadomesti z besedilom »</w:t>
      </w:r>
      <w:bookmarkStart w:id="34" w:name="_Hlk218506315"/>
      <w:r>
        <w:rPr>
          <w:rFonts w:ascii="Arial" w:hAnsi="Arial" w:cs="Arial"/>
          <w:sz w:val="20"/>
          <w:szCs w:val="20"/>
          <w:shd w:val="clear" w:color="auto" w:fill="FFFFFF"/>
        </w:rPr>
        <w:t>šlo za zlorabljen sodni postopek za onemogočanje javnega udejstvovanja</w:t>
      </w:r>
      <w:bookmarkEnd w:id="34"/>
      <w:r>
        <w:rPr>
          <w:rFonts w:ascii="Arial" w:hAnsi="Arial" w:cs="Arial"/>
          <w:sz w:val="20"/>
          <w:szCs w:val="20"/>
          <w:shd w:val="clear" w:color="auto" w:fill="FFFFFF"/>
        </w:rPr>
        <w:t>«.</w:t>
      </w:r>
    </w:p>
    <w:p w:rsidR="00D06B39" w:rsidRDefault="00D06B39" w:rsidP="00D06B39">
      <w:pPr>
        <w:pStyle w:val="odstavek"/>
        <w:shd w:val="clear" w:color="auto" w:fill="FFFFFF"/>
        <w:spacing w:before="0" w:beforeAutospacing="0" w:after="0" w:afterAutospacing="0" w:line="260" w:lineRule="exact"/>
        <w:jc w:val="both"/>
        <w:rPr>
          <w:rFonts w:ascii="Arial" w:hAnsi="Arial" w:cs="Arial"/>
          <w:sz w:val="20"/>
          <w:szCs w:val="20"/>
          <w:shd w:val="clear" w:color="auto" w:fill="FFFFFF"/>
        </w:rPr>
      </w:pPr>
    </w:p>
    <w:p w:rsidR="00D06B39" w:rsidRDefault="00D06B39" w:rsidP="00D06B39">
      <w:pPr>
        <w:pStyle w:val="odstavek"/>
        <w:shd w:val="clear" w:color="auto" w:fill="FFFFFF"/>
        <w:spacing w:before="0" w:beforeAutospacing="0" w:after="0" w:afterAutospacing="0" w:line="260" w:lineRule="exact"/>
        <w:jc w:val="both"/>
        <w:rPr>
          <w:rFonts w:ascii="Arial" w:hAnsi="Arial" w:cs="Arial"/>
          <w:sz w:val="20"/>
          <w:szCs w:val="20"/>
          <w:shd w:val="clear" w:color="auto" w:fill="FFFFFF"/>
        </w:rPr>
      </w:pPr>
      <w:r>
        <w:rPr>
          <w:rFonts w:ascii="Arial" w:hAnsi="Arial" w:cs="Arial"/>
          <w:sz w:val="20"/>
          <w:szCs w:val="20"/>
          <w:shd w:val="clear" w:color="auto" w:fill="FFFFFF"/>
        </w:rPr>
        <w:t>V drugem odstavku se za besedo »številu« doda beseda »</w:t>
      </w:r>
      <w:bookmarkStart w:id="35" w:name="_Hlk218506336"/>
      <w:r>
        <w:rPr>
          <w:rFonts w:ascii="Arial" w:hAnsi="Arial" w:cs="Arial"/>
          <w:sz w:val="20"/>
          <w:szCs w:val="20"/>
          <w:shd w:val="clear" w:color="auto" w:fill="FFFFFF"/>
        </w:rPr>
        <w:t>zlorabljenih</w:t>
      </w:r>
      <w:bookmarkEnd w:id="35"/>
      <w:r>
        <w:rPr>
          <w:rFonts w:ascii="Arial" w:hAnsi="Arial" w:cs="Arial"/>
          <w:sz w:val="20"/>
          <w:szCs w:val="20"/>
          <w:shd w:val="clear" w:color="auto" w:fill="FFFFFF"/>
        </w:rPr>
        <w:t>«, pred besedo »končanih« pa se vstavi beseda »</w:t>
      </w:r>
      <w:bookmarkStart w:id="36" w:name="_Hlk218506357"/>
      <w:r>
        <w:rPr>
          <w:rFonts w:ascii="Arial" w:hAnsi="Arial" w:cs="Arial"/>
          <w:sz w:val="20"/>
          <w:szCs w:val="20"/>
          <w:shd w:val="clear" w:color="auto" w:fill="FFFFFF"/>
        </w:rPr>
        <w:t>pravnomočno</w:t>
      </w:r>
      <w:bookmarkEnd w:id="36"/>
      <w:r>
        <w:rPr>
          <w:rFonts w:ascii="Arial" w:hAnsi="Arial" w:cs="Arial"/>
          <w:sz w:val="20"/>
          <w:szCs w:val="20"/>
          <w:shd w:val="clear" w:color="auto" w:fill="FFFFFF"/>
        </w:rPr>
        <w:t>«.</w:t>
      </w:r>
    </w:p>
    <w:p w:rsidR="00D06B39" w:rsidRDefault="00D06B39" w:rsidP="00D06B39">
      <w:pPr>
        <w:jc w:val="both"/>
        <w:rPr>
          <w:rFonts w:eastAsia="Calibri" w:cs="Arial"/>
          <w:szCs w:val="20"/>
        </w:rPr>
      </w:pPr>
    </w:p>
    <w:p w:rsidR="00D06B39" w:rsidRDefault="00D06B39" w:rsidP="00D06B39">
      <w:pPr>
        <w:jc w:val="both"/>
        <w:rPr>
          <w:rFonts w:eastAsia="Calibri" w:cs="Arial"/>
          <w:szCs w:val="20"/>
          <w:u w:val="single"/>
        </w:rPr>
      </w:pPr>
      <w:r>
        <w:rPr>
          <w:rFonts w:eastAsia="Calibri" w:cs="Arial"/>
          <w:szCs w:val="20"/>
          <w:u w:val="single"/>
        </w:rPr>
        <w:t>Obrazložitev:</w:t>
      </w:r>
    </w:p>
    <w:p w:rsidR="00D06B39" w:rsidRDefault="00D06B39" w:rsidP="00D06B39">
      <w:pPr>
        <w:jc w:val="both"/>
        <w:rPr>
          <w:rFonts w:eastAsia="Calibri" w:cs="Arial"/>
          <w:szCs w:val="20"/>
        </w:rPr>
      </w:pPr>
      <w:r>
        <w:rPr>
          <w:rFonts w:eastAsia="Calibri" w:cs="Arial"/>
          <w:szCs w:val="20"/>
        </w:rPr>
        <w:t>Amandma je redakcijske narave. Poleg tega jasno določa, da se objava tako odločb kot tudi podatkov o številu odločb nanaša samo na pravnomočne sodne odločbe, ne pa tudi na nepravnomočne.</w:t>
      </w:r>
    </w:p>
    <w:p w:rsidR="00D06B39" w:rsidRDefault="00D06B39" w:rsidP="00D06B39">
      <w:pPr>
        <w:jc w:val="both"/>
        <w:rPr>
          <w:rFonts w:eastAsia="Calibri" w:cs="Arial"/>
          <w:szCs w:val="20"/>
          <w:u w:val="single"/>
        </w:rPr>
      </w:pPr>
    </w:p>
    <w:p w:rsidR="00D06B39" w:rsidRDefault="00D06B39" w:rsidP="00D06B39">
      <w:pPr>
        <w:jc w:val="both"/>
        <w:rPr>
          <w:rFonts w:eastAsia="Calibri" w:cs="Arial"/>
          <w:szCs w:val="20"/>
        </w:rPr>
      </w:pPr>
    </w:p>
    <w:p w:rsidR="00D06B39" w:rsidRDefault="00D06B39" w:rsidP="00D06B39">
      <w:pPr>
        <w:jc w:val="both"/>
        <w:rPr>
          <w:rFonts w:eastAsia="Calibri" w:cs="Arial"/>
          <w:b/>
          <w:bCs/>
          <w:szCs w:val="20"/>
        </w:rPr>
      </w:pPr>
      <w:r>
        <w:rPr>
          <w:rFonts w:eastAsia="Calibri" w:cs="Arial"/>
          <w:b/>
          <w:bCs/>
          <w:szCs w:val="20"/>
        </w:rPr>
        <w:t>K 18. členu</w:t>
      </w:r>
    </w:p>
    <w:p w:rsidR="00D06B39" w:rsidRDefault="00D06B39" w:rsidP="00D06B39">
      <w:pPr>
        <w:jc w:val="both"/>
        <w:rPr>
          <w:rFonts w:eastAsia="Calibri" w:cs="Arial"/>
          <w:szCs w:val="20"/>
        </w:rPr>
      </w:pPr>
    </w:p>
    <w:p w:rsidR="00D06B39" w:rsidRDefault="00D06B39" w:rsidP="00D06B39">
      <w:pPr>
        <w:jc w:val="both"/>
        <w:rPr>
          <w:rFonts w:eastAsia="Calibri" w:cs="Arial"/>
          <w:szCs w:val="20"/>
        </w:rPr>
      </w:pPr>
      <w:r>
        <w:rPr>
          <w:rFonts w:eastAsia="Calibri" w:cs="Arial"/>
          <w:szCs w:val="20"/>
        </w:rPr>
        <w:t>Besedilo »14. člena« se nadomesti z besedilom »15. člena«.</w:t>
      </w:r>
    </w:p>
    <w:p w:rsidR="00D06B39" w:rsidRDefault="00D06B39" w:rsidP="00D06B39">
      <w:pPr>
        <w:jc w:val="both"/>
        <w:rPr>
          <w:rFonts w:eastAsia="Calibri" w:cs="Arial"/>
          <w:szCs w:val="20"/>
        </w:rPr>
      </w:pPr>
    </w:p>
    <w:p w:rsidR="00D06B39" w:rsidRDefault="00D06B39" w:rsidP="00D06B39">
      <w:pPr>
        <w:jc w:val="both"/>
        <w:rPr>
          <w:rFonts w:eastAsia="Calibri" w:cs="Arial"/>
          <w:szCs w:val="20"/>
          <w:u w:val="single"/>
        </w:rPr>
      </w:pPr>
      <w:r>
        <w:rPr>
          <w:rFonts w:eastAsia="Calibri" w:cs="Arial"/>
          <w:szCs w:val="20"/>
          <w:u w:val="single"/>
        </w:rPr>
        <w:t>Obrazložitev:</w:t>
      </w:r>
    </w:p>
    <w:p w:rsidR="00D06B39" w:rsidRDefault="00D06B39" w:rsidP="00D06B39">
      <w:r>
        <w:rPr>
          <w:rFonts w:eastAsia="Calibri" w:cs="Arial"/>
          <w:szCs w:val="20"/>
        </w:rPr>
        <w:t>Z amandmajem, ki sledi mnenju ZPS, se popravi sklicevanje na pravilni člen predloga zakona.</w:t>
      </w:r>
    </w:p>
    <w:p w:rsidR="007E1230" w:rsidRDefault="007E1230" w:rsidP="00D06B39">
      <w:pPr>
        <w:jc w:val="both"/>
        <w:rPr>
          <w:rFonts w:cs="Arial"/>
          <w:color w:val="000000"/>
          <w:szCs w:val="20"/>
        </w:rPr>
      </w:pPr>
    </w:p>
    <w:sectPr w:rsidR="007E1230"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50818" w:rsidRDefault="00F50818" w:rsidP="00767987">
      <w:pPr>
        <w:spacing w:line="240" w:lineRule="auto"/>
      </w:pPr>
      <w:r>
        <w:separator/>
      </w:r>
    </w:p>
  </w:endnote>
  <w:endnote w:type="continuationSeparator" w:id="0">
    <w:p w:rsidR="00F50818" w:rsidRDefault="00F50818"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5099" w:rsidRDefault="000B5099">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5099" w:rsidRDefault="000B5099">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5099" w:rsidRDefault="000B5099">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50818" w:rsidRDefault="00F50818" w:rsidP="00767987">
      <w:pPr>
        <w:spacing w:line="240" w:lineRule="auto"/>
      </w:pPr>
      <w:r>
        <w:separator/>
      </w:r>
    </w:p>
  </w:footnote>
  <w:footnote w:type="continuationSeparator" w:id="0">
    <w:p w:rsidR="00F50818" w:rsidRDefault="00F50818"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5099" w:rsidRDefault="000B5099">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5099" w:rsidRDefault="000B5099">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41271"/>
    <w:rsid w:val="00084FCB"/>
    <w:rsid w:val="000B37A4"/>
    <w:rsid w:val="000B3FE6"/>
    <w:rsid w:val="000B5099"/>
    <w:rsid w:val="000E4B03"/>
    <w:rsid w:val="002837E1"/>
    <w:rsid w:val="00286CB6"/>
    <w:rsid w:val="00366636"/>
    <w:rsid w:val="00367DE6"/>
    <w:rsid w:val="003B3E19"/>
    <w:rsid w:val="004076C6"/>
    <w:rsid w:val="00457A58"/>
    <w:rsid w:val="004964D7"/>
    <w:rsid w:val="004B7F76"/>
    <w:rsid w:val="004E1BCE"/>
    <w:rsid w:val="0057353E"/>
    <w:rsid w:val="005776EF"/>
    <w:rsid w:val="00583E40"/>
    <w:rsid w:val="00592079"/>
    <w:rsid w:val="00594080"/>
    <w:rsid w:val="005D29F3"/>
    <w:rsid w:val="00607FDC"/>
    <w:rsid w:val="00674FD5"/>
    <w:rsid w:val="00682FFE"/>
    <w:rsid w:val="00684751"/>
    <w:rsid w:val="006C69EC"/>
    <w:rsid w:val="007039D0"/>
    <w:rsid w:val="00767987"/>
    <w:rsid w:val="00782FD4"/>
    <w:rsid w:val="007E1230"/>
    <w:rsid w:val="00811140"/>
    <w:rsid w:val="00902D57"/>
    <w:rsid w:val="00904A48"/>
    <w:rsid w:val="00980294"/>
    <w:rsid w:val="009C5392"/>
    <w:rsid w:val="009C657E"/>
    <w:rsid w:val="00A04FA3"/>
    <w:rsid w:val="00A16E6F"/>
    <w:rsid w:val="00A50E4B"/>
    <w:rsid w:val="00A56EFB"/>
    <w:rsid w:val="00A9231D"/>
    <w:rsid w:val="00AD3BB3"/>
    <w:rsid w:val="00B31063"/>
    <w:rsid w:val="00BC534D"/>
    <w:rsid w:val="00C0216A"/>
    <w:rsid w:val="00CD6077"/>
    <w:rsid w:val="00CD7B42"/>
    <w:rsid w:val="00CE234E"/>
    <w:rsid w:val="00D00B65"/>
    <w:rsid w:val="00D02973"/>
    <w:rsid w:val="00D06B39"/>
    <w:rsid w:val="00DA09BE"/>
    <w:rsid w:val="00E83A83"/>
    <w:rsid w:val="00F502C5"/>
    <w:rsid w:val="00F50818"/>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 w:type="paragraph" w:customStyle="1" w:styleId="odstavek">
    <w:name w:val="odstavek"/>
    <w:basedOn w:val="Navaden"/>
    <w:rsid w:val="00D06B39"/>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683717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3179</Words>
  <Characters>18126</Characters>
  <Application>Microsoft Office Word</Application>
  <DocSecurity>0</DocSecurity>
  <Lines>151</Lines>
  <Paragraphs>42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21263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Ingrid Hribar</cp:lastModifiedBy>
  <cp:revision>3</cp:revision>
  <dcterms:created xsi:type="dcterms:W3CDTF">2026-01-06T09:37:00Z</dcterms:created>
  <dcterms:modified xsi:type="dcterms:W3CDTF">2026-01-06T10:33:00Z</dcterms:modified>
</cp:coreProperties>
</file>