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A403EA" w14:textId="77777777" w:rsidR="002F2BFC" w:rsidRPr="00A9231D" w:rsidRDefault="002F2BFC" w:rsidP="002F2BFC">
      <w:pPr>
        <w:pStyle w:val="Glava"/>
        <w:tabs>
          <w:tab w:val="clear" w:pos="8640"/>
          <w:tab w:val="left" w:pos="5112"/>
          <w:tab w:val="left" w:pos="8641"/>
        </w:tabs>
        <w:spacing w:before="340" w:line="240" w:lineRule="exact"/>
        <w:ind w:left="-765"/>
        <w:rPr>
          <w:rFonts w:cs="Arial"/>
          <w:sz w:val="16"/>
        </w:rPr>
      </w:pPr>
      <w:bookmarkStart w:id="0" w:name="_Hlk98245576"/>
      <w:r w:rsidRPr="00CE234E">
        <w:rPr>
          <w:noProof/>
          <w:lang w:val="sl-SI" w:eastAsia="sl-SI"/>
        </w:rPr>
        <w:drawing>
          <wp:inline distT="0" distB="0" distL="0" distR="0" wp14:anchorId="16209BC5" wp14:editId="7C048E1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636DA6F" w14:textId="55CCB531" w:rsidR="002F2BFC" w:rsidRPr="00A9231D" w:rsidRDefault="002F2BFC" w:rsidP="002F2BFC">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166B787" w14:textId="294FFDBB" w:rsidR="002F2BFC" w:rsidRPr="00A9231D" w:rsidRDefault="002F2BFC" w:rsidP="002F2BF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C9BA2C4" w14:textId="7CC5BC1B" w:rsidR="002F2BFC" w:rsidRPr="00A9231D" w:rsidRDefault="002F2BFC" w:rsidP="002F2BF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9C0022F" w14:textId="2F9776E4" w:rsidR="002F2BFC" w:rsidRPr="00A9231D" w:rsidRDefault="002F2BFC" w:rsidP="002F2BF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ttp://www.vlada.si/</w:t>
      </w:r>
    </w:p>
    <w:p w14:paraId="6CE8A3DF" w14:textId="77777777" w:rsidR="002F2BFC" w:rsidRPr="00201C9A" w:rsidRDefault="002F2BFC" w:rsidP="00794674">
      <w:pPr>
        <w:spacing w:line="260" w:lineRule="exact"/>
        <w:jc w:val="right"/>
        <w:rPr>
          <w:rFonts w:cs="Arial"/>
          <w:bCs/>
          <w:szCs w:val="20"/>
        </w:rPr>
      </w:pPr>
    </w:p>
    <w:p w14:paraId="1DB8207D" w14:textId="77777777" w:rsidR="00A73372" w:rsidRDefault="00A73372" w:rsidP="00794674">
      <w:pPr>
        <w:spacing w:line="260" w:lineRule="exact"/>
        <w:jc w:val="right"/>
        <w:rPr>
          <w:rFonts w:cs="Arial"/>
          <w:b/>
          <w:szCs w:val="20"/>
        </w:rPr>
      </w:pPr>
    </w:p>
    <w:p w14:paraId="5AC3DA66" w14:textId="03CE70EF" w:rsidR="00593595" w:rsidRPr="00732B0A" w:rsidRDefault="0085022D" w:rsidP="00794674">
      <w:pPr>
        <w:spacing w:line="260" w:lineRule="exact"/>
        <w:jc w:val="right"/>
        <w:rPr>
          <w:rFonts w:cs="Arial"/>
          <w:b/>
          <w:szCs w:val="20"/>
        </w:rPr>
      </w:pPr>
      <w:r>
        <w:rPr>
          <w:rFonts w:cs="Arial"/>
          <w:b/>
          <w:szCs w:val="20"/>
        </w:rPr>
        <w:t>PREDLOG</w:t>
      </w:r>
    </w:p>
    <w:p w14:paraId="269E507A" w14:textId="77777777" w:rsidR="00794674" w:rsidRDefault="00794674" w:rsidP="00794674">
      <w:pPr>
        <w:spacing w:line="260" w:lineRule="exact"/>
        <w:jc w:val="right"/>
        <w:rPr>
          <w:rFonts w:cs="Arial"/>
          <w:b/>
          <w:szCs w:val="20"/>
        </w:rPr>
      </w:pPr>
      <w:r w:rsidRPr="00732B0A">
        <w:rPr>
          <w:rFonts w:cs="Arial"/>
          <w:b/>
          <w:szCs w:val="20"/>
        </w:rPr>
        <w:t>EVA</w:t>
      </w:r>
      <w:r w:rsidR="00CD54A2">
        <w:rPr>
          <w:rFonts w:cs="Arial"/>
          <w:b/>
          <w:szCs w:val="20"/>
        </w:rPr>
        <w:t xml:space="preserve"> </w:t>
      </w:r>
      <w:r w:rsidR="00D21DEE" w:rsidRPr="00D21DEE">
        <w:rPr>
          <w:rFonts w:cs="Arial"/>
          <w:b/>
          <w:szCs w:val="20"/>
        </w:rPr>
        <w:t>2025-1611-0066</w:t>
      </w:r>
    </w:p>
    <w:p w14:paraId="6510AA89" w14:textId="4B6B26AE" w:rsidR="002F2BFC" w:rsidRPr="00732B0A" w:rsidRDefault="002F2BFC" w:rsidP="00794674">
      <w:pPr>
        <w:spacing w:line="260" w:lineRule="exact"/>
        <w:jc w:val="right"/>
        <w:rPr>
          <w:rFonts w:cs="Arial"/>
          <w:b/>
          <w:szCs w:val="20"/>
        </w:rPr>
      </w:pPr>
      <w:r>
        <w:rPr>
          <w:rFonts w:cs="Arial"/>
          <w:b/>
          <w:szCs w:val="20"/>
        </w:rPr>
        <w:t>NUJNI POSTOPEK</w:t>
      </w:r>
    </w:p>
    <w:p w14:paraId="22820E7F" w14:textId="77777777" w:rsidR="00794674" w:rsidRPr="00732B0A" w:rsidRDefault="00794674" w:rsidP="00794674">
      <w:pPr>
        <w:spacing w:line="260" w:lineRule="exact"/>
        <w:jc w:val="right"/>
        <w:rPr>
          <w:rFonts w:cs="Arial"/>
          <w:bCs/>
          <w:szCs w:val="20"/>
        </w:rPr>
      </w:pPr>
    </w:p>
    <w:p w14:paraId="7272DE1F" w14:textId="77777777" w:rsidR="00621206" w:rsidRPr="004946CF" w:rsidRDefault="00621206" w:rsidP="004946CF">
      <w:pPr>
        <w:spacing w:line="260" w:lineRule="exact"/>
        <w:ind w:left="714" w:hanging="357"/>
        <w:jc w:val="center"/>
        <w:rPr>
          <w:rFonts w:cs="Arial"/>
          <w:b/>
          <w:szCs w:val="20"/>
        </w:rPr>
      </w:pPr>
      <w:bookmarkStart w:id="1" w:name="_Hlk66266060"/>
      <w:r w:rsidRPr="004946CF">
        <w:rPr>
          <w:rFonts w:cs="Arial"/>
          <w:b/>
          <w:szCs w:val="20"/>
        </w:rPr>
        <w:t>ZAKON</w:t>
      </w:r>
    </w:p>
    <w:p w14:paraId="3BC0501C" w14:textId="77777777" w:rsidR="00621206" w:rsidRPr="004946CF" w:rsidRDefault="00621206" w:rsidP="004946CF">
      <w:pPr>
        <w:spacing w:line="260" w:lineRule="exact"/>
        <w:ind w:left="714" w:hanging="357"/>
        <w:jc w:val="center"/>
        <w:rPr>
          <w:rFonts w:cs="Arial"/>
          <w:b/>
          <w:szCs w:val="20"/>
        </w:rPr>
      </w:pPr>
      <w:r w:rsidRPr="004946CF">
        <w:rPr>
          <w:rFonts w:cs="Arial"/>
          <w:b/>
          <w:szCs w:val="20"/>
        </w:rPr>
        <w:t>O</w:t>
      </w:r>
      <w:r w:rsidR="00A5037A" w:rsidRPr="004946CF">
        <w:rPr>
          <w:rFonts w:cs="Arial"/>
          <w:b/>
          <w:szCs w:val="20"/>
        </w:rPr>
        <w:t xml:space="preserve"> </w:t>
      </w:r>
      <w:r w:rsidR="00A25BC9" w:rsidRPr="004946CF">
        <w:rPr>
          <w:rFonts w:cs="Arial"/>
          <w:b/>
          <w:szCs w:val="20"/>
        </w:rPr>
        <w:t>SPREMEMBAH IN DOPOLNITVAH DOLOČENIH ZAKONOV GLEDE VZPOSTAVITVE IN DELOVANJA EVROPSKE ENOTNE TOČKE DOSTOPA</w:t>
      </w:r>
    </w:p>
    <w:bookmarkEnd w:id="1"/>
    <w:p w14:paraId="5BCE1DF5" w14:textId="77777777" w:rsidR="00621206" w:rsidRPr="00445B9C" w:rsidRDefault="00621206" w:rsidP="00621206">
      <w:pPr>
        <w:spacing w:line="240" w:lineRule="auto"/>
        <w:ind w:left="1080" w:hanging="720"/>
        <w:rPr>
          <w:rFonts w:cs="Arial"/>
          <w:szCs w:val="20"/>
        </w:rPr>
      </w:pPr>
    </w:p>
    <w:p w14:paraId="0D602D67" w14:textId="77777777" w:rsidR="00621206" w:rsidRPr="00445B9C" w:rsidRDefault="00621206" w:rsidP="00A35558">
      <w:pPr>
        <w:numPr>
          <w:ilvl w:val="0"/>
          <w:numId w:val="13"/>
        </w:numPr>
        <w:spacing w:line="240" w:lineRule="auto"/>
        <w:rPr>
          <w:rFonts w:cs="Arial"/>
          <w:b/>
          <w:szCs w:val="20"/>
        </w:rPr>
      </w:pPr>
      <w:r w:rsidRPr="00445B9C">
        <w:rPr>
          <w:rFonts w:cs="Arial"/>
          <w:b/>
          <w:szCs w:val="20"/>
        </w:rPr>
        <w:t>UVOD</w:t>
      </w:r>
    </w:p>
    <w:p w14:paraId="3DBA8363" w14:textId="77777777" w:rsidR="00621206" w:rsidRPr="00445B9C" w:rsidRDefault="00621206" w:rsidP="00621206">
      <w:pPr>
        <w:spacing w:line="240" w:lineRule="auto"/>
        <w:jc w:val="both"/>
        <w:rPr>
          <w:rFonts w:cs="Arial"/>
          <w:szCs w:val="20"/>
        </w:rPr>
      </w:pPr>
    </w:p>
    <w:p w14:paraId="374F44EE" w14:textId="77777777" w:rsidR="00621206" w:rsidRPr="00445B9C" w:rsidRDefault="0095309B" w:rsidP="0089316A">
      <w:pPr>
        <w:spacing w:line="260" w:lineRule="exact"/>
        <w:ind w:left="714" w:hanging="357"/>
        <w:jc w:val="both"/>
        <w:rPr>
          <w:rFonts w:cs="Arial"/>
          <w:b/>
          <w:szCs w:val="20"/>
        </w:rPr>
      </w:pPr>
      <w:bookmarkStart w:id="2" w:name="_Hlk55770662"/>
      <w:r>
        <w:rPr>
          <w:rFonts w:cs="Arial"/>
          <w:b/>
          <w:szCs w:val="20"/>
        </w:rPr>
        <w:t xml:space="preserve">1. </w:t>
      </w:r>
      <w:r w:rsidR="00621206" w:rsidRPr="00445B9C">
        <w:rPr>
          <w:rFonts w:cs="Arial"/>
          <w:b/>
          <w:szCs w:val="20"/>
        </w:rPr>
        <w:t>OCENA STANJA IN RAZLOGI ZA SPREJEM PREDLOGA ZAKONA</w:t>
      </w:r>
    </w:p>
    <w:p w14:paraId="771441BD" w14:textId="77777777" w:rsidR="00621206" w:rsidRPr="00445B9C" w:rsidRDefault="00621206" w:rsidP="00621206">
      <w:pPr>
        <w:spacing w:line="240" w:lineRule="auto"/>
        <w:jc w:val="both"/>
        <w:rPr>
          <w:rFonts w:cs="Arial"/>
          <w:szCs w:val="20"/>
        </w:rPr>
      </w:pPr>
      <w:bookmarkStart w:id="3" w:name="_Hlk55770710"/>
      <w:bookmarkEnd w:id="2"/>
    </w:p>
    <w:bookmarkEnd w:id="0"/>
    <w:bookmarkEnd w:id="3"/>
    <w:p w14:paraId="5F2AE359" w14:textId="77777777" w:rsidR="003513BF" w:rsidRDefault="003513BF" w:rsidP="003513BF">
      <w:pPr>
        <w:jc w:val="both"/>
        <w:rPr>
          <w:rFonts w:cs="Arial"/>
          <w:szCs w:val="20"/>
        </w:rPr>
      </w:pPr>
      <w:r w:rsidRPr="003513BF">
        <w:rPr>
          <w:rFonts w:cs="Arial"/>
          <w:szCs w:val="20"/>
        </w:rPr>
        <w:t xml:space="preserve">Večina zakonodaje na področju finančnih storitev in kapitalskih trgov </w:t>
      </w:r>
      <w:r w:rsidR="00DF2E0B">
        <w:rPr>
          <w:rFonts w:cs="Arial"/>
          <w:szCs w:val="20"/>
        </w:rPr>
        <w:t xml:space="preserve">v Evropski uniji (v nadaljnjem besedilu: EU) </w:t>
      </w:r>
      <w:r w:rsidRPr="003513BF">
        <w:rPr>
          <w:rFonts w:cs="Arial"/>
          <w:szCs w:val="20"/>
        </w:rPr>
        <w:t>zahteva razkritje informacij javnosti. Skupno je približno 200 obveznosti javnega poročanja, ki vplivajo na zasebne subjekte, tj. podjetja, ki so izdajatelji vrednostnih papirjev, upravljavci premoženja, skladi, banke, zavarovalnice, bonitetne agencije, revizorji, svetovalci in tržni posredniki. Obveznosti javnega poročanja vplivajo tudi na regulatorje ali druge javne organe.</w:t>
      </w:r>
      <w:r w:rsidR="00C85A50">
        <w:rPr>
          <w:rStyle w:val="Sprotnaopomba-sklic"/>
          <w:rFonts w:cs="Arial"/>
          <w:szCs w:val="20"/>
        </w:rPr>
        <w:footnoteReference w:id="2"/>
      </w:r>
    </w:p>
    <w:p w14:paraId="0B60B88F" w14:textId="77777777" w:rsidR="003513BF" w:rsidRPr="003513BF" w:rsidRDefault="003513BF" w:rsidP="003513BF">
      <w:pPr>
        <w:jc w:val="both"/>
        <w:rPr>
          <w:rFonts w:cs="Arial"/>
          <w:szCs w:val="20"/>
        </w:rPr>
      </w:pPr>
    </w:p>
    <w:p w14:paraId="1894F6A8" w14:textId="77777777" w:rsidR="003513BF" w:rsidRPr="002F5AD7" w:rsidRDefault="003513BF" w:rsidP="003513BF">
      <w:pPr>
        <w:jc w:val="both"/>
        <w:rPr>
          <w:rFonts w:cs="Arial"/>
          <w:b/>
          <w:bCs/>
          <w:szCs w:val="20"/>
        </w:rPr>
      </w:pPr>
      <w:r w:rsidRPr="002F5AD7">
        <w:rPr>
          <w:rFonts w:cs="Arial"/>
          <w:b/>
          <w:bCs/>
          <w:szCs w:val="20"/>
        </w:rPr>
        <w:t>Slika 1: Število obveznosti javnega poročanja po zakonodajnem okviru</w:t>
      </w:r>
    </w:p>
    <w:p w14:paraId="25C7410E" w14:textId="77777777" w:rsidR="00A90D86" w:rsidRPr="003513BF" w:rsidRDefault="00A90D86" w:rsidP="003513BF">
      <w:pPr>
        <w:jc w:val="both"/>
        <w:rPr>
          <w:rFonts w:cs="Arial"/>
          <w:szCs w:val="20"/>
        </w:rPr>
      </w:pPr>
      <w:r>
        <w:rPr>
          <w:noProof/>
          <w:lang w:eastAsia="sl-SI"/>
        </w:rPr>
        <w:drawing>
          <wp:inline distT="0" distB="0" distL="0" distR="0" wp14:anchorId="5E905191" wp14:editId="61961EA9">
            <wp:extent cx="5396230" cy="2360930"/>
            <wp:effectExtent l="0" t="0" r="13970" b="1270"/>
            <wp:docPr id="1139158592" name="Grafikon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8178E80" w14:textId="77777777" w:rsidR="003513BF" w:rsidRPr="002F5AD7" w:rsidRDefault="003513BF" w:rsidP="003513BF">
      <w:pPr>
        <w:jc w:val="both"/>
        <w:rPr>
          <w:rFonts w:cs="Arial"/>
          <w:color w:val="808080" w:themeColor="background1" w:themeShade="80"/>
          <w:sz w:val="16"/>
          <w:szCs w:val="16"/>
        </w:rPr>
      </w:pPr>
      <w:r w:rsidRPr="002F5AD7">
        <w:rPr>
          <w:rFonts w:cs="Arial"/>
          <w:color w:val="808080" w:themeColor="background1" w:themeShade="80"/>
          <w:sz w:val="16"/>
          <w:szCs w:val="16"/>
        </w:rPr>
        <w:t>Vir: BR-AG</w:t>
      </w:r>
      <w:r w:rsidR="00A90D86" w:rsidRPr="002F5AD7">
        <w:rPr>
          <w:rFonts w:cs="Arial"/>
          <w:color w:val="808080" w:themeColor="background1" w:themeShade="80"/>
          <w:sz w:val="16"/>
          <w:szCs w:val="16"/>
        </w:rPr>
        <w:t xml:space="preserve"> v </w:t>
      </w:r>
      <w:r w:rsidR="00A90D86" w:rsidRPr="00DF2E0B">
        <w:rPr>
          <w:rFonts w:cs="Arial"/>
          <w:color w:val="808080" w:themeColor="background1" w:themeShade="80"/>
          <w:sz w:val="16"/>
          <w:szCs w:val="16"/>
          <w:lang w:val="en-US"/>
        </w:rPr>
        <w:t xml:space="preserve">Impact assessment report </w:t>
      </w:r>
      <w:r w:rsidR="000301AB" w:rsidRPr="00DF2E0B">
        <w:rPr>
          <w:rFonts w:cs="Arial"/>
          <w:color w:val="808080" w:themeColor="background1" w:themeShade="80"/>
          <w:sz w:val="16"/>
          <w:szCs w:val="16"/>
          <w:lang w:val="en-US"/>
        </w:rPr>
        <w:t>(SWD(2021) 344 final)</w:t>
      </w:r>
      <w:r w:rsidR="000301AB" w:rsidRPr="002F5AD7">
        <w:rPr>
          <w:rFonts w:cs="Arial"/>
          <w:color w:val="808080" w:themeColor="background1" w:themeShade="80"/>
          <w:sz w:val="16"/>
          <w:szCs w:val="16"/>
        </w:rPr>
        <w:t xml:space="preserve"> z dne 25. 11. 2021.</w:t>
      </w:r>
    </w:p>
    <w:p w14:paraId="6AC2AB39" w14:textId="77777777" w:rsidR="003513BF" w:rsidRDefault="003513BF" w:rsidP="003513BF">
      <w:pPr>
        <w:jc w:val="both"/>
        <w:rPr>
          <w:rFonts w:cs="Arial"/>
          <w:szCs w:val="20"/>
        </w:rPr>
      </w:pPr>
    </w:p>
    <w:p w14:paraId="492FAB08" w14:textId="77777777" w:rsidR="003513BF" w:rsidRPr="003513BF" w:rsidRDefault="003513BF" w:rsidP="003513BF">
      <w:pPr>
        <w:jc w:val="both"/>
        <w:rPr>
          <w:rFonts w:cs="Arial"/>
          <w:szCs w:val="20"/>
        </w:rPr>
      </w:pPr>
      <w:r w:rsidRPr="003513BF">
        <w:rPr>
          <w:rFonts w:cs="Arial"/>
          <w:szCs w:val="20"/>
        </w:rPr>
        <w:t xml:space="preserve">Zahteve po javnem razkritju so bile uvedene zaradi zagotavljanja zaščite vlagateljev, olajšanja čezmejnih naložb, zmanjšanja asimetrije informacij med (notranjimi) osebami v podjetju, </w:t>
      </w:r>
      <w:r w:rsidRPr="003513BF">
        <w:rPr>
          <w:rFonts w:cs="Arial"/>
          <w:szCs w:val="20"/>
        </w:rPr>
        <w:lastRenderedPageBreak/>
        <w:t>zunanjimi vlagatelji, udeleženci na trgu ter tudi za obveščanje širokega kroga deležnikov zunaj finančnih storitev.</w:t>
      </w:r>
    </w:p>
    <w:p w14:paraId="44C13F60" w14:textId="77777777" w:rsidR="003513BF" w:rsidRDefault="003513BF" w:rsidP="003513BF">
      <w:pPr>
        <w:jc w:val="both"/>
        <w:rPr>
          <w:rFonts w:cs="Arial"/>
          <w:szCs w:val="20"/>
        </w:rPr>
      </w:pPr>
    </w:p>
    <w:p w14:paraId="52C39D82" w14:textId="77777777" w:rsidR="00F32360" w:rsidRPr="00542540" w:rsidRDefault="00F32360" w:rsidP="00F32360">
      <w:pPr>
        <w:jc w:val="both"/>
        <w:rPr>
          <w:rFonts w:cs="Arial"/>
          <w:szCs w:val="20"/>
        </w:rPr>
      </w:pPr>
      <w:r w:rsidRPr="003513BF">
        <w:rPr>
          <w:rFonts w:cs="Arial"/>
          <w:szCs w:val="20"/>
        </w:rPr>
        <w:t>Ob zavedanju, da je dosto</w:t>
      </w:r>
      <w:r w:rsidRPr="00C74BF0">
        <w:rPr>
          <w:rFonts w:cs="Arial"/>
          <w:szCs w:val="20"/>
        </w:rPr>
        <w:t xml:space="preserve">p do informacij pomemben vidik kapitalskih trgov, so </w:t>
      </w:r>
      <w:r w:rsidRPr="00111EF0">
        <w:rPr>
          <w:rFonts w:cs="Arial"/>
          <w:szCs w:val="20"/>
        </w:rPr>
        <w:t xml:space="preserve">regulatorji držav z najrazvitejšimi trgi kapitala uvedli centralno dostopno točko za </w:t>
      </w:r>
      <w:bookmarkStart w:id="4" w:name="_Hlk215736482"/>
      <w:r w:rsidRPr="00263FFC">
        <w:rPr>
          <w:rFonts w:cs="Arial"/>
          <w:szCs w:val="20"/>
        </w:rPr>
        <w:t>strojno berljive</w:t>
      </w:r>
      <w:r w:rsidRPr="00C4205F">
        <w:rPr>
          <w:rFonts w:cs="Arial"/>
          <w:szCs w:val="20"/>
        </w:rPr>
        <w:t xml:space="preserve"> </w:t>
      </w:r>
      <w:bookmarkEnd w:id="4"/>
      <w:r w:rsidRPr="00C4205F">
        <w:rPr>
          <w:rFonts w:cs="Arial"/>
          <w:szCs w:val="20"/>
        </w:rPr>
        <w:t>podatke</w:t>
      </w:r>
      <w:r w:rsidRPr="00542540">
        <w:rPr>
          <w:rFonts w:cs="Arial"/>
          <w:szCs w:val="20"/>
        </w:rPr>
        <w:t>:</w:t>
      </w:r>
    </w:p>
    <w:p w14:paraId="357E5DD7" w14:textId="77777777" w:rsidR="00F32360" w:rsidRPr="003513BF" w:rsidRDefault="00F32360" w:rsidP="00F32360">
      <w:pPr>
        <w:pStyle w:val="Odstavekseznama"/>
        <w:numPr>
          <w:ilvl w:val="0"/>
          <w:numId w:val="71"/>
        </w:numPr>
        <w:jc w:val="both"/>
        <w:rPr>
          <w:rFonts w:cs="Arial"/>
          <w:szCs w:val="20"/>
        </w:rPr>
      </w:pPr>
      <w:r w:rsidRPr="00354BD6">
        <w:rPr>
          <w:rFonts w:cs="Arial"/>
          <w:szCs w:val="20"/>
        </w:rPr>
        <w:t>v ZDA je K</w:t>
      </w:r>
      <w:r w:rsidRPr="004C3C23">
        <w:rPr>
          <w:rFonts w:cs="Arial"/>
          <w:szCs w:val="20"/>
        </w:rPr>
        <w:t>omisija za vrednostne papirj</w:t>
      </w:r>
      <w:r w:rsidRPr="003513BF">
        <w:rPr>
          <w:rFonts w:cs="Arial"/>
          <w:szCs w:val="20"/>
        </w:rPr>
        <w:t>e in borzo (SEC) v devetdesetih letih prejšnjega stoletja uvedla sistem EDGAR (</w:t>
      </w:r>
      <w:proofErr w:type="spellStart"/>
      <w:r w:rsidRPr="002F5AD7">
        <w:rPr>
          <w:rFonts w:cs="Arial"/>
          <w:i/>
          <w:iCs/>
          <w:szCs w:val="20"/>
        </w:rPr>
        <w:t>Electronic</w:t>
      </w:r>
      <w:proofErr w:type="spellEnd"/>
      <w:r w:rsidRPr="002F5AD7">
        <w:rPr>
          <w:rFonts w:cs="Arial"/>
          <w:i/>
          <w:iCs/>
          <w:szCs w:val="20"/>
        </w:rPr>
        <w:t xml:space="preserve"> Data </w:t>
      </w:r>
      <w:proofErr w:type="spellStart"/>
      <w:r w:rsidRPr="002F5AD7">
        <w:rPr>
          <w:rFonts w:cs="Arial"/>
          <w:i/>
          <w:iCs/>
          <w:szCs w:val="20"/>
        </w:rPr>
        <w:t>Gathering</w:t>
      </w:r>
      <w:proofErr w:type="spellEnd"/>
      <w:r w:rsidRPr="002F5AD7">
        <w:rPr>
          <w:rFonts w:cs="Arial"/>
          <w:i/>
          <w:iCs/>
          <w:szCs w:val="20"/>
        </w:rPr>
        <w:t xml:space="preserve">, </w:t>
      </w:r>
      <w:proofErr w:type="spellStart"/>
      <w:r w:rsidRPr="002F5AD7">
        <w:rPr>
          <w:rFonts w:cs="Arial"/>
          <w:i/>
          <w:iCs/>
          <w:szCs w:val="20"/>
        </w:rPr>
        <w:t>Analysis</w:t>
      </w:r>
      <w:proofErr w:type="spellEnd"/>
      <w:r w:rsidRPr="002F5AD7">
        <w:rPr>
          <w:rFonts w:cs="Arial"/>
          <w:i/>
          <w:iCs/>
          <w:szCs w:val="20"/>
        </w:rPr>
        <w:t xml:space="preserve">, </w:t>
      </w:r>
      <w:proofErr w:type="spellStart"/>
      <w:r w:rsidRPr="002F5AD7">
        <w:rPr>
          <w:rFonts w:cs="Arial"/>
          <w:i/>
          <w:iCs/>
          <w:szCs w:val="20"/>
        </w:rPr>
        <w:t>and</w:t>
      </w:r>
      <w:proofErr w:type="spellEnd"/>
      <w:r w:rsidRPr="002F5AD7">
        <w:rPr>
          <w:rFonts w:cs="Arial"/>
          <w:i/>
          <w:iCs/>
          <w:szCs w:val="20"/>
        </w:rPr>
        <w:t xml:space="preserve"> </w:t>
      </w:r>
      <w:proofErr w:type="spellStart"/>
      <w:r w:rsidRPr="002F5AD7">
        <w:rPr>
          <w:rFonts w:cs="Arial"/>
          <w:i/>
          <w:iCs/>
          <w:szCs w:val="20"/>
        </w:rPr>
        <w:t>Retrieval</w:t>
      </w:r>
      <w:proofErr w:type="spellEnd"/>
      <w:r w:rsidRPr="003513BF">
        <w:rPr>
          <w:rFonts w:cs="Arial"/>
          <w:szCs w:val="20"/>
        </w:rPr>
        <w:t xml:space="preserve">). </w:t>
      </w:r>
      <w:r>
        <w:rPr>
          <w:rFonts w:cs="Arial"/>
          <w:szCs w:val="20"/>
        </w:rPr>
        <w:t>Ta</w:t>
      </w:r>
      <w:r w:rsidRPr="003513BF">
        <w:rPr>
          <w:rFonts w:cs="Arial"/>
          <w:szCs w:val="20"/>
        </w:rPr>
        <w:t xml:space="preserve"> omogoča avtomatizirano zbiranje, validacijo, indeksiranje, sprejemanje in po</w:t>
      </w:r>
      <w:r>
        <w:rPr>
          <w:rFonts w:cs="Arial"/>
          <w:szCs w:val="20"/>
        </w:rPr>
        <w:t>šilj</w:t>
      </w:r>
      <w:r w:rsidRPr="003513BF">
        <w:rPr>
          <w:rFonts w:cs="Arial"/>
          <w:szCs w:val="20"/>
        </w:rPr>
        <w:t xml:space="preserve">anje vlog reguliranih subjektov in drugih, ki so po zakonu </w:t>
      </w:r>
      <w:r>
        <w:rPr>
          <w:rFonts w:cs="Arial"/>
          <w:szCs w:val="20"/>
        </w:rPr>
        <w:t>zaveza</w:t>
      </w:r>
      <w:r w:rsidRPr="003513BF">
        <w:rPr>
          <w:rFonts w:cs="Arial"/>
          <w:szCs w:val="20"/>
        </w:rPr>
        <w:t>ni predlagati obrazce. EDGAR ponuja zvezno dostopno točko do informacij, ki so pogosto strojno berljive. Informacije so prosto dostopne na podlagi posameznih postavk prek spleta</w:t>
      </w:r>
      <w:r>
        <w:rPr>
          <w:rFonts w:cs="Arial"/>
          <w:szCs w:val="20"/>
        </w:rPr>
        <w:t>;</w:t>
      </w:r>
    </w:p>
    <w:p w14:paraId="4BE2E43C" w14:textId="77777777" w:rsidR="00F32360" w:rsidRPr="003513BF" w:rsidRDefault="00F32360" w:rsidP="00F32360">
      <w:pPr>
        <w:pStyle w:val="Odstavekseznama"/>
        <w:numPr>
          <w:ilvl w:val="0"/>
          <w:numId w:val="71"/>
        </w:numPr>
        <w:jc w:val="both"/>
        <w:rPr>
          <w:rFonts w:cs="Arial"/>
          <w:szCs w:val="20"/>
        </w:rPr>
      </w:pPr>
      <w:r w:rsidRPr="003513BF">
        <w:rPr>
          <w:rFonts w:cs="Arial"/>
          <w:szCs w:val="20"/>
        </w:rPr>
        <w:t xml:space="preserve">na Japonskem je </w:t>
      </w:r>
      <w:r>
        <w:rPr>
          <w:rFonts w:cs="Arial"/>
          <w:szCs w:val="20"/>
        </w:rPr>
        <w:t>f</w:t>
      </w:r>
      <w:r w:rsidRPr="003513BF">
        <w:rPr>
          <w:rFonts w:cs="Arial"/>
          <w:szCs w:val="20"/>
        </w:rPr>
        <w:t>inančni nadzorni organ leta 2008 uvedel EDINET (</w:t>
      </w:r>
      <w:proofErr w:type="spellStart"/>
      <w:r w:rsidRPr="002F5AD7">
        <w:rPr>
          <w:rFonts w:cs="Arial"/>
          <w:i/>
          <w:iCs/>
          <w:szCs w:val="20"/>
        </w:rPr>
        <w:t>Electronic</w:t>
      </w:r>
      <w:proofErr w:type="spellEnd"/>
      <w:r w:rsidRPr="002F5AD7">
        <w:rPr>
          <w:rFonts w:cs="Arial"/>
          <w:i/>
          <w:iCs/>
          <w:szCs w:val="20"/>
        </w:rPr>
        <w:t xml:space="preserve"> </w:t>
      </w:r>
      <w:proofErr w:type="spellStart"/>
      <w:r w:rsidRPr="002F5AD7">
        <w:rPr>
          <w:rFonts w:cs="Arial"/>
          <w:i/>
          <w:iCs/>
          <w:szCs w:val="20"/>
        </w:rPr>
        <w:t>Disclosure</w:t>
      </w:r>
      <w:proofErr w:type="spellEnd"/>
      <w:r w:rsidRPr="002F5AD7">
        <w:rPr>
          <w:rFonts w:cs="Arial"/>
          <w:i/>
          <w:iCs/>
          <w:szCs w:val="20"/>
        </w:rPr>
        <w:t xml:space="preserve"> </w:t>
      </w:r>
      <w:proofErr w:type="spellStart"/>
      <w:r w:rsidRPr="002F5AD7">
        <w:rPr>
          <w:rFonts w:cs="Arial"/>
          <w:i/>
          <w:iCs/>
          <w:szCs w:val="20"/>
        </w:rPr>
        <w:t>for</w:t>
      </w:r>
      <w:proofErr w:type="spellEnd"/>
      <w:r w:rsidRPr="002F5AD7">
        <w:rPr>
          <w:rFonts w:cs="Arial"/>
          <w:i/>
          <w:iCs/>
          <w:szCs w:val="20"/>
        </w:rPr>
        <w:t xml:space="preserve"> </w:t>
      </w:r>
      <w:proofErr w:type="spellStart"/>
      <w:r w:rsidRPr="002F5AD7">
        <w:rPr>
          <w:rFonts w:cs="Arial"/>
          <w:i/>
          <w:iCs/>
          <w:szCs w:val="20"/>
        </w:rPr>
        <w:t>Investors</w:t>
      </w:r>
      <w:proofErr w:type="spellEnd"/>
      <w:r w:rsidRPr="002F5AD7">
        <w:rPr>
          <w:rFonts w:cs="Arial"/>
          <w:i/>
          <w:iCs/>
          <w:szCs w:val="20"/>
        </w:rPr>
        <w:t xml:space="preserve">' </w:t>
      </w:r>
      <w:proofErr w:type="spellStart"/>
      <w:r w:rsidRPr="002F5AD7">
        <w:rPr>
          <w:rFonts w:cs="Arial"/>
          <w:i/>
          <w:iCs/>
          <w:szCs w:val="20"/>
        </w:rPr>
        <w:t>NETwork</w:t>
      </w:r>
      <w:proofErr w:type="spellEnd"/>
      <w:r w:rsidRPr="003513BF">
        <w:rPr>
          <w:rFonts w:cs="Arial"/>
          <w:szCs w:val="20"/>
        </w:rPr>
        <w:t xml:space="preserve">). </w:t>
      </w:r>
      <w:r>
        <w:rPr>
          <w:rFonts w:cs="Arial"/>
          <w:szCs w:val="20"/>
        </w:rPr>
        <w:t>To</w:t>
      </w:r>
      <w:r w:rsidRPr="003513BF">
        <w:rPr>
          <w:rFonts w:cs="Arial"/>
          <w:szCs w:val="20"/>
        </w:rPr>
        <w:t xml:space="preserve"> je elektronski sistem za razkritje podatkov o podjetjih v skladu </w:t>
      </w:r>
      <w:r w:rsidRPr="00C74BF0">
        <w:rPr>
          <w:rFonts w:cs="Arial"/>
          <w:szCs w:val="20"/>
        </w:rPr>
        <w:t>z Z</w:t>
      </w:r>
      <w:r w:rsidRPr="00111EF0">
        <w:rPr>
          <w:rFonts w:cs="Arial"/>
          <w:szCs w:val="20"/>
        </w:rPr>
        <w:t>akono</w:t>
      </w:r>
      <w:r w:rsidRPr="003513BF">
        <w:rPr>
          <w:rFonts w:cs="Arial"/>
          <w:szCs w:val="20"/>
        </w:rPr>
        <w:t>m o finančnih instrumentih in borzah. Vse družbe, uvrščene na borzo</w:t>
      </w:r>
      <w:r>
        <w:rPr>
          <w:rFonts w:cs="Arial"/>
          <w:szCs w:val="20"/>
        </w:rPr>
        <w:t>,</w:t>
      </w:r>
      <w:r w:rsidRPr="003513BF">
        <w:rPr>
          <w:rFonts w:cs="Arial"/>
          <w:szCs w:val="20"/>
        </w:rPr>
        <w:t xml:space="preserve"> ali večji subjekti, ki zbirajo sredstva</w:t>
      </w:r>
      <w:r>
        <w:rPr>
          <w:rFonts w:cs="Arial"/>
          <w:szCs w:val="20"/>
        </w:rPr>
        <w:t>,</w:t>
      </w:r>
      <w:r w:rsidRPr="003513BF">
        <w:rPr>
          <w:rFonts w:cs="Arial"/>
          <w:szCs w:val="20"/>
        </w:rPr>
        <w:t xml:space="preserve"> ter investicijski skladi na Japonskem morajo </w:t>
      </w:r>
      <w:r>
        <w:rPr>
          <w:rFonts w:cs="Arial"/>
          <w:szCs w:val="20"/>
        </w:rPr>
        <w:t>v</w:t>
      </w:r>
      <w:r w:rsidRPr="003513BF">
        <w:rPr>
          <w:rFonts w:cs="Arial"/>
          <w:szCs w:val="20"/>
        </w:rPr>
        <w:t xml:space="preserve"> te</w:t>
      </w:r>
      <w:r>
        <w:rPr>
          <w:rFonts w:cs="Arial"/>
          <w:szCs w:val="20"/>
        </w:rPr>
        <w:t>m</w:t>
      </w:r>
      <w:r w:rsidRPr="003513BF">
        <w:rPr>
          <w:rFonts w:cs="Arial"/>
          <w:szCs w:val="20"/>
        </w:rPr>
        <w:t xml:space="preserve"> sistem</w:t>
      </w:r>
      <w:r>
        <w:rPr>
          <w:rFonts w:cs="Arial"/>
          <w:szCs w:val="20"/>
        </w:rPr>
        <w:t>u</w:t>
      </w:r>
      <w:r w:rsidRPr="003513BF">
        <w:rPr>
          <w:rFonts w:cs="Arial"/>
          <w:szCs w:val="20"/>
        </w:rPr>
        <w:t xml:space="preserve"> predložiti svoje dokumente za razkritje, ki so nato javno dostopni </w:t>
      </w:r>
      <w:r>
        <w:rPr>
          <w:rFonts w:cs="Arial"/>
          <w:szCs w:val="20"/>
        </w:rPr>
        <w:t>na</w:t>
      </w:r>
      <w:r w:rsidRPr="003513BF">
        <w:rPr>
          <w:rFonts w:cs="Arial"/>
          <w:szCs w:val="20"/>
        </w:rPr>
        <w:t xml:space="preserve"> splet</w:t>
      </w:r>
      <w:r>
        <w:rPr>
          <w:rFonts w:cs="Arial"/>
          <w:szCs w:val="20"/>
        </w:rPr>
        <w:t>u</w:t>
      </w:r>
      <w:r w:rsidRPr="003513BF">
        <w:rPr>
          <w:rFonts w:cs="Arial"/>
          <w:szCs w:val="20"/>
        </w:rPr>
        <w:t xml:space="preserve"> </w:t>
      </w:r>
      <w:r>
        <w:rPr>
          <w:rFonts w:cs="Arial"/>
          <w:szCs w:val="20"/>
        </w:rPr>
        <w:t>v</w:t>
      </w:r>
      <w:r w:rsidRPr="003513BF">
        <w:rPr>
          <w:rFonts w:cs="Arial"/>
          <w:szCs w:val="20"/>
        </w:rPr>
        <w:t xml:space="preserve"> EDINET. Vsi vlagatelji morajo predložiti finančne izkaze v predpisan</w:t>
      </w:r>
      <w:r>
        <w:rPr>
          <w:rFonts w:cs="Arial"/>
          <w:szCs w:val="20"/>
        </w:rPr>
        <w:t>i obliki;</w:t>
      </w:r>
    </w:p>
    <w:p w14:paraId="5A5AB78C" w14:textId="77777777" w:rsidR="00F32360" w:rsidRPr="003513BF" w:rsidRDefault="00F32360" w:rsidP="00F32360">
      <w:pPr>
        <w:pStyle w:val="Odstavekseznama"/>
        <w:numPr>
          <w:ilvl w:val="0"/>
          <w:numId w:val="71"/>
        </w:numPr>
        <w:jc w:val="both"/>
        <w:rPr>
          <w:rFonts w:cs="Arial"/>
          <w:szCs w:val="20"/>
        </w:rPr>
      </w:pPr>
      <w:r w:rsidRPr="003513BF">
        <w:rPr>
          <w:rFonts w:cs="Arial"/>
          <w:szCs w:val="20"/>
        </w:rPr>
        <w:t>v Kanadi je SEDAR (</w:t>
      </w:r>
      <w:proofErr w:type="spellStart"/>
      <w:r w:rsidRPr="002F5AD7">
        <w:rPr>
          <w:rFonts w:cs="Arial"/>
          <w:i/>
          <w:iCs/>
          <w:szCs w:val="20"/>
        </w:rPr>
        <w:t>System</w:t>
      </w:r>
      <w:proofErr w:type="spellEnd"/>
      <w:r w:rsidRPr="002F5AD7">
        <w:rPr>
          <w:rFonts w:cs="Arial"/>
          <w:i/>
          <w:iCs/>
          <w:szCs w:val="20"/>
        </w:rPr>
        <w:t xml:space="preserve"> </w:t>
      </w:r>
      <w:proofErr w:type="spellStart"/>
      <w:r w:rsidRPr="002F5AD7">
        <w:rPr>
          <w:rFonts w:cs="Arial"/>
          <w:i/>
          <w:iCs/>
          <w:szCs w:val="20"/>
        </w:rPr>
        <w:t>for</w:t>
      </w:r>
      <w:proofErr w:type="spellEnd"/>
      <w:r w:rsidRPr="002F5AD7">
        <w:rPr>
          <w:rFonts w:cs="Arial"/>
          <w:i/>
          <w:iCs/>
          <w:szCs w:val="20"/>
        </w:rPr>
        <w:t xml:space="preserve"> </w:t>
      </w:r>
      <w:proofErr w:type="spellStart"/>
      <w:r w:rsidRPr="002F5AD7">
        <w:rPr>
          <w:rFonts w:cs="Arial"/>
          <w:i/>
          <w:iCs/>
          <w:szCs w:val="20"/>
        </w:rPr>
        <w:t>Electronic</w:t>
      </w:r>
      <w:proofErr w:type="spellEnd"/>
      <w:r w:rsidRPr="002F5AD7">
        <w:rPr>
          <w:rFonts w:cs="Arial"/>
          <w:i/>
          <w:iCs/>
          <w:szCs w:val="20"/>
        </w:rPr>
        <w:t xml:space="preserve"> </w:t>
      </w:r>
      <w:proofErr w:type="spellStart"/>
      <w:r w:rsidRPr="002F5AD7">
        <w:rPr>
          <w:rFonts w:cs="Arial"/>
          <w:i/>
          <w:iCs/>
          <w:szCs w:val="20"/>
        </w:rPr>
        <w:t>Document</w:t>
      </w:r>
      <w:proofErr w:type="spellEnd"/>
      <w:r w:rsidRPr="002F5AD7">
        <w:rPr>
          <w:rFonts w:cs="Arial"/>
          <w:i/>
          <w:iCs/>
          <w:szCs w:val="20"/>
        </w:rPr>
        <w:t xml:space="preserve"> </w:t>
      </w:r>
      <w:proofErr w:type="spellStart"/>
      <w:r w:rsidRPr="002F5AD7">
        <w:rPr>
          <w:rFonts w:cs="Arial"/>
          <w:i/>
          <w:iCs/>
          <w:szCs w:val="20"/>
        </w:rPr>
        <w:t>Analysis</w:t>
      </w:r>
      <w:proofErr w:type="spellEnd"/>
      <w:r w:rsidRPr="002F5AD7">
        <w:rPr>
          <w:rFonts w:cs="Arial"/>
          <w:i/>
          <w:iCs/>
          <w:szCs w:val="20"/>
        </w:rPr>
        <w:t xml:space="preserve"> </w:t>
      </w:r>
      <w:proofErr w:type="spellStart"/>
      <w:r w:rsidRPr="002F5AD7">
        <w:rPr>
          <w:rFonts w:cs="Arial"/>
          <w:i/>
          <w:iCs/>
          <w:szCs w:val="20"/>
        </w:rPr>
        <w:t>and</w:t>
      </w:r>
      <w:proofErr w:type="spellEnd"/>
      <w:r w:rsidRPr="002F5AD7">
        <w:rPr>
          <w:rFonts w:cs="Arial"/>
          <w:i/>
          <w:iCs/>
          <w:szCs w:val="20"/>
        </w:rPr>
        <w:t xml:space="preserve"> </w:t>
      </w:r>
      <w:proofErr w:type="spellStart"/>
      <w:r w:rsidRPr="002F5AD7">
        <w:rPr>
          <w:rFonts w:cs="Arial"/>
          <w:i/>
          <w:iCs/>
          <w:szCs w:val="20"/>
        </w:rPr>
        <w:t>Retrieval</w:t>
      </w:r>
      <w:proofErr w:type="spellEnd"/>
      <w:r w:rsidRPr="003513BF">
        <w:rPr>
          <w:rFonts w:cs="Arial"/>
          <w:szCs w:val="20"/>
        </w:rPr>
        <w:t xml:space="preserve">) razvit za </w:t>
      </w:r>
      <w:r>
        <w:rPr>
          <w:rFonts w:cs="Arial"/>
          <w:szCs w:val="20"/>
        </w:rPr>
        <w:t>državne</w:t>
      </w:r>
      <w:r w:rsidRPr="003513BF">
        <w:rPr>
          <w:rFonts w:cs="Arial"/>
          <w:szCs w:val="20"/>
        </w:rPr>
        <w:t xml:space="preserve"> organe za vrednostne papirje, da olajša elektronsko predložitev informacij in omogoči njihovo javno razširjanje po Kanadi. </w:t>
      </w:r>
    </w:p>
    <w:p w14:paraId="65406952" w14:textId="77777777" w:rsidR="00F32360" w:rsidRDefault="00F32360" w:rsidP="00F32360">
      <w:pPr>
        <w:jc w:val="both"/>
        <w:rPr>
          <w:rFonts w:cs="Arial"/>
          <w:szCs w:val="20"/>
        </w:rPr>
      </w:pPr>
    </w:p>
    <w:p w14:paraId="73156B78" w14:textId="77777777" w:rsidR="00F32360" w:rsidRPr="003513BF" w:rsidRDefault="00F32360" w:rsidP="00F32360">
      <w:pPr>
        <w:jc w:val="both"/>
        <w:rPr>
          <w:rFonts w:cs="Arial"/>
          <w:szCs w:val="20"/>
        </w:rPr>
      </w:pPr>
      <w:r w:rsidRPr="003513BF">
        <w:rPr>
          <w:rFonts w:cs="Arial"/>
          <w:szCs w:val="20"/>
        </w:rPr>
        <w:t>V EU so kapitalski trg</w:t>
      </w:r>
      <w:r w:rsidRPr="00111EF0">
        <w:rPr>
          <w:rFonts w:cs="Arial"/>
          <w:szCs w:val="20"/>
        </w:rPr>
        <w:t>i regulirani n</w:t>
      </w:r>
      <w:r w:rsidRPr="00263FFC">
        <w:rPr>
          <w:rFonts w:cs="Arial"/>
          <w:szCs w:val="20"/>
        </w:rPr>
        <w:t>a decentraliziran</w:t>
      </w:r>
      <w:r w:rsidRPr="00C4205F">
        <w:rPr>
          <w:rFonts w:cs="Arial"/>
          <w:szCs w:val="20"/>
        </w:rPr>
        <w:t xml:space="preserve"> nač</w:t>
      </w:r>
      <w:r w:rsidRPr="00111EF0">
        <w:rPr>
          <w:rFonts w:cs="Arial"/>
          <w:szCs w:val="20"/>
        </w:rPr>
        <w:t>in. Na</w:t>
      </w:r>
      <w:r w:rsidRPr="003513BF">
        <w:rPr>
          <w:rFonts w:cs="Arial"/>
          <w:szCs w:val="20"/>
        </w:rPr>
        <w:t xml:space="preserve">cionalni pristojni organi (v nadaljnjem besedilu: NPO) so v vsaki državi članici odgovorni za nadzor nad vrednostnimi papirji in kapitalskimi trgi. Evropski organ za vrednostne papirje in trge (v nadaljnjem besedilu: ESMA) je bil ustanovljen za spodbujanje </w:t>
      </w:r>
      <w:r>
        <w:rPr>
          <w:rFonts w:cs="Arial"/>
          <w:szCs w:val="20"/>
        </w:rPr>
        <w:t>zmanjševanja razlik pri</w:t>
      </w:r>
      <w:r w:rsidRPr="003513BF">
        <w:rPr>
          <w:rFonts w:cs="Arial"/>
          <w:szCs w:val="20"/>
        </w:rPr>
        <w:t xml:space="preserve"> nadzor</w:t>
      </w:r>
      <w:r>
        <w:rPr>
          <w:rFonts w:cs="Arial"/>
          <w:szCs w:val="20"/>
        </w:rPr>
        <w:t>u</w:t>
      </w:r>
      <w:r w:rsidRPr="003513BF">
        <w:rPr>
          <w:rFonts w:cs="Arial"/>
          <w:szCs w:val="20"/>
        </w:rPr>
        <w:t xml:space="preserve"> med </w:t>
      </w:r>
      <w:r>
        <w:rPr>
          <w:rFonts w:cs="Arial"/>
          <w:szCs w:val="20"/>
        </w:rPr>
        <w:t xml:space="preserve">različnimi </w:t>
      </w:r>
      <w:r w:rsidRPr="003513BF">
        <w:rPr>
          <w:rFonts w:cs="Arial"/>
          <w:szCs w:val="20"/>
        </w:rPr>
        <w:t xml:space="preserve">NPO. </w:t>
      </w:r>
      <w:r>
        <w:rPr>
          <w:rFonts w:cs="Arial"/>
          <w:szCs w:val="20"/>
        </w:rPr>
        <w:t>Zato</w:t>
      </w:r>
      <w:r w:rsidRPr="003513BF">
        <w:rPr>
          <w:rFonts w:cs="Arial"/>
          <w:szCs w:val="20"/>
        </w:rPr>
        <w:t xml:space="preserve"> je EU večinoma na decentraliziran</w:t>
      </w:r>
      <w:r>
        <w:rPr>
          <w:rFonts w:cs="Arial"/>
          <w:szCs w:val="20"/>
        </w:rPr>
        <w:t>i</w:t>
      </w:r>
      <w:r w:rsidRPr="003513BF">
        <w:rPr>
          <w:rFonts w:cs="Arial"/>
          <w:szCs w:val="20"/>
        </w:rPr>
        <w:t xml:space="preserve"> način oblikovala zbiranje, razširjanje, shranjevanje in standardizacijo informacij, ki jih objavljajo subjekti v zvezi s finančnimi storitvami in kapitalskimi trgi p</w:t>
      </w:r>
      <w:r>
        <w:rPr>
          <w:rFonts w:cs="Arial"/>
          <w:szCs w:val="20"/>
        </w:rPr>
        <w:t>o</w:t>
      </w:r>
      <w:r w:rsidRPr="003513BF">
        <w:rPr>
          <w:rFonts w:cs="Arial"/>
          <w:szCs w:val="20"/>
        </w:rPr>
        <w:t xml:space="preserve"> različnih kanal</w:t>
      </w:r>
      <w:r>
        <w:rPr>
          <w:rFonts w:cs="Arial"/>
          <w:szCs w:val="20"/>
        </w:rPr>
        <w:t>ih</w:t>
      </w:r>
      <w:r w:rsidRPr="003513BF">
        <w:rPr>
          <w:rFonts w:cs="Arial"/>
          <w:szCs w:val="20"/>
        </w:rPr>
        <w:t xml:space="preserve">. </w:t>
      </w:r>
    </w:p>
    <w:p w14:paraId="17C8BE07" w14:textId="77777777" w:rsidR="00F32360" w:rsidRDefault="00F32360" w:rsidP="00F32360">
      <w:pPr>
        <w:jc w:val="both"/>
        <w:rPr>
          <w:rFonts w:cs="Arial"/>
          <w:szCs w:val="20"/>
        </w:rPr>
      </w:pPr>
    </w:p>
    <w:p w14:paraId="0B2EC785" w14:textId="77777777" w:rsidR="00F32360" w:rsidRDefault="00F32360" w:rsidP="00F32360">
      <w:pPr>
        <w:jc w:val="both"/>
        <w:rPr>
          <w:rFonts w:cs="Arial"/>
          <w:szCs w:val="20"/>
        </w:rPr>
      </w:pPr>
      <w:r w:rsidRPr="003513BF">
        <w:rPr>
          <w:rFonts w:cs="Arial"/>
          <w:szCs w:val="20"/>
        </w:rPr>
        <w:t xml:space="preserve">Na splošno je približno 17 </w:t>
      </w:r>
      <w:r>
        <w:rPr>
          <w:rFonts w:cs="Arial"/>
          <w:szCs w:val="20"/>
        </w:rPr>
        <w:t>odstotkov</w:t>
      </w:r>
      <w:r w:rsidRPr="003513BF">
        <w:rPr>
          <w:rFonts w:cs="Arial"/>
          <w:szCs w:val="20"/>
        </w:rPr>
        <w:t xml:space="preserve"> obveznosti javnega poročanja subjektov EU, ki so pomembn</w:t>
      </w:r>
      <w:r>
        <w:rPr>
          <w:rFonts w:cs="Arial"/>
          <w:szCs w:val="20"/>
        </w:rPr>
        <w:t>i</w:t>
      </w:r>
      <w:r w:rsidRPr="003513BF">
        <w:rPr>
          <w:rFonts w:cs="Arial"/>
          <w:szCs w:val="20"/>
        </w:rPr>
        <w:t xml:space="preserve"> za finančni sektor (razen poročanja, povezanega s transakcijami), usmerjenih v nacionalne (na primer poslovni registri) ali evropske </w:t>
      </w:r>
      <w:proofErr w:type="spellStart"/>
      <w:r w:rsidRPr="003513BF">
        <w:rPr>
          <w:rFonts w:cs="Arial"/>
          <w:szCs w:val="20"/>
        </w:rPr>
        <w:t>repozitorije</w:t>
      </w:r>
      <w:proofErr w:type="spellEnd"/>
      <w:r w:rsidRPr="003513BF">
        <w:rPr>
          <w:rFonts w:cs="Arial"/>
          <w:szCs w:val="20"/>
        </w:rPr>
        <w:t xml:space="preserve"> (kot so evropski nadzorni organi), ki ponujajo dostopno točko za javnost.</w:t>
      </w:r>
      <w:r>
        <w:rPr>
          <w:rFonts w:cs="Arial"/>
          <w:szCs w:val="20"/>
        </w:rPr>
        <w:t xml:space="preserve"> </w:t>
      </w:r>
      <w:r w:rsidRPr="003513BF">
        <w:rPr>
          <w:rFonts w:cs="Arial"/>
          <w:szCs w:val="20"/>
        </w:rPr>
        <w:t xml:space="preserve">Za preostalih približno 83 </w:t>
      </w:r>
      <w:r>
        <w:rPr>
          <w:rFonts w:cs="Arial"/>
          <w:szCs w:val="20"/>
        </w:rPr>
        <w:t>odstotkov</w:t>
      </w:r>
      <w:r w:rsidRPr="003513BF">
        <w:rPr>
          <w:rFonts w:cs="Arial"/>
          <w:szCs w:val="20"/>
        </w:rPr>
        <w:t xml:space="preserve"> obveznosti poročanja na področju finančnih storitev in kapitalskih trgov zakonodaja EU določa spletno stran posameznega podjetja kot kanal objave za približno polovico teh obveznosti, za drugo polovico pa ne določa p</w:t>
      </w:r>
      <w:r>
        <w:rPr>
          <w:rFonts w:cs="Arial"/>
          <w:szCs w:val="20"/>
        </w:rPr>
        <w:t>os</w:t>
      </w:r>
      <w:r w:rsidRPr="003513BF">
        <w:rPr>
          <w:rFonts w:cs="Arial"/>
          <w:szCs w:val="20"/>
        </w:rPr>
        <w:t>e</w:t>
      </w:r>
      <w:r>
        <w:rPr>
          <w:rFonts w:cs="Arial"/>
          <w:szCs w:val="20"/>
        </w:rPr>
        <w:t>b</w:t>
      </w:r>
      <w:r w:rsidRPr="003513BF">
        <w:rPr>
          <w:rFonts w:cs="Arial"/>
          <w:szCs w:val="20"/>
        </w:rPr>
        <w:t>nega kanala.</w:t>
      </w:r>
    </w:p>
    <w:p w14:paraId="1CA8FCE7" w14:textId="77777777" w:rsidR="00F32360" w:rsidRDefault="00F32360" w:rsidP="00F32360">
      <w:pPr>
        <w:jc w:val="both"/>
        <w:rPr>
          <w:rFonts w:cs="Arial"/>
          <w:szCs w:val="20"/>
        </w:rPr>
      </w:pPr>
    </w:p>
    <w:p w14:paraId="19FAFD9E" w14:textId="77777777" w:rsidR="00F32360" w:rsidRDefault="00F32360" w:rsidP="00F32360">
      <w:pPr>
        <w:jc w:val="both"/>
        <w:rPr>
          <w:rFonts w:cs="Arial"/>
          <w:szCs w:val="20"/>
        </w:rPr>
      </w:pPr>
      <w:r w:rsidRPr="004C6C58">
        <w:rPr>
          <w:rFonts w:cs="Arial"/>
          <w:szCs w:val="20"/>
        </w:rPr>
        <w:t xml:space="preserve">Zaradi množičnosti dostopnih točk in pomanjkanja standardiziranih metapodatkov ali iskalnih kriterijev </w:t>
      </w:r>
      <w:r>
        <w:rPr>
          <w:rFonts w:cs="Arial"/>
          <w:szCs w:val="20"/>
        </w:rPr>
        <w:t>imajo</w:t>
      </w:r>
      <w:r w:rsidRPr="004C6C58">
        <w:rPr>
          <w:rFonts w:cs="Arial"/>
          <w:szCs w:val="20"/>
        </w:rPr>
        <w:t xml:space="preserve"> uporabniki kljub spletnim iskalnikom </w:t>
      </w:r>
      <w:r>
        <w:rPr>
          <w:rFonts w:cs="Arial"/>
          <w:szCs w:val="20"/>
        </w:rPr>
        <w:t>težave</w:t>
      </w:r>
      <w:r w:rsidRPr="004C6C58">
        <w:rPr>
          <w:rFonts w:cs="Arial"/>
          <w:szCs w:val="20"/>
        </w:rPr>
        <w:t xml:space="preserve"> pri odkrivanju informacij, kar sproža vprašanja, kje iskati informacije, ali je mogoče zbrati popolne informacije in ali </w:t>
      </w:r>
      <w:r>
        <w:rPr>
          <w:rFonts w:cs="Arial"/>
          <w:szCs w:val="20"/>
        </w:rPr>
        <w:t>so posamezne</w:t>
      </w:r>
      <w:r w:rsidRPr="004C6C58">
        <w:rPr>
          <w:rFonts w:cs="Arial"/>
          <w:szCs w:val="20"/>
        </w:rPr>
        <w:t xml:space="preserve"> informacije sploh </w:t>
      </w:r>
      <w:r>
        <w:rPr>
          <w:rFonts w:cs="Arial"/>
          <w:szCs w:val="20"/>
        </w:rPr>
        <w:t>n</w:t>
      </w:r>
      <w:r w:rsidRPr="004C6C58">
        <w:rPr>
          <w:rFonts w:cs="Arial"/>
          <w:szCs w:val="20"/>
        </w:rPr>
        <w:t>a</w:t>
      </w:r>
      <w:r>
        <w:rPr>
          <w:rFonts w:cs="Arial"/>
          <w:szCs w:val="20"/>
        </w:rPr>
        <w:t xml:space="preserve"> vol</w:t>
      </w:r>
      <w:r w:rsidRPr="004C6C58">
        <w:rPr>
          <w:rFonts w:cs="Arial"/>
          <w:szCs w:val="20"/>
        </w:rPr>
        <w:t xml:space="preserve">jo. </w:t>
      </w:r>
      <w:r>
        <w:rPr>
          <w:rFonts w:cs="Arial"/>
          <w:szCs w:val="20"/>
        </w:rPr>
        <w:t>Izzivi so tudi t</w:t>
      </w:r>
      <w:r w:rsidRPr="004C6C58">
        <w:rPr>
          <w:rFonts w:cs="Arial"/>
          <w:szCs w:val="20"/>
        </w:rPr>
        <w:t>ežavna pridobitev, uporabniku neprijazni vmesniki in nezmožnost množičnega prenosa podatkov.</w:t>
      </w:r>
    </w:p>
    <w:p w14:paraId="4CE045C1" w14:textId="77777777" w:rsidR="00F32360" w:rsidRPr="004C6C58" w:rsidRDefault="00F32360" w:rsidP="00F32360">
      <w:pPr>
        <w:jc w:val="both"/>
        <w:rPr>
          <w:rFonts w:cs="Arial"/>
          <w:szCs w:val="20"/>
        </w:rPr>
      </w:pPr>
    </w:p>
    <w:p w14:paraId="52E0CF29" w14:textId="77777777" w:rsidR="00F32360" w:rsidRDefault="00F32360" w:rsidP="00F32360">
      <w:pPr>
        <w:jc w:val="both"/>
        <w:rPr>
          <w:rFonts w:cs="Arial"/>
          <w:szCs w:val="20"/>
        </w:rPr>
      </w:pPr>
      <w:r w:rsidRPr="004C6C58">
        <w:rPr>
          <w:rFonts w:cs="Arial"/>
          <w:szCs w:val="20"/>
        </w:rPr>
        <w:t>Tudi</w:t>
      </w:r>
      <w:r>
        <w:rPr>
          <w:rFonts w:cs="Arial"/>
          <w:szCs w:val="20"/>
        </w:rPr>
        <w:t xml:space="preserve"> po tem</w:t>
      </w:r>
      <w:r w:rsidRPr="004C6C58">
        <w:rPr>
          <w:rFonts w:cs="Arial"/>
          <w:szCs w:val="20"/>
        </w:rPr>
        <w:t>, ko uporabniki pridobijo dostop do informacij</w:t>
      </w:r>
      <w:r>
        <w:rPr>
          <w:rFonts w:cs="Arial"/>
          <w:szCs w:val="20"/>
        </w:rPr>
        <w:t>,</w:t>
      </w:r>
      <w:r w:rsidRPr="004C6C58">
        <w:rPr>
          <w:rFonts w:cs="Arial"/>
          <w:szCs w:val="20"/>
        </w:rPr>
        <w:t xml:space="preserve"> </w:t>
      </w:r>
      <w:r>
        <w:rPr>
          <w:rFonts w:cs="Arial"/>
          <w:szCs w:val="20"/>
        </w:rPr>
        <w:t>se</w:t>
      </w:r>
      <w:r w:rsidRPr="004C6C58">
        <w:rPr>
          <w:rFonts w:cs="Arial"/>
          <w:szCs w:val="20"/>
        </w:rPr>
        <w:t xml:space="preserve"> lahko</w:t>
      </w:r>
      <w:r>
        <w:rPr>
          <w:rFonts w:cs="Arial"/>
          <w:szCs w:val="20"/>
        </w:rPr>
        <w:t xml:space="preserve"> pojavijo</w:t>
      </w:r>
      <w:r w:rsidRPr="004C6C58">
        <w:rPr>
          <w:rFonts w:cs="Arial"/>
          <w:szCs w:val="20"/>
        </w:rPr>
        <w:t xml:space="preserve"> ovire pri uporabi in primerjavi teh informacij. Najpogostejši razlogi za to so uporaba </w:t>
      </w:r>
      <w:r w:rsidRPr="00C4205F">
        <w:rPr>
          <w:rFonts w:cs="Arial"/>
          <w:szCs w:val="20"/>
        </w:rPr>
        <w:t xml:space="preserve">različnih oblik </w:t>
      </w:r>
      <w:r>
        <w:rPr>
          <w:rFonts w:cs="Arial"/>
          <w:szCs w:val="20"/>
        </w:rPr>
        <w:t xml:space="preserve">datotečnega </w:t>
      </w:r>
      <w:r w:rsidRPr="00C4205F">
        <w:rPr>
          <w:rFonts w:cs="Arial"/>
          <w:szCs w:val="20"/>
        </w:rPr>
        <w:t>zapisa,</w:t>
      </w:r>
      <w:r w:rsidRPr="004C6C58">
        <w:rPr>
          <w:rFonts w:cs="Arial"/>
          <w:szCs w:val="20"/>
        </w:rPr>
        <w:t xml:space="preserve"> ki ne omogočajo </w:t>
      </w:r>
      <w:r>
        <w:rPr>
          <w:rFonts w:cs="Arial"/>
          <w:szCs w:val="20"/>
        </w:rPr>
        <w:t>pr</w:t>
      </w:r>
      <w:r w:rsidRPr="004C6C58">
        <w:rPr>
          <w:rFonts w:cs="Arial"/>
          <w:szCs w:val="20"/>
        </w:rPr>
        <w:t>e</w:t>
      </w:r>
      <w:r>
        <w:rPr>
          <w:rFonts w:cs="Arial"/>
          <w:szCs w:val="20"/>
        </w:rPr>
        <w:t>pr</w:t>
      </w:r>
      <w:r w:rsidRPr="004C6C58">
        <w:rPr>
          <w:rFonts w:cs="Arial"/>
          <w:szCs w:val="20"/>
        </w:rPr>
        <w:t xml:space="preserve">ostega pridobivanja podatkov (na primer </w:t>
      </w:r>
      <w:r>
        <w:rPr>
          <w:rFonts w:cs="Arial"/>
          <w:szCs w:val="20"/>
        </w:rPr>
        <w:t>PDF</w:t>
      </w:r>
      <w:r w:rsidRPr="004C6C58">
        <w:rPr>
          <w:rFonts w:cs="Arial"/>
          <w:szCs w:val="20"/>
        </w:rPr>
        <w:t>, slike</w:t>
      </w:r>
      <w:r>
        <w:rPr>
          <w:rFonts w:cs="Arial"/>
          <w:szCs w:val="20"/>
        </w:rPr>
        <w:t xml:space="preserve"> in podobno</w:t>
      </w:r>
      <w:r w:rsidRPr="004C6C58">
        <w:rPr>
          <w:rFonts w:cs="Arial"/>
          <w:szCs w:val="20"/>
        </w:rPr>
        <w:t xml:space="preserve">), nezadostna strukturiranost podatkov, težave s kakovostjo, jezikovne ovire </w:t>
      </w:r>
      <w:r>
        <w:rPr>
          <w:rFonts w:cs="Arial"/>
          <w:szCs w:val="20"/>
        </w:rPr>
        <w:t>in</w:t>
      </w:r>
      <w:r w:rsidRPr="004C6C58">
        <w:rPr>
          <w:rFonts w:cs="Arial"/>
          <w:szCs w:val="20"/>
        </w:rPr>
        <w:t xml:space="preserve"> omejitve uporabe zaradi pogojev uporabe ali avtorskih pravic. Navedeno je razlog, da </w:t>
      </w:r>
      <w:r>
        <w:rPr>
          <w:rFonts w:cs="Arial"/>
          <w:szCs w:val="20"/>
        </w:rPr>
        <w:t>sta</w:t>
      </w:r>
      <w:r w:rsidRPr="004C6C58">
        <w:rPr>
          <w:rFonts w:cs="Arial"/>
          <w:szCs w:val="20"/>
        </w:rPr>
        <w:t xml:space="preserve"> uporaba in zlasti primerjava podatkov težavn</w:t>
      </w:r>
      <w:r>
        <w:rPr>
          <w:rFonts w:cs="Arial"/>
          <w:szCs w:val="20"/>
        </w:rPr>
        <w:t>i</w:t>
      </w:r>
      <w:r w:rsidRPr="004C6C58">
        <w:rPr>
          <w:rFonts w:cs="Arial"/>
          <w:szCs w:val="20"/>
        </w:rPr>
        <w:t xml:space="preserve"> in drag</w:t>
      </w:r>
      <w:r>
        <w:rPr>
          <w:rFonts w:cs="Arial"/>
          <w:szCs w:val="20"/>
        </w:rPr>
        <w:t>i</w:t>
      </w:r>
      <w:r w:rsidRPr="004C6C58">
        <w:rPr>
          <w:rFonts w:cs="Arial"/>
          <w:szCs w:val="20"/>
        </w:rPr>
        <w:t>.</w:t>
      </w:r>
    </w:p>
    <w:p w14:paraId="15782DC4" w14:textId="77777777" w:rsidR="00F32360" w:rsidRDefault="00F32360" w:rsidP="00F32360">
      <w:pPr>
        <w:jc w:val="both"/>
        <w:rPr>
          <w:rFonts w:cs="Arial"/>
          <w:szCs w:val="20"/>
        </w:rPr>
      </w:pPr>
    </w:p>
    <w:p w14:paraId="3E8071D3" w14:textId="77777777" w:rsidR="00F32360" w:rsidRPr="00BF5648" w:rsidRDefault="00F32360" w:rsidP="00F32360">
      <w:pPr>
        <w:jc w:val="both"/>
        <w:rPr>
          <w:rFonts w:cs="Arial"/>
          <w:szCs w:val="20"/>
        </w:rPr>
      </w:pPr>
      <w:r w:rsidRPr="00BF5648">
        <w:rPr>
          <w:rFonts w:cs="Arial"/>
          <w:szCs w:val="20"/>
        </w:rPr>
        <w:t xml:space="preserve">Podatki bi morali biti lažje dostopni in pripravljeni za digitalno uporabo za vlagatelje, tudi na čezmejni ravni. </w:t>
      </w:r>
      <w:r>
        <w:rPr>
          <w:rFonts w:cs="Arial"/>
          <w:szCs w:val="20"/>
        </w:rPr>
        <w:t>To bi lahko prispevalo k odpravi ene glavnih ovir</w:t>
      </w:r>
      <w:r w:rsidRPr="00BF5648">
        <w:rPr>
          <w:rFonts w:cs="Arial"/>
          <w:szCs w:val="20"/>
        </w:rPr>
        <w:t>, ki odvrača vlagatelje</w:t>
      </w:r>
      <w:r>
        <w:rPr>
          <w:rFonts w:cs="Arial"/>
          <w:szCs w:val="20"/>
        </w:rPr>
        <w:t>,</w:t>
      </w:r>
      <w:r w:rsidRPr="00BF5648">
        <w:rPr>
          <w:rFonts w:cs="Arial"/>
          <w:szCs w:val="20"/>
        </w:rPr>
        <w:t xml:space="preserve"> zlasti iz </w:t>
      </w:r>
      <w:r w:rsidRPr="00BF5648">
        <w:rPr>
          <w:rFonts w:cs="Arial"/>
          <w:szCs w:val="20"/>
        </w:rPr>
        <w:lastRenderedPageBreak/>
        <w:t>drugih držav članic ali tretjih držav</w:t>
      </w:r>
      <w:r>
        <w:rPr>
          <w:rFonts w:cs="Arial"/>
          <w:szCs w:val="20"/>
        </w:rPr>
        <w:t>,</w:t>
      </w:r>
      <w:r w:rsidRPr="00BF5648">
        <w:rPr>
          <w:rFonts w:cs="Arial"/>
          <w:szCs w:val="20"/>
        </w:rPr>
        <w:t xml:space="preserve"> od dostopa do manjših nacionalnih trgov</w:t>
      </w:r>
      <w:r>
        <w:rPr>
          <w:rFonts w:cs="Arial"/>
          <w:szCs w:val="20"/>
        </w:rPr>
        <w:t xml:space="preserve"> kapitala, kot je slovenski,</w:t>
      </w:r>
      <w:r w:rsidRPr="00BF5648">
        <w:rPr>
          <w:rFonts w:cs="Arial"/>
          <w:szCs w:val="20"/>
        </w:rPr>
        <w:t xml:space="preserve"> ali od zagotavljanja financiranja malim in srednje velikim podjetjem.</w:t>
      </w:r>
    </w:p>
    <w:p w14:paraId="609B7947" w14:textId="77777777" w:rsidR="00F32360" w:rsidRDefault="00F32360" w:rsidP="00F32360">
      <w:pPr>
        <w:jc w:val="both"/>
        <w:rPr>
          <w:rFonts w:cs="Arial"/>
          <w:szCs w:val="20"/>
        </w:rPr>
      </w:pPr>
    </w:p>
    <w:p w14:paraId="47887986" w14:textId="77777777" w:rsidR="00F32360" w:rsidRPr="00502EBF" w:rsidRDefault="00F32360" w:rsidP="00F32360">
      <w:pPr>
        <w:jc w:val="both"/>
        <w:rPr>
          <w:rFonts w:cs="Arial"/>
          <w:szCs w:val="20"/>
        </w:rPr>
      </w:pPr>
      <w:r>
        <w:rPr>
          <w:rFonts w:cs="Arial"/>
          <w:szCs w:val="20"/>
        </w:rPr>
        <w:t xml:space="preserve">Zato sta </w:t>
      </w:r>
      <w:r w:rsidRPr="00502EBF">
        <w:rPr>
          <w:rFonts w:cs="Arial"/>
          <w:szCs w:val="20"/>
        </w:rPr>
        <w:t>Evropski parlament in Svet 13. decembra 2023 sprejela tri povezane pravne akte za vzpostavitev evropske enotne točke dostopa</w:t>
      </w:r>
      <w:r>
        <w:rPr>
          <w:rFonts w:cs="Arial"/>
          <w:szCs w:val="20"/>
        </w:rPr>
        <w:t xml:space="preserve"> (</w:t>
      </w:r>
      <w:r w:rsidRPr="000D4C93">
        <w:rPr>
          <w:rFonts w:cs="Arial"/>
          <w:szCs w:val="20"/>
        </w:rPr>
        <w:t xml:space="preserve">v nadaljnjem besedilu: </w:t>
      </w:r>
      <w:r>
        <w:rPr>
          <w:rFonts w:cs="Arial"/>
          <w:szCs w:val="20"/>
        </w:rPr>
        <w:t>ESAP), in sicer</w:t>
      </w:r>
      <w:r w:rsidRPr="00502EBF">
        <w:rPr>
          <w:rFonts w:cs="Arial"/>
          <w:szCs w:val="20"/>
        </w:rPr>
        <w:t>:</w:t>
      </w:r>
    </w:p>
    <w:p w14:paraId="59AAF6A0" w14:textId="77777777" w:rsidR="00F32360" w:rsidRPr="00502EBF" w:rsidRDefault="00F32360" w:rsidP="00F32360">
      <w:pPr>
        <w:jc w:val="both"/>
        <w:rPr>
          <w:rFonts w:cs="Arial"/>
          <w:szCs w:val="20"/>
        </w:rPr>
      </w:pPr>
    </w:p>
    <w:p w14:paraId="0EC43603" w14:textId="77777777" w:rsidR="00F32360" w:rsidRPr="0099326E" w:rsidRDefault="00F32360" w:rsidP="00F32360">
      <w:pPr>
        <w:pStyle w:val="Odstavekseznama"/>
        <w:numPr>
          <w:ilvl w:val="0"/>
          <w:numId w:val="23"/>
        </w:numPr>
        <w:overflowPunct w:val="0"/>
        <w:autoSpaceDE w:val="0"/>
        <w:autoSpaceDN w:val="0"/>
        <w:adjustRightInd w:val="0"/>
        <w:spacing w:line="240" w:lineRule="auto"/>
        <w:contextualSpacing w:val="0"/>
        <w:jc w:val="both"/>
        <w:textAlignment w:val="baseline"/>
        <w:rPr>
          <w:rFonts w:cs="Arial"/>
          <w:szCs w:val="20"/>
        </w:rPr>
      </w:pPr>
      <w:r w:rsidRPr="0099326E">
        <w:rPr>
          <w:rFonts w:cs="Arial"/>
          <w:szCs w:val="20"/>
        </w:rPr>
        <w:t xml:space="preserve">Direktivo </w:t>
      </w:r>
      <w:r w:rsidRPr="0023027E">
        <w:rPr>
          <w:rFonts w:cs="Arial"/>
          <w:szCs w:val="20"/>
        </w:rPr>
        <w:t xml:space="preserve">(EU) 2023/2864 Evropskega parlamenta in Sveta z dne 13. decembra 2023 o spremembi nekaterih direktiv glede vzpostavitve in delovanja evropske enotne točke dostopa (UL L št. 2023/2864 z dne 20. 12. 2023), </w:t>
      </w:r>
      <w:r>
        <w:rPr>
          <w:rFonts w:cs="Arial"/>
          <w:szCs w:val="20"/>
        </w:rPr>
        <w:t>nazadnje popravljeno s Popravkom (UL L št. 2024/90411 z dne 15. 7. 2024),</w:t>
      </w:r>
      <w:r w:rsidRPr="0023027E">
        <w:rPr>
          <w:rFonts w:cs="Arial"/>
          <w:szCs w:val="20"/>
        </w:rPr>
        <w:t xml:space="preserve"> (v nadaljnjem besedilu: Direktiva 2023/2864/EU)</w:t>
      </w:r>
      <w:r>
        <w:rPr>
          <w:rFonts w:cs="Arial"/>
          <w:szCs w:val="20"/>
        </w:rPr>
        <w:t>;</w:t>
      </w:r>
    </w:p>
    <w:p w14:paraId="1858DB6C" w14:textId="77777777" w:rsidR="00F32360" w:rsidRPr="0099326E" w:rsidRDefault="00F32360" w:rsidP="00F32360">
      <w:pPr>
        <w:pStyle w:val="Odstavekseznama"/>
        <w:numPr>
          <w:ilvl w:val="0"/>
          <w:numId w:val="23"/>
        </w:numPr>
        <w:overflowPunct w:val="0"/>
        <w:autoSpaceDE w:val="0"/>
        <w:autoSpaceDN w:val="0"/>
        <w:adjustRightInd w:val="0"/>
        <w:spacing w:line="240" w:lineRule="auto"/>
        <w:contextualSpacing w:val="0"/>
        <w:jc w:val="both"/>
        <w:textAlignment w:val="baseline"/>
        <w:rPr>
          <w:rFonts w:cs="Arial"/>
          <w:szCs w:val="20"/>
        </w:rPr>
      </w:pPr>
      <w:r w:rsidRPr="0099326E">
        <w:rPr>
          <w:rFonts w:cs="Arial"/>
          <w:szCs w:val="20"/>
        </w:rPr>
        <w:t xml:space="preserve">Uredbo </w:t>
      </w:r>
      <w:r w:rsidRPr="0023027E">
        <w:rPr>
          <w:rFonts w:cs="Arial"/>
          <w:szCs w:val="20"/>
        </w:rPr>
        <w:t>(EU) 2023/2859 Evropskega parlamenta in Sveta z dne 13. decembra 2023 o vzpostavitvi evropske enotne točke dostopa, ki zagotavlja centraliziran</w:t>
      </w:r>
      <w:r>
        <w:rPr>
          <w:rFonts w:cs="Arial"/>
          <w:szCs w:val="20"/>
        </w:rPr>
        <w:t>i</w:t>
      </w:r>
      <w:r w:rsidRPr="0023027E">
        <w:rPr>
          <w:rFonts w:cs="Arial"/>
          <w:szCs w:val="20"/>
        </w:rPr>
        <w:t xml:space="preserve"> dostop do javno dostopnih informacij, pomembnih za finančne storitve, kapitalske trge in </w:t>
      </w:r>
      <w:proofErr w:type="spellStart"/>
      <w:r w:rsidRPr="0023027E">
        <w:rPr>
          <w:rFonts w:cs="Arial"/>
          <w:szCs w:val="20"/>
        </w:rPr>
        <w:t>trajnostnost</w:t>
      </w:r>
      <w:proofErr w:type="spellEnd"/>
      <w:r w:rsidRPr="0023027E">
        <w:rPr>
          <w:rFonts w:cs="Arial"/>
          <w:szCs w:val="20"/>
        </w:rPr>
        <w:t xml:space="preserve"> (</w:t>
      </w:r>
      <w:r w:rsidRPr="0027275F">
        <w:rPr>
          <w:rFonts w:cs="Arial"/>
          <w:szCs w:val="20"/>
        </w:rPr>
        <w:t>UL L št. 2023/2859 z dne 20. 12. 2023</w:t>
      </w:r>
      <w:r w:rsidRPr="0023027E">
        <w:rPr>
          <w:rFonts w:cs="Arial"/>
          <w:szCs w:val="20"/>
        </w:rPr>
        <w:t>)</w:t>
      </w:r>
      <w:r>
        <w:rPr>
          <w:rFonts w:cs="Arial"/>
          <w:szCs w:val="20"/>
        </w:rPr>
        <w:t>,</w:t>
      </w:r>
      <w:r w:rsidRPr="0023027E">
        <w:rPr>
          <w:rFonts w:cs="Arial"/>
          <w:szCs w:val="20"/>
        </w:rPr>
        <w:t xml:space="preserve"> </w:t>
      </w:r>
      <w:r>
        <w:rPr>
          <w:rFonts w:cs="Arial"/>
          <w:szCs w:val="20"/>
        </w:rPr>
        <w:t>na</w:t>
      </w:r>
      <w:r w:rsidRPr="0023027E">
        <w:rPr>
          <w:rFonts w:cs="Arial"/>
          <w:szCs w:val="20"/>
        </w:rPr>
        <w:t>zadnj</w:t>
      </w:r>
      <w:r>
        <w:rPr>
          <w:rFonts w:cs="Arial"/>
          <w:szCs w:val="20"/>
        </w:rPr>
        <w:t>e</w:t>
      </w:r>
      <w:r w:rsidRPr="0023027E">
        <w:rPr>
          <w:rFonts w:cs="Arial"/>
          <w:szCs w:val="20"/>
        </w:rPr>
        <w:t xml:space="preserve"> spremenjen</w:t>
      </w:r>
      <w:r>
        <w:rPr>
          <w:rFonts w:cs="Arial"/>
          <w:szCs w:val="20"/>
        </w:rPr>
        <w:t>o</w:t>
      </w:r>
      <w:r w:rsidRPr="0023027E">
        <w:rPr>
          <w:rFonts w:cs="Arial"/>
          <w:szCs w:val="20"/>
        </w:rPr>
        <w:t xml:space="preserve"> z Uredbo (EU) 2024/3005 Evropskega parlamenta in Sveta z dne 27. novembra 2024 o preglednosti in celovitosti dejavnosti ocenjevanja </w:t>
      </w:r>
      <w:proofErr w:type="spellStart"/>
      <w:r w:rsidRPr="0023027E">
        <w:rPr>
          <w:rFonts w:cs="Arial"/>
          <w:szCs w:val="20"/>
        </w:rPr>
        <w:t>okoljskih</w:t>
      </w:r>
      <w:proofErr w:type="spellEnd"/>
      <w:r w:rsidRPr="0023027E">
        <w:rPr>
          <w:rFonts w:cs="Arial"/>
          <w:szCs w:val="20"/>
        </w:rPr>
        <w:t>, socialnih in upravljavski</w:t>
      </w:r>
      <w:r w:rsidRPr="00542540">
        <w:rPr>
          <w:rFonts w:cs="Arial"/>
          <w:szCs w:val="20"/>
        </w:rPr>
        <w:t>h (ESG) dejavnikov ter</w:t>
      </w:r>
      <w:r w:rsidRPr="0023027E">
        <w:rPr>
          <w:rFonts w:cs="Arial"/>
          <w:szCs w:val="20"/>
        </w:rPr>
        <w:t xml:space="preserve"> spremembi uredb (EU) 2019/2088 in (EU) 2023/2859 (UL L št. 2024/3005 z dne 12. 12. 2024), (v nadaljnjem besedilu: Uredba 2023/2859/EU)</w:t>
      </w:r>
      <w:r>
        <w:rPr>
          <w:rFonts w:cs="Arial"/>
          <w:szCs w:val="20"/>
        </w:rPr>
        <w:t>,</w:t>
      </w:r>
      <w:r w:rsidRPr="0099326E">
        <w:rPr>
          <w:rFonts w:cs="Arial"/>
          <w:szCs w:val="20"/>
        </w:rPr>
        <w:t xml:space="preserve"> in</w:t>
      </w:r>
    </w:p>
    <w:p w14:paraId="23E678E8" w14:textId="77777777" w:rsidR="00F32360" w:rsidRDefault="00F32360" w:rsidP="00F32360">
      <w:pPr>
        <w:pStyle w:val="Odstavekseznama"/>
        <w:numPr>
          <w:ilvl w:val="0"/>
          <w:numId w:val="23"/>
        </w:numPr>
        <w:overflowPunct w:val="0"/>
        <w:autoSpaceDE w:val="0"/>
        <w:autoSpaceDN w:val="0"/>
        <w:adjustRightInd w:val="0"/>
        <w:spacing w:line="240" w:lineRule="auto"/>
        <w:contextualSpacing w:val="0"/>
        <w:jc w:val="both"/>
        <w:textAlignment w:val="baseline"/>
        <w:rPr>
          <w:rFonts w:cs="Arial"/>
          <w:szCs w:val="20"/>
        </w:rPr>
      </w:pPr>
      <w:r w:rsidRPr="0099326E">
        <w:rPr>
          <w:rFonts w:cs="Arial"/>
          <w:szCs w:val="20"/>
        </w:rPr>
        <w:t xml:space="preserve">Uredbo </w:t>
      </w:r>
      <w:r w:rsidRPr="0023027E">
        <w:rPr>
          <w:rFonts w:cs="Arial"/>
          <w:szCs w:val="20"/>
        </w:rPr>
        <w:t>(EU) 2023/2869 Evropskega parlamenta in Sveta z dne 13. decembra 2023 o spremembi nekaterih uredb glede vzpostavitve in delovanja evropske enotne točke dostopa (UL L št. 2023/2869 z dne 20. 12. 2023</w:t>
      </w:r>
      <w:r>
        <w:rPr>
          <w:rFonts w:cs="Arial"/>
          <w:szCs w:val="20"/>
        </w:rPr>
        <w:t>;</w:t>
      </w:r>
      <w:r w:rsidRPr="0023027E">
        <w:rPr>
          <w:rFonts w:cs="Arial"/>
          <w:szCs w:val="20"/>
        </w:rPr>
        <w:t xml:space="preserve"> v nadaljnjem besedilu: Uredba 2023/2869/EU)</w:t>
      </w:r>
      <w:r w:rsidRPr="0099326E">
        <w:rPr>
          <w:rFonts w:cs="Arial"/>
          <w:szCs w:val="20"/>
        </w:rPr>
        <w:t>.</w:t>
      </w:r>
    </w:p>
    <w:p w14:paraId="5BB9185F" w14:textId="77777777" w:rsidR="00F32360" w:rsidRDefault="00F32360" w:rsidP="00F32360">
      <w:pPr>
        <w:overflowPunct w:val="0"/>
        <w:autoSpaceDE w:val="0"/>
        <w:autoSpaceDN w:val="0"/>
        <w:adjustRightInd w:val="0"/>
        <w:spacing w:line="240" w:lineRule="auto"/>
        <w:jc w:val="both"/>
        <w:textAlignment w:val="baseline"/>
        <w:rPr>
          <w:rFonts w:cs="Arial"/>
          <w:szCs w:val="20"/>
        </w:rPr>
      </w:pPr>
    </w:p>
    <w:p w14:paraId="66E8E846" w14:textId="77777777" w:rsidR="00F32360" w:rsidRPr="00F60C79" w:rsidRDefault="00F32360" w:rsidP="00F32360">
      <w:pPr>
        <w:spacing w:line="276" w:lineRule="auto"/>
        <w:jc w:val="both"/>
        <w:rPr>
          <w:rFonts w:cs="Arial"/>
          <w:szCs w:val="20"/>
        </w:rPr>
      </w:pPr>
      <w:r w:rsidRPr="00F60C79">
        <w:rPr>
          <w:rFonts w:cs="Arial"/>
          <w:szCs w:val="20"/>
        </w:rPr>
        <w:t xml:space="preserve">S tem svežnjem </w:t>
      </w:r>
      <w:r>
        <w:rPr>
          <w:rFonts w:cs="Arial"/>
          <w:szCs w:val="20"/>
        </w:rPr>
        <w:t>se</w:t>
      </w:r>
      <w:r w:rsidRPr="00F60C79">
        <w:rPr>
          <w:rFonts w:cs="Arial"/>
          <w:szCs w:val="20"/>
        </w:rPr>
        <w:t xml:space="preserve"> </w:t>
      </w:r>
      <w:r>
        <w:rPr>
          <w:rFonts w:cs="Arial"/>
          <w:szCs w:val="20"/>
        </w:rPr>
        <w:t>upošteva</w:t>
      </w:r>
      <w:r w:rsidRPr="00F60C79">
        <w:rPr>
          <w:rFonts w:cs="Arial"/>
          <w:szCs w:val="20"/>
        </w:rPr>
        <w:t xml:space="preserve"> potreb</w:t>
      </w:r>
      <w:r>
        <w:rPr>
          <w:rFonts w:cs="Arial"/>
          <w:szCs w:val="20"/>
        </w:rPr>
        <w:t>a</w:t>
      </w:r>
      <w:r w:rsidRPr="00F60C79">
        <w:rPr>
          <w:rFonts w:cs="Arial"/>
          <w:szCs w:val="20"/>
        </w:rPr>
        <w:t xml:space="preserve"> po digitalizaciji, standardizaciji in centralizaciji informacij, kar bo prispevalo k bolj integriranemu in učinkovitemu evropskemu trgu.</w:t>
      </w:r>
    </w:p>
    <w:p w14:paraId="1023B7A0" w14:textId="77777777" w:rsidR="00F32360" w:rsidRDefault="00F32360" w:rsidP="00F32360">
      <w:pPr>
        <w:jc w:val="both"/>
        <w:rPr>
          <w:rFonts w:cs="Arial"/>
          <w:szCs w:val="20"/>
        </w:rPr>
      </w:pPr>
    </w:p>
    <w:p w14:paraId="454821B5" w14:textId="77777777" w:rsidR="00F32360" w:rsidRPr="0051046C" w:rsidRDefault="00F32360" w:rsidP="00F32360">
      <w:pPr>
        <w:jc w:val="both"/>
        <w:rPr>
          <w:rFonts w:cs="Arial"/>
          <w:szCs w:val="20"/>
        </w:rPr>
      </w:pPr>
      <w:r w:rsidRPr="003806F1">
        <w:rPr>
          <w:rFonts w:cs="Arial"/>
          <w:szCs w:val="20"/>
        </w:rPr>
        <w:t>Na področju trga finančnih instrumentov</w:t>
      </w:r>
      <w:r>
        <w:rPr>
          <w:rFonts w:cs="Arial"/>
          <w:szCs w:val="20"/>
        </w:rPr>
        <w:t xml:space="preserve"> v Republiki Sloveniji</w:t>
      </w:r>
      <w:r w:rsidRPr="003806F1">
        <w:rPr>
          <w:rFonts w:cs="Arial"/>
          <w:szCs w:val="20"/>
        </w:rPr>
        <w:t xml:space="preserve"> že deluje sistem</w:t>
      </w:r>
      <w:r w:rsidRPr="0051046C">
        <w:t xml:space="preserve"> </w:t>
      </w:r>
      <w:r w:rsidRPr="0051046C">
        <w:rPr>
          <w:rFonts w:cs="Arial"/>
          <w:szCs w:val="20"/>
        </w:rPr>
        <w:t>INFO HRAMBA</w:t>
      </w:r>
      <w:r>
        <w:rPr>
          <w:rFonts w:cs="Arial"/>
          <w:szCs w:val="20"/>
        </w:rPr>
        <w:t>. To</w:t>
      </w:r>
      <w:r w:rsidRPr="0051046C">
        <w:rPr>
          <w:rFonts w:cs="Arial"/>
          <w:szCs w:val="20"/>
        </w:rPr>
        <w:t xml:space="preserve"> je sistem </w:t>
      </w:r>
      <w:r w:rsidRPr="00542540">
        <w:rPr>
          <w:rFonts w:cs="Arial"/>
          <w:szCs w:val="20"/>
        </w:rPr>
        <w:t xml:space="preserve">za </w:t>
      </w:r>
      <w:r w:rsidRPr="00980911">
        <w:rPr>
          <w:rFonts w:cs="Arial"/>
          <w:szCs w:val="20"/>
        </w:rPr>
        <w:t>centralno</w:t>
      </w:r>
      <w:r w:rsidRPr="004C3C23">
        <w:rPr>
          <w:rFonts w:cs="Arial"/>
          <w:szCs w:val="20"/>
        </w:rPr>
        <w:t xml:space="preserve"> shranjevan</w:t>
      </w:r>
      <w:r w:rsidRPr="0051046C">
        <w:rPr>
          <w:rFonts w:cs="Arial"/>
          <w:szCs w:val="20"/>
        </w:rPr>
        <w:t>je nadzorovanih informacij izdajateljev vrednostnih papirjev in drugih zavezancev, ki ga upravlja Ljubljanska borza, d.</w:t>
      </w:r>
      <w:r>
        <w:rPr>
          <w:rFonts w:cs="Arial"/>
          <w:szCs w:val="20"/>
        </w:rPr>
        <w:t xml:space="preserve"> </w:t>
      </w:r>
      <w:r w:rsidRPr="0051046C">
        <w:rPr>
          <w:rFonts w:cs="Arial"/>
          <w:szCs w:val="20"/>
        </w:rPr>
        <w:t>d., na podlagi pooblastila Agencije za trg vrednostnih papirjev (</w:t>
      </w:r>
      <w:r>
        <w:rPr>
          <w:rFonts w:cs="Arial"/>
          <w:szCs w:val="20"/>
        </w:rPr>
        <w:t xml:space="preserve">v nadaljnjem besedilu: </w:t>
      </w:r>
      <w:r w:rsidRPr="0051046C">
        <w:rPr>
          <w:rFonts w:cs="Arial"/>
          <w:szCs w:val="20"/>
        </w:rPr>
        <w:t xml:space="preserve">ATVP). Namenjen je zbiranju, shranjevanju in javni dostopnosti nadzorovanih informacij, kot so notranje informacije, periodična in tekoča poročila, obvestila o pomembnih lastniških deležih, skupščinah, finančnih koledarjih, prospektih, prevzemnih ponudbah in drugih informacijah, ki jih morajo izdajatelji razkriti v skladu z zakonodajo. Sistem izdajateljem omogoča </w:t>
      </w:r>
      <w:r>
        <w:rPr>
          <w:rFonts w:cs="Arial"/>
          <w:szCs w:val="20"/>
        </w:rPr>
        <w:t>l</w:t>
      </w:r>
      <w:r w:rsidRPr="0051046C">
        <w:rPr>
          <w:rFonts w:cs="Arial"/>
          <w:szCs w:val="20"/>
        </w:rPr>
        <w:t>a</w:t>
      </w:r>
      <w:r>
        <w:rPr>
          <w:rFonts w:cs="Arial"/>
          <w:szCs w:val="20"/>
        </w:rPr>
        <w:t>ž</w:t>
      </w:r>
      <w:r w:rsidRPr="0051046C">
        <w:rPr>
          <w:rFonts w:cs="Arial"/>
          <w:szCs w:val="20"/>
        </w:rPr>
        <w:t xml:space="preserve">je izpolnjevanje obveznosti poročanja hkrati borzi in ATVP, vlagateljem pa </w:t>
      </w:r>
      <w:r>
        <w:rPr>
          <w:rFonts w:cs="Arial"/>
          <w:szCs w:val="20"/>
        </w:rPr>
        <w:t>po</w:t>
      </w:r>
      <w:r w:rsidRPr="0051046C">
        <w:rPr>
          <w:rFonts w:cs="Arial"/>
          <w:szCs w:val="20"/>
        </w:rPr>
        <w:t>nu</w:t>
      </w:r>
      <w:r>
        <w:rPr>
          <w:rFonts w:cs="Arial"/>
          <w:szCs w:val="20"/>
        </w:rPr>
        <w:t>ja</w:t>
      </w:r>
      <w:r w:rsidRPr="0051046C">
        <w:rPr>
          <w:rFonts w:cs="Arial"/>
          <w:szCs w:val="20"/>
        </w:rPr>
        <w:t xml:space="preserve"> zanesljiv in pregleden dostop do teh informacij. INFO HRAMBA je dostopna na spletni strani </w:t>
      </w:r>
      <w:r w:rsidRPr="00A8764F">
        <w:t>www.oam.si</w:t>
      </w:r>
      <w:r>
        <w:rPr>
          <w:rFonts w:cs="Arial"/>
          <w:szCs w:val="20"/>
        </w:rPr>
        <w:t xml:space="preserve">. </w:t>
      </w:r>
    </w:p>
    <w:p w14:paraId="7B41F983" w14:textId="77777777" w:rsidR="00F32360" w:rsidRDefault="00F32360" w:rsidP="00F32360">
      <w:pPr>
        <w:overflowPunct w:val="0"/>
        <w:autoSpaceDE w:val="0"/>
        <w:autoSpaceDN w:val="0"/>
        <w:adjustRightInd w:val="0"/>
        <w:spacing w:line="240" w:lineRule="auto"/>
        <w:jc w:val="both"/>
        <w:textAlignment w:val="baseline"/>
        <w:rPr>
          <w:rFonts w:cs="Arial"/>
          <w:szCs w:val="20"/>
        </w:rPr>
      </w:pPr>
    </w:p>
    <w:p w14:paraId="2D0E11D9" w14:textId="77777777" w:rsidR="00F32360" w:rsidRDefault="00F32360" w:rsidP="00F32360">
      <w:pPr>
        <w:spacing w:line="276" w:lineRule="auto"/>
        <w:jc w:val="both"/>
        <w:rPr>
          <w:rFonts w:cs="Arial"/>
          <w:szCs w:val="20"/>
        </w:rPr>
      </w:pPr>
      <w:r w:rsidRPr="00507E82">
        <w:rPr>
          <w:rFonts w:cs="Arial"/>
          <w:szCs w:val="20"/>
        </w:rPr>
        <w:t>Za prenos Direktiv</w:t>
      </w:r>
      <w:r>
        <w:rPr>
          <w:rFonts w:cs="Arial"/>
          <w:szCs w:val="20"/>
        </w:rPr>
        <w:t>e</w:t>
      </w:r>
      <w:r w:rsidRPr="00507E82">
        <w:rPr>
          <w:rFonts w:cs="Arial"/>
          <w:szCs w:val="20"/>
        </w:rPr>
        <w:t xml:space="preserve"> 2023/2864/EU</w:t>
      </w:r>
      <w:r>
        <w:rPr>
          <w:rFonts w:cs="Arial"/>
          <w:szCs w:val="20"/>
        </w:rPr>
        <w:t xml:space="preserve"> in ureditev izvajanja Uredbe </w:t>
      </w:r>
      <w:r w:rsidRPr="00507E82">
        <w:rPr>
          <w:rFonts w:cs="Arial"/>
          <w:szCs w:val="20"/>
        </w:rPr>
        <w:t xml:space="preserve">2023/2859/EU </w:t>
      </w:r>
      <w:r>
        <w:rPr>
          <w:rFonts w:cs="Arial"/>
          <w:szCs w:val="20"/>
        </w:rPr>
        <w:t xml:space="preserve">ter Uredbe </w:t>
      </w:r>
      <w:r w:rsidRPr="00507E82">
        <w:rPr>
          <w:rFonts w:cs="Arial"/>
          <w:szCs w:val="20"/>
        </w:rPr>
        <w:t>2023/2869/EU</w:t>
      </w:r>
      <w:r w:rsidRPr="00993C65">
        <w:rPr>
          <w:rFonts w:cs="Arial"/>
          <w:szCs w:val="20"/>
        </w:rPr>
        <w:t xml:space="preserve"> je v slovenskem pravnem redu potrebna prilagoditev več zakonov. Področja trga finančnih instrumentov, bančništva in zavarovalništva se bodo uredila neposredno s spremembami </w:t>
      </w:r>
      <w:r>
        <w:rPr>
          <w:rFonts w:cs="Arial"/>
          <w:szCs w:val="20"/>
        </w:rPr>
        <w:t>z</w:t>
      </w:r>
      <w:r w:rsidRPr="00993C65">
        <w:rPr>
          <w:rFonts w:cs="Arial"/>
          <w:szCs w:val="20"/>
        </w:rPr>
        <w:t>akona</w:t>
      </w:r>
      <w:r>
        <w:rPr>
          <w:rFonts w:cs="Arial"/>
          <w:szCs w:val="20"/>
        </w:rPr>
        <w:t>, ki ureja</w:t>
      </w:r>
      <w:r w:rsidRPr="00993C65">
        <w:rPr>
          <w:rFonts w:cs="Arial"/>
          <w:szCs w:val="20"/>
        </w:rPr>
        <w:t xml:space="preserve"> </w:t>
      </w:r>
      <w:r>
        <w:rPr>
          <w:rFonts w:cs="Arial"/>
          <w:szCs w:val="20"/>
        </w:rPr>
        <w:t xml:space="preserve">trg </w:t>
      </w:r>
      <w:r w:rsidRPr="00993C65">
        <w:rPr>
          <w:rFonts w:cs="Arial"/>
          <w:szCs w:val="20"/>
        </w:rPr>
        <w:t xml:space="preserve">finančnih instrumentov, </w:t>
      </w:r>
      <w:r>
        <w:rPr>
          <w:rFonts w:cs="Arial"/>
          <w:szCs w:val="20"/>
        </w:rPr>
        <w:t>z</w:t>
      </w:r>
      <w:r w:rsidRPr="00993C65">
        <w:rPr>
          <w:rFonts w:cs="Arial"/>
          <w:szCs w:val="20"/>
        </w:rPr>
        <w:t>akona</w:t>
      </w:r>
      <w:r>
        <w:rPr>
          <w:rFonts w:cs="Arial"/>
          <w:szCs w:val="20"/>
        </w:rPr>
        <w:t>, ki ureja bančništvo,</w:t>
      </w:r>
      <w:r w:rsidRPr="00993C65">
        <w:rPr>
          <w:rFonts w:cs="Arial"/>
          <w:szCs w:val="20"/>
        </w:rPr>
        <w:t xml:space="preserve"> in </w:t>
      </w:r>
      <w:r>
        <w:rPr>
          <w:rFonts w:cs="Arial"/>
          <w:szCs w:val="20"/>
        </w:rPr>
        <w:t>z</w:t>
      </w:r>
      <w:r w:rsidRPr="00993C65">
        <w:rPr>
          <w:rFonts w:cs="Arial"/>
          <w:szCs w:val="20"/>
        </w:rPr>
        <w:t>akona</w:t>
      </w:r>
      <w:r>
        <w:rPr>
          <w:rFonts w:cs="Arial"/>
          <w:szCs w:val="20"/>
        </w:rPr>
        <w:t>, ki ureja zavarovalništvo,</w:t>
      </w:r>
      <w:r w:rsidRPr="00993C65">
        <w:rPr>
          <w:rFonts w:cs="Arial"/>
          <w:szCs w:val="20"/>
        </w:rPr>
        <w:t xml:space="preserve"> in niso predmet tega zakona.</w:t>
      </w:r>
    </w:p>
    <w:p w14:paraId="0FCF8408" w14:textId="77777777" w:rsidR="00F32360" w:rsidRPr="00993C65" w:rsidRDefault="00F32360" w:rsidP="00F32360">
      <w:pPr>
        <w:spacing w:line="276" w:lineRule="auto"/>
        <w:jc w:val="both"/>
        <w:rPr>
          <w:rFonts w:cs="Arial"/>
          <w:szCs w:val="20"/>
        </w:rPr>
      </w:pPr>
    </w:p>
    <w:p w14:paraId="2708E459" w14:textId="3A9C548C" w:rsidR="00F32360" w:rsidRPr="00502EBF" w:rsidRDefault="00F32360" w:rsidP="00F32360">
      <w:pPr>
        <w:spacing w:line="276" w:lineRule="auto"/>
        <w:jc w:val="both"/>
        <w:rPr>
          <w:rFonts w:cs="Arial"/>
          <w:szCs w:val="20"/>
        </w:rPr>
      </w:pPr>
      <w:r w:rsidRPr="00993C65">
        <w:rPr>
          <w:rFonts w:cs="Arial"/>
          <w:szCs w:val="20"/>
        </w:rPr>
        <w:t xml:space="preserve">Za </w:t>
      </w:r>
      <w:r>
        <w:rPr>
          <w:rFonts w:cs="Arial"/>
          <w:szCs w:val="20"/>
        </w:rPr>
        <w:t>drug</w:t>
      </w:r>
      <w:r w:rsidRPr="00993C65">
        <w:rPr>
          <w:rFonts w:cs="Arial"/>
          <w:szCs w:val="20"/>
        </w:rPr>
        <w:t xml:space="preserve">a področja je potrebna prilagoditev </w:t>
      </w:r>
      <w:r>
        <w:rPr>
          <w:rFonts w:cs="Arial"/>
          <w:szCs w:val="20"/>
        </w:rPr>
        <w:t>t</w:t>
      </w:r>
      <w:r w:rsidRPr="00993C65">
        <w:rPr>
          <w:rFonts w:cs="Arial"/>
          <w:szCs w:val="20"/>
        </w:rPr>
        <w:t>eh zakonov:</w:t>
      </w:r>
    </w:p>
    <w:p w14:paraId="684D85C4" w14:textId="77777777" w:rsidR="00530D11" w:rsidRPr="00DF653B" w:rsidRDefault="00530D11" w:rsidP="00530D11">
      <w:pPr>
        <w:rPr>
          <w:rFonts w:cs="Arial"/>
          <w:szCs w:val="20"/>
        </w:rPr>
      </w:pPr>
    </w:p>
    <w:tbl>
      <w:tblPr>
        <w:tblStyle w:val="Tabelamrea"/>
        <w:tblW w:w="8926" w:type="dxa"/>
        <w:tblLook w:val="04A0" w:firstRow="1" w:lastRow="0" w:firstColumn="1" w:lastColumn="0" w:noHBand="0" w:noVBand="1"/>
      </w:tblPr>
      <w:tblGrid>
        <w:gridCol w:w="4383"/>
        <w:gridCol w:w="1553"/>
        <w:gridCol w:w="1495"/>
        <w:gridCol w:w="1495"/>
      </w:tblGrid>
      <w:tr w:rsidR="00507E82" w:rsidRPr="0023027E" w14:paraId="1B05FD89" w14:textId="77777777" w:rsidTr="00F96770">
        <w:trPr>
          <w:trHeight w:val="462"/>
        </w:trPr>
        <w:tc>
          <w:tcPr>
            <w:tcW w:w="4383" w:type="dxa"/>
          </w:tcPr>
          <w:p w14:paraId="0111A638" w14:textId="77777777" w:rsidR="00507E82" w:rsidRPr="0023027E" w:rsidRDefault="00507E82" w:rsidP="00F96770">
            <w:pPr>
              <w:rPr>
                <w:rFonts w:cs="Arial"/>
                <w:b/>
                <w:bCs/>
                <w:szCs w:val="20"/>
              </w:rPr>
            </w:pPr>
            <w:r w:rsidRPr="0023027E">
              <w:rPr>
                <w:rFonts w:cs="Arial"/>
                <w:b/>
                <w:bCs/>
                <w:szCs w:val="20"/>
              </w:rPr>
              <w:t>Zakon</w:t>
            </w:r>
          </w:p>
        </w:tc>
        <w:tc>
          <w:tcPr>
            <w:tcW w:w="1553" w:type="dxa"/>
          </w:tcPr>
          <w:p w14:paraId="1D22690B" w14:textId="77777777" w:rsidR="00507E82" w:rsidRPr="0023027E" w:rsidRDefault="00507E82" w:rsidP="00F96770">
            <w:pPr>
              <w:rPr>
                <w:rFonts w:cs="Arial"/>
                <w:b/>
                <w:bCs/>
                <w:szCs w:val="20"/>
              </w:rPr>
            </w:pPr>
            <w:r w:rsidRPr="0023027E">
              <w:rPr>
                <w:rFonts w:cs="Arial"/>
                <w:b/>
                <w:bCs/>
                <w:szCs w:val="20"/>
              </w:rPr>
              <w:t>Člen Direktive 2023/2864/EU</w:t>
            </w:r>
          </w:p>
        </w:tc>
        <w:tc>
          <w:tcPr>
            <w:tcW w:w="1495" w:type="dxa"/>
          </w:tcPr>
          <w:p w14:paraId="4C249567" w14:textId="77777777" w:rsidR="00507E82" w:rsidRPr="0023027E" w:rsidRDefault="00507E82" w:rsidP="00F96770">
            <w:pPr>
              <w:rPr>
                <w:rFonts w:cs="Arial"/>
                <w:b/>
                <w:bCs/>
                <w:szCs w:val="20"/>
              </w:rPr>
            </w:pPr>
            <w:r w:rsidRPr="0023027E">
              <w:rPr>
                <w:rFonts w:cs="Arial"/>
                <w:b/>
                <w:bCs/>
                <w:szCs w:val="20"/>
              </w:rPr>
              <w:t>Člen Uredbe 2023/2869/EU</w:t>
            </w:r>
          </w:p>
        </w:tc>
        <w:tc>
          <w:tcPr>
            <w:tcW w:w="1495" w:type="dxa"/>
          </w:tcPr>
          <w:p w14:paraId="32845D8F" w14:textId="77777777" w:rsidR="00507E82" w:rsidRPr="0023027E" w:rsidRDefault="00507E82" w:rsidP="00F96770">
            <w:pPr>
              <w:rPr>
                <w:rFonts w:cs="Arial"/>
                <w:b/>
                <w:bCs/>
                <w:szCs w:val="20"/>
              </w:rPr>
            </w:pPr>
            <w:r w:rsidRPr="0023027E">
              <w:rPr>
                <w:rFonts w:cs="Arial"/>
                <w:b/>
                <w:bCs/>
                <w:szCs w:val="20"/>
              </w:rPr>
              <w:t>Člen Uredbe 2023/2859/EU</w:t>
            </w:r>
          </w:p>
        </w:tc>
      </w:tr>
      <w:tr w:rsidR="00507E82" w:rsidRPr="0023027E" w14:paraId="5AF0AD0E" w14:textId="77777777" w:rsidTr="00F96770">
        <w:trPr>
          <w:trHeight w:val="462"/>
        </w:trPr>
        <w:tc>
          <w:tcPr>
            <w:tcW w:w="4383" w:type="dxa"/>
          </w:tcPr>
          <w:p w14:paraId="4FDC284A" w14:textId="77777777" w:rsidR="00507E82" w:rsidRPr="0023027E" w:rsidRDefault="00507E82" w:rsidP="00F96770">
            <w:pPr>
              <w:rPr>
                <w:rFonts w:cs="Arial"/>
                <w:szCs w:val="20"/>
              </w:rPr>
            </w:pPr>
            <w:r w:rsidRPr="0023027E">
              <w:rPr>
                <w:rFonts w:cs="Arial"/>
                <w:szCs w:val="20"/>
              </w:rPr>
              <w:t>Zakon o finančnih konglomeratih (ZFK)</w:t>
            </w:r>
          </w:p>
        </w:tc>
        <w:tc>
          <w:tcPr>
            <w:tcW w:w="1553" w:type="dxa"/>
          </w:tcPr>
          <w:p w14:paraId="4C028F93" w14:textId="77777777" w:rsidR="00507E82" w:rsidRPr="0023027E" w:rsidRDefault="00507E82" w:rsidP="00F96770">
            <w:pPr>
              <w:rPr>
                <w:rFonts w:cs="Arial"/>
                <w:szCs w:val="20"/>
              </w:rPr>
            </w:pPr>
            <w:r w:rsidRPr="0023027E">
              <w:rPr>
                <w:rFonts w:cs="Arial"/>
                <w:szCs w:val="20"/>
              </w:rPr>
              <w:t xml:space="preserve">1. člen </w:t>
            </w:r>
          </w:p>
        </w:tc>
        <w:tc>
          <w:tcPr>
            <w:tcW w:w="1495" w:type="dxa"/>
          </w:tcPr>
          <w:p w14:paraId="194ADB70" w14:textId="77777777" w:rsidR="00507E82" w:rsidRPr="0023027E" w:rsidRDefault="00507E82" w:rsidP="00F96770">
            <w:pPr>
              <w:rPr>
                <w:rFonts w:cs="Arial"/>
                <w:szCs w:val="20"/>
              </w:rPr>
            </w:pPr>
          </w:p>
        </w:tc>
        <w:tc>
          <w:tcPr>
            <w:tcW w:w="1495" w:type="dxa"/>
          </w:tcPr>
          <w:p w14:paraId="67D113C7" w14:textId="77777777" w:rsidR="00507E82" w:rsidRPr="0023027E" w:rsidRDefault="00507E82" w:rsidP="00F96770">
            <w:pPr>
              <w:rPr>
                <w:rFonts w:cs="Arial"/>
                <w:szCs w:val="20"/>
              </w:rPr>
            </w:pPr>
          </w:p>
        </w:tc>
      </w:tr>
      <w:tr w:rsidR="00507E82" w:rsidRPr="0023027E" w14:paraId="3773911C" w14:textId="77777777" w:rsidTr="00F96770">
        <w:trPr>
          <w:trHeight w:val="462"/>
        </w:trPr>
        <w:tc>
          <w:tcPr>
            <w:tcW w:w="4383" w:type="dxa"/>
          </w:tcPr>
          <w:p w14:paraId="5E2BE446" w14:textId="77777777" w:rsidR="00507E82" w:rsidRPr="0023027E" w:rsidRDefault="00507E82" w:rsidP="00F96770">
            <w:pPr>
              <w:rPr>
                <w:rFonts w:cs="Arial"/>
                <w:szCs w:val="20"/>
              </w:rPr>
            </w:pPr>
            <w:r w:rsidRPr="0023027E">
              <w:rPr>
                <w:rFonts w:cs="Arial"/>
                <w:szCs w:val="20"/>
              </w:rPr>
              <w:t>Zakon o prevzemih (ZPre-1)</w:t>
            </w:r>
          </w:p>
        </w:tc>
        <w:tc>
          <w:tcPr>
            <w:tcW w:w="1553" w:type="dxa"/>
          </w:tcPr>
          <w:p w14:paraId="54E14ABD" w14:textId="77777777" w:rsidR="00507E82" w:rsidRPr="0023027E" w:rsidRDefault="00507E82" w:rsidP="00F96770">
            <w:pPr>
              <w:rPr>
                <w:rFonts w:cs="Arial"/>
                <w:szCs w:val="20"/>
              </w:rPr>
            </w:pPr>
            <w:r w:rsidRPr="0023027E">
              <w:rPr>
                <w:rFonts w:cs="Arial"/>
                <w:szCs w:val="20"/>
              </w:rPr>
              <w:t>2. člen</w:t>
            </w:r>
          </w:p>
        </w:tc>
        <w:tc>
          <w:tcPr>
            <w:tcW w:w="1495" w:type="dxa"/>
          </w:tcPr>
          <w:p w14:paraId="61FD116B" w14:textId="77777777" w:rsidR="00507E82" w:rsidRPr="0023027E" w:rsidRDefault="00507E82" w:rsidP="00F96770">
            <w:pPr>
              <w:rPr>
                <w:rFonts w:cs="Arial"/>
                <w:szCs w:val="20"/>
              </w:rPr>
            </w:pPr>
          </w:p>
        </w:tc>
        <w:tc>
          <w:tcPr>
            <w:tcW w:w="1495" w:type="dxa"/>
          </w:tcPr>
          <w:p w14:paraId="44923121" w14:textId="77777777" w:rsidR="00507E82" w:rsidRPr="0023027E" w:rsidRDefault="00507E82" w:rsidP="00F96770">
            <w:pPr>
              <w:rPr>
                <w:rFonts w:cs="Arial"/>
                <w:szCs w:val="20"/>
              </w:rPr>
            </w:pPr>
          </w:p>
        </w:tc>
      </w:tr>
      <w:tr w:rsidR="00507E82" w:rsidRPr="0023027E" w14:paraId="2A8F4CE9" w14:textId="77777777" w:rsidTr="00F96770">
        <w:trPr>
          <w:trHeight w:val="462"/>
        </w:trPr>
        <w:tc>
          <w:tcPr>
            <w:tcW w:w="4383" w:type="dxa"/>
          </w:tcPr>
          <w:p w14:paraId="6792BC02" w14:textId="77777777" w:rsidR="00507E82" w:rsidRPr="0023027E" w:rsidRDefault="00507E82" w:rsidP="00F96770">
            <w:pPr>
              <w:rPr>
                <w:rFonts w:cs="Arial"/>
                <w:szCs w:val="20"/>
              </w:rPr>
            </w:pPr>
            <w:r w:rsidRPr="0023027E">
              <w:rPr>
                <w:rFonts w:cs="Arial"/>
                <w:szCs w:val="20"/>
              </w:rPr>
              <w:t>Zakon o revidiranju (ZRev-2)</w:t>
            </w:r>
          </w:p>
        </w:tc>
        <w:tc>
          <w:tcPr>
            <w:tcW w:w="1553" w:type="dxa"/>
          </w:tcPr>
          <w:p w14:paraId="03437498" w14:textId="77777777" w:rsidR="00507E82" w:rsidRPr="0023027E" w:rsidRDefault="00507E82" w:rsidP="00F96770">
            <w:pPr>
              <w:rPr>
                <w:rFonts w:cs="Arial"/>
                <w:szCs w:val="20"/>
              </w:rPr>
            </w:pPr>
            <w:r w:rsidRPr="0023027E">
              <w:rPr>
                <w:rFonts w:cs="Arial"/>
                <w:szCs w:val="20"/>
              </w:rPr>
              <w:t>4. člen</w:t>
            </w:r>
          </w:p>
        </w:tc>
        <w:tc>
          <w:tcPr>
            <w:tcW w:w="1495" w:type="dxa"/>
          </w:tcPr>
          <w:p w14:paraId="4DDC92DB" w14:textId="77777777" w:rsidR="00507E82" w:rsidRPr="0023027E" w:rsidRDefault="00507E82" w:rsidP="00F96770">
            <w:pPr>
              <w:rPr>
                <w:rFonts w:cs="Arial"/>
                <w:szCs w:val="20"/>
              </w:rPr>
            </w:pPr>
            <w:r w:rsidRPr="0023027E">
              <w:rPr>
                <w:rFonts w:cs="Arial"/>
                <w:szCs w:val="20"/>
              </w:rPr>
              <w:t>6. člen</w:t>
            </w:r>
          </w:p>
        </w:tc>
        <w:tc>
          <w:tcPr>
            <w:tcW w:w="1495" w:type="dxa"/>
          </w:tcPr>
          <w:p w14:paraId="21FAB8C6" w14:textId="77777777" w:rsidR="00507E82" w:rsidRPr="0023027E" w:rsidRDefault="00507E82" w:rsidP="00F96770">
            <w:pPr>
              <w:rPr>
                <w:rFonts w:cs="Arial"/>
                <w:szCs w:val="20"/>
              </w:rPr>
            </w:pPr>
          </w:p>
        </w:tc>
      </w:tr>
      <w:tr w:rsidR="00507E82" w:rsidRPr="0023027E" w14:paraId="2BFA824E" w14:textId="77777777" w:rsidTr="00F96770">
        <w:trPr>
          <w:trHeight w:val="473"/>
        </w:trPr>
        <w:tc>
          <w:tcPr>
            <w:tcW w:w="4383" w:type="dxa"/>
          </w:tcPr>
          <w:p w14:paraId="56865D56" w14:textId="77777777" w:rsidR="00507E82" w:rsidRPr="0023027E" w:rsidRDefault="00507E82" w:rsidP="00F96770">
            <w:pPr>
              <w:rPr>
                <w:rFonts w:cs="Arial"/>
                <w:szCs w:val="20"/>
              </w:rPr>
            </w:pPr>
            <w:r w:rsidRPr="0023027E">
              <w:rPr>
                <w:rFonts w:cs="Arial"/>
                <w:szCs w:val="20"/>
              </w:rPr>
              <w:lastRenderedPageBreak/>
              <w:t>Zakon o gospodarskih družbah (ZGD-1)</w:t>
            </w:r>
          </w:p>
        </w:tc>
        <w:tc>
          <w:tcPr>
            <w:tcW w:w="1553" w:type="dxa"/>
          </w:tcPr>
          <w:p w14:paraId="7BB78C26" w14:textId="77777777" w:rsidR="00507E82" w:rsidRPr="0023027E" w:rsidRDefault="00507E82" w:rsidP="00F96770">
            <w:pPr>
              <w:rPr>
                <w:rFonts w:cs="Arial"/>
                <w:szCs w:val="20"/>
              </w:rPr>
            </w:pPr>
            <w:r w:rsidRPr="0023027E">
              <w:rPr>
                <w:rFonts w:cs="Arial"/>
                <w:szCs w:val="20"/>
              </w:rPr>
              <w:t>5. in 9. člen</w:t>
            </w:r>
          </w:p>
        </w:tc>
        <w:tc>
          <w:tcPr>
            <w:tcW w:w="1495" w:type="dxa"/>
          </w:tcPr>
          <w:p w14:paraId="4B887AD3" w14:textId="77777777" w:rsidR="00507E82" w:rsidRPr="0023027E" w:rsidRDefault="00507E82" w:rsidP="00F96770">
            <w:pPr>
              <w:rPr>
                <w:rFonts w:cs="Arial"/>
                <w:szCs w:val="20"/>
              </w:rPr>
            </w:pPr>
          </w:p>
        </w:tc>
        <w:tc>
          <w:tcPr>
            <w:tcW w:w="1495" w:type="dxa"/>
          </w:tcPr>
          <w:p w14:paraId="4DDCD595" w14:textId="77777777" w:rsidR="00507E82" w:rsidRPr="0023027E" w:rsidRDefault="00507E82" w:rsidP="00F96770">
            <w:pPr>
              <w:rPr>
                <w:rFonts w:cs="Arial"/>
                <w:szCs w:val="20"/>
              </w:rPr>
            </w:pPr>
          </w:p>
        </w:tc>
      </w:tr>
      <w:tr w:rsidR="00507E82" w:rsidRPr="0023027E" w14:paraId="6E5E4568" w14:textId="77777777" w:rsidTr="00F96770">
        <w:trPr>
          <w:trHeight w:val="314"/>
        </w:trPr>
        <w:tc>
          <w:tcPr>
            <w:tcW w:w="4383" w:type="dxa"/>
          </w:tcPr>
          <w:p w14:paraId="4465C79F" w14:textId="77777777" w:rsidR="00507E82" w:rsidRPr="0023027E" w:rsidRDefault="00507E82" w:rsidP="00F96770">
            <w:pPr>
              <w:rPr>
                <w:rFonts w:cs="Arial"/>
                <w:szCs w:val="20"/>
              </w:rPr>
            </w:pPr>
            <w:r w:rsidRPr="0023027E">
              <w:rPr>
                <w:rFonts w:cs="Arial"/>
                <w:szCs w:val="20"/>
              </w:rPr>
              <w:t>Zakon o investicijskih skladih in družbah za upravljanje (ZISDU-3)</w:t>
            </w:r>
          </w:p>
        </w:tc>
        <w:tc>
          <w:tcPr>
            <w:tcW w:w="1553" w:type="dxa"/>
          </w:tcPr>
          <w:p w14:paraId="0FA7FE13" w14:textId="77777777" w:rsidR="00507E82" w:rsidRPr="0023027E" w:rsidRDefault="00507E82" w:rsidP="00F96770">
            <w:pPr>
              <w:rPr>
                <w:rFonts w:cs="Arial"/>
                <w:szCs w:val="20"/>
              </w:rPr>
            </w:pPr>
            <w:r w:rsidRPr="0023027E">
              <w:rPr>
                <w:rFonts w:cs="Arial"/>
                <w:szCs w:val="20"/>
              </w:rPr>
              <w:t>6. člen</w:t>
            </w:r>
          </w:p>
        </w:tc>
        <w:tc>
          <w:tcPr>
            <w:tcW w:w="1495" w:type="dxa"/>
          </w:tcPr>
          <w:p w14:paraId="3ACAD42D" w14:textId="77777777" w:rsidR="00507E82" w:rsidRPr="0023027E" w:rsidRDefault="00507E82" w:rsidP="00F96770">
            <w:pPr>
              <w:rPr>
                <w:rFonts w:cs="Arial"/>
                <w:szCs w:val="20"/>
              </w:rPr>
            </w:pPr>
          </w:p>
        </w:tc>
        <w:tc>
          <w:tcPr>
            <w:tcW w:w="1495" w:type="dxa"/>
          </w:tcPr>
          <w:p w14:paraId="123AA1CF" w14:textId="77777777" w:rsidR="00507E82" w:rsidRPr="0023027E" w:rsidRDefault="00507E82" w:rsidP="00F96770">
            <w:pPr>
              <w:rPr>
                <w:rFonts w:cs="Arial"/>
                <w:szCs w:val="20"/>
              </w:rPr>
            </w:pPr>
          </w:p>
        </w:tc>
      </w:tr>
      <w:tr w:rsidR="00507E82" w:rsidRPr="0023027E" w14:paraId="067D5443" w14:textId="77777777" w:rsidTr="00F96770">
        <w:trPr>
          <w:trHeight w:val="564"/>
        </w:trPr>
        <w:tc>
          <w:tcPr>
            <w:tcW w:w="4383" w:type="dxa"/>
          </w:tcPr>
          <w:p w14:paraId="3199A45D" w14:textId="77777777" w:rsidR="00507E82" w:rsidRPr="0023027E" w:rsidRDefault="00507E82" w:rsidP="00F96770">
            <w:pPr>
              <w:rPr>
                <w:rFonts w:cs="Arial"/>
                <w:szCs w:val="20"/>
              </w:rPr>
            </w:pPr>
            <w:r w:rsidRPr="0023027E">
              <w:rPr>
                <w:rFonts w:cs="Arial"/>
                <w:szCs w:val="20"/>
              </w:rPr>
              <w:t>Zakon o upravljavcih alternativnih investicijskih skladov (ZUAIS)</w:t>
            </w:r>
          </w:p>
        </w:tc>
        <w:tc>
          <w:tcPr>
            <w:tcW w:w="1553" w:type="dxa"/>
          </w:tcPr>
          <w:p w14:paraId="6E4347BE" w14:textId="77777777" w:rsidR="00507E82" w:rsidRPr="0023027E" w:rsidRDefault="00507E82" w:rsidP="00F96770">
            <w:pPr>
              <w:rPr>
                <w:rFonts w:cs="Arial"/>
                <w:szCs w:val="20"/>
              </w:rPr>
            </w:pPr>
            <w:r w:rsidRPr="0023027E">
              <w:rPr>
                <w:rFonts w:cs="Arial"/>
                <w:szCs w:val="20"/>
              </w:rPr>
              <w:t>8. člen</w:t>
            </w:r>
          </w:p>
        </w:tc>
        <w:tc>
          <w:tcPr>
            <w:tcW w:w="1495" w:type="dxa"/>
          </w:tcPr>
          <w:p w14:paraId="26243A90" w14:textId="77777777" w:rsidR="00507E82" w:rsidRPr="0023027E" w:rsidRDefault="00507E82" w:rsidP="00F96770">
            <w:pPr>
              <w:rPr>
                <w:rFonts w:cs="Arial"/>
                <w:szCs w:val="20"/>
              </w:rPr>
            </w:pPr>
          </w:p>
        </w:tc>
        <w:tc>
          <w:tcPr>
            <w:tcW w:w="1495" w:type="dxa"/>
          </w:tcPr>
          <w:p w14:paraId="56E76793" w14:textId="77777777" w:rsidR="00507E82" w:rsidRPr="0023027E" w:rsidRDefault="00507E82" w:rsidP="00F96770">
            <w:pPr>
              <w:rPr>
                <w:rFonts w:cs="Arial"/>
                <w:szCs w:val="20"/>
              </w:rPr>
            </w:pPr>
          </w:p>
        </w:tc>
      </w:tr>
      <w:tr w:rsidR="00507E82" w:rsidRPr="0023027E" w14:paraId="7F7923CF" w14:textId="77777777" w:rsidTr="00F96770">
        <w:trPr>
          <w:trHeight w:val="409"/>
        </w:trPr>
        <w:tc>
          <w:tcPr>
            <w:tcW w:w="4383" w:type="dxa"/>
          </w:tcPr>
          <w:p w14:paraId="11E9EA92" w14:textId="77777777" w:rsidR="00507E82" w:rsidRPr="0023027E" w:rsidRDefault="00507E82" w:rsidP="00F96770">
            <w:pPr>
              <w:rPr>
                <w:rFonts w:cs="Arial"/>
                <w:szCs w:val="20"/>
              </w:rPr>
            </w:pPr>
            <w:r w:rsidRPr="0023027E">
              <w:rPr>
                <w:rFonts w:cs="Arial"/>
                <w:szCs w:val="20"/>
              </w:rPr>
              <w:t>Zakon o bonitetnem nadzoru investicijskih podjetij (ZBNIP)</w:t>
            </w:r>
          </w:p>
        </w:tc>
        <w:tc>
          <w:tcPr>
            <w:tcW w:w="1553" w:type="dxa"/>
          </w:tcPr>
          <w:p w14:paraId="55D8AB0B" w14:textId="77777777" w:rsidR="00507E82" w:rsidRPr="0023027E" w:rsidRDefault="00507E82" w:rsidP="00F96770">
            <w:pPr>
              <w:rPr>
                <w:rFonts w:cs="Arial"/>
                <w:szCs w:val="20"/>
              </w:rPr>
            </w:pPr>
            <w:r w:rsidRPr="0023027E">
              <w:rPr>
                <w:rFonts w:cs="Arial"/>
                <w:szCs w:val="20"/>
              </w:rPr>
              <w:t>15. člen</w:t>
            </w:r>
          </w:p>
        </w:tc>
        <w:tc>
          <w:tcPr>
            <w:tcW w:w="1495" w:type="dxa"/>
          </w:tcPr>
          <w:p w14:paraId="7426B430" w14:textId="77777777" w:rsidR="00507E82" w:rsidRPr="0023027E" w:rsidRDefault="00507E82" w:rsidP="00F96770">
            <w:pPr>
              <w:rPr>
                <w:rFonts w:cs="Arial"/>
                <w:szCs w:val="20"/>
              </w:rPr>
            </w:pPr>
          </w:p>
        </w:tc>
        <w:tc>
          <w:tcPr>
            <w:tcW w:w="1495" w:type="dxa"/>
          </w:tcPr>
          <w:p w14:paraId="0BDB848F" w14:textId="77777777" w:rsidR="00507E82" w:rsidRPr="0023027E" w:rsidRDefault="00507E82" w:rsidP="00F96770">
            <w:pPr>
              <w:rPr>
                <w:rFonts w:cs="Arial"/>
                <w:szCs w:val="20"/>
              </w:rPr>
            </w:pPr>
          </w:p>
        </w:tc>
      </w:tr>
      <w:tr w:rsidR="00507E82" w:rsidRPr="0023027E" w14:paraId="5C91A55B" w14:textId="77777777" w:rsidTr="00F96770">
        <w:trPr>
          <w:trHeight w:val="274"/>
        </w:trPr>
        <w:tc>
          <w:tcPr>
            <w:tcW w:w="4383" w:type="dxa"/>
          </w:tcPr>
          <w:p w14:paraId="655FAF70" w14:textId="605F35A6" w:rsidR="00507E82" w:rsidRPr="0023027E" w:rsidRDefault="00507E82" w:rsidP="00835D18">
            <w:pPr>
              <w:rPr>
                <w:rFonts w:cs="Arial"/>
                <w:szCs w:val="20"/>
              </w:rPr>
            </w:pPr>
            <w:r w:rsidRPr="0023027E">
              <w:rPr>
                <w:rFonts w:cs="Arial"/>
                <w:szCs w:val="20"/>
              </w:rPr>
              <w:t>Zakon o hipotekarni in komunalni obveznici</w:t>
            </w:r>
            <w:r w:rsidR="006E195D">
              <w:rPr>
                <w:rFonts w:cs="Arial"/>
                <w:szCs w:val="20"/>
              </w:rPr>
              <w:t xml:space="preserve"> (</w:t>
            </w:r>
            <w:r w:rsidR="006E195D" w:rsidRPr="00D4737B">
              <w:rPr>
                <w:rFonts w:cs="Arial"/>
                <w:szCs w:val="20"/>
              </w:rPr>
              <w:t>ZHKO-2)</w:t>
            </w:r>
          </w:p>
        </w:tc>
        <w:tc>
          <w:tcPr>
            <w:tcW w:w="1553" w:type="dxa"/>
          </w:tcPr>
          <w:p w14:paraId="22DA439D" w14:textId="77777777" w:rsidR="00507E82" w:rsidRPr="0023027E" w:rsidRDefault="00507E82" w:rsidP="00F96770">
            <w:pPr>
              <w:rPr>
                <w:rFonts w:cs="Arial"/>
                <w:szCs w:val="20"/>
              </w:rPr>
            </w:pPr>
            <w:r w:rsidRPr="0023027E">
              <w:rPr>
                <w:rFonts w:cs="Arial"/>
                <w:szCs w:val="20"/>
              </w:rPr>
              <w:t>16. člen</w:t>
            </w:r>
          </w:p>
        </w:tc>
        <w:tc>
          <w:tcPr>
            <w:tcW w:w="1495" w:type="dxa"/>
          </w:tcPr>
          <w:p w14:paraId="2A60B567" w14:textId="77777777" w:rsidR="00507E82" w:rsidRPr="0023027E" w:rsidRDefault="00507E82" w:rsidP="00F96770">
            <w:pPr>
              <w:rPr>
                <w:rFonts w:cs="Arial"/>
                <w:szCs w:val="20"/>
              </w:rPr>
            </w:pPr>
          </w:p>
        </w:tc>
        <w:tc>
          <w:tcPr>
            <w:tcW w:w="1495" w:type="dxa"/>
          </w:tcPr>
          <w:p w14:paraId="5B1C0250" w14:textId="77777777" w:rsidR="00507E82" w:rsidRPr="0023027E" w:rsidRDefault="00507E82" w:rsidP="00F96770">
            <w:pPr>
              <w:rPr>
                <w:rFonts w:cs="Arial"/>
                <w:szCs w:val="20"/>
              </w:rPr>
            </w:pPr>
          </w:p>
        </w:tc>
      </w:tr>
      <w:tr w:rsidR="00507E82" w:rsidRPr="0023027E" w14:paraId="4F981851" w14:textId="77777777" w:rsidTr="00F96770">
        <w:trPr>
          <w:trHeight w:val="462"/>
        </w:trPr>
        <w:tc>
          <w:tcPr>
            <w:tcW w:w="4383" w:type="dxa"/>
          </w:tcPr>
          <w:p w14:paraId="5A817C48" w14:textId="19C368FD" w:rsidR="00507E82" w:rsidRPr="0023027E" w:rsidRDefault="00507E82" w:rsidP="00835D18">
            <w:pPr>
              <w:rPr>
                <w:rFonts w:cs="Arial"/>
                <w:szCs w:val="20"/>
              </w:rPr>
            </w:pPr>
            <w:r w:rsidRPr="0023027E">
              <w:rPr>
                <w:rFonts w:cs="Arial"/>
                <w:szCs w:val="20"/>
              </w:rPr>
              <w:t>Zakon o izvajanju Uredbe (EU) o dokumentih s ključnimi informacijami o paketnih naložbenih produktih za male vlagatelje in zavarovalnih naložbenih produktih</w:t>
            </w:r>
            <w:r w:rsidR="006E195D">
              <w:rPr>
                <w:rFonts w:cs="Arial"/>
                <w:szCs w:val="20"/>
              </w:rPr>
              <w:t xml:space="preserve"> </w:t>
            </w:r>
            <w:r w:rsidR="006E195D" w:rsidRPr="00D4737B">
              <w:rPr>
                <w:rFonts w:cs="Arial"/>
                <w:szCs w:val="20"/>
              </w:rPr>
              <w:t>(ZIUDPNP)</w:t>
            </w:r>
          </w:p>
        </w:tc>
        <w:tc>
          <w:tcPr>
            <w:tcW w:w="1553" w:type="dxa"/>
          </w:tcPr>
          <w:p w14:paraId="3489C966" w14:textId="77777777" w:rsidR="00507E82" w:rsidRPr="0023027E" w:rsidRDefault="00507E82" w:rsidP="00F96770">
            <w:pPr>
              <w:rPr>
                <w:rFonts w:cs="Arial"/>
                <w:szCs w:val="20"/>
              </w:rPr>
            </w:pPr>
          </w:p>
        </w:tc>
        <w:tc>
          <w:tcPr>
            <w:tcW w:w="1495" w:type="dxa"/>
          </w:tcPr>
          <w:p w14:paraId="25000F78" w14:textId="77777777" w:rsidR="00507E82" w:rsidRPr="0023027E" w:rsidRDefault="00507E82" w:rsidP="00F96770">
            <w:pPr>
              <w:rPr>
                <w:rFonts w:cs="Arial"/>
                <w:szCs w:val="20"/>
              </w:rPr>
            </w:pPr>
            <w:r w:rsidRPr="0023027E">
              <w:rPr>
                <w:rFonts w:cs="Arial"/>
                <w:szCs w:val="20"/>
              </w:rPr>
              <w:t>9. člen</w:t>
            </w:r>
          </w:p>
        </w:tc>
        <w:tc>
          <w:tcPr>
            <w:tcW w:w="1495" w:type="dxa"/>
          </w:tcPr>
          <w:p w14:paraId="0E5E3807" w14:textId="77777777" w:rsidR="00507E82" w:rsidRPr="0023027E" w:rsidRDefault="00507E82" w:rsidP="00F96770">
            <w:pPr>
              <w:rPr>
                <w:rFonts w:cs="Arial"/>
                <w:szCs w:val="20"/>
              </w:rPr>
            </w:pPr>
          </w:p>
        </w:tc>
      </w:tr>
      <w:tr w:rsidR="00507E82" w:rsidRPr="0023027E" w14:paraId="78CCE942" w14:textId="77777777" w:rsidTr="00F96770">
        <w:trPr>
          <w:trHeight w:val="462"/>
        </w:trPr>
        <w:tc>
          <w:tcPr>
            <w:tcW w:w="4383" w:type="dxa"/>
          </w:tcPr>
          <w:p w14:paraId="18E9C8F9" w14:textId="77777777" w:rsidR="00507E82" w:rsidRPr="0023027E" w:rsidRDefault="00507E82" w:rsidP="00F96770">
            <w:pPr>
              <w:rPr>
                <w:rFonts w:cs="Arial"/>
                <w:szCs w:val="20"/>
              </w:rPr>
            </w:pPr>
            <w:r w:rsidRPr="0023027E">
              <w:rPr>
                <w:rFonts w:cs="Arial"/>
                <w:szCs w:val="20"/>
              </w:rPr>
              <w:t>Zakon o izvajanju Uredbe (EU) o vseevropskem osebnem pokojninskem produktu (ZIUVOPP)</w:t>
            </w:r>
          </w:p>
        </w:tc>
        <w:tc>
          <w:tcPr>
            <w:tcW w:w="1553" w:type="dxa"/>
          </w:tcPr>
          <w:p w14:paraId="5BCFC15C" w14:textId="77777777" w:rsidR="00507E82" w:rsidRPr="0023027E" w:rsidRDefault="00507E82" w:rsidP="00F96770">
            <w:pPr>
              <w:rPr>
                <w:rFonts w:cs="Arial"/>
                <w:szCs w:val="20"/>
              </w:rPr>
            </w:pPr>
          </w:p>
        </w:tc>
        <w:tc>
          <w:tcPr>
            <w:tcW w:w="1495" w:type="dxa"/>
          </w:tcPr>
          <w:p w14:paraId="4C39DC82" w14:textId="77777777" w:rsidR="00507E82" w:rsidRPr="0023027E" w:rsidRDefault="00507E82" w:rsidP="00F96770">
            <w:pPr>
              <w:rPr>
                <w:rFonts w:cs="Arial"/>
                <w:szCs w:val="20"/>
              </w:rPr>
            </w:pPr>
            <w:r w:rsidRPr="0023027E">
              <w:rPr>
                <w:rFonts w:cs="Arial"/>
                <w:szCs w:val="20"/>
              </w:rPr>
              <w:t>15. člen</w:t>
            </w:r>
          </w:p>
        </w:tc>
        <w:tc>
          <w:tcPr>
            <w:tcW w:w="1495" w:type="dxa"/>
          </w:tcPr>
          <w:p w14:paraId="62CD4B41" w14:textId="77777777" w:rsidR="00507E82" w:rsidRPr="0023027E" w:rsidRDefault="00507E82" w:rsidP="00F96770">
            <w:pPr>
              <w:rPr>
                <w:rFonts w:cs="Arial"/>
                <w:szCs w:val="20"/>
              </w:rPr>
            </w:pPr>
          </w:p>
        </w:tc>
      </w:tr>
      <w:tr w:rsidR="00507E82" w:rsidRPr="0023027E" w14:paraId="56E3981D" w14:textId="77777777" w:rsidTr="00F96770">
        <w:trPr>
          <w:trHeight w:val="375"/>
        </w:trPr>
        <w:tc>
          <w:tcPr>
            <w:tcW w:w="4383" w:type="dxa"/>
          </w:tcPr>
          <w:p w14:paraId="681D7159" w14:textId="77777777" w:rsidR="00507E82" w:rsidRPr="0023027E" w:rsidRDefault="00507E82" w:rsidP="00F96770">
            <w:pPr>
              <w:rPr>
                <w:rFonts w:cs="Arial"/>
                <w:szCs w:val="20"/>
              </w:rPr>
            </w:pPr>
            <w:r w:rsidRPr="0023027E">
              <w:rPr>
                <w:rFonts w:cs="Arial"/>
                <w:szCs w:val="20"/>
              </w:rPr>
              <w:t xml:space="preserve">Zakon o izvajanju Uredbe (EU) o trgih </w:t>
            </w:r>
            <w:proofErr w:type="spellStart"/>
            <w:r w:rsidRPr="0023027E">
              <w:rPr>
                <w:rFonts w:cs="Arial"/>
                <w:szCs w:val="20"/>
              </w:rPr>
              <w:t>kriptosredstev</w:t>
            </w:r>
            <w:proofErr w:type="spellEnd"/>
            <w:r w:rsidRPr="0023027E">
              <w:rPr>
                <w:rFonts w:cs="Arial"/>
                <w:szCs w:val="20"/>
              </w:rPr>
              <w:t xml:space="preserve"> (ZIUTK)</w:t>
            </w:r>
          </w:p>
        </w:tc>
        <w:tc>
          <w:tcPr>
            <w:tcW w:w="1553" w:type="dxa"/>
          </w:tcPr>
          <w:p w14:paraId="4C926495" w14:textId="77777777" w:rsidR="00507E82" w:rsidRPr="0023027E" w:rsidRDefault="00507E82" w:rsidP="00F96770">
            <w:pPr>
              <w:rPr>
                <w:rFonts w:cs="Arial"/>
                <w:szCs w:val="20"/>
              </w:rPr>
            </w:pPr>
          </w:p>
        </w:tc>
        <w:tc>
          <w:tcPr>
            <w:tcW w:w="1495" w:type="dxa"/>
          </w:tcPr>
          <w:p w14:paraId="27298EA2" w14:textId="77777777" w:rsidR="00507E82" w:rsidRPr="0023027E" w:rsidRDefault="00507E82" w:rsidP="00F96770">
            <w:pPr>
              <w:rPr>
                <w:rFonts w:cs="Arial"/>
                <w:szCs w:val="20"/>
              </w:rPr>
            </w:pPr>
            <w:r w:rsidRPr="0023027E">
              <w:rPr>
                <w:rFonts w:cs="Arial"/>
                <w:szCs w:val="20"/>
              </w:rPr>
              <w:t>18. člen</w:t>
            </w:r>
          </w:p>
        </w:tc>
        <w:tc>
          <w:tcPr>
            <w:tcW w:w="1495" w:type="dxa"/>
          </w:tcPr>
          <w:p w14:paraId="0051A2EA" w14:textId="77777777" w:rsidR="00507E82" w:rsidRPr="0023027E" w:rsidRDefault="00507E82" w:rsidP="00F96770">
            <w:pPr>
              <w:rPr>
                <w:rFonts w:cs="Arial"/>
                <w:szCs w:val="20"/>
              </w:rPr>
            </w:pPr>
          </w:p>
        </w:tc>
      </w:tr>
      <w:tr w:rsidR="00507E82" w:rsidRPr="0023027E" w14:paraId="1A08ADB0" w14:textId="77777777" w:rsidTr="00F96770">
        <w:trPr>
          <w:trHeight w:val="462"/>
        </w:trPr>
        <w:tc>
          <w:tcPr>
            <w:tcW w:w="4383" w:type="dxa"/>
          </w:tcPr>
          <w:p w14:paraId="744F77B6" w14:textId="77777777" w:rsidR="00507E82" w:rsidRPr="0023027E" w:rsidRDefault="00507E82" w:rsidP="00F96770">
            <w:pPr>
              <w:rPr>
                <w:rFonts w:cs="Arial"/>
                <w:szCs w:val="20"/>
              </w:rPr>
            </w:pPr>
            <w:r w:rsidRPr="0023027E">
              <w:rPr>
                <w:rFonts w:cs="Arial"/>
                <w:szCs w:val="20"/>
              </w:rPr>
              <w:t xml:space="preserve">Zakon o izvajanju Uredbe (EU) o evropskih zelenih obveznicah in neobveznih razkritjih za obveznice, ki se tržijo kot </w:t>
            </w:r>
            <w:proofErr w:type="spellStart"/>
            <w:r w:rsidRPr="0023027E">
              <w:rPr>
                <w:rFonts w:cs="Arial"/>
                <w:szCs w:val="20"/>
              </w:rPr>
              <w:t>okoljsko</w:t>
            </w:r>
            <w:proofErr w:type="spellEnd"/>
            <w:r w:rsidRPr="0023027E">
              <w:rPr>
                <w:rFonts w:cs="Arial"/>
                <w:szCs w:val="20"/>
              </w:rPr>
              <w:t xml:space="preserve"> trajnostne obveznice, in za obveznice, povezane s </w:t>
            </w:r>
            <w:proofErr w:type="spellStart"/>
            <w:r w:rsidRPr="0023027E">
              <w:rPr>
                <w:rFonts w:cs="Arial"/>
                <w:szCs w:val="20"/>
              </w:rPr>
              <w:t>trajnostnostjo</w:t>
            </w:r>
            <w:proofErr w:type="spellEnd"/>
            <w:r w:rsidRPr="0023027E">
              <w:rPr>
                <w:rFonts w:cs="Arial"/>
                <w:szCs w:val="20"/>
              </w:rPr>
              <w:t xml:space="preserve"> (ZIUEZO)</w:t>
            </w:r>
          </w:p>
        </w:tc>
        <w:tc>
          <w:tcPr>
            <w:tcW w:w="1553" w:type="dxa"/>
          </w:tcPr>
          <w:p w14:paraId="27B06DEA" w14:textId="77777777" w:rsidR="00507E82" w:rsidRPr="0023027E" w:rsidRDefault="00507E82" w:rsidP="00F96770">
            <w:pPr>
              <w:rPr>
                <w:rFonts w:cs="Arial"/>
                <w:szCs w:val="20"/>
              </w:rPr>
            </w:pPr>
          </w:p>
        </w:tc>
        <w:tc>
          <w:tcPr>
            <w:tcW w:w="1495" w:type="dxa"/>
          </w:tcPr>
          <w:p w14:paraId="367579F5" w14:textId="77777777" w:rsidR="00507E82" w:rsidRPr="0023027E" w:rsidRDefault="00507E82" w:rsidP="00F96770">
            <w:pPr>
              <w:rPr>
                <w:rFonts w:cs="Arial"/>
                <w:szCs w:val="20"/>
              </w:rPr>
            </w:pPr>
            <w:r w:rsidRPr="0023027E">
              <w:rPr>
                <w:rFonts w:cs="Arial"/>
                <w:szCs w:val="20"/>
              </w:rPr>
              <w:t>19. člen</w:t>
            </w:r>
          </w:p>
        </w:tc>
        <w:tc>
          <w:tcPr>
            <w:tcW w:w="1495" w:type="dxa"/>
          </w:tcPr>
          <w:p w14:paraId="53D47E93" w14:textId="77777777" w:rsidR="00507E82" w:rsidRPr="0023027E" w:rsidRDefault="00507E82" w:rsidP="00F96770">
            <w:pPr>
              <w:rPr>
                <w:rFonts w:cs="Arial"/>
                <w:szCs w:val="20"/>
              </w:rPr>
            </w:pPr>
          </w:p>
        </w:tc>
      </w:tr>
      <w:tr w:rsidR="00507E82" w:rsidRPr="0023027E" w14:paraId="0EAECB6F" w14:textId="77777777" w:rsidTr="00F96770">
        <w:trPr>
          <w:trHeight w:val="462"/>
        </w:trPr>
        <w:tc>
          <w:tcPr>
            <w:tcW w:w="4383" w:type="dxa"/>
          </w:tcPr>
          <w:p w14:paraId="59FBFC12" w14:textId="77777777" w:rsidR="00507E82" w:rsidRPr="0023027E" w:rsidRDefault="00507E82" w:rsidP="00F96770">
            <w:pPr>
              <w:rPr>
                <w:rFonts w:cs="Arial"/>
                <w:szCs w:val="20"/>
              </w:rPr>
            </w:pPr>
          </w:p>
        </w:tc>
        <w:tc>
          <w:tcPr>
            <w:tcW w:w="1553" w:type="dxa"/>
          </w:tcPr>
          <w:p w14:paraId="33023527" w14:textId="77777777" w:rsidR="00507E82" w:rsidRPr="0023027E" w:rsidRDefault="00507E82" w:rsidP="00F96770">
            <w:pPr>
              <w:rPr>
                <w:rFonts w:cs="Arial"/>
                <w:szCs w:val="20"/>
              </w:rPr>
            </w:pPr>
          </w:p>
        </w:tc>
        <w:tc>
          <w:tcPr>
            <w:tcW w:w="1495" w:type="dxa"/>
          </w:tcPr>
          <w:p w14:paraId="76BDE13F" w14:textId="77777777" w:rsidR="00507E82" w:rsidRPr="0023027E" w:rsidRDefault="00507E82" w:rsidP="00F96770">
            <w:pPr>
              <w:rPr>
                <w:rFonts w:cs="Arial"/>
                <w:szCs w:val="20"/>
              </w:rPr>
            </w:pPr>
          </w:p>
        </w:tc>
        <w:tc>
          <w:tcPr>
            <w:tcW w:w="1495" w:type="dxa"/>
          </w:tcPr>
          <w:p w14:paraId="6D77240C" w14:textId="77777777" w:rsidR="00507E82" w:rsidRPr="0023027E" w:rsidRDefault="00507E82" w:rsidP="00F96770">
            <w:pPr>
              <w:rPr>
                <w:rFonts w:cs="Arial"/>
                <w:szCs w:val="20"/>
              </w:rPr>
            </w:pPr>
            <w:r w:rsidRPr="0023027E">
              <w:rPr>
                <w:rFonts w:cs="Arial"/>
                <w:szCs w:val="20"/>
              </w:rPr>
              <w:t>3. člen</w:t>
            </w:r>
          </w:p>
        </w:tc>
      </w:tr>
      <w:tr w:rsidR="00507E82" w:rsidRPr="0023027E" w14:paraId="5A06BE12" w14:textId="77777777" w:rsidTr="00F96770">
        <w:trPr>
          <w:trHeight w:val="462"/>
        </w:trPr>
        <w:tc>
          <w:tcPr>
            <w:tcW w:w="4383" w:type="dxa"/>
          </w:tcPr>
          <w:p w14:paraId="62BF2A87" w14:textId="77777777" w:rsidR="00507E82" w:rsidRPr="0023027E" w:rsidRDefault="00507E82" w:rsidP="00F96770">
            <w:pPr>
              <w:rPr>
                <w:rFonts w:cs="Arial"/>
                <w:szCs w:val="20"/>
              </w:rPr>
            </w:pPr>
          </w:p>
        </w:tc>
        <w:tc>
          <w:tcPr>
            <w:tcW w:w="1553" w:type="dxa"/>
          </w:tcPr>
          <w:p w14:paraId="5ACF68A4" w14:textId="77777777" w:rsidR="00507E82" w:rsidRPr="0023027E" w:rsidRDefault="00507E82" w:rsidP="00F96770">
            <w:pPr>
              <w:rPr>
                <w:rFonts w:cs="Arial"/>
                <w:szCs w:val="20"/>
              </w:rPr>
            </w:pPr>
          </w:p>
        </w:tc>
        <w:tc>
          <w:tcPr>
            <w:tcW w:w="1495" w:type="dxa"/>
          </w:tcPr>
          <w:p w14:paraId="61EE2F1F" w14:textId="77777777" w:rsidR="00507E82" w:rsidRPr="0023027E" w:rsidRDefault="00507E82" w:rsidP="00F96770">
            <w:pPr>
              <w:rPr>
                <w:rFonts w:cs="Arial"/>
                <w:szCs w:val="20"/>
              </w:rPr>
            </w:pPr>
          </w:p>
        </w:tc>
        <w:tc>
          <w:tcPr>
            <w:tcW w:w="1495" w:type="dxa"/>
          </w:tcPr>
          <w:p w14:paraId="0992A669" w14:textId="77777777" w:rsidR="00507E82" w:rsidRPr="0023027E" w:rsidRDefault="00507E82" w:rsidP="00F96770">
            <w:pPr>
              <w:rPr>
                <w:rFonts w:cs="Arial"/>
                <w:szCs w:val="20"/>
              </w:rPr>
            </w:pPr>
            <w:r w:rsidRPr="0023027E">
              <w:rPr>
                <w:rFonts w:cs="Arial"/>
                <w:szCs w:val="20"/>
              </w:rPr>
              <w:t>5. člen</w:t>
            </w:r>
          </w:p>
        </w:tc>
      </w:tr>
    </w:tbl>
    <w:p w14:paraId="4FB68DA8" w14:textId="77777777" w:rsidR="00530D11" w:rsidRPr="00507E82" w:rsidRDefault="00530D11" w:rsidP="00E17460">
      <w:pPr>
        <w:spacing w:line="276" w:lineRule="auto"/>
        <w:jc w:val="both"/>
        <w:rPr>
          <w:rFonts w:cs="Arial"/>
          <w:szCs w:val="20"/>
        </w:rPr>
      </w:pPr>
    </w:p>
    <w:p w14:paraId="152676D4" w14:textId="77777777" w:rsidR="00F32360" w:rsidRPr="00E326CB" w:rsidRDefault="00F32360" w:rsidP="00F32360">
      <w:pPr>
        <w:spacing w:line="276" w:lineRule="auto"/>
        <w:jc w:val="both"/>
        <w:rPr>
          <w:rFonts w:cs="Arial"/>
          <w:szCs w:val="20"/>
        </w:rPr>
      </w:pPr>
      <w:r>
        <w:rPr>
          <w:rFonts w:cs="Arial"/>
          <w:szCs w:val="20"/>
        </w:rPr>
        <w:t xml:space="preserve">Poleg sprememb navedenih zakonov je treba za ureditev izvajanja 17. člena </w:t>
      </w:r>
      <w:r w:rsidRPr="00E326CB">
        <w:rPr>
          <w:rFonts w:cs="Arial"/>
          <w:szCs w:val="20"/>
        </w:rPr>
        <w:t>Uredbe 2023/2869/EU</w:t>
      </w:r>
      <w:r>
        <w:rPr>
          <w:rFonts w:cs="Arial"/>
          <w:szCs w:val="20"/>
        </w:rPr>
        <w:t xml:space="preserve"> dopolniti </w:t>
      </w:r>
      <w:r w:rsidRPr="00E326CB">
        <w:rPr>
          <w:rFonts w:cs="Arial"/>
          <w:szCs w:val="20"/>
        </w:rPr>
        <w:t>Uredb</w:t>
      </w:r>
      <w:r>
        <w:rPr>
          <w:rFonts w:cs="Arial"/>
          <w:szCs w:val="20"/>
        </w:rPr>
        <w:t>o</w:t>
      </w:r>
      <w:r w:rsidRPr="00E326CB">
        <w:rPr>
          <w:rFonts w:cs="Arial"/>
          <w:szCs w:val="20"/>
        </w:rPr>
        <w:t xml:space="preserve"> o izvajanju Uredbe (EU) o razkritjih, povezanih s </w:t>
      </w:r>
      <w:proofErr w:type="spellStart"/>
      <w:r w:rsidRPr="00E326CB">
        <w:rPr>
          <w:rFonts w:cs="Arial"/>
          <w:szCs w:val="20"/>
        </w:rPr>
        <w:t>trajnostnostjo</w:t>
      </w:r>
      <w:proofErr w:type="spellEnd"/>
      <w:r w:rsidRPr="00E326CB">
        <w:rPr>
          <w:rFonts w:cs="Arial"/>
          <w:szCs w:val="20"/>
        </w:rPr>
        <w:t>, v sektorju finančnih storitev</w:t>
      </w:r>
      <w:r>
        <w:rPr>
          <w:rFonts w:cs="Arial"/>
          <w:szCs w:val="20"/>
        </w:rPr>
        <w:t xml:space="preserve"> (</w:t>
      </w:r>
      <w:r w:rsidRPr="00E326CB">
        <w:rPr>
          <w:rFonts w:cs="Arial"/>
          <w:szCs w:val="20"/>
        </w:rPr>
        <w:t>Uradni list RS, št. 17/23</w:t>
      </w:r>
      <w:r>
        <w:rPr>
          <w:rFonts w:cs="Arial"/>
          <w:szCs w:val="20"/>
        </w:rPr>
        <w:t>), kar ni del tega predloga zakona.</w:t>
      </w:r>
    </w:p>
    <w:p w14:paraId="2E4A08EC" w14:textId="77777777" w:rsidR="00ED36BF" w:rsidRPr="00445B9C" w:rsidRDefault="00ED36BF" w:rsidP="00ED36BF">
      <w:pPr>
        <w:spacing w:line="260" w:lineRule="exact"/>
        <w:jc w:val="both"/>
        <w:rPr>
          <w:rFonts w:cs="Arial"/>
          <w:szCs w:val="20"/>
        </w:rPr>
      </w:pPr>
    </w:p>
    <w:p w14:paraId="694522B8" w14:textId="77777777" w:rsidR="00ED36BF" w:rsidRPr="00445B9C" w:rsidRDefault="0095309B" w:rsidP="0089316A">
      <w:pPr>
        <w:spacing w:line="260" w:lineRule="exact"/>
        <w:ind w:left="714" w:hanging="357"/>
        <w:jc w:val="both"/>
        <w:rPr>
          <w:rFonts w:cs="Arial"/>
          <w:b/>
          <w:szCs w:val="20"/>
        </w:rPr>
      </w:pPr>
      <w:r>
        <w:rPr>
          <w:rFonts w:cs="Arial"/>
          <w:b/>
          <w:szCs w:val="20"/>
        </w:rPr>
        <w:t xml:space="preserve">2. </w:t>
      </w:r>
      <w:r w:rsidR="00CF0FDA" w:rsidRPr="00445B9C">
        <w:rPr>
          <w:rFonts w:cs="Arial"/>
          <w:b/>
          <w:szCs w:val="20"/>
        </w:rPr>
        <w:t>CILJI, NAČELA IN POGLAVITNE REŠITVE PREDLOGA ZAKONA</w:t>
      </w:r>
    </w:p>
    <w:p w14:paraId="1C51D6A5" w14:textId="77777777" w:rsidR="00ED36BF" w:rsidRPr="00445B9C" w:rsidRDefault="00ED36BF" w:rsidP="00ED36BF">
      <w:pPr>
        <w:spacing w:line="260" w:lineRule="exact"/>
        <w:jc w:val="both"/>
        <w:rPr>
          <w:rFonts w:cs="Arial"/>
          <w:szCs w:val="20"/>
        </w:rPr>
      </w:pPr>
    </w:p>
    <w:p w14:paraId="0BFD7F00" w14:textId="77777777" w:rsidR="00334A47" w:rsidRPr="00445B9C" w:rsidRDefault="00334A47" w:rsidP="00334A47">
      <w:pPr>
        <w:spacing w:line="260" w:lineRule="exact"/>
        <w:jc w:val="both"/>
        <w:rPr>
          <w:rFonts w:cs="Arial"/>
          <w:b/>
          <w:szCs w:val="20"/>
        </w:rPr>
      </w:pPr>
      <w:r w:rsidRPr="00445B9C">
        <w:rPr>
          <w:rFonts w:cs="Arial"/>
          <w:b/>
          <w:szCs w:val="20"/>
        </w:rPr>
        <w:t>2.1 Cilji</w:t>
      </w:r>
    </w:p>
    <w:p w14:paraId="16FDDB0D" w14:textId="77777777" w:rsidR="00334A47" w:rsidRDefault="00334A47" w:rsidP="00334A47"/>
    <w:p w14:paraId="23C9301B" w14:textId="77777777" w:rsidR="00334A47" w:rsidRPr="00314547" w:rsidRDefault="00334A47" w:rsidP="00334A47">
      <w:r w:rsidRPr="00314547">
        <w:t>Glavni cilji predloga zakona so</w:t>
      </w:r>
      <w:r>
        <w:t>:</w:t>
      </w:r>
    </w:p>
    <w:p w14:paraId="78473FFD" w14:textId="77777777" w:rsidR="00334A47" w:rsidRPr="00314547" w:rsidRDefault="00334A47" w:rsidP="00334A47">
      <w:pPr>
        <w:pStyle w:val="Odstavekseznama"/>
        <w:numPr>
          <w:ilvl w:val="0"/>
          <w:numId w:val="76"/>
        </w:numPr>
        <w:jc w:val="both"/>
      </w:pPr>
      <w:r w:rsidRPr="00314547">
        <w:t xml:space="preserve">vzpostavitev pravnega okvira za </w:t>
      </w:r>
      <w:r>
        <w:t>prenos</w:t>
      </w:r>
      <w:r w:rsidRPr="00314547">
        <w:t xml:space="preserve"> zakonodaje</w:t>
      </w:r>
      <w:r>
        <w:t xml:space="preserve"> EU</w:t>
      </w:r>
      <w:r w:rsidRPr="00314547">
        <w:t xml:space="preserve">, kar vključuje prenos Direktive 2023/2864/EU </w:t>
      </w:r>
      <w:r>
        <w:t>ter</w:t>
      </w:r>
      <w:r w:rsidRPr="00314547">
        <w:t xml:space="preserve"> ureditev izvajanja Uredbe 2023/2859/EU </w:t>
      </w:r>
      <w:r>
        <w:t>in</w:t>
      </w:r>
      <w:r w:rsidRPr="00314547">
        <w:t xml:space="preserve"> Uredbe 2023/2869/EU;</w:t>
      </w:r>
    </w:p>
    <w:p w14:paraId="606ED85A" w14:textId="77777777" w:rsidR="00334A47" w:rsidRPr="00314547" w:rsidRDefault="00334A47" w:rsidP="00334A47">
      <w:pPr>
        <w:pStyle w:val="Odstavekseznama"/>
        <w:numPr>
          <w:ilvl w:val="0"/>
          <w:numId w:val="76"/>
        </w:numPr>
        <w:jc w:val="both"/>
      </w:pPr>
      <w:r w:rsidRPr="00314547">
        <w:t xml:space="preserve">zagotavljanje skladnosti slovenske zakonodaje z zahtevami glede vzpostavitve evropske enotne točke dostopa (v nadaljnjem besedilu: ESAP); in </w:t>
      </w:r>
    </w:p>
    <w:p w14:paraId="176ECFE3" w14:textId="77777777" w:rsidR="00334A47" w:rsidRPr="00314547" w:rsidRDefault="00334A47" w:rsidP="00334A47">
      <w:pPr>
        <w:pStyle w:val="Odstavekseznama"/>
        <w:numPr>
          <w:ilvl w:val="0"/>
          <w:numId w:val="76"/>
        </w:numPr>
        <w:jc w:val="both"/>
      </w:pPr>
      <w:r w:rsidRPr="00314547">
        <w:t>povečanje pre</w:t>
      </w:r>
      <w:r>
        <w:t>gled</w:t>
      </w:r>
      <w:r w:rsidRPr="00314547">
        <w:t xml:space="preserve">nosti in dostopnosti informacij za vlagatelje, podjetja in druge uporabnike, kar prispeva k večji preglednosti trga finančnih instrumentov </w:t>
      </w:r>
      <w:r>
        <w:t>in</w:t>
      </w:r>
      <w:r w:rsidRPr="00314547">
        <w:t xml:space="preserve"> trajnostnega poročanja.</w:t>
      </w:r>
    </w:p>
    <w:p w14:paraId="1129ED1E" w14:textId="77777777" w:rsidR="00334A47" w:rsidRPr="00FC6664" w:rsidRDefault="00334A47" w:rsidP="00334A47"/>
    <w:p w14:paraId="107A4D7A" w14:textId="77777777" w:rsidR="00334A47" w:rsidRPr="00445B9C" w:rsidRDefault="00334A47" w:rsidP="00334A47">
      <w:pPr>
        <w:spacing w:line="260" w:lineRule="exact"/>
        <w:jc w:val="both"/>
        <w:rPr>
          <w:rFonts w:cs="Arial"/>
          <w:b/>
          <w:szCs w:val="20"/>
        </w:rPr>
      </w:pPr>
      <w:r w:rsidRPr="00445B9C">
        <w:rPr>
          <w:rFonts w:cs="Arial"/>
          <w:b/>
          <w:szCs w:val="20"/>
        </w:rPr>
        <w:t>2.2 Načela</w:t>
      </w:r>
    </w:p>
    <w:p w14:paraId="3EFAEFED" w14:textId="77777777" w:rsidR="00334A47" w:rsidRPr="00445B9C" w:rsidRDefault="00334A47" w:rsidP="00334A47">
      <w:pPr>
        <w:autoSpaceDE w:val="0"/>
        <w:autoSpaceDN w:val="0"/>
        <w:adjustRightInd w:val="0"/>
        <w:spacing w:line="240" w:lineRule="auto"/>
        <w:jc w:val="both"/>
        <w:rPr>
          <w:rFonts w:cs="Arial"/>
          <w:szCs w:val="20"/>
        </w:rPr>
      </w:pPr>
    </w:p>
    <w:p w14:paraId="3BD33030" w14:textId="77777777" w:rsidR="00334A47" w:rsidRPr="005110DC" w:rsidRDefault="00334A47" w:rsidP="00334A47">
      <w:pPr>
        <w:pStyle w:val="Neotevilenodstavek"/>
        <w:spacing w:before="0" w:after="0" w:line="260" w:lineRule="exact"/>
        <w:rPr>
          <w:sz w:val="20"/>
        </w:rPr>
      </w:pPr>
      <w:r w:rsidRPr="00207021">
        <w:rPr>
          <w:sz w:val="20"/>
        </w:rPr>
        <w:t xml:space="preserve">Predlog zakona temelji na </w:t>
      </w:r>
      <w:r>
        <w:rPr>
          <w:sz w:val="20"/>
        </w:rPr>
        <w:t>t</w:t>
      </w:r>
      <w:r w:rsidRPr="00207021">
        <w:rPr>
          <w:sz w:val="20"/>
        </w:rPr>
        <w:t>eh načelih:</w:t>
      </w:r>
    </w:p>
    <w:p w14:paraId="2FEC7A27" w14:textId="77777777" w:rsidR="00334A47" w:rsidRDefault="00334A47" w:rsidP="00334A47">
      <w:pPr>
        <w:pStyle w:val="Neotevilenodstavek"/>
        <w:spacing w:before="0" w:after="0" w:line="260" w:lineRule="exact"/>
        <w:rPr>
          <w:b/>
          <w:bCs/>
          <w:sz w:val="20"/>
        </w:rPr>
      </w:pPr>
    </w:p>
    <w:p w14:paraId="1E170668" w14:textId="77777777" w:rsidR="00334A47" w:rsidRDefault="00334A47" w:rsidP="00334A47">
      <w:pPr>
        <w:pStyle w:val="Neotevilenodstavek"/>
        <w:numPr>
          <w:ilvl w:val="0"/>
          <w:numId w:val="82"/>
        </w:numPr>
        <w:spacing w:before="0" w:after="0" w:line="260" w:lineRule="exact"/>
        <w:ind w:left="714" w:hanging="357"/>
        <w:rPr>
          <w:sz w:val="20"/>
        </w:rPr>
      </w:pPr>
      <w:r>
        <w:rPr>
          <w:b/>
          <w:bCs/>
          <w:sz w:val="20"/>
        </w:rPr>
        <w:lastRenderedPageBreak/>
        <w:t>n</w:t>
      </w:r>
      <w:r w:rsidRPr="00207021">
        <w:rPr>
          <w:b/>
          <w:bCs/>
          <w:sz w:val="20"/>
        </w:rPr>
        <w:t>ačelo postopnosti</w:t>
      </w:r>
      <w:r w:rsidRPr="00207021">
        <w:rPr>
          <w:sz w:val="20"/>
        </w:rPr>
        <w:t xml:space="preserve"> </w:t>
      </w:r>
      <w:r>
        <w:rPr>
          <w:sz w:val="20"/>
        </w:rPr>
        <w:t>–</w:t>
      </w:r>
      <w:r w:rsidRPr="00207021">
        <w:rPr>
          <w:sz w:val="20"/>
        </w:rPr>
        <w:t xml:space="preserve"> zakon predvideva postopno </w:t>
      </w:r>
      <w:r>
        <w:rPr>
          <w:sz w:val="20"/>
        </w:rPr>
        <w:t>uveljavitev</w:t>
      </w:r>
      <w:r w:rsidRPr="00207021">
        <w:rPr>
          <w:sz w:val="20"/>
        </w:rPr>
        <w:t xml:space="preserve"> zahtev v obdobju </w:t>
      </w:r>
      <w:r>
        <w:rPr>
          <w:sz w:val="20"/>
        </w:rPr>
        <w:t>o</w:t>
      </w:r>
      <w:r w:rsidRPr="00207021">
        <w:rPr>
          <w:sz w:val="20"/>
        </w:rPr>
        <w:t xml:space="preserve">d leto 2025 </w:t>
      </w:r>
      <w:r>
        <w:rPr>
          <w:sz w:val="20"/>
        </w:rPr>
        <w:t>do</w:t>
      </w:r>
      <w:r w:rsidRPr="00207021">
        <w:rPr>
          <w:sz w:val="20"/>
        </w:rPr>
        <w:t xml:space="preserve"> 2030, kar omogoča subjektom in pristojnim organom ustrezno prilagoditev sistemov in procesov</w:t>
      </w:r>
      <w:r>
        <w:rPr>
          <w:sz w:val="20"/>
        </w:rPr>
        <w:t>;</w:t>
      </w:r>
    </w:p>
    <w:p w14:paraId="745D8E42" w14:textId="77777777" w:rsidR="00334A47" w:rsidRDefault="00334A47" w:rsidP="00334A47">
      <w:pPr>
        <w:pStyle w:val="Neotevilenodstavek"/>
        <w:numPr>
          <w:ilvl w:val="0"/>
          <w:numId w:val="82"/>
        </w:numPr>
        <w:spacing w:before="0" w:after="0" w:line="260" w:lineRule="exact"/>
        <w:ind w:left="714" w:hanging="357"/>
        <w:rPr>
          <w:sz w:val="20"/>
        </w:rPr>
      </w:pPr>
      <w:r>
        <w:rPr>
          <w:b/>
          <w:bCs/>
          <w:sz w:val="20"/>
        </w:rPr>
        <w:t>n</w:t>
      </w:r>
      <w:r w:rsidRPr="00207021">
        <w:rPr>
          <w:b/>
          <w:bCs/>
          <w:sz w:val="20"/>
        </w:rPr>
        <w:t>ačelo centralizacije dostopa</w:t>
      </w:r>
      <w:r w:rsidRPr="00207021">
        <w:rPr>
          <w:sz w:val="20"/>
        </w:rPr>
        <w:t xml:space="preserve"> </w:t>
      </w:r>
      <w:r>
        <w:rPr>
          <w:sz w:val="20"/>
        </w:rPr>
        <w:t>–</w:t>
      </w:r>
      <w:r w:rsidRPr="00207021">
        <w:rPr>
          <w:sz w:val="20"/>
        </w:rPr>
        <w:t xml:space="preserve"> zakon </w:t>
      </w:r>
      <w:r>
        <w:rPr>
          <w:sz w:val="20"/>
        </w:rPr>
        <w:t>je namenjen</w:t>
      </w:r>
      <w:r w:rsidRPr="00207021">
        <w:rPr>
          <w:sz w:val="20"/>
        </w:rPr>
        <w:t xml:space="preserve"> vzpostavitvi enotne točke dostopa do finančnih in nefinančnih informacij, s čimer se odpravlja razpršenost podatkov po različnih nacionalnih in evropskih zbirkah</w:t>
      </w:r>
      <w:r>
        <w:rPr>
          <w:sz w:val="20"/>
        </w:rPr>
        <w:t>;</w:t>
      </w:r>
    </w:p>
    <w:p w14:paraId="442768F2" w14:textId="77777777" w:rsidR="00334A47" w:rsidRDefault="00334A47" w:rsidP="00334A47">
      <w:pPr>
        <w:pStyle w:val="Neotevilenodstavek"/>
        <w:numPr>
          <w:ilvl w:val="0"/>
          <w:numId w:val="82"/>
        </w:numPr>
        <w:spacing w:before="0" w:after="0" w:line="260" w:lineRule="exact"/>
        <w:ind w:left="714" w:hanging="357"/>
        <w:rPr>
          <w:sz w:val="20"/>
        </w:rPr>
      </w:pPr>
      <w:r>
        <w:rPr>
          <w:b/>
          <w:bCs/>
          <w:sz w:val="20"/>
        </w:rPr>
        <w:t>n</w:t>
      </w:r>
      <w:r w:rsidRPr="00207021">
        <w:rPr>
          <w:b/>
          <w:bCs/>
          <w:sz w:val="20"/>
        </w:rPr>
        <w:t>ačelo standardizacije</w:t>
      </w:r>
      <w:r w:rsidRPr="00207021">
        <w:rPr>
          <w:sz w:val="20"/>
        </w:rPr>
        <w:t xml:space="preserve"> </w:t>
      </w:r>
      <w:r>
        <w:rPr>
          <w:sz w:val="20"/>
        </w:rPr>
        <w:t>–</w:t>
      </w:r>
      <w:r w:rsidRPr="00207021">
        <w:rPr>
          <w:sz w:val="20"/>
        </w:rPr>
        <w:t xml:space="preserve"> uvaja</w:t>
      </w:r>
      <w:r>
        <w:rPr>
          <w:sz w:val="20"/>
        </w:rPr>
        <w:t>jo</w:t>
      </w:r>
      <w:r w:rsidRPr="00207021">
        <w:rPr>
          <w:sz w:val="20"/>
        </w:rPr>
        <w:t xml:space="preserve"> se enotn</w:t>
      </w:r>
      <w:r>
        <w:rPr>
          <w:sz w:val="20"/>
        </w:rPr>
        <w:t>i</w:t>
      </w:r>
      <w:r w:rsidRPr="00207021">
        <w:rPr>
          <w:sz w:val="20"/>
        </w:rPr>
        <w:t xml:space="preserve"> standard</w:t>
      </w:r>
      <w:r>
        <w:rPr>
          <w:sz w:val="20"/>
        </w:rPr>
        <w:t>i</w:t>
      </w:r>
      <w:r w:rsidRPr="00207021">
        <w:rPr>
          <w:sz w:val="20"/>
        </w:rPr>
        <w:t xml:space="preserve"> za </w:t>
      </w:r>
      <w:r>
        <w:rPr>
          <w:sz w:val="20"/>
        </w:rPr>
        <w:t>r</w:t>
      </w:r>
      <w:r w:rsidRPr="00980911">
        <w:rPr>
          <w:sz w:val="20"/>
        </w:rPr>
        <w:t>azlične formate</w:t>
      </w:r>
      <w:r w:rsidRPr="00207021">
        <w:rPr>
          <w:sz w:val="20"/>
        </w:rPr>
        <w:t xml:space="preserve"> podatkov in metapodatke</w:t>
      </w:r>
      <w:r>
        <w:rPr>
          <w:sz w:val="20"/>
        </w:rPr>
        <w:t>;</w:t>
      </w:r>
    </w:p>
    <w:p w14:paraId="36F1E634" w14:textId="77777777" w:rsidR="00334A47" w:rsidRDefault="00334A47" w:rsidP="00334A47">
      <w:pPr>
        <w:pStyle w:val="Neotevilenodstavek"/>
        <w:numPr>
          <w:ilvl w:val="0"/>
          <w:numId w:val="82"/>
        </w:numPr>
        <w:spacing w:before="0" w:after="0" w:line="260" w:lineRule="exact"/>
        <w:ind w:left="714" w:hanging="357"/>
        <w:rPr>
          <w:sz w:val="20"/>
        </w:rPr>
      </w:pPr>
      <w:r>
        <w:rPr>
          <w:b/>
          <w:bCs/>
          <w:sz w:val="20"/>
        </w:rPr>
        <w:t>n</w:t>
      </w:r>
      <w:r w:rsidRPr="00207021">
        <w:rPr>
          <w:b/>
          <w:bCs/>
          <w:sz w:val="20"/>
        </w:rPr>
        <w:t>ačelo transparentnosti</w:t>
      </w:r>
      <w:r w:rsidRPr="00207021">
        <w:rPr>
          <w:sz w:val="20"/>
        </w:rPr>
        <w:t xml:space="preserve"> </w:t>
      </w:r>
      <w:r>
        <w:rPr>
          <w:sz w:val="20"/>
        </w:rPr>
        <w:t>–</w:t>
      </w:r>
      <w:r w:rsidRPr="00207021">
        <w:rPr>
          <w:sz w:val="20"/>
        </w:rPr>
        <w:t xml:space="preserve"> </w:t>
      </w:r>
      <w:r>
        <w:rPr>
          <w:sz w:val="20"/>
        </w:rPr>
        <w:t xml:space="preserve">predlog </w:t>
      </w:r>
      <w:r w:rsidRPr="00207021">
        <w:rPr>
          <w:sz w:val="20"/>
        </w:rPr>
        <w:t>zakon</w:t>
      </w:r>
      <w:r>
        <w:rPr>
          <w:sz w:val="20"/>
        </w:rPr>
        <w:t>a</w:t>
      </w:r>
      <w:r w:rsidRPr="00207021">
        <w:rPr>
          <w:sz w:val="20"/>
        </w:rPr>
        <w:t xml:space="preserve"> </w:t>
      </w:r>
      <w:r>
        <w:rPr>
          <w:sz w:val="20"/>
        </w:rPr>
        <w:t>predvideva</w:t>
      </w:r>
      <w:r w:rsidRPr="00207021">
        <w:rPr>
          <w:sz w:val="20"/>
        </w:rPr>
        <w:t xml:space="preserve"> večj</w:t>
      </w:r>
      <w:r>
        <w:rPr>
          <w:sz w:val="20"/>
        </w:rPr>
        <w:t>o</w:t>
      </w:r>
      <w:r w:rsidRPr="00207021">
        <w:rPr>
          <w:sz w:val="20"/>
        </w:rPr>
        <w:t xml:space="preserve"> preglednost finančnih trgov in boljš</w:t>
      </w:r>
      <w:r>
        <w:rPr>
          <w:sz w:val="20"/>
        </w:rPr>
        <w:t>o</w:t>
      </w:r>
      <w:r w:rsidRPr="00207021">
        <w:rPr>
          <w:sz w:val="20"/>
        </w:rPr>
        <w:t xml:space="preserve"> dostopnost informacij za vse deležnike</w:t>
      </w:r>
      <w:r>
        <w:rPr>
          <w:sz w:val="20"/>
        </w:rPr>
        <w:t>;</w:t>
      </w:r>
    </w:p>
    <w:p w14:paraId="79192E02" w14:textId="77777777" w:rsidR="00334A47" w:rsidRDefault="00334A47" w:rsidP="00334A47">
      <w:pPr>
        <w:pStyle w:val="Neotevilenodstavek"/>
        <w:numPr>
          <w:ilvl w:val="0"/>
          <w:numId w:val="82"/>
        </w:numPr>
        <w:spacing w:before="0" w:after="0" w:line="260" w:lineRule="exact"/>
        <w:ind w:left="714" w:hanging="357"/>
        <w:rPr>
          <w:sz w:val="20"/>
        </w:rPr>
      </w:pPr>
      <w:r>
        <w:rPr>
          <w:b/>
          <w:bCs/>
          <w:sz w:val="20"/>
        </w:rPr>
        <w:t>n</w:t>
      </w:r>
      <w:r w:rsidRPr="00207021">
        <w:rPr>
          <w:b/>
          <w:bCs/>
          <w:sz w:val="20"/>
        </w:rPr>
        <w:t>ačelo digitalizacije</w:t>
      </w:r>
      <w:r w:rsidRPr="00207021">
        <w:rPr>
          <w:sz w:val="20"/>
        </w:rPr>
        <w:t xml:space="preserve"> </w:t>
      </w:r>
      <w:r>
        <w:rPr>
          <w:sz w:val="20"/>
        </w:rPr>
        <w:t>–</w:t>
      </w:r>
      <w:r w:rsidRPr="00207021">
        <w:rPr>
          <w:sz w:val="20"/>
        </w:rPr>
        <w:t xml:space="preserve"> spodbuja</w:t>
      </w:r>
      <w:r>
        <w:rPr>
          <w:sz w:val="20"/>
        </w:rPr>
        <w:t>ta</w:t>
      </w:r>
      <w:r w:rsidRPr="00207021">
        <w:rPr>
          <w:sz w:val="20"/>
        </w:rPr>
        <w:t xml:space="preserve"> se digitalno zbiranje in obdelav</w:t>
      </w:r>
      <w:r>
        <w:rPr>
          <w:sz w:val="20"/>
        </w:rPr>
        <w:t>a</w:t>
      </w:r>
      <w:r w:rsidRPr="00207021">
        <w:rPr>
          <w:sz w:val="20"/>
        </w:rPr>
        <w:t xml:space="preserve"> podatkov v standardiziranih </w:t>
      </w:r>
      <w:r>
        <w:rPr>
          <w:sz w:val="20"/>
        </w:rPr>
        <w:t>oblikah zapisa</w:t>
      </w:r>
      <w:r w:rsidRPr="00207021">
        <w:rPr>
          <w:sz w:val="20"/>
        </w:rPr>
        <w:t>, kar omogoča učinkovitejšo obdelavo in primerjavo informacij</w:t>
      </w:r>
      <w:r>
        <w:rPr>
          <w:sz w:val="20"/>
        </w:rPr>
        <w:t>;</w:t>
      </w:r>
    </w:p>
    <w:p w14:paraId="5606E9C0" w14:textId="77777777" w:rsidR="00334A47" w:rsidRDefault="00334A47" w:rsidP="00334A47">
      <w:pPr>
        <w:pStyle w:val="Neotevilenodstavek"/>
        <w:numPr>
          <w:ilvl w:val="0"/>
          <w:numId w:val="82"/>
        </w:numPr>
        <w:spacing w:before="0" w:after="0" w:line="260" w:lineRule="exact"/>
        <w:ind w:left="714" w:hanging="357"/>
        <w:rPr>
          <w:sz w:val="20"/>
        </w:rPr>
      </w:pPr>
      <w:r>
        <w:rPr>
          <w:b/>
          <w:bCs/>
          <w:sz w:val="20"/>
        </w:rPr>
        <w:t>n</w:t>
      </w:r>
      <w:r w:rsidRPr="00207021">
        <w:rPr>
          <w:b/>
          <w:bCs/>
          <w:sz w:val="20"/>
        </w:rPr>
        <w:t>ačelo čezmejnega sodelovanja</w:t>
      </w:r>
      <w:r w:rsidRPr="00207021">
        <w:rPr>
          <w:sz w:val="20"/>
        </w:rPr>
        <w:t xml:space="preserve"> </w:t>
      </w:r>
      <w:r>
        <w:rPr>
          <w:sz w:val="20"/>
        </w:rPr>
        <w:t>–</w:t>
      </w:r>
      <w:r w:rsidRPr="00207021">
        <w:rPr>
          <w:sz w:val="20"/>
        </w:rPr>
        <w:t xml:space="preserve"> </w:t>
      </w:r>
      <w:r>
        <w:rPr>
          <w:sz w:val="20"/>
        </w:rPr>
        <w:t xml:space="preserve">predlog </w:t>
      </w:r>
      <w:r w:rsidRPr="00207021">
        <w:rPr>
          <w:sz w:val="20"/>
        </w:rPr>
        <w:t>zakon</w:t>
      </w:r>
      <w:r>
        <w:rPr>
          <w:sz w:val="20"/>
        </w:rPr>
        <w:t>a</w:t>
      </w:r>
      <w:r w:rsidRPr="00207021">
        <w:rPr>
          <w:sz w:val="20"/>
        </w:rPr>
        <w:t xml:space="preserve"> prispeva k boljšemu delovanju enotnega evropskega trga z omogočanjem lažje čezmejne primerjave informacij.</w:t>
      </w:r>
    </w:p>
    <w:p w14:paraId="6C17461E" w14:textId="77777777" w:rsidR="00334A47" w:rsidRDefault="00334A47" w:rsidP="00334A47">
      <w:pPr>
        <w:pStyle w:val="Neotevilenodstavek"/>
        <w:spacing w:before="0" w:after="0" w:line="260" w:lineRule="exact"/>
        <w:ind w:left="714"/>
        <w:rPr>
          <w:sz w:val="20"/>
        </w:rPr>
      </w:pPr>
    </w:p>
    <w:p w14:paraId="6E5EA6C4" w14:textId="77777777" w:rsidR="00ED36BF" w:rsidRPr="00445B9C" w:rsidRDefault="00ED36BF" w:rsidP="00ED36BF">
      <w:pPr>
        <w:spacing w:line="260" w:lineRule="exact"/>
        <w:jc w:val="both"/>
        <w:rPr>
          <w:rFonts w:cs="Arial"/>
          <w:b/>
          <w:szCs w:val="20"/>
        </w:rPr>
      </w:pPr>
      <w:bookmarkStart w:id="5" w:name="_Hlk55899654"/>
      <w:bookmarkStart w:id="6" w:name="_Hlk36040354"/>
      <w:r w:rsidRPr="00445B9C">
        <w:rPr>
          <w:rFonts w:cs="Arial"/>
          <w:b/>
          <w:szCs w:val="20"/>
        </w:rPr>
        <w:t>2.3. Poglavitne rešitve</w:t>
      </w:r>
    </w:p>
    <w:bookmarkEnd w:id="5"/>
    <w:p w14:paraId="40308D43" w14:textId="77777777" w:rsidR="00ED36BF" w:rsidRPr="00445B9C" w:rsidRDefault="00ED36BF" w:rsidP="00ED36BF">
      <w:pPr>
        <w:spacing w:line="260" w:lineRule="exact"/>
        <w:jc w:val="both"/>
        <w:rPr>
          <w:rFonts w:cs="Arial"/>
          <w:szCs w:val="20"/>
        </w:rPr>
      </w:pPr>
    </w:p>
    <w:p w14:paraId="624D0B06" w14:textId="77777777" w:rsidR="00334A47" w:rsidRDefault="00334A47" w:rsidP="00334A47">
      <w:pPr>
        <w:pStyle w:val="Neotevilenodstavek"/>
        <w:spacing w:before="0" w:after="0" w:line="260" w:lineRule="exact"/>
        <w:rPr>
          <w:sz w:val="20"/>
        </w:rPr>
      </w:pPr>
      <w:r w:rsidRPr="000357F7">
        <w:rPr>
          <w:sz w:val="20"/>
        </w:rPr>
        <w:t xml:space="preserve">Predlog zakona uvaja rešitve za prenos zakonodaje </w:t>
      </w:r>
      <w:r>
        <w:rPr>
          <w:sz w:val="20"/>
        </w:rPr>
        <w:t xml:space="preserve">EU </w:t>
      </w:r>
      <w:r w:rsidRPr="000357F7">
        <w:rPr>
          <w:sz w:val="20"/>
        </w:rPr>
        <w:t xml:space="preserve">o ESAP za izbrana področja, medtem ko se področja trga finančnih instrumentov, bančništva in zavarovalništva urejajo ločeno. </w:t>
      </w:r>
    </w:p>
    <w:p w14:paraId="40ACC337" w14:textId="77777777" w:rsidR="00334A47" w:rsidRDefault="00334A47" w:rsidP="00334A47">
      <w:pPr>
        <w:pStyle w:val="Neotevilenodstavek"/>
        <w:spacing w:before="0" w:after="0" w:line="260" w:lineRule="exact"/>
        <w:rPr>
          <w:sz w:val="20"/>
        </w:rPr>
      </w:pPr>
    </w:p>
    <w:p w14:paraId="3EC9ED3F" w14:textId="77777777" w:rsidR="00334A47" w:rsidRDefault="00334A47" w:rsidP="00334A47">
      <w:pPr>
        <w:pStyle w:val="Neotevilenodstavek"/>
        <w:spacing w:before="0" w:after="0" w:line="260" w:lineRule="exact"/>
        <w:rPr>
          <w:sz w:val="20"/>
        </w:rPr>
      </w:pPr>
      <w:r w:rsidRPr="00071254">
        <w:rPr>
          <w:sz w:val="20"/>
        </w:rPr>
        <w:t xml:space="preserve">Za učinkovito vzpostavitev </w:t>
      </w:r>
      <w:r>
        <w:rPr>
          <w:sz w:val="20"/>
        </w:rPr>
        <w:t>ESAP</w:t>
      </w:r>
      <w:r w:rsidRPr="00071254">
        <w:rPr>
          <w:sz w:val="20"/>
        </w:rPr>
        <w:t xml:space="preserve"> </w:t>
      </w:r>
      <w:r>
        <w:rPr>
          <w:sz w:val="20"/>
        </w:rPr>
        <w:t>t</w:t>
      </w:r>
      <w:r w:rsidRPr="000357F7">
        <w:rPr>
          <w:sz w:val="20"/>
        </w:rPr>
        <w:t>a</w:t>
      </w:r>
      <w:r>
        <w:rPr>
          <w:sz w:val="20"/>
        </w:rPr>
        <w:t xml:space="preserve"> predlog</w:t>
      </w:r>
      <w:r w:rsidRPr="000357F7">
        <w:rPr>
          <w:sz w:val="20"/>
        </w:rPr>
        <w:t xml:space="preserve"> zakon</w:t>
      </w:r>
      <w:r>
        <w:rPr>
          <w:sz w:val="20"/>
        </w:rPr>
        <w:t>a</w:t>
      </w:r>
      <w:r w:rsidRPr="000357F7">
        <w:rPr>
          <w:sz w:val="20"/>
        </w:rPr>
        <w:t xml:space="preserve"> tako uvaja </w:t>
      </w:r>
      <w:r>
        <w:rPr>
          <w:sz w:val="20"/>
        </w:rPr>
        <w:t>t</w:t>
      </w:r>
      <w:r w:rsidRPr="000357F7">
        <w:rPr>
          <w:sz w:val="20"/>
        </w:rPr>
        <w:t>e ključne rešitve:</w:t>
      </w:r>
    </w:p>
    <w:p w14:paraId="639F62AD" w14:textId="77777777" w:rsidR="00334A47" w:rsidRPr="00071254" w:rsidRDefault="00334A47" w:rsidP="00334A47">
      <w:pPr>
        <w:pStyle w:val="Neotevilenodstavek"/>
        <w:spacing w:before="0" w:after="0" w:line="260" w:lineRule="exact"/>
        <w:rPr>
          <w:sz w:val="20"/>
        </w:rPr>
      </w:pPr>
    </w:p>
    <w:p w14:paraId="74996A0D" w14:textId="77777777" w:rsidR="00334A47" w:rsidRPr="00071254" w:rsidRDefault="00334A47" w:rsidP="00334A47">
      <w:pPr>
        <w:pStyle w:val="Neotevilenodstavek"/>
        <w:numPr>
          <w:ilvl w:val="0"/>
          <w:numId w:val="77"/>
        </w:numPr>
        <w:spacing w:line="260" w:lineRule="exact"/>
        <w:rPr>
          <w:sz w:val="20"/>
        </w:rPr>
      </w:pPr>
      <w:r>
        <w:rPr>
          <w:sz w:val="20"/>
        </w:rPr>
        <w:t>d</w:t>
      </w:r>
      <w:r w:rsidRPr="00071254">
        <w:rPr>
          <w:sz w:val="20"/>
        </w:rPr>
        <w:t>oloč</w:t>
      </w:r>
      <w:r>
        <w:rPr>
          <w:sz w:val="20"/>
        </w:rPr>
        <w:t>ajo se</w:t>
      </w:r>
      <w:r w:rsidRPr="00071254">
        <w:rPr>
          <w:sz w:val="20"/>
        </w:rPr>
        <w:t xml:space="preserve"> pristojni organi za zbiranje podatkov, med katerimi so ATVP, </w:t>
      </w:r>
      <w:r>
        <w:rPr>
          <w:sz w:val="20"/>
        </w:rPr>
        <w:t xml:space="preserve">Agencija za zavarovalni nadzor (v nadaljnjem besedilu: </w:t>
      </w:r>
      <w:r w:rsidRPr="00071254">
        <w:rPr>
          <w:sz w:val="20"/>
        </w:rPr>
        <w:t>AZ</w:t>
      </w:r>
      <w:r>
        <w:rPr>
          <w:sz w:val="20"/>
        </w:rPr>
        <w:t>N)</w:t>
      </w:r>
      <w:r w:rsidRPr="00071254">
        <w:rPr>
          <w:sz w:val="20"/>
        </w:rPr>
        <w:t>, Banka Slovenije</w:t>
      </w:r>
      <w:r>
        <w:rPr>
          <w:sz w:val="20"/>
        </w:rPr>
        <w:t>, Agencija za javni nadzor nad revidiranjem (v nadaljnjem besedilu:</w:t>
      </w:r>
      <w:r w:rsidRPr="00071254">
        <w:rPr>
          <w:sz w:val="20"/>
        </w:rPr>
        <w:t xml:space="preserve"> ANR</w:t>
      </w:r>
      <w:r>
        <w:rPr>
          <w:sz w:val="20"/>
        </w:rPr>
        <w:t xml:space="preserve">) in </w:t>
      </w:r>
      <w:r w:rsidRPr="0064592C">
        <w:rPr>
          <w:sz w:val="20"/>
        </w:rPr>
        <w:t>Agencija Republike Slovenije za javnopravne evidence</w:t>
      </w:r>
      <w:r>
        <w:rPr>
          <w:sz w:val="20"/>
        </w:rPr>
        <w:t xml:space="preserve"> in storitve (v nadaljnjem besedilu:</w:t>
      </w:r>
      <w:r w:rsidRPr="00071254">
        <w:rPr>
          <w:sz w:val="20"/>
        </w:rPr>
        <w:t xml:space="preserve"> </w:t>
      </w:r>
      <w:r>
        <w:rPr>
          <w:sz w:val="20"/>
        </w:rPr>
        <w:t>AJPES)</w:t>
      </w:r>
      <w:r w:rsidRPr="00071254">
        <w:rPr>
          <w:sz w:val="20"/>
        </w:rPr>
        <w:t>. Vsak od teh organov ima jasno opredeljeno področje odgovornosti, kar zagotavlja učinkovito zbiranje informacij na področjih,</w:t>
      </w:r>
      <w:r>
        <w:rPr>
          <w:sz w:val="20"/>
        </w:rPr>
        <w:t xml:space="preserve"> za katera so ti organi že pristojni;</w:t>
      </w:r>
    </w:p>
    <w:p w14:paraId="3C866172" w14:textId="77777777" w:rsidR="00334A47" w:rsidRPr="00071254" w:rsidRDefault="00334A47" w:rsidP="00334A47">
      <w:pPr>
        <w:pStyle w:val="Neotevilenodstavek"/>
        <w:numPr>
          <w:ilvl w:val="0"/>
          <w:numId w:val="77"/>
        </w:numPr>
        <w:spacing w:line="260" w:lineRule="exact"/>
        <w:rPr>
          <w:sz w:val="20"/>
        </w:rPr>
      </w:pPr>
      <w:r w:rsidRPr="00071254">
        <w:rPr>
          <w:sz w:val="20"/>
        </w:rPr>
        <w:t>uv</w:t>
      </w:r>
      <w:r>
        <w:rPr>
          <w:sz w:val="20"/>
        </w:rPr>
        <w:t>ajajo</w:t>
      </w:r>
      <w:r w:rsidRPr="00071254">
        <w:rPr>
          <w:sz w:val="20"/>
        </w:rPr>
        <w:t xml:space="preserve"> s</w:t>
      </w:r>
      <w:r>
        <w:rPr>
          <w:sz w:val="20"/>
        </w:rPr>
        <w:t>e</w:t>
      </w:r>
      <w:r w:rsidRPr="00071254">
        <w:rPr>
          <w:sz w:val="20"/>
        </w:rPr>
        <w:t xml:space="preserve"> obveznosti za poročanje v predpisanih </w:t>
      </w:r>
      <w:r w:rsidRPr="00980911">
        <w:rPr>
          <w:sz w:val="20"/>
        </w:rPr>
        <w:t>formatih. Standardizacija formatov</w:t>
      </w:r>
      <w:r w:rsidRPr="00071254">
        <w:rPr>
          <w:sz w:val="20"/>
        </w:rPr>
        <w:t xml:space="preserve"> omogoča lažjo obdelavo in izmenjavo podatkov ter zagotavlja skladnost z zahtevami</w:t>
      </w:r>
      <w:r>
        <w:rPr>
          <w:sz w:val="20"/>
        </w:rPr>
        <w:t xml:space="preserve"> predpisov EU;</w:t>
      </w:r>
    </w:p>
    <w:p w14:paraId="0A551B79" w14:textId="77777777" w:rsidR="00334A47" w:rsidRPr="00071254" w:rsidRDefault="00334A47" w:rsidP="00334A47">
      <w:pPr>
        <w:pStyle w:val="Neotevilenodstavek"/>
        <w:numPr>
          <w:ilvl w:val="0"/>
          <w:numId w:val="77"/>
        </w:numPr>
        <w:spacing w:line="260" w:lineRule="exact"/>
        <w:rPr>
          <w:sz w:val="20"/>
        </w:rPr>
      </w:pPr>
      <w:r>
        <w:rPr>
          <w:sz w:val="20"/>
        </w:rPr>
        <w:t>p</w:t>
      </w:r>
      <w:r w:rsidRPr="0064592C">
        <w:rPr>
          <w:sz w:val="20"/>
        </w:rPr>
        <w:t>ristojni organi za zbiranje podatkov bodo morali zagotoviti, da se zbrane informacije pravočasno in v ustrezni obliki pred</w:t>
      </w:r>
      <w:r>
        <w:rPr>
          <w:sz w:val="20"/>
        </w:rPr>
        <w:t>loži</w:t>
      </w:r>
      <w:r w:rsidRPr="0064592C">
        <w:rPr>
          <w:sz w:val="20"/>
        </w:rPr>
        <w:t>jo v sistem ESAP, kar bo omogočilo centraliziran</w:t>
      </w:r>
      <w:r>
        <w:rPr>
          <w:sz w:val="20"/>
        </w:rPr>
        <w:t>i</w:t>
      </w:r>
      <w:r w:rsidRPr="0064592C">
        <w:rPr>
          <w:sz w:val="20"/>
        </w:rPr>
        <w:t xml:space="preserve"> dostop do vseh predloženih informacij na ravni EU.</w:t>
      </w:r>
    </w:p>
    <w:p w14:paraId="7E0BA840" w14:textId="77777777" w:rsidR="00334A47" w:rsidRPr="00071254" w:rsidRDefault="00334A47" w:rsidP="00334A47">
      <w:pPr>
        <w:pStyle w:val="Neotevilenodstavek"/>
        <w:spacing w:line="260" w:lineRule="exact"/>
        <w:rPr>
          <w:sz w:val="20"/>
        </w:rPr>
      </w:pPr>
    </w:p>
    <w:p w14:paraId="2042A167" w14:textId="77777777" w:rsidR="00334A47" w:rsidRDefault="00334A47" w:rsidP="00334A47">
      <w:pPr>
        <w:jc w:val="both"/>
        <w:rPr>
          <w:rFonts w:cs="Arial"/>
          <w:szCs w:val="20"/>
        </w:rPr>
      </w:pPr>
      <w:r w:rsidRPr="00642322">
        <w:rPr>
          <w:rFonts w:cs="Arial"/>
          <w:szCs w:val="20"/>
        </w:rPr>
        <w:t xml:space="preserve">Za zagotovitev učinkovite in nemotene vzpostavitve </w:t>
      </w:r>
      <w:r>
        <w:rPr>
          <w:rFonts w:cs="Arial"/>
          <w:szCs w:val="20"/>
        </w:rPr>
        <w:t>ESAP</w:t>
      </w:r>
      <w:r w:rsidRPr="00642322">
        <w:rPr>
          <w:rFonts w:cs="Arial"/>
          <w:szCs w:val="20"/>
        </w:rPr>
        <w:t xml:space="preserve"> je predviden po</w:t>
      </w:r>
      <w:r>
        <w:rPr>
          <w:rFonts w:cs="Arial"/>
          <w:szCs w:val="20"/>
        </w:rPr>
        <w:t xml:space="preserve">stopni prenos. </w:t>
      </w:r>
      <w:r w:rsidRPr="00642322">
        <w:rPr>
          <w:rFonts w:cs="Arial"/>
          <w:szCs w:val="20"/>
        </w:rPr>
        <w:t>T</w:t>
      </w:r>
      <w:r>
        <w:rPr>
          <w:rFonts w:cs="Arial"/>
          <w:szCs w:val="20"/>
        </w:rPr>
        <w:t>o</w:t>
      </w:r>
      <w:r w:rsidRPr="00642322">
        <w:rPr>
          <w:rFonts w:cs="Arial"/>
          <w:szCs w:val="20"/>
        </w:rPr>
        <w:t xml:space="preserve"> omogoča subjektom in pristojnim organom ustrezno prilagoditev sistemov in procesov ter zagotavlja operativno stabilnost.</w:t>
      </w:r>
    </w:p>
    <w:bookmarkEnd w:id="6"/>
    <w:p w14:paraId="499F93D0" w14:textId="77777777" w:rsidR="00562370" w:rsidRPr="00445B9C" w:rsidRDefault="00562370" w:rsidP="00ED36BF">
      <w:pPr>
        <w:spacing w:line="260" w:lineRule="exact"/>
        <w:ind w:left="360"/>
        <w:contextualSpacing/>
        <w:jc w:val="both"/>
        <w:rPr>
          <w:rFonts w:cs="Arial"/>
          <w:szCs w:val="20"/>
        </w:rPr>
      </w:pPr>
    </w:p>
    <w:p w14:paraId="09F65F4B" w14:textId="77777777" w:rsidR="00ED36BF" w:rsidRPr="00445B9C" w:rsidRDefault="00416AF9" w:rsidP="0089316A">
      <w:pPr>
        <w:spacing w:line="260" w:lineRule="exact"/>
        <w:ind w:left="714" w:hanging="357"/>
        <w:jc w:val="both"/>
        <w:rPr>
          <w:rFonts w:cs="Arial"/>
          <w:b/>
          <w:szCs w:val="20"/>
        </w:rPr>
      </w:pPr>
      <w:r>
        <w:rPr>
          <w:rFonts w:cs="Arial"/>
          <w:b/>
          <w:szCs w:val="20"/>
        </w:rPr>
        <w:t xml:space="preserve">3. </w:t>
      </w:r>
      <w:r w:rsidR="00ED36BF" w:rsidRPr="00445B9C">
        <w:rPr>
          <w:rFonts w:cs="Arial"/>
          <w:b/>
          <w:szCs w:val="20"/>
        </w:rPr>
        <w:t>OCENA FINANČNIH POSLEDIC PREDLOGA ZAKONA ZA DRŽAVNI PRORAČUN IN DRUGA JAVNA FINANČNA SREDSTVA</w:t>
      </w:r>
      <w:r w:rsidR="00506C92">
        <w:rPr>
          <w:rFonts w:cs="Arial"/>
          <w:b/>
          <w:szCs w:val="20"/>
        </w:rPr>
        <w:t xml:space="preserve"> </w:t>
      </w:r>
    </w:p>
    <w:p w14:paraId="4BB273B9" w14:textId="77777777" w:rsidR="00ED36BF" w:rsidRPr="00445B9C" w:rsidRDefault="00ED36BF" w:rsidP="00ED36BF">
      <w:pPr>
        <w:spacing w:line="260" w:lineRule="exact"/>
        <w:rPr>
          <w:rFonts w:cs="Arial"/>
          <w:b/>
          <w:szCs w:val="20"/>
        </w:rPr>
      </w:pPr>
    </w:p>
    <w:p w14:paraId="180E51E2" w14:textId="77777777" w:rsidR="00530D11" w:rsidRPr="00BF1328" w:rsidRDefault="00530D11" w:rsidP="00530D11">
      <w:pPr>
        <w:pStyle w:val="Neotevilenodstavek"/>
        <w:spacing w:before="0" w:after="0" w:line="260" w:lineRule="exact"/>
        <w:rPr>
          <w:sz w:val="20"/>
        </w:rPr>
      </w:pPr>
      <w:r w:rsidRPr="00BF1328">
        <w:rPr>
          <w:sz w:val="20"/>
        </w:rPr>
        <w:t>Predlog zakona ne predvideva neposrednih finančnih posledic za državni proračun ali druga javna finančna sredstva, saj se uvajanje ESAP opira na obstoječe infrastrukture in pristojne organe.</w:t>
      </w:r>
    </w:p>
    <w:p w14:paraId="7867FE20" w14:textId="77777777" w:rsidR="00ED36BF" w:rsidRPr="00445B9C" w:rsidRDefault="00ED36BF" w:rsidP="00ED36BF">
      <w:pPr>
        <w:spacing w:line="288" w:lineRule="auto"/>
        <w:rPr>
          <w:rFonts w:cs="Arial"/>
          <w:bCs/>
          <w:szCs w:val="20"/>
        </w:rPr>
      </w:pPr>
    </w:p>
    <w:p w14:paraId="488D0637" w14:textId="77777777" w:rsidR="00ED36BF" w:rsidRPr="00445B9C" w:rsidRDefault="0089316A" w:rsidP="0089316A">
      <w:pPr>
        <w:spacing w:line="260" w:lineRule="exact"/>
        <w:ind w:left="714" w:hanging="357"/>
        <w:jc w:val="both"/>
        <w:rPr>
          <w:rFonts w:cs="Arial"/>
          <w:b/>
          <w:szCs w:val="20"/>
        </w:rPr>
      </w:pPr>
      <w:r>
        <w:rPr>
          <w:rFonts w:cs="Arial"/>
          <w:b/>
          <w:szCs w:val="20"/>
        </w:rPr>
        <w:t xml:space="preserve">4. </w:t>
      </w:r>
      <w:r w:rsidR="00ED36BF" w:rsidRPr="00445B9C">
        <w:rPr>
          <w:rFonts w:cs="Arial"/>
          <w:b/>
          <w:szCs w:val="20"/>
        </w:rPr>
        <w:t>NAVEDBA, DA SO SREDSTVA ZA IZVAJANJE ZAKONA V DRŽAVNEM PRORAČUNU ZAGOTOVLJENA, ČE PREDLOG ZAKONA PREDVIDEVA PORABO PRORAČUNSKIH SREDSTEV V OBDOBJU, ZA KATERO JE BIL DRŽAVNI PRORAČUN ŽE SPREJET</w:t>
      </w:r>
    </w:p>
    <w:p w14:paraId="653437BB" w14:textId="77777777" w:rsidR="00ED36BF" w:rsidRPr="00445B9C" w:rsidRDefault="00ED36BF" w:rsidP="00ED36BF">
      <w:pPr>
        <w:spacing w:line="288" w:lineRule="auto"/>
        <w:rPr>
          <w:rFonts w:cs="Arial"/>
          <w:szCs w:val="20"/>
        </w:rPr>
      </w:pPr>
    </w:p>
    <w:p w14:paraId="1F4AF347" w14:textId="77777777" w:rsidR="00343239" w:rsidRPr="00445B9C" w:rsidRDefault="00343239" w:rsidP="00A965AF">
      <w:pPr>
        <w:spacing w:line="288" w:lineRule="auto"/>
        <w:jc w:val="both"/>
        <w:rPr>
          <w:rFonts w:cs="Arial"/>
          <w:szCs w:val="20"/>
        </w:rPr>
      </w:pPr>
      <w:r w:rsidRPr="00445B9C">
        <w:rPr>
          <w:rFonts w:cs="Arial"/>
          <w:szCs w:val="20"/>
        </w:rPr>
        <w:t>Predlog zakona ne predvideva porabe proračunskih sredstev v obdobju, za katero je bil proračun že sprejet.</w:t>
      </w:r>
    </w:p>
    <w:p w14:paraId="1963A551" w14:textId="77777777" w:rsidR="00ED36BF" w:rsidRPr="00445B9C" w:rsidRDefault="00ED36BF" w:rsidP="00ED36BF">
      <w:pPr>
        <w:spacing w:line="260" w:lineRule="exact"/>
        <w:jc w:val="both"/>
        <w:rPr>
          <w:rFonts w:cs="Arial"/>
          <w:szCs w:val="20"/>
        </w:rPr>
      </w:pPr>
    </w:p>
    <w:p w14:paraId="1EC9C295" w14:textId="77777777" w:rsidR="00ED36BF" w:rsidRPr="00445B9C" w:rsidRDefault="0089316A" w:rsidP="0089316A">
      <w:pPr>
        <w:spacing w:line="260" w:lineRule="exact"/>
        <w:ind w:left="714" w:hanging="357"/>
        <w:rPr>
          <w:rFonts w:cs="Arial"/>
          <w:b/>
          <w:szCs w:val="20"/>
        </w:rPr>
      </w:pPr>
      <w:bookmarkStart w:id="7" w:name="_Hlk55537161"/>
      <w:r>
        <w:rPr>
          <w:rFonts w:cs="Arial"/>
          <w:b/>
          <w:szCs w:val="20"/>
        </w:rPr>
        <w:t xml:space="preserve">5. </w:t>
      </w:r>
      <w:r w:rsidR="00ED36BF" w:rsidRPr="00445B9C">
        <w:rPr>
          <w:rFonts w:cs="Arial"/>
          <w:b/>
          <w:szCs w:val="20"/>
        </w:rPr>
        <w:t xml:space="preserve">PRIKAZ UREDITVE V DRUGIH PRAVNIH SISTEMIH </w:t>
      </w:r>
      <w:bookmarkEnd w:id="7"/>
      <w:r w:rsidR="00ED36BF" w:rsidRPr="00445B9C">
        <w:rPr>
          <w:rFonts w:cs="Arial"/>
          <w:b/>
          <w:szCs w:val="20"/>
        </w:rPr>
        <w:t>IN PRILAGOJENOSTI PREDLAGANE UREDITVE PRAVU EVROPSKE UNIJE</w:t>
      </w:r>
    </w:p>
    <w:p w14:paraId="3D3AA3C6" w14:textId="77777777" w:rsidR="000266FA" w:rsidRPr="00445B9C" w:rsidRDefault="000266FA" w:rsidP="00ED36BF">
      <w:pPr>
        <w:autoSpaceDE w:val="0"/>
        <w:autoSpaceDN w:val="0"/>
        <w:adjustRightInd w:val="0"/>
        <w:spacing w:line="240" w:lineRule="auto"/>
        <w:jc w:val="both"/>
        <w:rPr>
          <w:rFonts w:cs="Arial"/>
          <w:b/>
          <w:bCs/>
          <w:szCs w:val="20"/>
        </w:rPr>
      </w:pPr>
    </w:p>
    <w:p w14:paraId="0C70CC3E" w14:textId="55AD5ADE" w:rsidR="00977967" w:rsidRDefault="00530D11" w:rsidP="00530D11">
      <w:pPr>
        <w:pStyle w:val="Neotevilenodstavek"/>
        <w:spacing w:line="276" w:lineRule="auto"/>
        <w:rPr>
          <w:sz w:val="20"/>
        </w:rPr>
      </w:pPr>
      <w:r w:rsidRPr="00807FF2">
        <w:rPr>
          <w:sz w:val="20"/>
        </w:rPr>
        <w:t>Države članice EU so v procesu prenosa Direktive 2023/2864</w:t>
      </w:r>
      <w:r w:rsidR="00DA71F4">
        <w:rPr>
          <w:sz w:val="20"/>
        </w:rPr>
        <w:t>/EU</w:t>
      </w:r>
      <w:r w:rsidRPr="00807FF2">
        <w:rPr>
          <w:sz w:val="20"/>
        </w:rPr>
        <w:t xml:space="preserve"> </w:t>
      </w:r>
      <w:r w:rsidR="00334A47" w:rsidRPr="00807FF2">
        <w:rPr>
          <w:sz w:val="20"/>
        </w:rPr>
        <w:t>v nacionalne zakonodaje</w:t>
      </w:r>
      <w:r w:rsidR="00334A47">
        <w:rPr>
          <w:sz w:val="20"/>
        </w:rPr>
        <w:t xml:space="preserve"> ter</w:t>
      </w:r>
      <w:r w:rsidRPr="00807FF2">
        <w:rPr>
          <w:sz w:val="20"/>
        </w:rPr>
        <w:t xml:space="preserve"> vzpostavljanja sistemov za izvajanje Uredbe 2023/2859</w:t>
      </w:r>
      <w:r w:rsidR="00DA71F4">
        <w:rPr>
          <w:sz w:val="20"/>
        </w:rPr>
        <w:t>/EU</w:t>
      </w:r>
      <w:r w:rsidRPr="00807FF2">
        <w:rPr>
          <w:sz w:val="20"/>
        </w:rPr>
        <w:t xml:space="preserve"> </w:t>
      </w:r>
      <w:r w:rsidR="00334A47">
        <w:rPr>
          <w:sz w:val="20"/>
        </w:rPr>
        <w:t>in</w:t>
      </w:r>
      <w:r w:rsidR="00334A47" w:rsidRPr="00807FF2">
        <w:rPr>
          <w:sz w:val="20"/>
        </w:rPr>
        <w:t xml:space="preserve"> </w:t>
      </w:r>
      <w:r w:rsidRPr="00807FF2">
        <w:rPr>
          <w:sz w:val="20"/>
        </w:rPr>
        <w:t>Uredbe 2023/2869</w:t>
      </w:r>
      <w:r w:rsidR="00DA71F4">
        <w:rPr>
          <w:sz w:val="20"/>
        </w:rPr>
        <w:t>/EU</w:t>
      </w:r>
      <w:r w:rsidRPr="00807FF2">
        <w:rPr>
          <w:sz w:val="20"/>
        </w:rPr>
        <w:t xml:space="preserve"> v nacionalne zakonodaje</w:t>
      </w:r>
      <w:r w:rsidR="00977967">
        <w:rPr>
          <w:sz w:val="20"/>
        </w:rPr>
        <w:t>. Nekatere države članice so notificirale delne prenose Direktive 2023/2864/EU (med njimi tudi Slovenija). V nadaljevanju prikaz držav, ki so notificirale popoln prenos direktive</w:t>
      </w:r>
      <w:r w:rsidR="00DA71F4">
        <w:rPr>
          <w:sz w:val="20"/>
        </w:rPr>
        <w:t>.</w:t>
      </w:r>
    </w:p>
    <w:p w14:paraId="4D646F26" w14:textId="77777777" w:rsidR="00977967" w:rsidRDefault="00977967" w:rsidP="00530D11">
      <w:pPr>
        <w:pStyle w:val="Neotevilenodstavek"/>
        <w:spacing w:line="276" w:lineRule="auto"/>
        <w:rPr>
          <w:sz w:val="20"/>
        </w:rPr>
      </w:pPr>
    </w:p>
    <w:p w14:paraId="555F4097" w14:textId="0D889FBB" w:rsidR="00C75CEF" w:rsidRPr="00C75CEF" w:rsidRDefault="00C75CEF" w:rsidP="00530D11">
      <w:pPr>
        <w:pStyle w:val="Neotevilenodstavek"/>
        <w:spacing w:line="276" w:lineRule="auto"/>
        <w:rPr>
          <w:b/>
          <w:bCs/>
          <w:sz w:val="20"/>
        </w:rPr>
      </w:pPr>
      <w:r w:rsidRPr="00C75CEF">
        <w:rPr>
          <w:b/>
          <w:bCs/>
          <w:sz w:val="20"/>
        </w:rPr>
        <w:t>Češka Republika</w:t>
      </w:r>
    </w:p>
    <w:p w14:paraId="37F188F1" w14:textId="77777777" w:rsidR="00C75CEF" w:rsidRDefault="00C75CEF" w:rsidP="00C75CEF">
      <w:pPr>
        <w:pStyle w:val="Neotevilenodstavek"/>
        <w:spacing w:line="276" w:lineRule="auto"/>
        <w:rPr>
          <w:sz w:val="20"/>
        </w:rPr>
      </w:pPr>
      <w:r w:rsidRPr="00C75CEF">
        <w:rPr>
          <w:sz w:val="20"/>
        </w:rPr>
        <w:t xml:space="preserve">Češka republika je implementirala ESAP s sprejemom dveh zakonov v letu 2025, ki prilagajajo nacionalno zakonodajo EU zahtevam. Ti zakoni ne uvajajo novih vsebinskih obveznosti, temveč tehnično in formalno usklajujejo obstoječe objave podatkov za prenos v ESAP prek </w:t>
      </w:r>
      <w:proofErr w:type="spellStart"/>
      <w:r w:rsidRPr="00C75CEF">
        <w:rPr>
          <w:sz w:val="20"/>
        </w:rPr>
        <w:t>Česke</w:t>
      </w:r>
      <w:proofErr w:type="spellEnd"/>
      <w:r w:rsidRPr="00C75CEF">
        <w:rPr>
          <w:sz w:val="20"/>
        </w:rPr>
        <w:t xml:space="preserve"> narodne banke (ČNB) kot nacionalnega organa za poročanje. Podatki morajo biti v strojno berljivih formatih, opremljeni z metapodatki.</w:t>
      </w:r>
    </w:p>
    <w:p w14:paraId="1C81244B" w14:textId="77777777" w:rsidR="00C75CEF" w:rsidRPr="00C75CEF" w:rsidRDefault="00C75CEF" w:rsidP="00C75CEF">
      <w:pPr>
        <w:pStyle w:val="Neotevilenodstavek"/>
        <w:spacing w:line="276" w:lineRule="auto"/>
        <w:rPr>
          <w:sz w:val="20"/>
        </w:rPr>
      </w:pPr>
    </w:p>
    <w:p w14:paraId="481F69E1" w14:textId="77777777" w:rsidR="00C75CEF" w:rsidRDefault="00C75CEF" w:rsidP="00C75CEF">
      <w:pPr>
        <w:pStyle w:val="Neotevilenodstavek"/>
        <w:spacing w:line="276" w:lineRule="auto"/>
        <w:rPr>
          <w:sz w:val="20"/>
        </w:rPr>
      </w:pPr>
      <w:r w:rsidRPr="00C75CEF">
        <w:rPr>
          <w:sz w:val="20"/>
        </w:rPr>
        <w:t>Z Zakonom št. 258/2025 s katerim se spreminjajo nekateri zakoni na področju kapitalskega trga v zvezi z ustanovitvijo in delovanjem enotnega evropskega dostopnega mesta (</w:t>
      </w:r>
      <w:r w:rsidRPr="00977967">
        <w:rPr>
          <w:i/>
          <w:iCs/>
          <w:sz w:val="20"/>
        </w:rPr>
        <w:t xml:space="preserve">Zákon č. 258/2025 </w:t>
      </w:r>
      <w:proofErr w:type="spellStart"/>
      <w:r w:rsidRPr="00977967">
        <w:rPr>
          <w:i/>
          <w:iCs/>
          <w:sz w:val="20"/>
        </w:rPr>
        <w:t>Sb</w:t>
      </w:r>
      <w:proofErr w:type="spellEnd"/>
      <w:r w:rsidRPr="00977967">
        <w:rPr>
          <w:i/>
          <w:iCs/>
          <w:sz w:val="20"/>
        </w:rPr>
        <w:t xml:space="preserve">., </w:t>
      </w:r>
      <w:proofErr w:type="spellStart"/>
      <w:r w:rsidRPr="00977967">
        <w:rPr>
          <w:i/>
          <w:iCs/>
          <w:sz w:val="20"/>
        </w:rPr>
        <w:t>kterým</w:t>
      </w:r>
      <w:proofErr w:type="spellEnd"/>
      <w:r w:rsidRPr="00977967">
        <w:rPr>
          <w:i/>
          <w:iCs/>
          <w:sz w:val="20"/>
        </w:rPr>
        <w:t xml:space="preserve"> se </w:t>
      </w:r>
      <w:proofErr w:type="spellStart"/>
      <w:r w:rsidRPr="00977967">
        <w:rPr>
          <w:i/>
          <w:iCs/>
          <w:sz w:val="20"/>
        </w:rPr>
        <w:t>mění</w:t>
      </w:r>
      <w:proofErr w:type="spellEnd"/>
      <w:r w:rsidRPr="00977967">
        <w:rPr>
          <w:i/>
          <w:iCs/>
          <w:sz w:val="20"/>
        </w:rPr>
        <w:t xml:space="preserve"> </w:t>
      </w:r>
      <w:proofErr w:type="spellStart"/>
      <w:r w:rsidRPr="00977967">
        <w:rPr>
          <w:i/>
          <w:iCs/>
          <w:sz w:val="20"/>
        </w:rPr>
        <w:t>některé</w:t>
      </w:r>
      <w:proofErr w:type="spellEnd"/>
      <w:r w:rsidRPr="00977967">
        <w:rPr>
          <w:i/>
          <w:iCs/>
          <w:sz w:val="20"/>
        </w:rPr>
        <w:t xml:space="preserve"> </w:t>
      </w:r>
      <w:proofErr w:type="spellStart"/>
      <w:r w:rsidRPr="00977967">
        <w:rPr>
          <w:i/>
          <w:iCs/>
          <w:sz w:val="20"/>
        </w:rPr>
        <w:t>zákony</w:t>
      </w:r>
      <w:proofErr w:type="spellEnd"/>
      <w:r w:rsidRPr="00977967">
        <w:rPr>
          <w:i/>
          <w:iCs/>
          <w:sz w:val="20"/>
        </w:rPr>
        <w:t xml:space="preserve"> v oblasti </w:t>
      </w:r>
      <w:proofErr w:type="spellStart"/>
      <w:r w:rsidRPr="00977967">
        <w:rPr>
          <w:i/>
          <w:iCs/>
          <w:sz w:val="20"/>
        </w:rPr>
        <w:t>kapitálového</w:t>
      </w:r>
      <w:proofErr w:type="spellEnd"/>
      <w:r w:rsidRPr="00977967">
        <w:rPr>
          <w:i/>
          <w:iCs/>
          <w:sz w:val="20"/>
        </w:rPr>
        <w:t xml:space="preserve"> </w:t>
      </w:r>
      <w:proofErr w:type="spellStart"/>
      <w:r w:rsidRPr="00977967">
        <w:rPr>
          <w:i/>
          <w:iCs/>
          <w:sz w:val="20"/>
        </w:rPr>
        <w:t>trhu</w:t>
      </w:r>
      <w:proofErr w:type="spellEnd"/>
      <w:r w:rsidRPr="00977967">
        <w:rPr>
          <w:i/>
          <w:iCs/>
          <w:sz w:val="20"/>
        </w:rPr>
        <w:t xml:space="preserve"> v </w:t>
      </w:r>
      <w:proofErr w:type="spellStart"/>
      <w:r w:rsidRPr="00977967">
        <w:rPr>
          <w:i/>
          <w:iCs/>
          <w:sz w:val="20"/>
        </w:rPr>
        <w:t>souvislosti</w:t>
      </w:r>
      <w:proofErr w:type="spellEnd"/>
      <w:r w:rsidRPr="00977967">
        <w:rPr>
          <w:i/>
          <w:iCs/>
          <w:sz w:val="20"/>
        </w:rPr>
        <w:t xml:space="preserve"> se </w:t>
      </w:r>
      <w:proofErr w:type="spellStart"/>
      <w:r w:rsidRPr="00977967">
        <w:rPr>
          <w:i/>
          <w:iCs/>
          <w:sz w:val="20"/>
        </w:rPr>
        <w:t>zřízením</w:t>
      </w:r>
      <w:proofErr w:type="spellEnd"/>
      <w:r w:rsidRPr="00977967">
        <w:rPr>
          <w:i/>
          <w:iCs/>
          <w:sz w:val="20"/>
        </w:rPr>
        <w:t xml:space="preserve"> a </w:t>
      </w:r>
      <w:proofErr w:type="spellStart"/>
      <w:r w:rsidRPr="00977967">
        <w:rPr>
          <w:i/>
          <w:iCs/>
          <w:sz w:val="20"/>
        </w:rPr>
        <w:t>fungováním</w:t>
      </w:r>
      <w:proofErr w:type="spellEnd"/>
      <w:r w:rsidRPr="00977967">
        <w:rPr>
          <w:i/>
          <w:iCs/>
          <w:sz w:val="20"/>
        </w:rPr>
        <w:t xml:space="preserve"> </w:t>
      </w:r>
      <w:proofErr w:type="spellStart"/>
      <w:r w:rsidRPr="00977967">
        <w:rPr>
          <w:i/>
          <w:iCs/>
          <w:sz w:val="20"/>
        </w:rPr>
        <w:t>jednotného</w:t>
      </w:r>
      <w:proofErr w:type="spellEnd"/>
      <w:r w:rsidRPr="00977967">
        <w:rPr>
          <w:i/>
          <w:iCs/>
          <w:sz w:val="20"/>
        </w:rPr>
        <w:t xml:space="preserve"> </w:t>
      </w:r>
      <w:proofErr w:type="spellStart"/>
      <w:r w:rsidRPr="00977967">
        <w:rPr>
          <w:i/>
          <w:iCs/>
          <w:sz w:val="20"/>
        </w:rPr>
        <w:t>evropského</w:t>
      </w:r>
      <w:proofErr w:type="spellEnd"/>
      <w:r w:rsidRPr="00977967">
        <w:rPr>
          <w:i/>
          <w:iCs/>
          <w:sz w:val="20"/>
        </w:rPr>
        <w:t xml:space="preserve"> </w:t>
      </w:r>
      <w:proofErr w:type="spellStart"/>
      <w:r w:rsidRPr="00977967">
        <w:rPr>
          <w:i/>
          <w:iCs/>
          <w:sz w:val="20"/>
        </w:rPr>
        <w:t>přístupového</w:t>
      </w:r>
      <w:proofErr w:type="spellEnd"/>
      <w:r w:rsidRPr="00977967">
        <w:rPr>
          <w:i/>
          <w:iCs/>
          <w:sz w:val="20"/>
        </w:rPr>
        <w:t xml:space="preserve"> </w:t>
      </w:r>
      <w:proofErr w:type="spellStart"/>
      <w:r w:rsidRPr="00977967">
        <w:rPr>
          <w:i/>
          <w:iCs/>
          <w:sz w:val="20"/>
        </w:rPr>
        <w:t>místa</w:t>
      </w:r>
      <w:proofErr w:type="spellEnd"/>
      <w:r w:rsidRPr="00C75CEF">
        <w:rPr>
          <w:sz w:val="20"/>
        </w:rPr>
        <w:t>) so se spremenili in dopolnili Zakon o češki narodni banki, Zakona o nadzoru kapitalskega trga in Zakon o poslovanju na kapitalskem trgu.</w:t>
      </w:r>
    </w:p>
    <w:p w14:paraId="1FB2BE5D" w14:textId="77777777" w:rsidR="005311A0" w:rsidRPr="00C75CEF" w:rsidRDefault="005311A0" w:rsidP="00C75CEF">
      <w:pPr>
        <w:pStyle w:val="Neotevilenodstavek"/>
        <w:spacing w:line="276" w:lineRule="auto"/>
        <w:rPr>
          <w:sz w:val="20"/>
        </w:rPr>
      </w:pPr>
    </w:p>
    <w:p w14:paraId="782DBEE4" w14:textId="77777777" w:rsidR="00C75CEF" w:rsidRPr="00C75CEF" w:rsidRDefault="00C75CEF" w:rsidP="00C75CEF">
      <w:pPr>
        <w:pStyle w:val="Neotevilenodstavek"/>
        <w:spacing w:line="276" w:lineRule="auto"/>
        <w:rPr>
          <w:sz w:val="20"/>
        </w:rPr>
      </w:pPr>
      <w:r w:rsidRPr="00C75CEF">
        <w:rPr>
          <w:sz w:val="20"/>
        </w:rPr>
        <w:t>Z Zakonom št. 317/2025 s katerim se spreminjajo nekateri zakoni na področju finančnega trga v zvezi z ustanovitvijo in delovanjem enotnega evropskega dostopnega mesta (</w:t>
      </w:r>
      <w:r w:rsidRPr="00977967">
        <w:rPr>
          <w:i/>
          <w:iCs/>
          <w:sz w:val="20"/>
        </w:rPr>
        <w:t xml:space="preserve">Zákon č. 317/2025 </w:t>
      </w:r>
      <w:proofErr w:type="spellStart"/>
      <w:r w:rsidRPr="00977967">
        <w:rPr>
          <w:i/>
          <w:iCs/>
          <w:sz w:val="20"/>
        </w:rPr>
        <w:t>Sb</w:t>
      </w:r>
      <w:proofErr w:type="spellEnd"/>
      <w:r w:rsidRPr="00977967">
        <w:rPr>
          <w:i/>
          <w:iCs/>
          <w:sz w:val="20"/>
        </w:rPr>
        <w:t xml:space="preserve">., </w:t>
      </w:r>
      <w:proofErr w:type="spellStart"/>
      <w:r w:rsidRPr="00977967">
        <w:rPr>
          <w:i/>
          <w:iCs/>
          <w:sz w:val="20"/>
        </w:rPr>
        <w:t>kterým</w:t>
      </w:r>
      <w:proofErr w:type="spellEnd"/>
      <w:r w:rsidRPr="00977967">
        <w:rPr>
          <w:i/>
          <w:iCs/>
          <w:sz w:val="20"/>
        </w:rPr>
        <w:t xml:space="preserve"> se </w:t>
      </w:r>
      <w:proofErr w:type="spellStart"/>
      <w:r w:rsidRPr="00977967">
        <w:rPr>
          <w:i/>
          <w:iCs/>
          <w:sz w:val="20"/>
        </w:rPr>
        <w:t>mění</w:t>
      </w:r>
      <w:proofErr w:type="spellEnd"/>
      <w:r w:rsidRPr="00977967">
        <w:rPr>
          <w:i/>
          <w:iCs/>
          <w:sz w:val="20"/>
        </w:rPr>
        <w:t xml:space="preserve"> </w:t>
      </w:r>
      <w:proofErr w:type="spellStart"/>
      <w:r w:rsidRPr="00977967">
        <w:rPr>
          <w:i/>
          <w:iCs/>
          <w:sz w:val="20"/>
        </w:rPr>
        <w:t>některé</w:t>
      </w:r>
      <w:proofErr w:type="spellEnd"/>
      <w:r w:rsidRPr="00977967">
        <w:rPr>
          <w:i/>
          <w:iCs/>
          <w:sz w:val="20"/>
        </w:rPr>
        <w:t xml:space="preserve"> </w:t>
      </w:r>
      <w:proofErr w:type="spellStart"/>
      <w:r w:rsidRPr="00977967">
        <w:rPr>
          <w:i/>
          <w:iCs/>
          <w:sz w:val="20"/>
        </w:rPr>
        <w:t>zákony</w:t>
      </w:r>
      <w:proofErr w:type="spellEnd"/>
      <w:r w:rsidRPr="00977967">
        <w:rPr>
          <w:i/>
          <w:iCs/>
          <w:sz w:val="20"/>
        </w:rPr>
        <w:t xml:space="preserve"> v oblasti </w:t>
      </w:r>
      <w:proofErr w:type="spellStart"/>
      <w:r w:rsidRPr="00977967">
        <w:rPr>
          <w:i/>
          <w:iCs/>
          <w:sz w:val="20"/>
        </w:rPr>
        <w:t>finančního</w:t>
      </w:r>
      <w:proofErr w:type="spellEnd"/>
      <w:r w:rsidRPr="00977967">
        <w:rPr>
          <w:i/>
          <w:iCs/>
          <w:sz w:val="20"/>
        </w:rPr>
        <w:t xml:space="preserve"> </w:t>
      </w:r>
      <w:proofErr w:type="spellStart"/>
      <w:r w:rsidRPr="00977967">
        <w:rPr>
          <w:i/>
          <w:iCs/>
          <w:sz w:val="20"/>
        </w:rPr>
        <w:t>trhu</w:t>
      </w:r>
      <w:proofErr w:type="spellEnd"/>
      <w:r w:rsidRPr="00977967">
        <w:rPr>
          <w:i/>
          <w:iCs/>
          <w:sz w:val="20"/>
        </w:rPr>
        <w:t xml:space="preserve"> v </w:t>
      </w:r>
      <w:proofErr w:type="spellStart"/>
      <w:r w:rsidRPr="00977967">
        <w:rPr>
          <w:i/>
          <w:iCs/>
          <w:sz w:val="20"/>
        </w:rPr>
        <w:t>souvislosti</w:t>
      </w:r>
      <w:proofErr w:type="spellEnd"/>
      <w:r w:rsidRPr="00977967">
        <w:rPr>
          <w:i/>
          <w:iCs/>
          <w:sz w:val="20"/>
        </w:rPr>
        <w:t xml:space="preserve"> se </w:t>
      </w:r>
      <w:proofErr w:type="spellStart"/>
      <w:r w:rsidRPr="00977967">
        <w:rPr>
          <w:i/>
          <w:iCs/>
          <w:sz w:val="20"/>
        </w:rPr>
        <w:t>zřízením</w:t>
      </w:r>
      <w:proofErr w:type="spellEnd"/>
      <w:r w:rsidRPr="00977967">
        <w:rPr>
          <w:i/>
          <w:iCs/>
          <w:sz w:val="20"/>
        </w:rPr>
        <w:t xml:space="preserve"> a </w:t>
      </w:r>
      <w:proofErr w:type="spellStart"/>
      <w:r w:rsidRPr="00977967">
        <w:rPr>
          <w:i/>
          <w:iCs/>
          <w:sz w:val="20"/>
        </w:rPr>
        <w:t>fungováním</w:t>
      </w:r>
      <w:proofErr w:type="spellEnd"/>
      <w:r w:rsidRPr="00977967">
        <w:rPr>
          <w:i/>
          <w:iCs/>
          <w:sz w:val="20"/>
        </w:rPr>
        <w:t xml:space="preserve"> </w:t>
      </w:r>
      <w:proofErr w:type="spellStart"/>
      <w:r w:rsidRPr="00977967">
        <w:rPr>
          <w:i/>
          <w:iCs/>
          <w:sz w:val="20"/>
        </w:rPr>
        <w:t>jednotného</w:t>
      </w:r>
      <w:proofErr w:type="spellEnd"/>
      <w:r w:rsidRPr="00977967">
        <w:rPr>
          <w:i/>
          <w:iCs/>
          <w:sz w:val="20"/>
        </w:rPr>
        <w:t xml:space="preserve"> </w:t>
      </w:r>
      <w:proofErr w:type="spellStart"/>
      <w:r w:rsidRPr="00977967">
        <w:rPr>
          <w:i/>
          <w:iCs/>
          <w:sz w:val="20"/>
        </w:rPr>
        <w:t>evropského</w:t>
      </w:r>
      <w:proofErr w:type="spellEnd"/>
      <w:r w:rsidRPr="00977967">
        <w:rPr>
          <w:i/>
          <w:iCs/>
          <w:sz w:val="20"/>
        </w:rPr>
        <w:t xml:space="preserve"> </w:t>
      </w:r>
      <w:proofErr w:type="spellStart"/>
      <w:r w:rsidRPr="00977967">
        <w:rPr>
          <w:i/>
          <w:iCs/>
          <w:sz w:val="20"/>
        </w:rPr>
        <w:t>přístupového</w:t>
      </w:r>
      <w:proofErr w:type="spellEnd"/>
      <w:r w:rsidRPr="00977967">
        <w:rPr>
          <w:i/>
          <w:iCs/>
          <w:sz w:val="20"/>
        </w:rPr>
        <w:t xml:space="preserve"> </w:t>
      </w:r>
      <w:proofErr w:type="spellStart"/>
      <w:r w:rsidRPr="00977967">
        <w:rPr>
          <w:i/>
          <w:iCs/>
          <w:sz w:val="20"/>
        </w:rPr>
        <w:t>místa</w:t>
      </w:r>
      <w:proofErr w:type="spellEnd"/>
      <w:r w:rsidRPr="00C75CEF">
        <w:rPr>
          <w:sz w:val="20"/>
        </w:rPr>
        <w:t>) so se spremenili in dopolnili z Zakon o računovodstvu, Zakon o bankah, Zakon o hranilnicah in kreditnih zadrugah, Zakon o nadzoru kapitalskega trga, Zakon o obveznicah, Zakon o poslovanju na kapitalskem trgu, Zakon o finančnih konglomeratih, Zakon o insolventnosti, Zakon o dejavnostih poklicnih pokojninskih zavarovalnic, Zakon o prevzemni ponudbi, Zakon o revizorjih, Zakon o zavarovalništvu, Zakon o investicijskih družbah in investicijskih skladih, Zakon o postopkih sanacije in reševanja kriz na finančnem trgu, Zakon o distribuciji zavarovanj in pozavarovanj, Zakon o vseevropskem osebnem pokojninskem produktu.</w:t>
      </w:r>
    </w:p>
    <w:p w14:paraId="6370D50C" w14:textId="77777777" w:rsidR="00C75CEF" w:rsidRDefault="00C75CEF" w:rsidP="00530D11">
      <w:pPr>
        <w:pStyle w:val="Neotevilenodstavek"/>
        <w:spacing w:line="276" w:lineRule="auto"/>
        <w:rPr>
          <w:sz w:val="20"/>
        </w:rPr>
      </w:pPr>
    </w:p>
    <w:p w14:paraId="4A03A348" w14:textId="77777777" w:rsidR="005311A0" w:rsidRPr="00977967" w:rsidRDefault="005311A0" w:rsidP="00977967">
      <w:pPr>
        <w:pStyle w:val="Neotevilenodstavek"/>
        <w:spacing w:line="276" w:lineRule="auto"/>
        <w:rPr>
          <w:b/>
          <w:bCs/>
          <w:sz w:val="20"/>
        </w:rPr>
      </w:pPr>
      <w:r w:rsidRPr="00977967">
        <w:rPr>
          <w:b/>
          <w:bCs/>
          <w:sz w:val="20"/>
        </w:rPr>
        <w:t>Nemčija</w:t>
      </w:r>
    </w:p>
    <w:p w14:paraId="089BD96D" w14:textId="77777777" w:rsidR="005311A0" w:rsidRDefault="005311A0" w:rsidP="005311A0">
      <w:pPr>
        <w:pStyle w:val="Neotevilenodstavek"/>
        <w:spacing w:line="276" w:lineRule="auto"/>
        <w:rPr>
          <w:sz w:val="20"/>
        </w:rPr>
      </w:pPr>
      <w:r w:rsidRPr="00977967">
        <w:rPr>
          <w:sz w:val="20"/>
        </w:rPr>
        <w:t>Nemški Zakon o nujnih spremembah na področju finančnega trga in davkov (</w:t>
      </w:r>
      <w:proofErr w:type="spellStart"/>
      <w:r w:rsidRPr="00977967">
        <w:rPr>
          <w:i/>
          <w:iCs/>
          <w:sz w:val="20"/>
        </w:rPr>
        <w:t>Gesetz</w:t>
      </w:r>
      <w:proofErr w:type="spellEnd"/>
      <w:r w:rsidRPr="00977967">
        <w:rPr>
          <w:i/>
          <w:iCs/>
          <w:sz w:val="20"/>
        </w:rPr>
        <w:t xml:space="preserve"> </w:t>
      </w:r>
      <w:proofErr w:type="spellStart"/>
      <w:r w:rsidRPr="00977967">
        <w:rPr>
          <w:i/>
          <w:iCs/>
          <w:sz w:val="20"/>
        </w:rPr>
        <w:t>für</w:t>
      </w:r>
      <w:proofErr w:type="spellEnd"/>
      <w:r w:rsidRPr="00977967">
        <w:rPr>
          <w:i/>
          <w:iCs/>
          <w:sz w:val="20"/>
        </w:rPr>
        <w:t xml:space="preserve"> </w:t>
      </w:r>
      <w:proofErr w:type="spellStart"/>
      <w:r w:rsidRPr="00977967">
        <w:rPr>
          <w:i/>
          <w:iCs/>
          <w:sz w:val="20"/>
        </w:rPr>
        <w:t>dringliche</w:t>
      </w:r>
      <w:proofErr w:type="spellEnd"/>
      <w:r w:rsidRPr="00977967">
        <w:rPr>
          <w:i/>
          <w:iCs/>
          <w:sz w:val="20"/>
        </w:rPr>
        <w:t xml:space="preserve"> </w:t>
      </w:r>
      <w:proofErr w:type="spellStart"/>
      <w:r w:rsidRPr="00977967">
        <w:rPr>
          <w:i/>
          <w:iCs/>
          <w:sz w:val="20"/>
        </w:rPr>
        <w:t>Änderungen</w:t>
      </w:r>
      <w:proofErr w:type="spellEnd"/>
      <w:r w:rsidRPr="00977967">
        <w:rPr>
          <w:i/>
          <w:iCs/>
          <w:sz w:val="20"/>
        </w:rPr>
        <w:t xml:space="preserve"> </w:t>
      </w:r>
      <w:proofErr w:type="spellStart"/>
      <w:r w:rsidRPr="00977967">
        <w:rPr>
          <w:i/>
          <w:iCs/>
          <w:sz w:val="20"/>
        </w:rPr>
        <w:t>im</w:t>
      </w:r>
      <w:proofErr w:type="spellEnd"/>
      <w:r w:rsidRPr="00977967">
        <w:rPr>
          <w:i/>
          <w:iCs/>
          <w:sz w:val="20"/>
        </w:rPr>
        <w:t xml:space="preserve"> </w:t>
      </w:r>
      <w:proofErr w:type="spellStart"/>
      <w:r w:rsidRPr="00977967">
        <w:rPr>
          <w:i/>
          <w:iCs/>
          <w:sz w:val="20"/>
        </w:rPr>
        <w:t>Finanzmarkt</w:t>
      </w:r>
      <w:proofErr w:type="spellEnd"/>
      <w:r w:rsidRPr="00977967">
        <w:rPr>
          <w:i/>
          <w:iCs/>
          <w:sz w:val="20"/>
        </w:rPr>
        <w:t xml:space="preserve">- </w:t>
      </w:r>
      <w:proofErr w:type="spellStart"/>
      <w:r w:rsidRPr="00977967">
        <w:rPr>
          <w:i/>
          <w:iCs/>
          <w:sz w:val="20"/>
        </w:rPr>
        <w:t>und</w:t>
      </w:r>
      <w:proofErr w:type="spellEnd"/>
      <w:r w:rsidRPr="00977967">
        <w:rPr>
          <w:i/>
          <w:iCs/>
          <w:sz w:val="20"/>
        </w:rPr>
        <w:t xml:space="preserve"> </w:t>
      </w:r>
      <w:proofErr w:type="spellStart"/>
      <w:r w:rsidRPr="00977967">
        <w:rPr>
          <w:i/>
          <w:iCs/>
          <w:sz w:val="20"/>
        </w:rPr>
        <w:t>Steuerbereich</w:t>
      </w:r>
      <w:proofErr w:type="spellEnd"/>
      <w:r w:rsidRPr="00977967">
        <w:rPr>
          <w:i/>
          <w:iCs/>
          <w:sz w:val="20"/>
        </w:rPr>
        <w:t xml:space="preserve">, </w:t>
      </w:r>
      <w:proofErr w:type="spellStart"/>
      <w:r w:rsidRPr="00977967">
        <w:rPr>
          <w:i/>
          <w:iCs/>
          <w:sz w:val="20"/>
        </w:rPr>
        <w:t>BGBl</w:t>
      </w:r>
      <w:proofErr w:type="spellEnd"/>
      <w:r w:rsidRPr="00977967">
        <w:rPr>
          <w:i/>
          <w:iCs/>
          <w:sz w:val="20"/>
        </w:rPr>
        <w:t xml:space="preserve">. I 2025, </w:t>
      </w:r>
      <w:proofErr w:type="spellStart"/>
      <w:r w:rsidRPr="00977967">
        <w:rPr>
          <w:i/>
          <w:iCs/>
          <w:sz w:val="20"/>
        </w:rPr>
        <w:t>Nr</w:t>
      </w:r>
      <w:proofErr w:type="spellEnd"/>
      <w:r w:rsidRPr="00977967">
        <w:rPr>
          <w:i/>
          <w:iCs/>
          <w:sz w:val="20"/>
        </w:rPr>
        <w:t>. 69</w:t>
      </w:r>
      <w:r w:rsidRPr="00977967">
        <w:rPr>
          <w:sz w:val="20"/>
        </w:rPr>
        <w:t>) zagotavlja prenos Direktive 2023/2864/EU. Zakon je bil sprejet 30. januarja 2025 in objavljen 5. marca 2025. Prenos ESAP se osredotoča na prilagoditve nacionalnih poročevalnih mehanizmov, vključno z določitvijo zbirnih točk za posredovanje podatkov v centralni evropski portal (</w:t>
      </w:r>
      <w:proofErr w:type="spellStart"/>
      <w:r w:rsidRPr="00977967">
        <w:rPr>
          <w:i/>
          <w:iCs/>
          <w:sz w:val="20"/>
        </w:rPr>
        <w:t>zentrale</w:t>
      </w:r>
      <w:proofErr w:type="spellEnd"/>
      <w:r w:rsidRPr="00977967">
        <w:rPr>
          <w:i/>
          <w:iCs/>
          <w:sz w:val="20"/>
        </w:rPr>
        <w:t xml:space="preserve"> </w:t>
      </w:r>
      <w:proofErr w:type="spellStart"/>
      <w:r w:rsidRPr="00977967">
        <w:rPr>
          <w:i/>
          <w:iCs/>
          <w:sz w:val="20"/>
        </w:rPr>
        <w:t>europäische</w:t>
      </w:r>
      <w:proofErr w:type="spellEnd"/>
      <w:r w:rsidRPr="00977967">
        <w:rPr>
          <w:i/>
          <w:iCs/>
          <w:sz w:val="20"/>
        </w:rPr>
        <w:t xml:space="preserve"> </w:t>
      </w:r>
      <w:proofErr w:type="spellStart"/>
      <w:r w:rsidRPr="00977967">
        <w:rPr>
          <w:i/>
          <w:iCs/>
          <w:sz w:val="20"/>
        </w:rPr>
        <w:t>Zugangsportal</w:t>
      </w:r>
      <w:proofErr w:type="spellEnd"/>
      <w:r w:rsidRPr="00977967">
        <w:rPr>
          <w:sz w:val="20"/>
        </w:rPr>
        <w:t xml:space="preserve">). </w:t>
      </w:r>
    </w:p>
    <w:p w14:paraId="44DF0755" w14:textId="77777777" w:rsidR="002416AA" w:rsidRPr="00977967" w:rsidRDefault="002416AA" w:rsidP="00977967">
      <w:pPr>
        <w:pStyle w:val="Neotevilenodstavek"/>
        <w:spacing w:line="276" w:lineRule="auto"/>
        <w:rPr>
          <w:sz w:val="20"/>
        </w:rPr>
      </w:pPr>
    </w:p>
    <w:p w14:paraId="5DF0DD06" w14:textId="77777777" w:rsidR="005311A0" w:rsidRDefault="005311A0" w:rsidP="00977967">
      <w:pPr>
        <w:pStyle w:val="Neotevilenodstavek"/>
        <w:spacing w:line="276" w:lineRule="auto"/>
        <w:rPr>
          <w:sz w:val="20"/>
        </w:rPr>
      </w:pPr>
      <w:r w:rsidRPr="00977967">
        <w:rPr>
          <w:sz w:val="20"/>
        </w:rPr>
        <w:lastRenderedPageBreak/>
        <w:t>Ključni členi zakona, ki urejajo prenos Direktive 2023/2864/EU spreminjajo in dopolnjujejo zakone s področja gospodarstva, vrednostnih papirjev in bančništva. S spremembami in dopolnitvami zakonov se določa obveza posredovanja informacij v ESAP prek Zvezne agencija za finančni nadzor (</w:t>
      </w:r>
      <w:proofErr w:type="spellStart"/>
      <w:r w:rsidRPr="00977967">
        <w:rPr>
          <w:i/>
          <w:iCs/>
          <w:sz w:val="20"/>
        </w:rPr>
        <w:t>Bundesanstalt</w:t>
      </w:r>
      <w:proofErr w:type="spellEnd"/>
      <w:r w:rsidRPr="00977967">
        <w:rPr>
          <w:i/>
          <w:iCs/>
          <w:sz w:val="20"/>
        </w:rPr>
        <w:t xml:space="preserve"> </w:t>
      </w:r>
      <w:proofErr w:type="spellStart"/>
      <w:r w:rsidRPr="00977967">
        <w:rPr>
          <w:i/>
          <w:iCs/>
          <w:sz w:val="20"/>
        </w:rPr>
        <w:t>für</w:t>
      </w:r>
      <w:proofErr w:type="spellEnd"/>
      <w:r w:rsidRPr="00977967">
        <w:rPr>
          <w:i/>
          <w:iCs/>
          <w:sz w:val="20"/>
        </w:rPr>
        <w:t xml:space="preserve"> </w:t>
      </w:r>
      <w:proofErr w:type="spellStart"/>
      <w:r w:rsidRPr="00977967">
        <w:rPr>
          <w:i/>
          <w:iCs/>
          <w:sz w:val="20"/>
        </w:rPr>
        <w:t>Finanzdienstleistungsaufsicht</w:t>
      </w:r>
      <w:proofErr w:type="spellEnd"/>
      <w:r w:rsidRPr="00977967">
        <w:rPr>
          <w:sz w:val="20"/>
        </w:rPr>
        <w:t xml:space="preserve">). </w:t>
      </w:r>
    </w:p>
    <w:p w14:paraId="126FEC49" w14:textId="77777777" w:rsidR="00041E83" w:rsidRDefault="00041E83" w:rsidP="00977967">
      <w:pPr>
        <w:pStyle w:val="Neotevilenodstavek"/>
        <w:spacing w:line="276" w:lineRule="auto"/>
        <w:rPr>
          <w:sz w:val="20"/>
        </w:rPr>
      </w:pPr>
    </w:p>
    <w:p w14:paraId="1C052994" w14:textId="77777777" w:rsidR="00041E83" w:rsidRPr="00041E83" w:rsidRDefault="00041E83" w:rsidP="00041E83">
      <w:pPr>
        <w:pStyle w:val="Neotevilenodstavek"/>
        <w:spacing w:line="276" w:lineRule="auto"/>
        <w:rPr>
          <w:b/>
          <w:sz w:val="20"/>
        </w:rPr>
      </w:pPr>
      <w:r w:rsidRPr="00041E83">
        <w:rPr>
          <w:b/>
          <w:sz w:val="20"/>
        </w:rPr>
        <w:t>Republika Hrvaška</w:t>
      </w:r>
    </w:p>
    <w:p w14:paraId="0D18D648" w14:textId="77777777" w:rsidR="00041E83" w:rsidRPr="00041E83" w:rsidRDefault="00041E83" w:rsidP="00041E83">
      <w:pPr>
        <w:pStyle w:val="Neotevilenodstavek"/>
        <w:spacing w:line="276" w:lineRule="auto"/>
        <w:rPr>
          <w:sz w:val="20"/>
        </w:rPr>
      </w:pPr>
    </w:p>
    <w:p w14:paraId="0CE12E86" w14:textId="77777777" w:rsidR="00041E83" w:rsidRPr="00041E83" w:rsidRDefault="00041E83" w:rsidP="00041E83">
      <w:pPr>
        <w:pStyle w:val="Neotevilenodstavek"/>
        <w:spacing w:line="276" w:lineRule="auto"/>
        <w:rPr>
          <w:sz w:val="20"/>
        </w:rPr>
      </w:pPr>
      <w:r w:rsidRPr="00041E83">
        <w:rPr>
          <w:sz w:val="20"/>
        </w:rPr>
        <w:t xml:space="preserve">Zakon o </w:t>
      </w:r>
      <w:proofErr w:type="spellStart"/>
      <w:r w:rsidRPr="00041E83">
        <w:rPr>
          <w:sz w:val="20"/>
        </w:rPr>
        <w:t>izmjenama</w:t>
      </w:r>
      <w:proofErr w:type="spellEnd"/>
      <w:r w:rsidRPr="00041E83">
        <w:rPr>
          <w:sz w:val="20"/>
        </w:rPr>
        <w:t xml:space="preserve"> i </w:t>
      </w:r>
      <w:proofErr w:type="spellStart"/>
      <w:r w:rsidRPr="00041E83">
        <w:rPr>
          <w:sz w:val="20"/>
        </w:rPr>
        <w:t>dopunama</w:t>
      </w:r>
      <w:proofErr w:type="spellEnd"/>
      <w:r w:rsidRPr="00041E83">
        <w:rPr>
          <w:sz w:val="20"/>
        </w:rPr>
        <w:t xml:space="preserve"> Zakona o </w:t>
      </w:r>
      <w:proofErr w:type="spellStart"/>
      <w:r w:rsidRPr="00041E83">
        <w:rPr>
          <w:sz w:val="20"/>
        </w:rPr>
        <w:t>tržištu</w:t>
      </w:r>
      <w:proofErr w:type="spellEnd"/>
      <w:r w:rsidRPr="00041E83">
        <w:rPr>
          <w:sz w:val="20"/>
        </w:rPr>
        <w:t xml:space="preserve"> kapitala zagotavlja prenos Direktive 2023/2864/EU. V skladu z novi 697.a, 697.b, 697.c in 697.d členom Zakona o </w:t>
      </w:r>
      <w:proofErr w:type="spellStart"/>
      <w:r w:rsidRPr="00041E83">
        <w:rPr>
          <w:sz w:val="20"/>
        </w:rPr>
        <w:t>tržištu</w:t>
      </w:r>
      <w:proofErr w:type="spellEnd"/>
      <w:r w:rsidRPr="00041E83">
        <w:rPr>
          <w:sz w:val="20"/>
        </w:rPr>
        <w:t xml:space="preserve"> kapitala urejajo obveze subjektov, ki javno objavljajo določene informacije, ter obveznosti Hrvatske agencije za nadzor </w:t>
      </w:r>
      <w:proofErr w:type="spellStart"/>
      <w:r w:rsidRPr="00041E83">
        <w:rPr>
          <w:sz w:val="20"/>
        </w:rPr>
        <w:t>financijskih</w:t>
      </w:r>
      <w:proofErr w:type="spellEnd"/>
      <w:r w:rsidRPr="00041E83">
        <w:rPr>
          <w:sz w:val="20"/>
        </w:rPr>
        <w:t xml:space="preserve"> usluga (v nadaljnjem besedilu: HANFA) glede zbiranja in zagotavljanja dostopnosti teh informacij </w:t>
      </w:r>
      <w:proofErr w:type="spellStart"/>
      <w:r w:rsidRPr="00041E83">
        <w:rPr>
          <w:sz w:val="20"/>
        </w:rPr>
        <w:t>prekESAP</w:t>
      </w:r>
      <w:proofErr w:type="spellEnd"/>
      <w:r w:rsidRPr="00041E83">
        <w:rPr>
          <w:sz w:val="20"/>
        </w:rPr>
        <w:t xml:space="preserve">. </w:t>
      </w:r>
    </w:p>
    <w:p w14:paraId="35C27E28" w14:textId="77777777" w:rsidR="00041E83" w:rsidRPr="00041E83" w:rsidRDefault="00041E83" w:rsidP="00041E83">
      <w:pPr>
        <w:pStyle w:val="Neotevilenodstavek"/>
        <w:spacing w:line="276" w:lineRule="auto"/>
        <w:rPr>
          <w:sz w:val="20"/>
        </w:rPr>
      </w:pPr>
    </w:p>
    <w:p w14:paraId="016E9635" w14:textId="77777777" w:rsidR="00041E83" w:rsidRPr="00041E83" w:rsidRDefault="00041E83" w:rsidP="00041E83">
      <w:pPr>
        <w:pStyle w:val="Neotevilenodstavek"/>
        <w:spacing w:line="276" w:lineRule="auto"/>
        <w:rPr>
          <w:sz w:val="20"/>
        </w:rPr>
      </w:pPr>
      <w:r w:rsidRPr="00041E83">
        <w:rPr>
          <w:sz w:val="20"/>
        </w:rPr>
        <w:t xml:space="preserve">Določa se obvezo posredovanja določenih informacij na ESAP, povečuje preglednost in dostopnost informacij na ravni Evropske unije, omogoča boljši nadzor nad finančnimi trgi in korporativnim upravljanjem ter izboljšuje zaščito </w:t>
      </w:r>
      <w:proofErr w:type="spellStart"/>
      <w:r w:rsidRPr="00041E83">
        <w:rPr>
          <w:sz w:val="20"/>
        </w:rPr>
        <w:t>vlagateljevin</w:t>
      </w:r>
      <w:proofErr w:type="spellEnd"/>
      <w:r w:rsidRPr="00041E83">
        <w:rPr>
          <w:sz w:val="20"/>
        </w:rPr>
        <w:t xml:space="preserve"> tržno disciplino. Investicijska podjetja, upravljavci trga in izdajatelji, ki javno objavljajo določene informacije, dolžni te informacije hkrati posredovati HANFA, da bodo dostopne na ESAP. Zahteva se določena obliko podatkov, obvezni metapodatki in </w:t>
      </w:r>
      <w:proofErr w:type="spellStart"/>
      <w:r w:rsidRPr="00041E83">
        <w:rPr>
          <w:sz w:val="20"/>
        </w:rPr>
        <w:t>zagotavljanjedostopnosti</w:t>
      </w:r>
      <w:proofErr w:type="spellEnd"/>
      <w:r w:rsidRPr="00041E83">
        <w:rPr>
          <w:sz w:val="20"/>
        </w:rPr>
        <w:t xml:space="preserve"> informacij prek ESAP. Pri tem je določeno, da morajo informacije izpolnjevati določene tehnične zahteve, vključno s posredovanjem v obliki, iz katere je mogoče izločiti podatke oziroma v strojno berljivem formatu, če je to predvideno s pravom </w:t>
      </w:r>
      <w:proofErr w:type="spellStart"/>
      <w:r w:rsidRPr="00041E83">
        <w:rPr>
          <w:sz w:val="20"/>
        </w:rPr>
        <w:t>Evropskeunije</w:t>
      </w:r>
      <w:proofErr w:type="spellEnd"/>
      <w:r w:rsidRPr="00041E83">
        <w:rPr>
          <w:sz w:val="20"/>
        </w:rPr>
        <w:t>, ter da morajo vsebovati obvezne metapodatke. Poleg obveznosti subjektov, ki posredujejo informacije, je določena tudi obveza HANFA, da zagotovi dostopnost posredovanih informacij na ESAP in da izpolnjujejo tehnične zahteve, določene z Uredbo 2023/2859/EU.</w:t>
      </w:r>
    </w:p>
    <w:p w14:paraId="0A852249" w14:textId="77777777" w:rsidR="00041E83" w:rsidRPr="00041E83" w:rsidRDefault="00041E83" w:rsidP="00041E83">
      <w:pPr>
        <w:pStyle w:val="Neotevilenodstavek"/>
        <w:spacing w:line="276" w:lineRule="auto"/>
        <w:rPr>
          <w:sz w:val="20"/>
        </w:rPr>
      </w:pPr>
    </w:p>
    <w:p w14:paraId="3442B817" w14:textId="77777777" w:rsidR="00ED36BF" w:rsidRPr="00445B9C" w:rsidRDefault="00ED36BF" w:rsidP="00ED36BF">
      <w:pPr>
        <w:autoSpaceDE w:val="0"/>
        <w:autoSpaceDN w:val="0"/>
        <w:adjustRightInd w:val="0"/>
        <w:spacing w:line="240" w:lineRule="auto"/>
        <w:jc w:val="both"/>
        <w:rPr>
          <w:rFonts w:cs="Arial"/>
          <w:b/>
          <w:bCs/>
          <w:szCs w:val="20"/>
        </w:rPr>
      </w:pPr>
      <w:r w:rsidRPr="00445B9C">
        <w:rPr>
          <w:rFonts w:cs="Arial"/>
          <w:b/>
          <w:bCs/>
          <w:szCs w:val="20"/>
        </w:rPr>
        <w:t>Prilagojenost predlagane ureditve pravu Evropske unije</w:t>
      </w:r>
    </w:p>
    <w:p w14:paraId="7E9D1B80" w14:textId="77777777" w:rsidR="00EE2284" w:rsidRPr="00445B9C" w:rsidRDefault="00EE2284" w:rsidP="00ED36BF">
      <w:pPr>
        <w:autoSpaceDE w:val="0"/>
        <w:autoSpaceDN w:val="0"/>
        <w:adjustRightInd w:val="0"/>
        <w:spacing w:line="240" w:lineRule="auto"/>
        <w:jc w:val="both"/>
        <w:rPr>
          <w:rFonts w:cs="Arial"/>
          <w:b/>
          <w:bCs/>
          <w:szCs w:val="20"/>
        </w:rPr>
      </w:pPr>
    </w:p>
    <w:p w14:paraId="6C34F2D6" w14:textId="3FFF3EAD" w:rsidR="00530D11" w:rsidRPr="004F2896" w:rsidRDefault="00530D11" w:rsidP="00746B75">
      <w:pPr>
        <w:pStyle w:val="Neotevilenodstavek"/>
        <w:spacing w:line="276" w:lineRule="auto"/>
        <w:rPr>
          <w:sz w:val="20"/>
        </w:rPr>
      </w:pPr>
      <w:r w:rsidRPr="00544913">
        <w:rPr>
          <w:sz w:val="20"/>
        </w:rPr>
        <w:t>Predlog zakona je prilagojen pravnemu redu EU</w:t>
      </w:r>
      <w:r w:rsidR="004A7634">
        <w:rPr>
          <w:sz w:val="20"/>
        </w:rPr>
        <w:t xml:space="preserve">, saj gre za predpis, s katerim se v slovenski pravni red prenašajo določbe Direktive </w:t>
      </w:r>
      <w:r w:rsidRPr="00544913">
        <w:rPr>
          <w:sz w:val="20"/>
        </w:rPr>
        <w:t>2023/2864</w:t>
      </w:r>
      <w:r w:rsidR="004A7634">
        <w:rPr>
          <w:sz w:val="20"/>
        </w:rPr>
        <w:t>/EU</w:t>
      </w:r>
      <w:r w:rsidR="00334A47">
        <w:rPr>
          <w:sz w:val="20"/>
        </w:rPr>
        <w:t>,</w:t>
      </w:r>
      <w:r w:rsidR="004A7634">
        <w:rPr>
          <w:sz w:val="20"/>
        </w:rPr>
        <w:t xml:space="preserve"> ureja</w:t>
      </w:r>
      <w:r w:rsidR="00334A47">
        <w:rPr>
          <w:sz w:val="20"/>
        </w:rPr>
        <w:t xml:space="preserve"> pa tudi</w:t>
      </w:r>
      <w:r w:rsidR="004A7634">
        <w:rPr>
          <w:sz w:val="20"/>
        </w:rPr>
        <w:t xml:space="preserve"> izvajanje Uredbe </w:t>
      </w:r>
      <w:r w:rsidRPr="00544913">
        <w:rPr>
          <w:sz w:val="20"/>
        </w:rPr>
        <w:t>2023/2859</w:t>
      </w:r>
      <w:r w:rsidR="004A7634">
        <w:rPr>
          <w:sz w:val="20"/>
        </w:rPr>
        <w:t>/EU in Uredbe</w:t>
      </w:r>
      <w:r w:rsidRPr="00544913">
        <w:rPr>
          <w:sz w:val="20"/>
        </w:rPr>
        <w:t xml:space="preserve"> 2023/2869</w:t>
      </w:r>
      <w:r w:rsidR="004A7634">
        <w:rPr>
          <w:sz w:val="20"/>
        </w:rPr>
        <w:t>/EU.</w:t>
      </w:r>
    </w:p>
    <w:p w14:paraId="4654E6F7" w14:textId="77777777" w:rsidR="00ED36BF" w:rsidRPr="00445B9C" w:rsidRDefault="00670B84" w:rsidP="00ED36BF">
      <w:pPr>
        <w:spacing w:line="260" w:lineRule="exact"/>
        <w:jc w:val="both"/>
        <w:rPr>
          <w:rFonts w:cs="Arial"/>
          <w:szCs w:val="20"/>
        </w:rPr>
      </w:pPr>
      <w:r w:rsidRPr="00445B9C">
        <w:rPr>
          <w:rFonts w:cs="Arial"/>
          <w:szCs w:val="20"/>
        </w:rPr>
        <w:t xml:space="preserve"> </w:t>
      </w:r>
    </w:p>
    <w:p w14:paraId="422D68DF" w14:textId="77777777" w:rsidR="00ED36BF" w:rsidRPr="00445B9C" w:rsidRDefault="0089316A" w:rsidP="0089316A">
      <w:pPr>
        <w:spacing w:line="260" w:lineRule="exact"/>
        <w:ind w:left="714" w:hanging="357"/>
        <w:rPr>
          <w:rFonts w:cs="Arial"/>
          <w:b/>
          <w:szCs w:val="20"/>
        </w:rPr>
      </w:pPr>
      <w:r w:rsidRPr="00A8764F">
        <w:rPr>
          <w:rFonts w:cs="Arial"/>
          <w:b/>
          <w:szCs w:val="20"/>
        </w:rPr>
        <w:t xml:space="preserve">6. </w:t>
      </w:r>
      <w:r w:rsidR="00ED36BF" w:rsidRPr="00A8764F">
        <w:rPr>
          <w:rFonts w:cs="Arial"/>
          <w:b/>
          <w:szCs w:val="20"/>
        </w:rPr>
        <w:t>PRESOJA POSLEDIC, KI JIH BO IMEL SPREJEM ZAKONA</w:t>
      </w:r>
    </w:p>
    <w:p w14:paraId="631D165D" w14:textId="77777777" w:rsidR="00ED36BF" w:rsidRPr="00445B9C" w:rsidRDefault="00ED36BF" w:rsidP="00ED36BF">
      <w:pPr>
        <w:spacing w:line="260" w:lineRule="exact"/>
        <w:jc w:val="both"/>
        <w:rPr>
          <w:rFonts w:cs="Arial"/>
          <w:szCs w:val="20"/>
        </w:rPr>
      </w:pPr>
    </w:p>
    <w:p w14:paraId="6DEFE871" w14:textId="77777777" w:rsidR="00ED36BF" w:rsidRPr="00445B9C" w:rsidRDefault="00ED36BF" w:rsidP="00ED36BF">
      <w:pPr>
        <w:spacing w:line="260" w:lineRule="exact"/>
        <w:jc w:val="both"/>
        <w:rPr>
          <w:rFonts w:cs="Arial"/>
          <w:szCs w:val="20"/>
        </w:rPr>
      </w:pPr>
      <w:r w:rsidRPr="00445B9C">
        <w:rPr>
          <w:rFonts w:cs="Arial"/>
          <w:b/>
          <w:szCs w:val="20"/>
        </w:rPr>
        <w:t>6.1 Presoja administrativnih posledic</w:t>
      </w:r>
    </w:p>
    <w:p w14:paraId="27B51E27" w14:textId="77777777" w:rsidR="00ED36BF" w:rsidRPr="00445B9C" w:rsidRDefault="00ED36BF" w:rsidP="00ED36BF">
      <w:pPr>
        <w:spacing w:line="260" w:lineRule="exact"/>
        <w:jc w:val="both"/>
        <w:rPr>
          <w:rFonts w:cs="Arial"/>
          <w:b/>
          <w:szCs w:val="20"/>
        </w:rPr>
      </w:pPr>
    </w:p>
    <w:p w14:paraId="3737C14B" w14:textId="77777777" w:rsidR="00334A47" w:rsidRPr="00445B9C" w:rsidRDefault="00334A47" w:rsidP="00334A47">
      <w:pPr>
        <w:spacing w:line="260" w:lineRule="exact"/>
        <w:jc w:val="both"/>
        <w:rPr>
          <w:rFonts w:cs="Arial"/>
          <w:b/>
          <w:szCs w:val="20"/>
        </w:rPr>
      </w:pPr>
      <w:r w:rsidRPr="00445B9C">
        <w:rPr>
          <w:rFonts w:cs="Arial"/>
          <w:b/>
          <w:szCs w:val="20"/>
        </w:rPr>
        <w:t>a) v postopkih oziroma poslovanju javne uprave ali pravosodnih organov:</w:t>
      </w:r>
    </w:p>
    <w:p w14:paraId="70FF3847" w14:textId="77777777" w:rsidR="00334A47" w:rsidRDefault="00334A47" w:rsidP="00334A47">
      <w:pPr>
        <w:spacing w:line="260" w:lineRule="exact"/>
        <w:jc w:val="both"/>
        <w:rPr>
          <w:szCs w:val="20"/>
        </w:rPr>
      </w:pPr>
      <w:r w:rsidRPr="003F3C8A">
        <w:rPr>
          <w:szCs w:val="20"/>
        </w:rPr>
        <w:t xml:space="preserve">Zakon predvideva </w:t>
      </w:r>
      <w:r>
        <w:rPr>
          <w:szCs w:val="20"/>
        </w:rPr>
        <w:t>posamezne</w:t>
      </w:r>
      <w:r w:rsidRPr="003F3C8A">
        <w:rPr>
          <w:szCs w:val="20"/>
        </w:rPr>
        <w:t xml:space="preserve"> prilagoditve v delovanju pristojnih organov za zbiranje podatkov (</w:t>
      </w:r>
      <w:r>
        <w:rPr>
          <w:szCs w:val="20"/>
        </w:rPr>
        <w:t>ATVP, AZN,</w:t>
      </w:r>
      <w:r w:rsidRPr="003F3C8A">
        <w:rPr>
          <w:szCs w:val="20"/>
        </w:rPr>
        <w:t xml:space="preserve"> </w:t>
      </w:r>
      <w:r>
        <w:rPr>
          <w:szCs w:val="20"/>
        </w:rPr>
        <w:t>ANR,</w:t>
      </w:r>
      <w:r w:rsidRPr="003F3C8A">
        <w:rPr>
          <w:szCs w:val="20"/>
        </w:rPr>
        <w:t xml:space="preserve"> AJPES</w:t>
      </w:r>
      <w:r>
        <w:rPr>
          <w:szCs w:val="20"/>
        </w:rPr>
        <w:t>, Banka Slovenije</w:t>
      </w:r>
      <w:r w:rsidRPr="003F3C8A">
        <w:rPr>
          <w:szCs w:val="20"/>
        </w:rPr>
        <w:t>), ki bodo morali prilagoditi svoje sisteme za zbiranje in po</w:t>
      </w:r>
      <w:r>
        <w:rPr>
          <w:szCs w:val="20"/>
        </w:rPr>
        <w:t>šilj</w:t>
      </w:r>
      <w:r w:rsidRPr="003F3C8A">
        <w:rPr>
          <w:szCs w:val="20"/>
        </w:rPr>
        <w:t xml:space="preserve">anje informacij v ESAP. </w:t>
      </w:r>
    </w:p>
    <w:p w14:paraId="0A1EFA6D" w14:textId="77777777" w:rsidR="00334A47" w:rsidRPr="00445B9C" w:rsidRDefault="00334A47" w:rsidP="00334A47">
      <w:pPr>
        <w:spacing w:line="260" w:lineRule="exact"/>
        <w:jc w:val="both"/>
        <w:rPr>
          <w:rFonts w:cs="Arial"/>
          <w:b/>
          <w:szCs w:val="20"/>
        </w:rPr>
      </w:pPr>
    </w:p>
    <w:p w14:paraId="6179DA2C" w14:textId="77777777" w:rsidR="00334A47" w:rsidRPr="00445B9C" w:rsidRDefault="00334A47" w:rsidP="00334A47">
      <w:pPr>
        <w:spacing w:line="260" w:lineRule="exact"/>
        <w:jc w:val="both"/>
        <w:rPr>
          <w:rFonts w:cs="Arial"/>
          <w:szCs w:val="20"/>
        </w:rPr>
      </w:pPr>
      <w:r w:rsidRPr="00445B9C">
        <w:rPr>
          <w:rFonts w:cs="Arial"/>
          <w:b/>
          <w:szCs w:val="20"/>
        </w:rPr>
        <w:t>b) pri obveznostih strank do javne uprave ali pravosodnih organov:</w:t>
      </w:r>
    </w:p>
    <w:p w14:paraId="1AB3BB21" w14:textId="77777777" w:rsidR="00334A47" w:rsidRPr="00445B9C" w:rsidRDefault="00334A47" w:rsidP="00334A47">
      <w:pPr>
        <w:spacing w:line="260" w:lineRule="exact"/>
        <w:jc w:val="both"/>
        <w:rPr>
          <w:rFonts w:cs="Arial"/>
          <w:szCs w:val="20"/>
        </w:rPr>
      </w:pPr>
      <w:r w:rsidRPr="003F3C8A">
        <w:rPr>
          <w:szCs w:val="20"/>
        </w:rPr>
        <w:t xml:space="preserve">Zakon ne uvaja novih obveznosti poročanja, temveč določa nove tehnične zahteve za način predložitve že </w:t>
      </w:r>
      <w:r>
        <w:rPr>
          <w:szCs w:val="20"/>
        </w:rPr>
        <w:t>zdaj</w:t>
      </w:r>
      <w:r w:rsidRPr="003F3C8A">
        <w:rPr>
          <w:szCs w:val="20"/>
        </w:rPr>
        <w:t xml:space="preserve"> obvezn</w:t>
      </w:r>
      <w:r>
        <w:rPr>
          <w:szCs w:val="20"/>
        </w:rPr>
        <w:t>ega</w:t>
      </w:r>
      <w:r w:rsidRPr="003F3C8A">
        <w:rPr>
          <w:szCs w:val="20"/>
        </w:rPr>
        <w:t xml:space="preserve"> </w:t>
      </w:r>
      <w:r>
        <w:rPr>
          <w:szCs w:val="20"/>
        </w:rPr>
        <w:t>s</w:t>
      </w:r>
      <w:r w:rsidRPr="003F3C8A">
        <w:rPr>
          <w:szCs w:val="20"/>
        </w:rPr>
        <w:t>poročanj</w:t>
      </w:r>
      <w:r>
        <w:rPr>
          <w:szCs w:val="20"/>
        </w:rPr>
        <w:t>a podatkov</w:t>
      </w:r>
      <w:r w:rsidRPr="003F3C8A">
        <w:rPr>
          <w:szCs w:val="20"/>
        </w:rPr>
        <w:t xml:space="preserve">. Subjekti bodo morali predložiti informacije v </w:t>
      </w:r>
      <w:r w:rsidRPr="00980911">
        <w:rPr>
          <w:szCs w:val="20"/>
        </w:rPr>
        <w:t>formatu</w:t>
      </w:r>
      <w:r w:rsidRPr="003F3C8A">
        <w:rPr>
          <w:szCs w:val="20"/>
        </w:rPr>
        <w:t xml:space="preserve">, ki omogoča </w:t>
      </w:r>
      <w:r w:rsidRPr="00980911">
        <w:rPr>
          <w:szCs w:val="20"/>
        </w:rPr>
        <w:t>izv</w:t>
      </w:r>
      <w:r>
        <w:rPr>
          <w:szCs w:val="20"/>
        </w:rPr>
        <w:t>oz</w:t>
      </w:r>
      <w:r w:rsidRPr="00980911">
        <w:rPr>
          <w:szCs w:val="20"/>
        </w:rPr>
        <w:t xml:space="preserve"> po</w:t>
      </w:r>
      <w:r w:rsidRPr="003F3C8A">
        <w:rPr>
          <w:szCs w:val="20"/>
        </w:rPr>
        <w:t>datkov, ali v strojno berljiv</w:t>
      </w:r>
      <w:r>
        <w:rPr>
          <w:szCs w:val="20"/>
        </w:rPr>
        <w:t>i</w:t>
      </w:r>
      <w:r w:rsidRPr="003F3C8A">
        <w:rPr>
          <w:szCs w:val="20"/>
        </w:rPr>
        <w:t xml:space="preserve"> o</w:t>
      </w:r>
      <w:r>
        <w:rPr>
          <w:szCs w:val="20"/>
        </w:rPr>
        <w:t>bliki</w:t>
      </w:r>
      <w:r w:rsidRPr="003F3C8A">
        <w:rPr>
          <w:szCs w:val="20"/>
        </w:rPr>
        <w:t xml:space="preserve">, skupaj z zahtevanimi metapodatki. Te prilagoditve bodo potekale postopno, v skladu z določenimi roki </w:t>
      </w:r>
      <w:r>
        <w:rPr>
          <w:szCs w:val="20"/>
        </w:rPr>
        <w:t>uvedbe</w:t>
      </w:r>
      <w:r w:rsidRPr="003F3C8A">
        <w:rPr>
          <w:szCs w:val="20"/>
        </w:rPr>
        <w:t xml:space="preserve"> med letoma 202</w:t>
      </w:r>
      <w:r>
        <w:rPr>
          <w:szCs w:val="20"/>
        </w:rPr>
        <w:t>8</w:t>
      </w:r>
      <w:r w:rsidRPr="003F3C8A">
        <w:rPr>
          <w:szCs w:val="20"/>
        </w:rPr>
        <w:t xml:space="preserve"> in 2030, kar bo subjektom omogočilo ustrezno prilagoditev njihovih sistemov poročanja</w:t>
      </w:r>
      <w:r>
        <w:rPr>
          <w:szCs w:val="20"/>
        </w:rPr>
        <w:t>.</w:t>
      </w:r>
    </w:p>
    <w:p w14:paraId="7C1E9F1A" w14:textId="77777777" w:rsidR="00334A47" w:rsidRDefault="00334A47" w:rsidP="00334A47">
      <w:pPr>
        <w:spacing w:line="260" w:lineRule="exact"/>
        <w:jc w:val="both"/>
        <w:rPr>
          <w:rFonts w:cs="Arial"/>
          <w:b/>
          <w:szCs w:val="20"/>
        </w:rPr>
      </w:pPr>
    </w:p>
    <w:p w14:paraId="3080F262" w14:textId="77777777" w:rsidR="00041E83" w:rsidRPr="00445B9C" w:rsidRDefault="00041E83" w:rsidP="00334A47">
      <w:pPr>
        <w:spacing w:line="260" w:lineRule="exact"/>
        <w:jc w:val="both"/>
        <w:rPr>
          <w:rFonts w:cs="Arial"/>
          <w:b/>
          <w:szCs w:val="20"/>
        </w:rPr>
      </w:pPr>
    </w:p>
    <w:p w14:paraId="3DCA988A" w14:textId="77777777" w:rsidR="00334A47" w:rsidRPr="00445B9C" w:rsidRDefault="00334A47" w:rsidP="00334A47">
      <w:pPr>
        <w:spacing w:line="260" w:lineRule="exact"/>
        <w:jc w:val="both"/>
        <w:rPr>
          <w:rFonts w:cs="Arial"/>
          <w:b/>
          <w:szCs w:val="20"/>
        </w:rPr>
      </w:pPr>
      <w:r w:rsidRPr="00445B9C">
        <w:rPr>
          <w:rFonts w:cs="Arial"/>
          <w:b/>
          <w:szCs w:val="20"/>
        </w:rPr>
        <w:lastRenderedPageBreak/>
        <w:t>6.2 Presoja posledic za okolje, vključno s prostorskimi in varstvenimi vidiki</w:t>
      </w:r>
    </w:p>
    <w:p w14:paraId="204AB5C9" w14:textId="77777777" w:rsidR="00334A47" w:rsidRDefault="00334A47" w:rsidP="00334A47">
      <w:pPr>
        <w:pStyle w:val="Neotevilenodstavek"/>
        <w:spacing w:before="0" w:after="0" w:line="260" w:lineRule="exact"/>
        <w:rPr>
          <w:sz w:val="20"/>
        </w:rPr>
      </w:pPr>
      <w:r w:rsidRPr="00C652A3">
        <w:rPr>
          <w:sz w:val="20"/>
        </w:rPr>
        <w:t>Predlog zakona bo imel posredne pozitivne učinke na okolje. Z vzpostavitvijo ESAP se bo</w:t>
      </w:r>
      <w:r>
        <w:rPr>
          <w:sz w:val="20"/>
        </w:rPr>
        <w:t>sta</w:t>
      </w:r>
      <w:r w:rsidRPr="00C652A3">
        <w:rPr>
          <w:sz w:val="20"/>
        </w:rPr>
        <w:t xml:space="preserve"> izboljšal</w:t>
      </w:r>
      <w:r>
        <w:rPr>
          <w:sz w:val="20"/>
        </w:rPr>
        <w:t>i</w:t>
      </w:r>
      <w:r w:rsidRPr="00C652A3">
        <w:rPr>
          <w:sz w:val="20"/>
        </w:rPr>
        <w:t xml:space="preserve"> dostopnost in primerljivost informacij o </w:t>
      </w:r>
      <w:proofErr w:type="spellStart"/>
      <w:r w:rsidRPr="00C652A3">
        <w:rPr>
          <w:sz w:val="20"/>
        </w:rPr>
        <w:t>trajnostnosti</w:t>
      </w:r>
      <w:proofErr w:type="spellEnd"/>
      <w:r w:rsidRPr="00C652A3">
        <w:rPr>
          <w:sz w:val="20"/>
        </w:rPr>
        <w:t xml:space="preserve"> poslovanja podjetij, vključno z </w:t>
      </w:r>
      <w:proofErr w:type="spellStart"/>
      <w:r w:rsidRPr="00C652A3">
        <w:rPr>
          <w:sz w:val="20"/>
        </w:rPr>
        <w:t>okoljskimi</w:t>
      </w:r>
      <w:proofErr w:type="spellEnd"/>
      <w:r w:rsidRPr="00C652A3">
        <w:rPr>
          <w:sz w:val="20"/>
        </w:rPr>
        <w:t xml:space="preserve"> vidiki njihovega delovanja. </w:t>
      </w:r>
      <w:r w:rsidRPr="00771594">
        <w:rPr>
          <w:sz w:val="20"/>
        </w:rPr>
        <w:t>Centralizirani</w:t>
      </w:r>
      <w:r w:rsidRPr="00C652A3">
        <w:rPr>
          <w:sz w:val="20"/>
        </w:rPr>
        <w:t xml:space="preserve"> dostop do teh informacij bo omogočil boljše spremljanje </w:t>
      </w:r>
      <w:proofErr w:type="spellStart"/>
      <w:r w:rsidRPr="00C652A3">
        <w:rPr>
          <w:sz w:val="20"/>
        </w:rPr>
        <w:t>okoljskih</w:t>
      </w:r>
      <w:proofErr w:type="spellEnd"/>
      <w:r w:rsidRPr="00C652A3">
        <w:rPr>
          <w:sz w:val="20"/>
        </w:rPr>
        <w:t xml:space="preserve"> učinkov gospodarskih subjektov in njihovega prispevka k zelenemu prehodu.</w:t>
      </w:r>
    </w:p>
    <w:p w14:paraId="6D2C96B7" w14:textId="77777777" w:rsidR="00334A47" w:rsidRDefault="00334A47" w:rsidP="00334A47">
      <w:pPr>
        <w:pStyle w:val="Neotevilenodstavek"/>
        <w:spacing w:before="0" w:after="0" w:line="260" w:lineRule="exact"/>
        <w:rPr>
          <w:sz w:val="20"/>
        </w:rPr>
      </w:pPr>
    </w:p>
    <w:p w14:paraId="629EDB3F" w14:textId="77777777" w:rsidR="00334A47" w:rsidRDefault="00334A47" w:rsidP="00334A47">
      <w:pPr>
        <w:pStyle w:val="Neotevilenodstavek"/>
        <w:spacing w:before="0" w:after="0" w:line="260" w:lineRule="exact"/>
        <w:rPr>
          <w:sz w:val="20"/>
        </w:rPr>
      </w:pPr>
      <w:r w:rsidRPr="00C652A3">
        <w:rPr>
          <w:sz w:val="20"/>
        </w:rPr>
        <w:t>Digitalizacija poročanja in centraliziran</w:t>
      </w:r>
      <w:r>
        <w:rPr>
          <w:sz w:val="20"/>
        </w:rPr>
        <w:t>i</w:t>
      </w:r>
      <w:r w:rsidRPr="00C652A3">
        <w:rPr>
          <w:sz w:val="20"/>
        </w:rPr>
        <w:t xml:space="preserve"> dostop do informacij bo</w:t>
      </w:r>
      <w:r>
        <w:rPr>
          <w:sz w:val="20"/>
        </w:rPr>
        <w:t>sta</w:t>
      </w:r>
      <w:r w:rsidRPr="00C652A3">
        <w:rPr>
          <w:sz w:val="20"/>
        </w:rPr>
        <w:t xml:space="preserve"> prispeval</w:t>
      </w:r>
      <w:r>
        <w:rPr>
          <w:sz w:val="20"/>
        </w:rPr>
        <w:t>a</w:t>
      </w:r>
      <w:r w:rsidRPr="00C652A3">
        <w:rPr>
          <w:sz w:val="20"/>
        </w:rPr>
        <w:t xml:space="preserve"> k zmanjšanju porabe papirja in drugih viro</w:t>
      </w:r>
      <w:r w:rsidRPr="00771594">
        <w:rPr>
          <w:sz w:val="20"/>
        </w:rPr>
        <w:t xml:space="preserve">v, ki so </w:t>
      </w:r>
      <w:r>
        <w:rPr>
          <w:sz w:val="20"/>
        </w:rPr>
        <w:t>običajno</w:t>
      </w:r>
      <w:r w:rsidRPr="00771594">
        <w:rPr>
          <w:sz w:val="20"/>
        </w:rPr>
        <w:t xml:space="preserve"> povezani s fizičnim poročanjem in distribucijo</w:t>
      </w:r>
      <w:r w:rsidRPr="00C652A3">
        <w:rPr>
          <w:sz w:val="20"/>
        </w:rPr>
        <w:t xml:space="preserve"> dokumentov.</w:t>
      </w:r>
    </w:p>
    <w:p w14:paraId="034DE7F7" w14:textId="77777777" w:rsidR="00334A47" w:rsidRPr="00445B9C" w:rsidRDefault="00334A47" w:rsidP="00334A47">
      <w:pPr>
        <w:spacing w:line="260" w:lineRule="exact"/>
        <w:jc w:val="both"/>
        <w:rPr>
          <w:rFonts w:cs="Arial"/>
          <w:b/>
          <w:szCs w:val="20"/>
        </w:rPr>
      </w:pPr>
    </w:p>
    <w:p w14:paraId="5EC8ADAB" w14:textId="77777777" w:rsidR="00334A47" w:rsidRPr="00445B9C" w:rsidRDefault="00334A47" w:rsidP="00334A47">
      <w:pPr>
        <w:spacing w:line="260" w:lineRule="exact"/>
        <w:jc w:val="both"/>
        <w:rPr>
          <w:rFonts w:cs="Arial"/>
          <w:b/>
          <w:szCs w:val="20"/>
        </w:rPr>
      </w:pPr>
      <w:r w:rsidRPr="00445B9C">
        <w:rPr>
          <w:rFonts w:cs="Arial"/>
          <w:b/>
          <w:szCs w:val="20"/>
        </w:rPr>
        <w:t>6.3 Presoja posledic za gospodarstvo</w:t>
      </w:r>
    </w:p>
    <w:p w14:paraId="53BB6924" w14:textId="77777777" w:rsidR="00334A47" w:rsidRDefault="00334A47" w:rsidP="00334A47">
      <w:pPr>
        <w:pStyle w:val="Odsek"/>
        <w:numPr>
          <w:ilvl w:val="0"/>
          <w:numId w:val="0"/>
        </w:numPr>
        <w:spacing w:before="0" w:after="0" w:line="260" w:lineRule="exact"/>
        <w:jc w:val="both"/>
        <w:rPr>
          <w:b w:val="0"/>
          <w:bCs/>
          <w:sz w:val="20"/>
          <w:szCs w:val="20"/>
        </w:rPr>
      </w:pPr>
      <w:r w:rsidRPr="00256F03">
        <w:rPr>
          <w:b w:val="0"/>
          <w:bCs/>
          <w:sz w:val="20"/>
          <w:szCs w:val="20"/>
        </w:rPr>
        <w:t xml:space="preserve">Predlog zakona bo imel tako kratkoročne kot dolgoročne učinke na gospodarstvo. V začetnem obdobju bodo morali poslovni subjekti svoje sisteme poročanja prilagoditi novim zahtevam ESAP. To bo prineslo </w:t>
      </w:r>
      <w:r>
        <w:rPr>
          <w:b w:val="0"/>
          <w:bCs/>
          <w:sz w:val="20"/>
          <w:szCs w:val="20"/>
        </w:rPr>
        <w:t>nekaj</w:t>
      </w:r>
      <w:r w:rsidRPr="00256F03">
        <w:rPr>
          <w:b w:val="0"/>
          <w:bCs/>
          <w:sz w:val="20"/>
          <w:szCs w:val="20"/>
        </w:rPr>
        <w:t xml:space="preserve"> strošk</w:t>
      </w:r>
      <w:r>
        <w:rPr>
          <w:b w:val="0"/>
          <w:bCs/>
          <w:sz w:val="20"/>
          <w:szCs w:val="20"/>
        </w:rPr>
        <w:t>ov</w:t>
      </w:r>
      <w:r w:rsidRPr="00256F03">
        <w:rPr>
          <w:b w:val="0"/>
          <w:bCs/>
          <w:sz w:val="20"/>
          <w:szCs w:val="20"/>
        </w:rPr>
        <w:t>, povezan</w:t>
      </w:r>
      <w:r>
        <w:rPr>
          <w:b w:val="0"/>
          <w:bCs/>
          <w:sz w:val="20"/>
          <w:szCs w:val="20"/>
        </w:rPr>
        <w:t>ih</w:t>
      </w:r>
      <w:r w:rsidRPr="00256F03">
        <w:rPr>
          <w:b w:val="0"/>
          <w:bCs/>
          <w:sz w:val="20"/>
          <w:szCs w:val="20"/>
        </w:rPr>
        <w:t xml:space="preserve"> predvsem s tehnično prilagoditvijo sistemov za zagotavljanje dokumentov v zahtevanih formatih (bodisi v strojno berljiv</w:t>
      </w:r>
      <w:r>
        <w:rPr>
          <w:b w:val="0"/>
          <w:bCs/>
          <w:sz w:val="20"/>
          <w:szCs w:val="20"/>
        </w:rPr>
        <w:t>i</w:t>
      </w:r>
      <w:r w:rsidRPr="00256F03">
        <w:rPr>
          <w:b w:val="0"/>
          <w:bCs/>
          <w:sz w:val="20"/>
          <w:szCs w:val="20"/>
        </w:rPr>
        <w:t xml:space="preserve"> </w:t>
      </w:r>
      <w:r>
        <w:rPr>
          <w:b w:val="0"/>
          <w:bCs/>
          <w:sz w:val="20"/>
          <w:szCs w:val="20"/>
        </w:rPr>
        <w:t>obliki</w:t>
      </w:r>
      <w:r w:rsidRPr="00256F03">
        <w:rPr>
          <w:b w:val="0"/>
          <w:bCs/>
          <w:sz w:val="20"/>
          <w:szCs w:val="20"/>
        </w:rPr>
        <w:t xml:space="preserve"> ali formatu, ki omogoča izvlečenje podatkov)</w:t>
      </w:r>
      <w:r>
        <w:rPr>
          <w:b w:val="0"/>
          <w:bCs/>
          <w:sz w:val="20"/>
          <w:szCs w:val="20"/>
        </w:rPr>
        <w:t xml:space="preserve"> </w:t>
      </w:r>
      <w:r w:rsidRPr="00256F03">
        <w:rPr>
          <w:b w:val="0"/>
          <w:bCs/>
          <w:sz w:val="20"/>
          <w:szCs w:val="20"/>
        </w:rPr>
        <w:t>in usposabljanjem zaposlenih za nove načine poročanja. Poleg tega bodo morali subjekti prilagoditi svoje procese, da bodo lahko vse predložene informacije opremili z zahtevanimi metapodatki.</w:t>
      </w:r>
    </w:p>
    <w:p w14:paraId="57BD69C3" w14:textId="77777777" w:rsidR="00334A47" w:rsidRDefault="00334A47" w:rsidP="00334A47">
      <w:pPr>
        <w:pStyle w:val="Odsek"/>
        <w:numPr>
          <w:ilvl w:val="0"/>
          <w:numId w:val="0"/>
        </w:numPr>
        <w:spacing w:before="0" w:after="0" w:line="260" w:lineRule="exact"/>
        <w:jc w:val="both"/>
        <w:rPr>
          <w:b w:val="0"/>
          <w:bCs/>
          <w:sz w:val="20"/>
          <w:szCs w:val="20"/>
        </w:rPr>
      </w:pPr>
    </w:p>
    <w:p w14:paraId="188F35F5" w14:textId="77777777" w:rsidR="00334A47" w:rsidRPr="00256F03" w:rsidRDefault="00334A47" w:rsidP="00334A47">
      <w:pPr>
        <w:pStyle w:val="Odsek"/>
        <w:numPr>
          <w:ilvl w:val="0"/>
          <w:numId w:val="0"/>
        </w:numPr>
        <w:spacing w:before="0" w:after="0" w:line="260" w:lineRule="exact"/>
        <w:jc w:val="both"/>
        <w:rPr>
          <w:b w:val="0"/>
          <w:bCs/>
          <w:sz w:val="20"/>
          <w:szCs w:val="20"/>
        </w:rPr>
      </w:pPr>
      <w:r w:rsidRPr="00256F03">
        <w:rPr>
          <w:b w:val="0"/>
          <w:bCs/>
          <w:sz w:val="20"/>
          <w:szCs w:val="20"/>
        </w:rPr>
        <w:t>Kljub začetnim stroškom se srednj</w:t>
      </w:r>
      <w:r>
        <w:rPr>
          <w:b w:val="0"/>
          <w:bCs/>
          <w:sz w:val="20"/>
          <w:szCs w:val="20"/>
        </w:rPr>
        <w:t>e-</w:t>
      </w:r>
      <w:r w:rsidRPr="00256F03">
        <w:rPr>
          <w:b w:val="0"/>
          <w:bCs/>
          <w:sz w:val="20"/>
          <w:szCs w:val="20"/>
        </w:rPr>
        <w:t xml:space="preserve"> in dolg</w:t>
      </w:r>
      <w:r>
        <w:rPr>
          <w:b w:val="0"/>
          <w:bCs/>
          <w:sz w:val="20"/>
          <w:szCs w:val="20"/>
        </w:rPr>
        <w:t>o</w:t>
      </w:r>
      <w:r w:rsidRPr="00256F03">
        <w:rPr>
          <w:b w:val="0"/>
          <w:bCs/>
          <w:sz w:val="20"/>
          <w:szCs w:val="20"/>
        </w:rPr>
        <w:t>ro</w:t>
      </w:r>
      <w:r>
        <w:rPr>
          <w:b w:val="0"/>
          <w:bCs/>
          <w:sz w:val="20"/>
          <w:szCs w:val="20"/>
        </w:rPr>
        <w:t>čno</w:t>
      </w:r>
      <w:r w:rsidRPr="00256F03">
        <w:rPr>
          <w:b w:val="0"/>
          <w:bCs/>
          <w:sz w:val="20"/>
          <w:szCs w:val="20"/>
        </w:rPr>
        <w:t xml:space="preserve"> pričakujejo pozitivni učinki na gospodarstvo. Poenostavljen</w:t>
      </w:r>
      <w:r>
        <w:rPr>
          <w:b w:val="0"/>
          <w:bCs/>
          <w:sz w:val="20"/>
          <w:szCs w:val="20"/>
        </w:rPr>
        <w:t>o</w:t>
      </w:r>
      <w:r w:rsidRPr="00256F03">
        <w:rPr>
          <w:b w:val="0"/>
          <w:bCs/>
          <w:sz w:val="20"/>
          <w:szCs w:val="20"/>
        </w:rPr>
        <w:t xml:space="preserve"> poročanj</w:t>
      </w:r>
      <w:r>
        <w:rPr>
          <w:b w:val="0"/>
          <w:bCs/>
          <w:sz w:val="20"/>
          <w:szCs w:val="20"/>
        </w:rPr>
        <w:t>e</w:t>
      </w:r>
      <w:r w:rsidRPr="00256F03">
        <w:rPr>
          <w:b w:val="0"/>
          <w:bCs/>
          <w:sz w:val="20"/>
          <w:szCs w:val="20"/>
        </w:rPr>
        <w:t xml:space="preserve"> po načelu </w:t>
      </w:r>
      <w:r>
        <w:rPr>
          <w:b w:val="0"/>
          <w:bCs/>
          <w:sz w:val="20"/>
          <w:szCs w:val="20"/>
        </w:rPr>
        <w:t>»</w:t>
      </w:r>
      <w:r w:rsidRPr="00256F03">
        <w:rPr>
          <w:b w:val="0"/>
          <w:bCs/>
          <w:sz w:val="20"/>
          <w:szCs w:val="20"/>
        </w:rPr>
        <w:t>enkratne predložitve</w:t>
      </w:r>
      <w:r>
        <w:rPr>
          <w:b w:val="0"/>
          <w:bCs/>
          <w:sz w:val="20"/>
          <w:szCs w:val="20"/>
        </w:rPr>
        <w:t>«</w:t>
      </w:r>
      <w:r w:rsidRPr="00256F03">
        <w:rPr>
          <w:b w:val="0"/>
          <w:bCs/>
          <w:sz w:val="20"/>
          <w:szCs w:val="20"/>
        </w:rPr>
        <w:t xml:space="preserve"> bo znižal</w:t>
      </w:r>
      <w:r>
        <w:rPr>
          <w:b w:val="0"/>
          <w:bCs/>
          <w:sz w:val="20"/>
          <w:szCs w:val="20"/>
        </w:rPr>
        <w:t>o</w:t>
      </w:r>
      <w:r w:rsidRPr="00256F03">
        <w:rPr>
          <w:b w:val="0"/>
          <w:bCs/>
          <w:sz w:val="20"/>
          <w:szCs w:val="20"/>
        </w:rPr>
        <w:t xml:space="preserve"> administrativne stroške podjetij, saj bodo lahko isto informacijo uporabili za izpolnitev več regulatornih zahtev. Podjetja bodo zaradi centralizirane evropske platforme postala bolj vid</w:t>
      </w:r>
      <w:r w:rsidRPr="00771594">
        <w:rPr>
          <w:b w:val="0"/>
          <w:bCs/>
          <w:sz w:val="20"/>
          <w:szCs w:val="20"/>
        </w:rPr>
        <w:t xml:space="preserve">na </w:t>
      </w:r>
      <w:r>
        <w:rPr>
          <w:b w:val="0"/>
          <w:bCs/>
          <w:sz w:val="20"/>
          <w:szCs w:val="20"/>
        </w:rPr>
        <w:t>morebitnim</w:t>
      </w:r>
      <w:r w:rsidRPr="00256F03">
        <w:rPr>
          <w:b w:val="0"/>
          <w:bCs/>
          <w:sz w:val="20"/>
          <w:szCs w:val="20"/>
        </w:rPr>
        <w:t xml:space="preserve"> vlagateljem, kar bo olajšalo njihov dostop do financiranja na kapitalskih trgih</w:t>
      </w:r>
      <w:r>
        <w:rPr>
          <w:b w:val="0"/>
          <w:bCs/>
          <w:sz w:val="20"/>
          <w:szCs w:val="20"/>
        </w:rPr>
        <w:t xml:space="preserve"> in tudi do novih kupcev</w:t>
      </w:r>
      <w:r w:rsidRPr="00256F03">
        <w:rPr>
          <w:b w:val="0"/>
          <w:bCs/>
          <w:sz w:val="20"/>
          <w:szCs w:val="20"/>
        </w:rPr>
        <w:t>.</w:t>
      </w:r>
    </w:p>
    <w:p w14:paraId="4915C2DB" w14:textId="77777777" w:rsidR="00334A47" w:rsidRDefault="00334A47" w:rsidP="00334A47">
      <w:pPr>
        <w:spacing w:line="260" w:lineRule="exact"/>
        <w:jc w:val="both"/>
        <w:rPr>
          <w:rFonts w:cs="Arial"/>
          <w:szCs w:val="20"/>
        </w:rPr>
      </w:pPr>
    </w:p>
    <w:p w14:paraId="62E13701" w14:textId="77777777" w:rsidR="00334A47" w:rsidRDefault="00334A47" w:rsidP="00334A47">
      <w:pPr>
        <w:jc w:val="both"/>
      </w:pPr>
      <w:r w:rsidRPr="00301999">
        <w:t xml:space="preserve">Ker </w:t>
      </w:r>
      <w:r>
        <w:t>je zakonodajn</w:t>
      </w:r>
      <w:r w:rsidRPr="00771594">
        <w:t xml:space="preserve">i </w:t>
      </w:r>
      <w:r>
        <w:t>sveženj</w:t>
      </w:r>
      <w:r w:rsidRPr="00301999">
        <w:t xml:space="preserve"> ESAP sestavlj</w:t>
      </w:r>
      <w:r>
        <w:t>en</w:t>
      </w:r>
      <w:r w:rsidRPr="00301999">
        <w:t xml:space="preserve"> iz neposredno veljavnih uredb EU </w:t>
      </w:r>
      <w:r>
        <w:t>in</w:t>
      </w:r>
      <w:r w:rsidRPr="00301999">
        <w:t xml:space="preserve"> direktiv</w:t>
      </w:r>
      <w:r>
        <w:t>e</w:t>
      </w:r>
      <w:r w:rsidRPr="00301999">
        <w:t xml:space="preserve">, ki zahteva prenos v </w:t>
      </w:r>
      <w:r>
        <w:t>domačo</w:t>
      </w:r>
      <w:r w:rsidRPr="00301999">
        <w:t xml:space="preserve"> zakonodajo, se presoja nanaša na celotni regulativni okvir.</w:t>
      </w:r>
    </w:p>
    <w:p w14:paraId="75080D55" w14:textId="77777777" w:rsidR="00334A47" w:rsidRPr="00301999" w:rsidRDefault="00334A47" w:rsidP="00334A47">
      <w:pPr>
        <w:jc w:val="both"/>
      </w:pPr>
      <w:r w:rsidRPr="00301999">
        <w:t xml:space="preserve"> </w:t>
      </w:r>
    </w:p>
    <w:p w14:paraId="50F46C44" w14:textId="77777777" w:rsidR="00334A47" w:rsidRDefault="00334A47" w:rsidP="00334A47">
      <w:pPr>
        <w:jc w:val="both"/>
      </w:pPr>
      <w:r w:rsidRPr="00301999">
        <w:t xml:space="preserve">Na podlagi podatkov, </w:t>
      </w:r>
      <w:r>
        <w:t xml:space="preserve">ki so jih </w:t>
      </w:r>
      <w:r w:rsidRPr="00301999">
        <w:t>pos</w:t>
      </w:r>
      <w:r>
        <w:t>l</w:t>
      </w:r>
      <w:r w:rsidRPr="00301999">
        <w:t>a</w:t>
      </w:r>
      <w:r>
        <w:t>l</w:t>
      </w:r>
      <w:r w:rsidRPr="00301999">
        <w:t>i naslovnik</w:t>
      </w:r>
      <w:r>
        <w:t>i</w:t>
      </w:r>
      <w:r w:rsidRPr="00301999">
        <w:t xml:space="preserve"> zakona</w:t>
      </w:r>
      <w:r>
        <w:t>,</w:t>
      </w:r>
      <w:r w:rsidRPr="00301999">
        <w:t xml:space="preserve"> so stroški </w:t>
      </w:r>
      <w:r>
        <w:t>uveljavitve</w:t>
      </w:r>
      <w:r w:rsidRPr="00301999">
        <w:t>:</w:t>
      </w:r>
    </w:p>
    <w:p w14:paraId="348A20FB" w14:textId="77777777" w:rsidR="0034717C" w:rsidRDefault="0034717C" w:rsidP="0034717C"/>
    <w:tbl>
      <w:tblPr>
        <w:tblStyle w:val="Tabelamrea"/>
        <w:tblW w:w="0" w:type="auto"/>
        <w:tblInd w:w="944" w:type="dxa"/>
        <w:tblLook w:val="04A0" w:firstRow="1" w:lastRow="0" w:firstColumn="1" w:lastColumn="0" w:noHBand="0" w:noVBand="1"/>
      </w:tblPr>
      <w:tblGrid>
        <w:gridCol w:w="1036"/>
        <w:gridCol w:w="2988"/>
        <w:gridCol w:w="3153"/>
      </w:tblGrid>
      <w:tr w:rsidR="0034717C" w14:paraId="08A46E0A" w14:textId="77777777" w:rsidTr="00F96770">
        <w:trPr>
          <w:trHeight w:val="277"/>
        </w:trPr>
        <w:tc>
          <w:tcPr>
            <w:tcW w:w="1036" w:type="dxa"/>
          </w:tcPr>
          <w:p w14:paraId="321FFF1F" w14:textId="77777777" w:rsidR="0034717C" w:rsidRPr="00301999" w:rsidRDefault="0034717C" w:rsidP="00F96770">
            <w:pPr>
              <w:keepNext/>
              <w:keepLines/>
              <w:widowControl w:val="0"/>
              <w:rPr>
                <w:b/>
                <w:bCs/>
              </w:rPr>
            </w:pPr>
            <w:r w:rsidRPr="00301999">
              <w:rPr>
                <w:b/>
                <w:bCs/>
              </w:rPr>
              <w:t>Predpis</w:t>
            </w:r>
          </w:p>
        </w:tc>
        <w:tc>
          <w:tcPr>
            <w:tcW w:w="2988" w:type="dxa"/>
          </w:tcPr>
          <w:p w14:paraId="108B1C1C" w14:textId="77777777" w:rsidR="0034717C" w:rsidRPr="00301999" w:rsidRDefault="0034717C" w:rsidP="00F96770">
            <w:pPr>
              <w:keepNext/>
              <w:keepLines/>
              <w:widowControl w:val="0"/>
              <w:rPr>
                <w:b/>
                <w:bCs/>
              </w:rPr>
            </w:pPr>
            <w:r w:rsidRPr="00301999">
              <w:rPr>
                <w:b/>
                <w:bCs/>
              </w:rPr>
              <w:t>Enkratni strošek</w:t>
            </w:r>
          </w:p>
        </w:tc>
        <w:tc>
          <w:tcPr>
            <w:tcW w:w="3153" w:type="dxa"/>
          </w:tcPr>
          <w:p w14:paraId="43C21B77" w14:textId="77777777" w:rsidR="0034717C" w:rsidRPr="00301999" w:rsidRDefault="0034717C" w:rsidP="00F96770">
            <w:pPr>
              <w:keepNext/>
              <w:keepLines/>
              <w:widowControl w:val="0"/>
              <w:rPr>
                <w:b/>
                <w:bCs/>
              </w:rPr>
            </w:pPr>
            <w:r w:rsidRPr="00301999">
              <w:rPr>
                <w:b/>
                <w:bCs/>
              </w:rPr>
              <w:t>Letni strošek</w:t>
            </w:r>
          </w:p>
        </w:tc>
      </w:tr>
      <w:tr w:rsidR="0034717C" w14:paraId="4E24706D" w14:textId="77777777" w:rsidTr="00F96770">
        <w:trPr>
          <w:trHeight w:val="286"/>
        </w:trPr>
        <w:tc>
          <w:tcPr>
            <w:tcW w:w="1036" w:type="dxa"/>
          </w:tcPr>
          <w:p w14:paraId="271E25E3" w14:textId="77777777" w:rsidR="0034717C" w:rsidRPr="00301999" w:rsidRDefault="0034717C" w:rsidP="00F96770">
            <w:pPr>
              <w:keepNext/>
              <w:keepLines/>
              <w:widowControl w:val="0"/>
              <w:rPr>
                <w:b/>
                <w:bCs/>
              </w:rPr>
            </w:pPr>
            <w:r w:rsidRPr="00301999">
              <w:rPr>
                <w:b/>
                <w:bCs/>
              </w:rPr>
              <w:t>ESAP</w:t>
            </w:r>
          </w:p>
        </w:tc>
        <w:tc>
          <w:tcPr>
            <w:tcW w:w="2988" w:type="dxa"/>
          </w:tcPr>
          <w:p w14:paraId="4AA04E68" w14:textId="77777777" w:rsidR="0034717C" w:rsidRPr="00301999" w:rsidRDefault="0034717C" w:rsidP="00F96770">
            <w:pPr>
              <w:keepNext/>
              <w:keepLines/>
              <w:widowControl w:val="0"/>
            </w:pPr>
            <w:r w:rsidRPr="00301999">
              <w:t>približno 16.000 EUR</w:t>
            </w:r>
          </w:p>
        </w:tc>
        <w:tc>
          <w:tcPr>
            <w:tcW w:w="3153" w:type="dxa"/>
          </w:tcPr>
          <w:p w14:paraId="02ECB690" w14:textId="77777777" w:rsidR="0034717C" w:rsidRPr="00301999" w:rsidRDefault="0034717C" w:rsidP="00F96770">
            <w:pPr>
              <w:keepNext/>
              <w:keepLines/>
              <w:widowControl w:val="0"/>
            </w:pPr>
            <w:r w:rsidRPr="00301999">
              <w:t>približno 6.000 EUR</w:t>
            </w:r>
          </w:p>
        </w:tc>
      </w:tr>
    </w:tbl>
    <w:p w14:paraId="66F9F5B1" w14:textId="77777777" w:rsidR="0034717C" w:rsidRPr="00301999" w:rsidRDefault="0034717C" w:rsidP="0034717C">
      <w:pPr>
        <w:spacing w:after="160" w:line="259" w:lineRule="auto"/>
      </w:pPr>
    </w:p>
    <w:p w14:paraId="1E536DF4" w14:textId="77777777" w:rsidR="0034717C" w:rsidRPr="00301999" w:rsidRDefault="0034717C" w:rsidP="0034717C">
      <w:pPr>
        <w:spacing w:after="160" w:line="259" w:lineRule="auto"/>
      </w:pPr>
      <w:r w:rsidRPr="00301999">
        <w:t>Ti stroški zajemajo prilagoditve sistemov, usposabljanje osebja, vzpostavitev novih postopkov in druge administrativne obveznosti, ki izhajajo iz uredb in direktiv</w:t>
      </w:r>
      <w:r>
        <w:t>e</w:t>
      </w:r>
      <w:r w:rsidRPr="00301999">
        <w:t>.</w:t>
      </w:r>
    </w:p>
    <w:tbl>
      <w:tblPr>
        <w:tblStyle w:val="Tabelamrea"/>
        <w:tblW w:w="0" w:type="auto"/>
        <w:tblLook w:val="04A0" w:firstRow="1" w:lastRow="0" w:firstColumn="1" w:lastColumn="0" w:noHBand="0" w:noVBand="1"/>
      </w:tblPr>
      <w:tblGrid>
        <w:gridCol w:w="970"/>
        <w:gridCol w:w="3446"/>
        <w:gridCol w:w="4072"/>
      </w:tblGrid>
      <w:tr w:rsidR="0034717C" w14:paraId="726C0C2D" w14:textId="77777777" w:rsidTr="0034717C">
        <w:tc>
          <w:tcPr>
            <w:tcW w:w="970" w:type="dxa"/>
          </w:tcPr>
          <w:p w14:paraId="01ADFDA4" w14:textId="77777777" w:rsidR="0034717C" w:rsidRDefault="0034717C" w:rsidP="00F96770"/>
        </w:tc>
        <w:tc>
          <w:tcPr>
            <w:tcW w:w="3446" w:type="dxa"/>
          </w:tcPr>
          <w:p w14:paraId="0AE82172" w14:textId="77777777" w:rsidR="0034717C" w:rsidRPr="00CC6BAC" w:rsidRDefault="0034717C" w:rsidP="00F96770">
            <w:pPr>
              <w:rPr>
                <w:b/>
                <w:bCs/>
              </w:rPr>
            </w:pPr>
            <w:r w:rsidRPr="00CC6BAC">
              <w:rPr>
                <w:b/>
                <w:bCs/>
              </w:rPr>
              <w:t xml:space="preserve">Negativni učinki </w:t>
            </w:r>
          </w:p>
        </w:tc>
        <w:tc>
          <w:tcPr>
            <w:tcW w:w="4072" w:type="dxa"/>
          </w:tcPr>
          <w:p w14:paraId="0657D3FC" w14:textId="77777777" w:rsidR="0034717C" w:rsidRPr="00CC6BAC" w:rsidRDefault="0034717C" w:rsidP="00F96770">
            <w:pPr>
              <w:rPr>
                <w:b/>
                <w:bCs/>
              </w:rPr>
            </w:pPr>
            <w:r w:rsidRPr="00CC6BAC">
              <w:rPr>
                <w:b/>
                <w:bCs/>
              </w:rPr>
              <w:t>Pozitivni učinki</w:t>
            </w:r>
          </w:p>
        </w:tc>
      </w:tr>
      <w:tr w:rsidR="0034717C" w14:paraId="7B30C66E" w14:textId="77777777" w:rsidTr="0034717C">
        <w:tc>
          <w:tcPr>
            <w:tcW w:w="970" w:type="dxa"/>
          </w:tcPr>
          <w:p w14:paraId="361C20A6" w14:textId="77777777" w:rsidR="0034717C" w:rsidRPr="00CC6BAC" w:rsidRDefault="0034717C" w:rsidP="00F96770">
            <w:pPr>
              <w:rPr>
                <w:b/>
                <w:bCs/>
              </w:rPr>
            </w:pPr>
            <w:r w:rsidRPr="00CC6BAC">
              <w:rPr>
                <w:b/>
                <w:bCs/>
              </w:rPr>
              <w:t>ESAP</w:t>
            </w:r>
          </w:p>
        </w:tc>
        <w:tc>
          <w:tcPr>
            <w:tcW w:w="3446" w:type="dxa"/>
          </w:tcPr>
          <w:p w14:paraId="701D4E74" w14:textId="77777777" w:rsidR="0034717C" w:rsidRDefault="0034717C" w:rsidP="00F96770">
            <w:r>
              <w:t>Stroški bodo prizadeli</w:t>
            </w:r>
            <w:r w:rsidRPr="00301999">
              <w:t xml:space="preserve"> subjekte, ki morajo zagotavljati podatke za </w:t>
            </w:r>
            <w:r w:rsidR="00FE663C">
              <w:t>ESAP</w:t>
            </w:r>
            <w:r w:rsidRPr="00301999">
              <w:t xml:space="preserve">, zlasti tiste, ki še nimajo vzpostavljenih sistemov za poročanje. Za </w:t>
            </w:r>
            <w:r w:rsidR="00E9042D">
              <w:t xml:space="preserve">majhna in srednje velika podjetja (v nadaljnjem besedilu: </w:t>
            </w:r>
            <w:r w:rsidRPr="00301999">
              <w:t>MSP</w:t>
            </w:r>
            <w:r w:rsidR="00E9042D">
              <w:t>)</w:t>
            </w:r>
            <w:r w:rsidRPr="00301999">
              <w:t>, ki imajo omejene vire, lahko to poveča administrativno breme</w:t>
            </w:r>
            <w:r w:rsidR="00E9042D">
              <w:t>.</w:t>
            </w:r>
          </w:p>
        </w:tc>
        <w:tc>
          <w:tcPr>
            <w:tcW w:w="4072" w:type="dxa"/>
          </w:tcPr>
          <w:p w14:paraId="2F57A34A" w14:textId="77777777" w:rsidR="0034717C" w:rsidRDefault="0034717C" w:rsidP="00F96770">
            <w:r w:rsidRPr="00301999">
              <w:t xml:space="preserve">Vzpostavitev </w:t>
            </w:r>
            <w:r w:rsidR="00FE663C">
              <w:t>ESAP</w:t>
            </w:r>
            <w:r w:rsidRPr="00301999">
              <w:t xml:space="preserve"> bo olajšala dostop do podatkov za vlagatelje, analitike in regulatorje. MSP bodo imela koristi od povečane vidnosti na trgu, saj bodo njihovi podatki lažje dostopni potencialnim vlagateljem, kar lahko izboljša dostop do financiranja.</w:t>
            </w:r>
          </w:p>
          <w:p w14:paraId="50201E21" w14:textId="77777777" w:rsidR="0034717C" w:rsidRDefault="0034717C" w:rsidP="00F96770">
            <w:r w:rsidRPr="00301999">
              <w:t>Standardizacija poročanja bo dolgoročno zmanjšala administrativne stroške, saj bodo MSP lahko uporabljala enotne formate, kar bo zmanjšalo potrebo po prilagajanju različnim nacionalnim zahtevam.</w:t>
            </w:r>
          </w:p>
        </w:tc>
      </w:tr>
      <w:tr w:rsidR="0034717C" w14:paraId="551FE7CB" w14:textId="77777777" w:rsidTr="0034717C">
        <w:tc>
          <w:tcPr>
            <w:tcW w:w="970" w:type="dxa"/>
          </w:tcPr>
          <w:p w14:paraId="19396020" w14:textId="77777777" w:rsidR="0034717C" w:rsidRPr="00CC6BAC" w:rsidRDefault="0034717C" w:rsidP="00F96770">
            <w:pPr>
              <w:rPr>
                <w:b/>
                <w:bCs/>
              </w:rPr>
            </w:pPr>
            <w:r>
              <w:rPr>
                <w:b/>
                <w:bCs/>
              </w:rPr>
              <w:lastRenderedPageBreak/>
              <w:t>Ocena</w:t>
            </w:r>
          </w:p>
        </w:tc>
        <w:tc>
          <w:tcPr>
            <w:tcW w:w="3446" w:type="dxa"/>
          </w:tcPr>
          <w:p w14:paraId="49297056" w14:textId="1887AA19" w:rsidR="0034717C" w:rsidRDefault="00334A47" w:rsidP="00F96770">
            <w:pPr>
              <w:spacing w:after="160" w:line="259" w:lineRule="auto"/>
            </w:pPr>
            <w:r w:rsidRPr="00334A47">
              <w:t>Višji stroški uveljavitve bi lahko zmanjšali razpoložljiva sredstva MSP za naložbe v raziskave ali širitev poslovanja, kar bi lahko negativno vplivalo na njihovo konkurenčnost, zlasti v primerjavi z večjimi podjetji, ki imajo večje zmogljivosti za absorbiranje stroškov.</w:t>
            </w:r>
          </w:p>
        </w:tc>
        <w:tc>
          <w:tcPr>
            <w:tcW w:w="4072" w:type="dxa"/>
          </w:tcPr>
          <w:p w14:paraId="4E5062E0" w14:textId="77777777" w:rsidR="00334A47" w:rsidRDefault="00334A47" w:rsidP="00334A47">
            <w:r>
              <w:t xml:space="preserve">Regulativni okvir bo prispeval k večji stabilnosti finančnih trgov in zaupanju deležnikov. </w:t>
            </w:r>
          </w:p>
          <w:p w14:paraId="274675BF" w14:textId="1AFBB3AE" w:rsidR="0034717C" w:rsidRPr="00301999" w:rsidRDefault="00334A47" w:rsidP="00F96770">
            <w:r>
              <w:t xml:space="preserve">MSP, ki delujejo v finančnem sektorju ali potrebujejo dostop do kapitala, bodo imela koristi od </w:t>
            </w:r>
            <w:proofErr w:type="spellStart"/>
            <w:r>
              <w:t>predvidljivejšega</w:t>
            </w:r>
            <w:proofErr w:type="spellEnd"/>
            <w:r>
              <w:t xml:space="preserve"> in varnejšega poslovnega okolja, kar lahko spodbuja naložbe in gospodarsko rast.</w:t>
            </w:r>
          </w:p>
        </w:tc>
      </w:tr>
    </w:tbl>
    <w:p w14:paraId="440C348E" w14:textId="77777777" w:rsidR="0034717C" w:rsidRPr="00445B9C" w:rsidRDefault="0034717C" w:rsidP="00AC4497">
      <w:pPr>
        <w:spacing w:line="260" w:lineRule="exact"/>
        <w:jc w:val="both"/>
        <w:rPr>
          <w:rFonts w:cs="Arial"/>
          <w:szCs w:val="20"/>
        </w:rPr>
      </w:pPr>
    </w:p>
    <w:p w14:paraId="23491550" w14:textId="77777777" w:rsidR="00ED36BF" w:rsidRPr="00445B9C" w:rsidRDefault="00ED36BF" w:rsidP="00ED36BF">
      <w:pPr>
        <w:spacing w:line="260" w:lineRule="exact"/>
        <w:jc w:val="both"/>
        <w:rPr>
          <w:rFonts w:cs="Arial"/>
          <w:b/>
          <w:szCs w:val="20"/>
        </w:rPr>
      </w:pPr>
    </w:p>
    <w:p w14:paraId="45C35CDA" w14:textId="77777777" w:rsidR="00ED36BF" w:rsidRPr="00445B9C" w:rsidRDefault="00ED36BF" w:rsidP="00ED36BF">
      <w:pPr>
        <w:spacing w:line="260" w:lineRule="exact"/>
        <w:jc w:val="both"/>
        <w:rPr>
          <w:rFonts w:cs="Arial"/>
          <w:b/>
          <w:szCs w:val="20"/>
        </w:rPr>
      </w:pPr>
      <w:r w:rsidRPr="00445B9C">
        <w:rPr>
          <w:rFonts w:cs="Arial"/>
          <w:b/>
          <w:szCs w:val="20"/>
        </w:rPr>
        <w:t>6.4. Presoja posledic za socialno področje</w:t>
      </w:r>
    </w:p>
    <w:p w14:paraId="72CDF946" w14:textId="77777777" w:rsidR="00722ECA" w:rsidRPr="00445B9C" w:rsidRDefault="00ED36BF" w:rsidP="00AC4497">
      <w:pPr>
        <w:spacing w:line="260" w:lineRule="exact"/>
        <w:jc w:val="both"/>
        <w:rPr>
          <w:rFonts w:cs="Arial"/>
          <w:szCs w:val="20"/>
        </w:rPr>
      </w:pPr>
      <w:r w:rsidRPr="00445B9C">
        <w:rPr>
          <w:rFonts w:cs="Arial"/>
          <w:szCs w:val="20"/>
        </w:rPr>
        <w:t>Predlog zakona nima posledic na socialnem področju.</w:t>
      </w:r>
    </w:p>
    <w:p w14:paraId="62E0E9B7" w14:textId="77777777" w:rsidR="00ED36BF" w:rsidRPr="00445B9C" w:rsidRDefault="00ED36BF" w:rsidP="00ED36BF">
      <w:pPr>
        <w:spacing w:line="260" w:lineRule="exact"/>
        <w:jc w:val="both"/>
        <w:rPr>
          <w:rFonts w:cs="Arial"/>
          <w:b/>
          <w:szCs w:val="20"/>
        </w:rPr>
      </w:pPr>
    </w:p>
    <w:p w14:paraId="6972F1E9" w14:textId="77777777" w:rsidR="00ED36BF" w:rsidRPr="00445B9C" w:rsidRDefault="00ED36BF" w:rsidP="00ED36BF">
      <w:pPr>
        <w:spacing w:line="260" w:lineRule="exact"/>
        <w:jc w:val="both"/>
        <w:rPr>
          <w:rFonts w:cs="Arial"/>
          <w:b/>
          <w:szCs w:val="20"/>
        </w:rPr>
      </w:pPr>
      <w:r w:rsidRPr="00445B9C">
        <w:rPr>
          <w:rFonts w:cs="Arial"/>
          <w:b/>
          <w:szCs w:val="20"/>
        </w:rPr>
        <w:t>6.5. Presoja posledic za dokumente razvojnega načrtovanja</w:t>
      </w:r>
    </w:p>
    <w:p w14:paraId="79B76F14" w14:textId="77777777" w:rsidR="00ED36BF" w:rsidRPr="00445B9C" w:rsidRDefault="00ED36BF" w:rsidP="00AC4497">
      <w:pPr>
        <w:spacing w:line="260" w:lineRule="exact"/>
        <w:jc w:val="both"/>
        <w:rPr>
          <w:rFonts w:cs="Arial"/>
          <w:szCs w:val="20"/>
        </w:rPr>
      </w:pPr>
      <w:r w:rsidRPr="00445B9C">
        <w:rPr>
          <w:rFonts w:cs="Arial"/>
          <w:szCs w:val="20"/>
        </w:rPr>
        <w:t>Predlog zakona nima posledic za dokumente razvojnega načrtovanja.</w:t>
      </w:r>
    </w:p>
    <w:p w14:paraId="0D2D40A3" w14:textId="77777777" w:rsidR="00ED36BF" w:rsidRPr="00445B9C" w:rsidRDefault="00ED36BF" w:rsidP="00ED36BF">
      <w:pPr>
        <w:spacing w:line="260" w:lineRule="exact"/>
        <w:jc w:val="both"/>
        <w:rPr>
          <w:rFonts w:cs="Arial"/>
          <w:b/>
          <w:szCs w:val="20"/>
        </w:rPr>
      </w:pPr>
    </w:p>
    <w:p w14:paraId="1C15761F" w14:textId="77777777" w:rsidR="00ED36BF" w:rsidRPr="00445B9C" w:rsidRDefault="00ED36BF" w:rsidP="00ED36BF">
      <w:pPr>
        <w:spacing w:line="260" w:lineRule="exact"/>
        <w:jc w:val="both"/>
        <w:rPr>
          <w:rFonts w:cs="Arial"/>
          <w:b/>
          <w:szCs w:val="20"/>
        </w:rPr>
      </w:pPr>
      <w:r w:rsidRPr="00445B9C">
        <w:rPr>
          <w:rFonts w:cs="Arial"/>
          <w:b/>
          <w:szCs w:val="20"/>
        </w:rPr>
        <w:t>6.6. Presoja posledic za druga področja</w:t>
      </w:r>
    </w:p>
    <w:p w14:paraId="7E6152FB" w14:textId="77777777" w:rsidR="00ED36BF" w:rsidRPr="00445B9C" w:rsidRDefault="00ED36BF" w:rsidP="00AC4497">
      <w:pPr>
        <w:spacing w:line="260" w:lineRule="exact"/>
        <w:jc w:val="both"/>
        <w:rPr>
          <w:rFonts w:cs="Arial"/>
          <w:szCs w:val="20"/>
        </w:rPr>
      </w:pPr>
      <w:r w:rsidRPr="00445B9C">
        <w:rPr>
          <w:rFonts w:cs="Arial"/>
          <w:szCs w:val="20"/>
        </w:rPr>
        <w:t>Predlog zakona nima posledic za druga področja.</w:t>
      </w:r>
    </w:p>
    <w:p w14:paraId="76B97193" w14:textId="77777777" w:rsidR="00ED36BF" w:rsidRPr="00445B9C" w:rsidRDefault="00ED36BF" w:rsidP="00ED36BF">
      <w:pPr>
        <w:spacing w:line="260" w:lineRule="exact"/>
        <w:jc w:val="both"/>
        <w:rPr>
          <w:rFonts w:cs="Arial"/>
          <w:b/>
          <w:szCs w:val="20"/>
        </w:rPr>
      </w:pPr>
    </w:p>
    <w:p w14:paraId="43470120" w14:textId="77777777" w:rsidR="00ED36BF" w:rsidRPr="00445B9C" w:rsidRDefault="00ED36BF" w:rsidP="00ED36BF">
      <w:pPr>
        <w:spacing w:line="260" w:lineRule="exact"/>
        <w:jc w:val="both"/>
        <w:rPr>
          <w:rFonts w:cs="Arial"/>
          <w:b/>
          <w:szCs w:val="20"/>
        </w:rPr>
      </w:pPr>
      <w:r w:rsidRPr="00445B9C">
        <w:rPr>
          <w:rFonts w:cs="Arial"/>
          <w:b/>
          <w:szCs w:val="20"/>
        </w:rPr>
        <w:t>6.7. Izvajanje sprejetega predpisa</w:t>
      </w:r>
    </w:p>
    <w:p w14:paraId="1602F1AF" w14:textId="29ECF22D" w:rsidR="00AC4497" w:rsidRPr="00607194" w:rsidRDefault="00AC4497" w:rsidP="00AC4497">
      <w:pPr>
        <w:jc w:val="both"/>
        <w:rPr>
          <w:rFonts w:cs="Arial"/>
          <w:bCs/>
          <w:szCs w:val="20"/>
        </w:rPr>
      </w:pPr>
      <w:r w:rsidRPr="00607194">
        <w:rPr>
          <w:rFonts w:cs="Arial"/>
          <w:bCs/>
          <w:szCs w:val="20"/>
        </w:rPr>
        <w:t xml:space="preserve">Izvajanje predpisa </w:t>
      </w:r>
      <w:r w:rsidR="00C85C6F">
        <w:rPr>
          <w:rFonts w:cs="Arial"/>
          <w:bCs/>
          <w:szCs w:val="20"/>
        </w:rPr>
        <w:t>se bo spremljalo v sodelovanju s</w:t>
      </w:r>
      <w:r w:rsidRPr="00607194">
        <w:rPr>
          <w:rFonts w:cs="Arial"/>
          <w:bCs/>
          <w:szCs w:val="20"/>
        </w:rPr>
        <w:t xml:space="preserve"> pristojni</w:t>
      </w:r>
      <w:r w:rsidR="00C85C6F">
        <w:rPr>
          <w:rFonts w:cs="Arial"/>
          <w:bCs/>
          <w:szCs w:val="20"/>
        </w:rPr>
        <w:t>mi</w:t>
      </w:r>
      <w:r w:rsidRPr="00607194">
        <w:rPr>
          <w:rFonts w:cs="Arial"/>
          <w:bCs/>
          <w:szCs w:val="20"/>
        </w:rPr>
        <w:t xml:space="preserve"> organi za zbiranje podatkov v okviru </w:t>
      </w:r>
      <w:r w:rsidR="00C85C6F">
        <w:rPr>
          <w:rFonts w:cs="Arial"/>
          <w:bCs/>
          <w:szCs w:val="20"/>
        </w:rPr>
        <w:t>njihovih</w:t>
      </w:r>
      <w:r w:rsidR="00C85C6F" w:rsidRPr="00607194">
        <w:rPr>
          <w:rFonts w:cs="Arial"/>
          <w:bCs/>
          <w:szCs w:val="20"/>
        </w:rPr>
        <w:t xml:space="preserve"> </w:t>
      </w:r>
      <w:r w:rsidRPr="00607194">
        <w:rPr>
          <w:rFonts w:cs="Arial"/>
          <w:bCs/>
          <w:szCs w:val="20"/>
        </w:rPr>
        <w:t>rednih nadzornih aktivnosti. ATVP bo spremljala izvajanje na področju trga finančnih instrumentov in investicijskih skladov, AZN na področju zavarovalništva in pokojninskih skladov, AJPES na področju gospodarskih družb</w:t>
      </w:r>
      <w:r>
        <w:rPr>
          <w:rFonts w:cs="Arial"/>
          <w:bCs/>
          <w:szCs w:val="20"/>
        </w:rPr>
        <w:t xml:space="preserve">, </w:t>
      </w:r>
      <w:r w:rsidRPr="00B737F5">
        <w:rPr>
          <w:rFonts w:cs="Arial"/>
          <w:bCs/>
          <w:szCs w:val="20"/>
        </w:rPr>
        <w:t xml:space="preserve">Banka Slovenije </w:t>
      </w:r>
      <w:r>
        <w:rPr>
          <w:rFonts w:cs="Arial"/>
          <w:bCs/>
          <w:szCs w:val="20"/>
        </w:rPr>
        <w:t>na področju</w:t>
      </w:r>
      <w:r w:rsidRPr="00B737F5">
        <w:rPr>
          <w:rFonts w:cs="Arial"/>
          <w:bCs/>
          <w:szCs w:val="20"/>
        </w:rPr>
        <w:t xml:space="preserve"> bančništva in bonitetnih zahtev kreditnih institucij</w:t>
      </w:r>
      <w:r>
        <w:rPr>
          <w:rFonts w:cs="Arial"/>
          <w:bCs/>
          <w:szCs w:val="20"/>
        </w:rPr>
        <w:t>,</w:t>
      </w:r>
      <w:r>
        <w:t xml:space="preserve"> </w:t>
      </w:r>
      <w:r w:rsidRPr="001D7ADC">
        <w:rPr>
          <w:rFonts w:cs="Arial"/>
          <w:bCs/>
          <w:szCs w:val="20"/>
        </w:rPr>
        <w:t>ANR pa na področju revizijskih družb in zakonitih revizorjev.</w:t>
      </w:r>
    </w:p>
    <w:p w14:paraId="09FE7DE0" w14:textId="77777777" w:rsidR="00ED36BF" w:rsidRPr="00445B9C" w:rsidRDefault="00ED36BF" w:rsidP="00ED36BF">
      <w:pPr>
        <w:spacing w:line="260" w:lineRule="exact"/>
        <w:jc w:val="both"/>
        <w:rPr>
          <w:rFonts w:cs="Arial"/>
          <w:b/>
          <w:szCs w:val="20"/>
        </w:rPr>
      </w:pPr>
    </w:p>
    <w:p w14:paraId="032FAFCE" w14:textId="77777777" w:rsidR="00ED36BF" w:rsidRPr="00445B9C" w:rsidRDefault="00ED36BF" w:rsidP="00ED36BF">
      <w:pPr>
        <w:spacing w:line="260" w:lineRule="exact"/>
        <w:jc w:val="both"/>
        <w:rPr>
          <w:rFonts w:cs="Arial"/>
          <w:b/>
          <w:szCs w:val="20"/>
        </w:rPr>
      </w:pPr>
      <w:r w:rsidRPr="00445B9C">
        <w:rPr>
          <w:rFonts w:cs="Arial"/>
          <w:b/>
          <w:szCs w:val="20"/>
        </w:rPr>
        <w:t>6.8. Druge pomembne okoliščine v zvezi z vprašanji, ki jih ureja predlog zakona</w:t>
      </w:r>
    </w:p>
    <w:p w14:paraId="57781281" w14:textId="77777777" w:rsidR="00ED36BF" w:rsidRPr="00445B9C" w:rsidRDefault="00ED36BF" w:rsidP="00ED36BF">
      <w:pPr>
        <w:spacing w:line="260" w:lineRule="exact"/>
        <w:rPr>
          <w:rFonts w:cs="Arial"/>
          <w:szCs w:val="20"/>
        </w:rPr>
      </w:pPr>
      <w:r w:rsidRPr="00445B9C">
        <w:rPr>
          <w:rFonts w:cs="Arial"/>
          <w:szCs w:val="20"/>
        </w:rPr>
        <w:t>V zvezi s predlogom zakona ni drugih pomembnih okoliščin.</w:t>
      </w:r>
    </w:p>
    <w:p w14:paraId="346AC033" w14:textId="77777777" w:rsidR="00ED36BF" w:rsidRPr="00445B9C" w:rsidRDefault="00ED36BF" w:rsidP="00ED36BF">
      <w:pPr>
        <w:spacing w:line="260" w:lineRule="exact"/>
        <w:rPr>
          <w:rFonts w:cs="Arial"/>
          <w:szCs w:val="20"/>
        </w:rPr>
      </w:pPr>
    </w:p>
    <w:p w14:paraId="7E5C2D21" w14:textId="77777777" w:rsidR="00ED36BF" w:rsidRPr="00445B9C" w:rsidRDefault="0089316A" w:rsidP="0089316A">
      <w:pPr>
        <w:spacing w:line="260" w:lineRule="exact"/>
        <w:ind w:left="714" w:hanging="357"/>
        <w:rPr>
          <w:rFonts w:cs="Arial"/>
          <w:b/>
          <w:szCs w:val="20"/>
        </w:rPr>
      </w:pPr>
      <w:bookmarkStart w:id="8" w:name="_Ref206406865"/>
      <w:r>
        <w:rPr>
          <w:rFonts w:cs="Arial"/>
          <w:b/>
          <w:szCs w:val="20"/>
        </w:rPr>
        <w:t xml:space="preserve">7. </w:t>
      </w:r>
      <w:r w:rsidR="00ED36BF" w:rsidRPr="00445B9C">
        <w:rPr>
          <w:rFonts w:cs="Arial"/>
          <w:b/>
          <w:szCs w:val="20"/>
        </w:rPr>
        <w:t>PRIKAZ SODELOVANJA JAVNOSTI PRI PRIPRAVI PREDLOGA ZAKONA</w:t>
      </w:r>
      <w:bookmarkEnd w:id="8"/>
    </w:p>
    <w:p w14:paraId="313C4B91" w14:textId="77777777" w:rsidR="00ED36BF" w:rsidRPr="00445B9C" w:rsidRDefault="00ED36BF" w:rsidP="00ED36BF">
      <w:pPr>
        <w:spacing w:line="260" w:lineRule="exact"/>
        <w:rPr>
          <w:rFonts w:cs="Arial"/>
          <w:b/>
          <w:szCs w:val="20"/>
        </w:rPr>
      </w:pPr>
    </w:p>
    <w:p w14:paraId="1B2F1D80" w14:textId="77777777" w:rsidR="00AB563E" w:rsidRPr="00B9513B" w:rsidRDefault="00AB563E" w:rsidP="00AB563E">
      <w:pPr>
        <w:pStyle w:val="Brezrazmikov"/>
        <w:jc w:val="both"/>
        <w:rPr>
          <w:rFonts w:cs="Arial"/>
          <w:iCs/>
          <w:szCs w:val="20"/>
          <w:lang w:val="sl-SI"/>
        </w:rPr>
      </w:pPr>
      <w:r>
        <w:rPr>
          <w:rFonts w:cs="Arial"/>
          <w:iCs/>
          <w:szCs w:val="20"/>
          <w:lang w:val="sl-SI"/>
        </w:rPr>
        <w:t xml:space="preserve">Osnutek </w:t>
      </w:r>
      <w:r w:rsidRPr="009F7EA9">
        <w:rPr>
          <w:rFonts w:cs="Arial"/>
          <w:iCs/>
          <w:szCs w:val="20"/>
          <w:lang w:val="sl-SI"/>
        </w:rPr>
        <w:t xml:space="preserve">zakona </w:t>
      </w:r>
      <w:r w:rsidRPr="00B9513B">
        <w:rPr>
          <w:rFonts w:cs="Arial"/>
          <w:iCs/>
          <w:szCs w:val="20"/>
          <w:lang w:val="sl-SI"/>
        </w:rPr>
        <w:t xml:space="preserve">je </w:t>
      </w:r>
      <w:r>
        <w:rPr>
          <w:rFonts w:cs="Arial"/>
          <w:iCs/>
          <w:szCs w:val="20"/>
          <w:lang w:val="sl-SI"/>
        </w:rPr>
        <w:t>bi</w:t>
      </w:r>
      <w:r w:rsidRPr="00B9513B">
        <w:rPr>
          <w:rFonts w:cs="Arial"/>
          <w:iCs/>
          <w:szCs w:val="20"/>
          <w:lang w:val="sl-SI"/>
        </w:rPr>
        <w:t xml:space="preserve">l </w:t>
      </w:r>
      <w:r>
        <w:rPr>
          <w:rFonts w:cs="Arial"/>
          <w:iCs/>
          <w:szCs w:val="20"/>
          <w:lang w:val="sl-SI"/>
        </w:rPr>
        <w:t>javno objavljen</w:t>
      </w:r>
      <w:r w:rsidRPr="00B9513B">
        <w:rPr>
          <w:rFonts w:cs="Arial"/>
          <w:iCs/>
          <w:szCs w:val="20"/>
          <w:lang w:val="sl-SI"/>
        </w:rPr>
        <w:t xml:space="preserve"> od </w:t>
      </w:r>
      <w:r>
        <w:rPr>
          <w:rFonts w:cs="Arial"/>
          <w:iCs/>
          <w:szCs w:val="20"/>
          <w:lang w:val="sl-SI"/>
        </w:rPr>
        <w:t xml:space="preserve">1. septembra </w:t>
      </w:r>
      <w:r w:rsidRPr="00B9513B">
        <w:rPr>
          <w:rFonts w:cs="Arial"/>
          <w:iCs/>
          <w:szCs w:val="20"/>
          <w:lang w:val="sl-SI"/>
        </w:rPr>
        <w:t xml:space="preserve">do </w:t>
      </w:r>
      <w:r>
        <w:rPr>
          <w:rFonts w:cs="Arial"/>
          <w:iCs/>
          <w:szCs w:val="20"/>
          <w:lang w:val="sl-SI"/>
        </w:rPr>
        <w:t xml:space="preserve">1. oktobra. </w:t>
      </w:r>
      <w:r w:rsidRPr="00B9513B">
        <w:rPr>
          <w:rFonts w:cs="Arial"/>
          <w:iCs/>
          <w:szCs w:val="20"/>
          <w:lang w:val="sl-SI"/>
        </w:rPr>
        <w:t xml:space="preserve">2025. Gradivo je bilo objavljeno na </w:t>
      </w:r>
      <w:r>
        <w:rPr>
          <w:rFonts w:cs="Arial"/>
          <w:iCs/>
          <w:szCs w:val="20"/>
          <w:lang w:val="sl-SI"/>
        </w:rPr>
        <w:t>spletnem portalu</w:t>
      </w:r>
      <w:r w:rsidRPr="00B9513B">
        <w:rPr>
          <w:rFonts w:cs="Arial"/>
          <w:iCs/>
          <w:szCs w:val="20"/>
          <w:lang w:val="sl-SI"/>
        </w:rPr>
        <w:t xml:space="preserve"> </w:t>
      </w:r>
      <w:proofErr w:type="spellStart"/>
      <w:r w:rsidRPr="00B9513B">
        <w:rPr>
          <w:rFonts w:cs="Arial"/>
          <w:iCs/>
          <w:szCs w:val="20"/>
          <w:lang w:val="sl-SI"/>
        </w:rPr>
        <w:t>eDemokracija</w:t>
      </w:r>
      <w:proofErr w:type="spellEnd"/>
      <w:r w:rsidRPr="00B9513B">
        <w:rPr>
          <w:rFonts w:cs="Arial"/>
          <w:iCs/>
          <w:szCs w:val="20"/>
          <w:lang w:val="sl-SI"/>
        </w:rPr>
        <w:t xml:space="preserve">: </w:t>
      </w:r>
      <w:r w:rsidRPr="00C45E2A">
        <w:rPr>
          <w:rFonts w:cs="Arial"/>
          <w:iCs/>
          <w:szCs w:val="20"/>
          <w:lang w:val="sl-SI"/>
        </w:rPr>
        <w:t>https://e-uprava.gov.si/si/drzava-in-druzba/e-demokracija/predlogi-predpisov/predlog-predpisa.html?id=18106&amp;lang=si</w:t>
      </w:r>
    </w:p>
    <w:p w14:paraId="798B70AB" w14:textId="77777777" w:rsidR="00AB563E" w:rsidRPr="00B9513B" w:rsidRDefault="00AB563E" w:rsidP="00AB563E">
      <w:pPr>
        <w:pStyle w:val="Brezrazmikov"/>
        <w:jc w:val="both"/>
        <w:rPr>
          <w:rFonts w:cs="Arial"/>
          <w:iCs/>
          <w:szCs w:val="20"/>
          <w:lang w:val="sl-SI"/>
        </w:rPr>
      </w:pPr>
    </w:p>
    <w:p w14:paraId="756E40A9" w14:textId="77777777" w:rsidR="00AB563E" w:rsidRPr="00732B0A" w:rsidRDefault="00AB563E" w:rsidP="00AB563E">
      <w:pPr>
        <w:pStyle w:val="Brezrazmikov"/>
        <w:jc w:val="both"/>
        <w:rPr>
          <w:rFonts w:cs="Arial"/>
          <w:iCs/>
          <w:szCs w:val="20"/>
          <w:lang w:val="sl-SI"/>
        </w:rPr>
      </w:pPr>
      <w:r w:rsidRPr="00B9513B">
        <w:rPr>
          <w:rFonts w:cs="Arial"/>
          <w:iCs/>
          <w:szCs w:val="20"/>
          <w:lang w:val="sl-SI"/>
        </w:rPr>
        <w:t>Bistveni predlogi in pripombe ter način njihovega upoštevanja:</w:t>
      </w:r>
    </w:p>
    <w:p w14:paraId="21B38D01" w14:textId="77777777" w:rsidR="00AB563E" w:rsidRDefault="00AB563E" w:rsidP="00AB563E">
      <w:pPr>
        <w:pStyle w:val="Brezrazmikov"/>
        <w:jc w:val="both"/>
        <w:rPr>
          <w:rFonts w:cs="Arial"/>
          <w:iCs/>
          <w:szCs w:val="20"/>
          <w:lang w:val="sl-SI"/>
        </w:rPr>
      </w:pPr>
    </w:p>
    <w:p w14:paraId="003531B7" w14:textId="77777777" w:rsidR="00AB563E" w:rsidRPr="002F6EB9" w:rsidRDefault="00AB563E" w:rsidP="00AB563E">
      <w:pPr>
        <w:pStyle w:val="Brezrazmikov"/>
        <w:jc w:val="both"/>
        <w:rPr>
          <w:rFonts w:cs="Arial"/>
          <w:iCs/>
          <w:szCs w:val="20"/>
          <w:u w:val="single"/>
          <w:lang w:val="sl-SI"/>
        </w:rPr>
      </w:pPr>
      <w:r w:rsidRPr="002F6EB9">
        <w:rPr>
          <w:rFonts w:cs="Arial"/>
          <w:iCs/>
          <w:szCs w:val="20"/>
          <w:u w:val="single"/>
          <w:lang w:val="sl-SI"/>
        </w:rPr>
        <w:t>Fizična oseba 1</w:t>
      </w:r>
      <w:r w:rsidRPr="006A5D94">
        <w:rPr>
          <w:rFonts w:cs="Arial"/>
          <w:iCs/>
          <w:szCs w:val="20"/>
          <w:lang w:val="sl-SI"/>
        </w:rPr>
        <w:t>:</w:t>
      </w:r>
    </w:p>
    <w:p w14:paraId="13C0DE80" w14:textId="77777777" w:rsidR="00AB563E" w:rsidRPr="002F6EB9" w:rsidRDefault="00AB563E" w:rsidP="00AB563E">
      <w:pPr>
        <w:pStyle w:val="Brezrazmikov"/>
        <w:jc w:val="both"/>
        <w:rPr>
          <w:rFonts w:cs="Arial"/>
          <w:iCs/>
          <w:szCs w:val="20"/>
          <w:lang w:val="sl-SI"/>
        </w:rPr>
      </w:pPr>
      <w:r w:rsidRPr="002F6EB9">
        <w:rPr>
          <w:rFonts w:cs="Arial"/>
          <w:iCs/>
          <w:szCs w:val="20"/>
          <w:lang w:val="sl-SI"/>
        </w:rPr>
        <w:t>»Agencija in Banka Slovenije ne opravljata zakonsko določenih aktivnosti, zato je potrebno določiti kdo izvaja nadzor nad njima in določiti sankcije, če se zakonskih nalog ne izvaja. To se je pokazalo pri izvajanju zakona o prevzemih, zato je potrebno s tem zakonom to urediti.«</w:t>
      </w:r>
    </w:p>
    <w:p w14:paraId="69247DA3" w14:textId="77777777" w:rsidR="00AB563E" w:rsidRPr="002F6EB9" w:rsidRDefault="00AB563E" w:rsidP="00AB563E">
      <w:pPr>
        <w:pStyle w:val="Brezrazmikov"/>
        <w:jc w:val="both"/>
        <w:rPr>
          <w:rFonts w:cs="Arial"/>
          <w:iCs/>
          <w:szCs w:val="20"/>
          <w:lang w:val="sl-SI"/>
        </w:rPr>
      </w:pPr>
    </w:p>
    <w:p w14:paraId="37F4B3B5" w14:textId="77777777" w:rsidR="00AB563E" w:rsidRPr="002F6EB9" w:rsidRDefault="00AB563E" w:rsidP="00AB563E">
      <w:pPr>
        <w:pStyle w:val="Brezrazmikov"/>
        <w:jc w:val="both"/>
        <w:rPr>
          <w:rFonts w:cs="Arial"/>
          <w:iCs/>
          <w:szCs w:val="20"/>
          <w:lang w:val="sl-SI"/>
        </w:rPr>
      </w:pPr>
      <w:r w:rsidRPr="002F6EB9">
        <w:rPr>
          <w:rFonts w:cs="Arial"/>
          <w:iCs/>
          <w:szCs w:val="20"/>
          <w:lang w:val="sl-SI"/>
        </w:rPr>
        <w:t>Pripomba ni upoštevana.</w:t>
      </w:r>
    </w:p>
    <w:p w14:paraId="419EFC79" w14:textId="77777777" w:rsidR="00AB563E" w:rsidRPr="002F6EB9" w:rsidRDefault="00AB563E" w:rsidP="00AB563E">
      <w:pPr>
        <w:pStyle w:val="Brezrazmikov"/>
        <w:jc w:val="both"/>
        <w:rPr>
          <w:rFonts w:cs="Arial"/>
          <w:iCs/>
          <w:szCs w:val="20"/>
          <w:lang w:val="sl-SI"/>
        </w:rPr>
      </w:pPr>
    </w:p>
    <w:p w14:paraId="0B488002" w14:textId="77777777" w:rsidR="00AB563E" w:rsidRPr="002E1ABF" w:rsidRDefault="00AB563E" w:rsidP="00AB563E">
      <w:pPr>
        <w:jc w:val="both"/>
        <w:rPr>
          <w:rFonts w:cs="Arial"/>
          <w:bCs/>
          <w:szCs w:val="20"/>
        </w:rPr>
      </w:pPr>
      <w:r w:rsidRPr="002E1ABF">
        <w:rPr>
          <w:rFonts w:cs="Arial"/>
          <w:bCs/>
          <w:szCs w:val="20"/>
        </w:rPr>
        <w:t xml:space="preserve">Urejanje nadzora nad delovanjem Agencije za trg vrednostnih papirjev (v nadaljnjem besedilu: ATVP), Agencije za zavarovalni nadzor (v nadaljnjem besedilu: AZN), Agencije za javni nadzor nad revidiranjem (v nadaljnjem besedilu: AJNR) </w:t>
      </w:r>
      <w:r>
        <w:rPr>
          <w:rFonts w:cs="Arial"/>
          <w:bCs/>
          <w:szCs w:val="20"/>
        </w:rPr>
        <w:t>in</w:t>
      </w:r>
      <w:r w:rsidRPr="002E1ABF">
        <w:rPr>
          <w:rFonts w:cs="Arial"/>
          <w:bCs/>
          <w:szCs w:val="20"/>
        </w:rPr>
        <w:t xml:space="preserve"> Banke Slovenije v osnutku zakona ni primerno, saj ti organi delujejo na podlagi področnih zakonov, ki že urejajo njihovo delovanje, pristojnosti in nadzor nad njihovim delom. Vključevanje dodatnih določb o nadzoru in sankcijah v zakon, ki ni namenjen sistemskemu urejanju delovanja teh organov, bi lahko povzročilo pravno neskladje, podvajanje mehanizmov ali zmedo pri izvajanju nadzora. Poleg tega je nadzor nad temi organi že urejen v njihovih krovnih zakonih in drugih predpisih, ki zagotavljajo neodvisnost in strokovnost </w:t>
      </w:r>
      <w:r w:rsidRPr="002E1ABF">
        <w:rPr>
          <w:rFonts w:cs="Arial"/>
          <w:bCs/>
          <w:szCs w:val="20"/>
        </w:rPr>
        <w:lastRenderedPageBreak/>
        <w:t>teh institucij. Tako morajo ti organi letno poročati Državnemu zboru Republike Slovenije o svojem delu. Za neizvajanje zakonskih nalog so odgovorni direktorji in člani svetov posameznih agencij oziroma guverner in drugi člani sveta Banke Slovenije, ki jih imenuje Državni zbor Republike Slovenije ali Vlada Republike Slovenije. Neizpolnjevanje nalog lahko vodi do razrešitve ali drugih ukrepov</w:t>
      </w:r>
      <w:r>
        <w:rPr>
          <w:rFonts w:cs="Arial"/>
          <w:bCs/>
          <w:szCs w:val="20"/>
        </w:rPr>
        <w:t xml:space="preserve"> v</w:t>
      </w:r>
      <w:r w:rsidRPr="002E1ABF">
        <w:rPr>
          <w:rFonts w:cs="Arial"/>
          <w:bCs/>
          <w:szCs w:val="20"/>
        </w:rPr>
        <w:t xml:space="preserve"> sklad</w:t>
      </w:r>
      <w:r>
        <w:rPr>
          <w:rFonts w:cs="Arial"/>
          <w:bCs/>
          <w:szCs w:val="20"/>
        </w:rPr>
        <w:t>u</w:t>
      </w:r>
      <w:r w:rsidRPr="002E1ABF">
        <w:rPr>
          <w:rFonts w:cs="Arial"/>
          <w:bCs/>
          <w:szCs w:val="20"/>
        </w:rPr>
        <w:t xml:space="preserve"> z </w:t>
      </w:r>
      <w:r>
        <w:rPr>
          <w:rFonts w:cs="Arial"/>
          <w:bCs/>
          <w:szCs w:val="20"/>
        </w:rPr>
        <w:t>vel</w:t>
      </w:r>
      <w:r w:rsidRPr="002E1ABF">
        <w:rPr>
          <w:rFonts w:cs="Arial"/>
          <w:bCs/>
          <w:szCs w:val="20"/>
        </w:rPr>
        <w:t>j</w:t>
      </w:r>
      <w:r>
        <w:rPr>
          <w:rFonts w:cs="Arial"/>
          <w:bCs/>
          <w:szCs w:val="20"/>
        </w:rPr>
        <w:t>avn</w:t>
      </w:r>
      <w:r w:rsidRPr="002E1ABF">
        <w:rPr>
          <w:rFonts w:cs="Arial"/>
          <w:bCs/>
          <w:szCs w:val="20"/>
        </w:rPr>
        <w:t>o zakonodajo. Prav tako je za nadzor nad poslovanjem teh organov pristojno Računsko sodišče Republike Slovenije.</w:t>
      </w:r>
    </w:p>
    <w:p w14:paraId="77637C3A" w14:textId="77777777" w:rsidR="00AB563E" w:rsidRPr="002E1ABF" w:rsidRDefault="00AB563E" w:rsidP="00AB563E">
      <w:pPr>
        <w:jc w:val="both"/>
        <w:rPr>
          <w:rFonts w:cs="Arial"/>
          <w:bCs/>
          <w:szCs w:val="20"/>
        </w:rPr>
      </w:pPr>
      <w:r w:rsidRPr="002E1ABF">
        <w:rPr>
          <w:rFonts w:cs="Arial"/>
          <w:bCs/>
          <w:szCs w:val="20"/>
        </w:rPr>
        <w:t>Spreminjanje ali dopolnjevanje teh mehanizmov bi lahko ogrozilo njihovo neodvisnost, ki je ključna za izpolnjevanje njihovih nalog, zlasti v skladu z evropskimi standardi (n</w:t>
      </w:r>
      <w:r>
        <w:rPr>
          <w:rFonts w:cs="Arial"/>
          <w:bCs/>
          <w:szCs w:val="20"/>
        </w:rPr>
        <w:t xml:space="preserve">a </w:t>
      </w:r>
      <w:r w:rsidRPr="002E1ABF">
        <w:rPr>
          <w:rFonts w:cs="Arial"/>
          <w:bCs/>
          <w:szCs w:val="20"/>
        </w:rPr>
        <w:t>pr</w:t>
      </w:r>
      <w:r>
        <w:rPr>
          <w:rFonts w:cs="Arial"/>
          <w:bCs/>
          <w:szCs w:val="20"/>
        </w:rPr>
        <w:t>imer</w:t>
      </w:r>
      <w:r w:rsidRPr="002E1ABF">
        <w:rPr>
          <w:rFonts w:cs="Arial"/>
          <w:bCs/>
          <w:szCs w:val="20"/>
        </w:rPr>
        <w:t xml:space="preserve"> zahteve ESMA, EIOPA, EBA). Takšna ureditev bi zahtevala širšo razpravo in usklajevanje z vsemi deležniki, vključno z </w:t>
      </w:r>
      <w:r>
        <w:rPr>
          <w:rFonts w:cs="Arial"/>
          <w:bCs/>
          <w:szCs w:val="20"/>
        </w:rPr>
        <w:t>e</w:t>
      </w:r>
      <w:r w:rsidRPr="002E1ABF">
        <w:rPr>
          <w:rFonts w:cs="Arial"/>
          <w:bCs/>
          <w:szCs w:val="20"/>
        </w:rPr>
        <w:t>vropskimi nadzornimi organi, kar bistveno presega namen predmetnega osnutka zakona.</w:t>
      </w:r>
    </w:p>
    <w:p w14:paraId="3EA1C36B" w14:textId="77777777" w:rsidR="00AB563E" w:rsidRDefault="00AB563E" w:rsidP="00AB563E">
      <w:pPr>
        <w:pStyle w:val="Brezrazmikov"/>
        <w:jc w:val="both"/>
        <w:rPr>
          <w:rFonts w:cs="Arial"/>
          <w:iCs/>
          <w:szCs w:val="20"/>
          <w:lang w:val="sl-SI"/>
        </w:rPr>
      </w:pPr>
    </w:p>
    <w:p w14:paraId="5ED2AD92" w14:textId="77777777" w:rsidR="00AB563E" w:rsidRPr="00C21668" w:rsidRDefault="00AB563E" w:rsidP="00AB563E">
      <w:pPr>
        <w:pStyle w:val="Brezrazmikov"/>
        <w:jc w:val="both"/>
        <w:rPr>
          <w:rFonts w:cs="Arial"/>
          <w:iCs/>
          <w:szCs w:val="20"/>
          <w:u w:val="single"/>
          <w:lang w:val="sl-SI"/>
        </w:rPr>
      </w:pPr>
      <w:r w:rsidRPr="00C21668">
        <w:rPr>
          <w:rFonts w:cs="Arial"/>
          <w:iCs/>
          <w:szCs w:val="20"/>
          <w:u w:val="single"/>
          <w:lang w:val="sl-SI"/>
        </w:rPr>
        <w:t>ATVP je</w:t>
      </w:r>
      <w:r w:rsidRPr="006A5D94">
        <w:rPr>
          <w:rFonts w:cs="Arial"/>
          <w:iCs/>
          <w:szCs w:val="20"/>
          <w:lang w:val="sl-SI"/>
        </w:rPr>
        <w:t>:</w:t>
      </w:r>
    </w:p>
    <w:p w14:paraId="5359A1BD" w14:textId="77777777" w:rsidR="00AB563E" w:rsidRDefault="00AB563E" w:rsidP="00AB563E">
      <w:pPr>
        <w:pStyle w:val="Brezrazmikov"/>
        <w:numPr>
          <w:ilvl w:val="0"/>
          <w:numId w:val="21"/>
        </w:numPr>
        <w:ind w:left="357" w:hanging="357"/>
        <w:jc w:val="both"/>
        <w:rPr>
          <w:rFonts w:cs="Arial"/>
          <w:iCs/>
          <w:szCs w:val="20"/>
          <w:lang w:val="sl-SI"/>
        </w:rPr>
      </w:pPr>
      <w:r w:rsidRPr="006A2E2C">
        <w:rPr>
          <w:rFonts w:cs="Arial"/>
          <w:b/>
          <w:bCs/>
          <w:iCs/>
          <w:szCs w:val="20"/>
          <w:lang w:val="sl-SI"/>
        </w:rPr>
        <w:t>k 8. členu</w:t>
      </w:r>
      <w:r w:rsidRPr="006A2E2C">
        <w:rPr>
          <w:rFonts w:cs="Arial"/>
          <w:iCs/>
          <w:szCs w:val="20"/>
          <w:lang w:val="sl-SI"/>
        </w:rPr>
        <w:t xml:space="preserve"> osnutka zakona </w:t>
      </w:r>
      <w:r w:rsidRPr="00F40033">
        <w:rPr>
          <w:rFonts w:cs="Arial"/>
          <w:iCs/>
          <w:szCs w:val="20"/>
          <w:lang w:val="sl-SI"/>
        </w:rPr>
        <w:t>predlagala</w:t>
      </w:r>
      <w:r>
        <w:rPr>
          <w:rFonts w:cs="Arial"/>
          <w:iCs/>
          <w:szCs w:val="20"/>
          <w:lang w:val="sl-SI"/>
        </w:rPr>
        <w:t>:</w:t>
      </w:r>
    </w:p>
    <w:p w14:paraId="309EB87C" w14:textId="77777777" w:rsidR="00AB563E" w:rsidRPr="006A2E2C" w:rsidRDefault="00AB563E" w:rsidP="00AB563E">
      <w:pPr>
        <w:pStyle w:val="Brezrazmikov"/>
        <w:numPr>
          <w:ilvl w:val="0"/>
          <w:numId w:val="79"/>
        </w:numPr>
        <w:ind w:left="527" w:hanging="357"/>
        <w:jc w:val="both"/>
        <w:rPr>
          <w:rFonts w:cs="Arial"/>
          <w:iCs/>
          <w:szCs w:val="20"/>
          <w:lang w:val="sl-SI"/>
        </w:rPr>
      </w:pPr>
      <w:r w:rsidRPr="006A2E2C">
        <w:rPr>
          <w:rFonts w:cs="Arial"/>
          <w:iCs/>
          <w:szCs w:val="20"/>
          <w:lang w:val="sl-SI"/>
        </w:rPr>
        <w:t>popravek besedila novega 9.a člena Z</w:t>
      </w:r>
      <w:r>
        <w:rPr>
          <w:rFonts w:cs="Arial"/>
          <w:iCs/>
          <w:szCs w:val="20"/>
          <w:lang w:val="sl-SI"/>
        </w:rPr>
        <w:t>P</w:t>
      </w:r>
      <w:r w:rsidRPr="006A2E2C">
        <w:rPr>
          <w:rFonts w:cs="Arial"/>
          <w:iCs/>
          <w:szCs w:val="20"/>
          <w:lang w:val="sl-SI"/>
        </w:rPr>
        <w:t xml:space="preserve">re-1 v delu, ki se sklicuje na 17. člen ZPre-1. Pripomba je upoštevana, zato se v prvem odstavku novega 9.a člena črta sklic na 17. člen ZPre-1 </w:t>
      </w:r>
      <w:r>
        <w:rPr>
          <w:rFonts w:cs="Arial"/>
          <w:iCs/>
          <w:szCs w:val="20"/>
          <w:lang w:val="sl-SI"/>
        </w:rPr>
        <w:t>in</w:t>
      </w:r>
      <w:r w:rsidRPr="006A2E2C">
        <w:rPr>
          <w:rFonts w:cs="Arial"/>
          <w:iCs/>
          <w:szCs w:val="20"/>
          <w:lang w:val="sl-SI"/>
        </w:rPr>
        <w:t xml:space="preserve"> doda </w:t>
      </w:r>
      <w:r w:rsidRPr="00771594">
        <w:rPr>
          <w:rFonts w:cs="Arial"/>
          <w:iCs/>
          <w:szCs w:val="20"/>
          <w:lang w:val="sl-SI"/>
        </w:rPr>
        <w:t>novi 9</w:t>
      </w:r>
      <w:r w:rsidRPr="006A2E2C">
        <w:rPr>
          <w:rFonts w:cs="Arial"/>
          <w:iCs/>
          <w:szCs w:val="20"/>
          <w:lang w:val="sl-SI"/>
        </w:rPr>
        <w:t>. člen predloga zakona, ki dopolnjuje 17. člen ZPre-1 z novim, petim odstavkom. Posledično se črta tudi četrti odstavek novega 9.a člena ZPre-1</w:t>
      </w:r>
      <w:r>
        <w:rPr>
          <w:rFonts w:cs="Arial"/>
          <w:iCs/>
          <w:szCs w:val="20"/>
          <w:lang w:val="sl-SI"/>
        </w:rPr>
        <w:t>;</w:t>
      </w:r>
    </w:p>
    <w:p w14:paraId="54184B4E" w14:textId="77777777" w:rsidR="00AB563E" w:rsidRDefault="00AB563E" w:rsidP="00AB563E">
      <w:pPr>
        <w:pStyle w:val="Brezrazmikov"/>
        <w:ind w:left="527"/>
        <w:jc w:val="both"/>
        <w:rPr>
          <w:rFonts w:cs="Arial"/>
          <w:iCs/>
          <w:szCs w:val="20"/>
          <w:lang w:val="sl-SI"/>
        </w:rPr>
      </w:pPr>
      <w:r>
        <w:rPr>
          <w:rFonts w:cs="Arial"/>
          <w:iCs/>
          <w:szCs w:val="20"/>
          <w:lang w:val="sl-SI"/>
        </w:rPr>
        <w:t>p</w:t>
      </w:r>
      <w:r w:rsidRPr="006A2E2C">
        <w:rPr>
          <w:rFonts w:cs="Arial"/>
          <w:iCs/>
          <w:szCs w:val="20"/>
          <w:lang w:val="sl-SI"/>
        </w:rPr>
        <w:t xml:space="preserve">rav tako se v prvem odstavku novega 9.a člena ZPre-1 </w:t>
      </w:r>
      <w:r w:rsidRPr="00A945E8">
        <w:rPr>
          <w:rFonts w:cs="Arial"/>
          <w:iCs/>
          <w:szCs w:val="20"/>
          <w:lang w:val="sl-SI"/>
        </w:rPr>
        <w:t>namesto sklica na 33. člen ZPre-1</w:t>
      </w:r>
      <w:r>
        <w:rPr>
          <w:rFonts w:cs="Arial"/>
          <w:iCs/>
          <w:szCs w:val="20"/>
          <w:lang w:val="sl-SI"/>
        </w:rPr>
        <w:t xml:space="preserve"> določi sklic na 28. člen ZPre-1;</w:t>
      </w:r>
    </w:p>
    <w:p w14:paraId="430DDC82" w14:textId="77777777" w:rsidR="00AB563E" w:rsidRDefault="00AB563E" w:rsidP="00AB563E">
      <w:pPr>
        <w:pStyle w:val="Brezrazmikov"/>
        <w:numPr>
          <w:ilvl w:val="0"/>
          <w:numId w:val="79"/>
        </w:numPr>
        <w:ind w:left="527" w:hanging="357"/>
        <w:jc w:val="both"/>
        <w:rPr>
          <w:rFonts w:cs="Arial"/>
          <w:iCs/>
          <w:szCs w:val="20"/>
          <w:lang w:val="sl-SI"/>
        </w:rPr>
      </w:pPr>
      <w:r>
        <w:rPr>
          <w:rFonts w:cs="Arial"/>
          <w:iCs/>
          <w:szCs w:val="20"/>
          <w:lang w:val="sl-SI"/>
        </w:rPr>
        <w:t xml:space="preserve">v četrti alineji </w:t>
      </w:r>
      <w:r w:rsidRPr="00A945E8">
        <w:rPr>
          <w:rFonts w:cs="Arial"/>
          <w:iCs/>
          <w:szCs w:val="20"/>
          <w:lang w:val="sl-SI"/>
        </w:rPr>
        <w:t xml:space="preserve">2. točke drugega odstavka predloga novega 9.a člena ZPre-1 </w:t>
      </w:r>
      <w:r>
        <w:rPr>
          <w:rFonts w:cs="Arial"/>
          <w:iCs/>
          <w:szCs w:val="20"/>
          <w:lang w:val="sl-SI"/>
        </w:rPr>
        <w:t>se</w:t>
      </w:r>
      <w:r w:rsidRPr="00A945E8">
        <w:rPr>
          <w:rFonts w:cs="Arial"/>
          <w:iCs/>
          <w:szCs w:val="20"/>
          <w:lang w:val="sl-SI"/>
        </w:rPr>
        <w:t xml:space="preserve"> besed</w:t>
      </w:r>
      <w:r>
        <w:rPr>
          <w:rFonts w:cs="Arial"/>
          <w:iCs/>
          <w:szCs w:val="20"/>
          <w:lang w:val="sl-SI"/>
        </w:rPr>
        <w:t>a</w:t>
      </w:r>
      <w:r w:rsidRPr="00A945E8">
        <w:rPr>
          <w:rFonts w:cs="Arial"/>
          <w:iCs/>
          <w:szCs w:val="20"/>
          <w:lang w:val="sl-SI"/>
        </w:rPr>
        <w:t xml:space="preserve"> </w:t>
      </w:r>
      <w:r>
        <w:rPr>
          <w:rFonts w:cs="Arial"/>
          <w:iCs/>
          <w:szCs w:val="20"/>
          <w:lang w:val="sl-SI"/>
        </w:rPr>
        <w:t>»</w:t>
      </w:r>
      <w:r w:rsidRPr="00A945E8">
        <w:rPr>
          <w:rFonts w:cs="Arial"/>
          <w:iCs/>
          <w:szCs w:val="20"/>
          <w:lang w:val="sl-SI"/>
        </w:rPr>
        <w:t>javne</w:t>
      </w:r>
      <w:r>
        <w:rPr>
          <w:rFonts w:cs="Arial"/>
          <w:iCs/>
          <w:szCs w:val="20"/>
          <w:lang w:val="sl-SI"/>
        </w:rPr>
        <w:t>« črta</w:t>
      </w:r>
      <w:r w:rsidRPr="00A945E8">
        <w:rPr>
          <w:rFonts w:cs="Arial"/>
          <w:iCs/>
          <w:szCs w:val="20"/>
          <w:lang w:val="sl-SI"/>
        </w:rPr>
        <w:t>,</w:t>
      </w:r>
      <w:r>
        <w:rPr>
          <w:rFonts w:cs="Arial"/>
          <w:iCs/>
          <w:szCs w:val="20"/>
          <w:lang w:val="sl-SI"/>
        </w:rPr>
        <w:t xml:space="preserve"> saj</w:t>
      </w:r>
      <w:r w:rsidRPr="00A945E8">
        <w:rPr>
          <w:rFonts w:cs="Arial"/>
          <w:iCs/>
          <w:szCs w:val="20"/>
          <w:lang w:val="sl-SI"/>
        </w:rPr>
        <w:t xml:space="preserve"> </w:t>
      </w:r>
      <w:r>
        <w:rPr>
          <w:rFonts w:cs="Arial"/>
          <w:iCs/>
          <w:szCs w:val="20"/>
          <w:lang w:val="sl-SI"/>
        </w:rPr>
        <w:t xml:space="preserve">je </w:t>
      </w:r>
      <w:r w:rsidRPr="00A945E8">
        <w:rPr>
          <w:rFonts w:cs="Arial"/>
          <w:iCs/>
          <w:szCs w:val="20"/>
          <w:lang w:val="sl-SI"/>
        </w:rPr>
        <w:t>besedilo novega 16a. člena Direktive 2004/25/ES v podtočki (iv) točke (b) drugega pododstavka prvega odstavk</w:t>
      </w:r>
      <w:r>
        <w:rPr>
          <w:rFonts w:cs="Arial"/>
          <w:iCs/>
          <w:szCs w:val="20"/>
          <w:lang w:val="sl-SI"/>
        </w:rPr>
        <w:t xml:space="preserve">a </w:t>
      </w:r>
      <w:r w:rsidRPr="00A945E8">
        <w:rPr>
          <w:rFonts w:cs="Arial"/>
          <w:iCs/>
          <w:szCs w:val="20"/>
          <w:lang w:val="sl-SI"/>
        </w:rPr>
        <w:t>ne vsebuje</w:t>
      </w:r>
      <w:r>
        <w:rPr>
          <w:rFonts w:cs="Arial"/>
          <w:iCs/>
          <w:szCs w:val="20"/>
          <w:lang w:val="sl-SI"/>
        </w:rPr>
        <w:t>;</w:t>
      </w:r>
    </w:p>
    <w:p w14:paraId="05D133A8" w14:textId="77777777" w:rsidR="00AB563E" w:rsidRDefault="00AB563E" w:rsidP="00AB563E">
      <w:pPr>
        <w:pStyle w:val="Brezrazmikov"/>
        <w:numPr>
          <w:ilvl w:val="0"/>
          <w:numId w:val="79"/>
        </w:numPr>
        <w:ind w:left="527" w:hanging="357"/>
        <w:jc w:val="both"/>
        <w:rPr>
          <w:rFonts w:cs="Arial"/>
          <w:iCs/>
          <w:szCs w:val="20"/>
          <w:lang w:val="sl-SI"/>
        </w:rPr>
      </w:pPr>
      <w:r>
        <w:rPr>
          <w:rFonts w:cs="Arial"/>
          <w:iCs/>
          <w:szCs w:val="20"/>
          <w:lang w:val="sl-SI"/>
        </w:rPr>
        <w:t xml:space="preserve">da se </w:t>
      </w:r>
      <w:r w:rsidRPr="00627C90">
        <w:rPr>
          <w:rFonts w:cs="Arial"/>
          <w:iCs/>
          <w:szCs w:val="20"/>
          <w:lang w:val="sl-SI"/>
        </w:rPr>
        <w:t xml:space="preserve">zagotavlja sporočanje informacij v ESAP </w:t>
      </w:r>
      <w:r>
        <w:rPr>
          <w:rFonts w:cs="Arial"/>
          <w:iCs/>
          <w:szCs w:val="20"/>
          <w:lang w:val="sl-SI"/>
        </w:rPr>
        <w:t>samo</w:t>
      </w:r>
      <w:r w:rsidRPr="00627C90">
        <w:rPr>
          <w:rFonts w:cs="Arial"/>
          <w:iCs/>
          <w:szCs w:val="20"/>
          <w:lang w:val="sl-SI"/>
        </w:rPr>
        <w:t xml:space="preserve"> javnih družb iz prvega odstavka 4. člena ZPre-1.</w:t>
      </w:r>
      <w:r>
        <w:rPr>
          <w:rFonts w:cs="Arial"/>
          <w:iCs/>
          <w:szCs w:val="20"/>
          <w:lang w:val="sl-SI"/>
        </w:rPr>
        <w:t xml:space="preserve"> </w:t>
      </w:r>
      <w:r w:rsidRPr="00627C90">
        <w:rPr>
          <w:rFonts w:cs="Arial"/>
          <w:iCs/>
          <w:szCs w:val="20"/>
          <w:lang w:val="sl-SI"/>
        </w:rPr>
        <w:t>Pripomba je upoštevana</w:t>
      </w:r>
      <w:r>
        <w:rPr>
          <w:rFonts w:cs="Arial"/>
          <w:iCs/>
          <w:szCs w:val="20"/>
          <w:lang w:val="sl-SI"/>
        </w:rPr>
        <w:t>, zato se v novem prvem in tretjem odstavku 9.a člena ZPre-1 doda besedilo »</w:t>
      </w:r>
      <w:r w:rsidRPr="00627C90">
        <w:rPr>
          <w:rFonts w:cs="Arial"/>
          <w:iCs/>
          <w:szCs w:val="20"/>
          <w:lang w:val="sl-SI"/>
        </w:rPr>
        <w:t>ki sta javna družba</w:t>
      </w:r>
      <w:r>
        <w:rPr>
          <w:rFonts w:cs="Arial"/>
          <w:iCs/>
          <w:szCs w:val="20"/>
          <w:lang w:val="sl-SI"/>
        </w:rPr>
        <w:t>«;</w:t>
      </w:r>
    </w:p>
    <w:p w14:paraId="45B771FF" w14:textId="77777777" w:rsidR="00AB563E" w:rsidRDefault="00AB563E" w:rsidP="00AB563E">
      <w:pPr>
        <w:pStyle w:val="Brezrazmikov"/>
        <w:numPr>
          <w:ilvl w:val="0"/>
          <w:numId w:val="21"/>
        </w:numPr>
        <w:ind w:left="357" w:hanging="357"/>
        <w:jc w:val="both"/>
        <w:rPr>
          <w:rFonts w:cs="Arial"/>
          <w:iCs/>
          <w:szCs w:val="20"/>
          <w:lang w:val="sl-SI"/>
        </w:rPr>
      </w:pPr>
      <w:r>
        <w:rPr>
          <w:rFonts w:cs="Arial"/>
          <w:b/>
          <w:bCs/>
          <w:iCs/>
          <w:szCs w:val="20"/>
          <w:lang w:val="sl-SI"/>
        </w:rPr>
        <w:t>k</w:t>
      </w:r>
      <w:r w:rsidRPr="006A2E2C">
        <w:rPr>
          <w:rFonts w:cs="Arial"/>
          <w:b/>
          <w:bCs/>
          <w:iCs/>
          <w:szCs w:val="20"/>
          <w:lang w:val="sl-SI"/>
        </w:rPr>
        <w:t xml:space="preserve"> 9. členu osnutka zakona</w:t>
      </w:r>
      <w:r w:rsidRPr="00DC3FDD">
        <w:rPr>
          <w:rFonts w:cs="Arial"/>
          <w:iCs/>
          <w:szCs w:val="20"/>
          <w:lang w:val="sl-SI"/>
        </w:rPr>
        <w:t>, ki je zaradi preštevilčenja členov postal 10. člen osnutka zakona</w:t>
      </w:r>
      <w:r>
        <w:rPr>
          <w:rFonts w:cs="Arial"/>
          <w:iCs/>
          <w:szCs w:val="20"/>
          <w:lang w:val="sl-SI"/>
        </w:rPr>
        <w:t xml:space="preserve">, </w:t>
      </w:r>
      <w:r w:rsidRPr="00DC3FDD">
        <w:rPr>
          <w:rFonts w:cs="Arial"/>
          <w:iCs/>
          <w:szCs w:val="20"/>
          <w:lang w:val="sl-SI"/>
        </w:rPr>
        <w:t>predlagala, da se popravijo napačni sklici. Pripomba je upoštevana</w:t>
      </w:r>
      <w:r>
        <w:rPr>
          <w:rFonts w:cs="Arial"/>
          <w:iCs/>
          <w:szCs w:val="20"/>
          <w:lang w:val="sl-SI"/>
        </w:rPr>
        <w:t>;</w:t>
      </w:r>
    </w:p>
    <w:p w14:paraId="299D25CB" w14:textId="77777777" w:rsidR="00AB563E" w:rsidRPr="006A2E2C" w:rsidRDefault="00AB563E" w:rsidP="00AB563E">
      <w:pPr>
        <w:pStyle w:val="Brezrazmikov"/>
        <w:numPr>
          <w:ilvl w:val="0"/>
          <w:numId w:val="21"/>
        </w:numPr>
        <w:ind w:left="357" w:hanging="357"/>
        <w:jc w:val="both"/>
        <w:rPr>
          <w:rFonts w:cs="Arial"/>
          <w:iCs/>
          <w:szCs w:val="20"/>
          <w:lang w:val="sl-SI"/>
        </w:rPr>
      </w:pPr>
      <w:r>
        <w:rPr>
          <w:rFonts w:cs="Arial"/>
          <w:b/>
          <w:bCs/>
          <w:iCs/>
          <w:szCs w:val="20"/>
          <w:lang w:val="sl-SI"/>
        </w:rPr>
        <w:t>k</w:t>
      </w:r>
      <w:r w:rsidRPr="006A2E2C">
        <w:rPr>
          <w:rFonts w:cs="Arial"/>
          <w:b/>
          <w:bCs/>
          <w:iCs/>
          <w:szCs w:val="20"/>
          <w:lang w:val="sl-SI"/>
        </w:rPr>
        <w:t xml:space="preserve"> 25. členu osnutka zakona</w:t>
      </w:r>
      <w:r>
        <w:rPr>
          <w:rFonts w:cs="Arial"/>
          <w:iCs/>
          <w:szCs w:val="20"/>
          <w:lang w:val="sl-SI"/>
        </w:rPr>
        <w:t xml:space="preserve">, </w:t>
      </w:r>
      <w:r w:rsidRPr="00973AA9">
        <w:rPr>
          <w:rFonts w:cs="Arial"/>
          <w:iCs/>
          <w:szCs w:val="20"/>
          <w:lang w:val="sl-SI"/>
        </w:rPr>
        <w:t xml:space="preserve">ki je zaradi preštevilčenja členov postal </w:t>
      </w:r>
      <w:r>
        <w:rPr>
          <w:rFonts w:cs="Arial"/>
          <w:iCs/>
          <w:szCs w:val="20"/>
          <w:lang w:val="sl-SI"/>
        </w:rPr>
        <w:t>26</w:t>
      </w:r>
      <w:r w:rsidRPr="00973AA9">
        <w:rPr>
          <w:rFonts w:cs="Arial"/>
          <w:iCs/>
          <w:szCs w:val="20"/>
          <w:lang w:val="sl-SI"/>
        </w:rPr>
        <w:t>. člen osnutka zakona</w:t>
      </w:r>
      <w:r>
        <w:rPr>
          <w:rFonts w:cs="Arial"/>
          <w:iCs/>
          <w:szCs w:val="20"/>
          <w:lang w:val="sl-SI"/>
        </w:rPr>
        <w:t>, poudarila, da bi p</w:t>
      </w:r>
      <w:r w:rsidRPr="00973AA9">
        <w:rPr>
          <w:rFonts w:cs="Arial"/>
          <w:iCs/>
          <w:szCs w:val="20"/>
          <w:lang w:val="sl-SI"/>
        </w:rPr>
        <w:t xml:space="preserve">redlagana ureditev v novem 351.b členu ZPIZ-2 pomenila podvajanje poročanja za upravljavce. Hkrati </w:t>
      </w:r>
      <w:r>
        <w:rPr>
          <w:rFonts w:cs="Arial"/>
          <w:iCs/>
          <w:szCs w:val="20"/>
          <w:lang w:val="sl-SI"/>
        </w:rPr>
        <w:t>ATVP</w:t>
      </w:r>
      <w:r w:rsidRPr="00973AA9">
        <w:rPr>
          <w:rFonts w:cs="Arial"/>
          <w:iCs/>
          <w:szCs w:val="20"/>
          <w:lang w:val="sl-SI"/>
        </w:rPr>
        <w:t xml:space="preserve"> pojasnjuje, da povzetek letnega poročila ni predmet evropske zakonodaje.</w:t>
      </w:r>
      <w:r>
        <w:rPr>
          <w:rFonts w:cs="Arial"/>
          <w:iCs/>
          <w:szCs w:val="20"/>
          <w:lang w:val="sl-SI"/>
        </w:rPr>
        <w:t xml:space="preserve"> Pripomba je upoštevana, zato se črta 3. točka prvega odstavka novega </w:t>
      </w:r>
      <w:r w:rsidRPr="00973AA9">
        <w:rPr>
          <w:rFonts w:cs="Arial"/>
          <w:iCs/>
          <w:szCs w:val="20"/>
          <w:lang w:val="sl-SI"/>
        </w:rPr>
        <w:t>351.b člen</w:t>
      </w:r>
      <w:r>
        <w:rPr>
          <w:rFonts w:cs="Arial"/>
          <w:iCs/>
          <w:szCs w:val="20"/>
          <w:lang w:val="sl-SI"/>
        </w:rPr>
        <w:t>a</w:t>
      </w:r>
      <w:r w:rsidRPr="00973AA9">
        <w:rPr>
          <w:rFonts w:cs="Arial"/>
          <w:iCs/>
          <w:szCs w:val="20"/>
          <w:lang w:val="sl-SI"/>
        </w:rPr>
        <w:t xml:space="preserve"> ZPIZ-2</w:t>
      </w:r>
      <w:r>
        <w:rPr>
          <w:rFonts w:cs="Arial"/>
          <w:iCs/>
          <w:szCs w:val="20"/>
          <w:lang w:val="sl-SI"/>
        </w:rPr>
        <w:t xml:space="preserve"> in </w:t>
      </w:r>
      <w:r w:rsidRPr="00771594">
        <w:rPr>
          <w:rFonts w:cs="Arial"/>
          <w:iCs/>
          <w:szCs w:val="20"/>
          <w:lang w:val="sl-SI"/>
        </w:rPr>
        <w:t>doda nov</w:t>
      </w:r>
      <w:r w:rsidRPr="00354BD6">
        <w:rPr>
          <w:rFonts w:cs="Arial"/>
          <w:iCs/>
          <w:szCs w:val="20"/>
          <w:lang w:val="sl-SI"/>
        </w:rPr>
        <w:t>i</w:t>
      </w:r>
      <w:r>
        <w:rPr>
          <w:rFonts w:cs="Arial"/>
          <w:iCs/>
          <w:szCs w:val="20"/>
          <w:lang w:val="sl-SI"/>
        </w:rPr>
        <w:t xml:space="preserve"> četrti odstavek tega člena.</w:t>
      </w:r>
    </w:p>
    <w:p w14:paraId="0CBFB4A4" w14:textId="77777777" w:rsidR="00AB563E" w:rsidRDefault="00AB563E" w:rsidP="00AB563E">
      <w:pPr>
        <w:pStyle w:val="Brezrazmikov"/>
        <w:jc w:val="both"/>
        <w:rPr>
          <w:rFonts w:cs="Arial"/>
          <w:iCs/>
          <w:szCs w:val="20"/>
          <w:u w:val="single"/>
          <w:lang w:val="sl-SI"/>
        </w:rPr>
      </w:pPr>
    </w:p>
    <w:p w14:paraId="3181AD87" w14:textId="77777777" w:rsidR="00AB563E" w:rsidRDefault="00AB563E" w:rsidP="00AB563E">
      <w:pPr>
        <w:pStyle w:val="Brezrazmikov"/>
        <w:jc w:val="both"/>
        <w:rPr>
          <w:rFonts w:cs="Arial"/>
          <w:iCs/>
          <w:szCs w:val="20"/>
          <w:u w:val="single"/>
          <w:lang w:val="sl-SI"/>
        </w:rPr>
      </w:pPr>
      <w:r w:rsidRPr="004A2C5E">
        <w:rPr>
          <w:rFonts w:cs="Arial"/>
          <w:iCs/>
          <w:szCs w:val="20"/>
          <w:u w:val="single"/>
          <w:lang w:val="sl-SI"/>
        </w:rPr>
        <w:t>Ljubljanska borza, d.</w:t>
      </w:r>
      <w:r>
        <w:rPr>
          <w:rFonts w:cs="Arial"/>
          <w:iCs/>
          <w:szCs w:val="20"/>
          <w:u w:val="single"/>
          <w:lang w:val="sl-SI"/>
        </w:rPr>
        <w:t xml:space="preserve"> </w:t>
      </w:r>
      <w:r w:rsidRPr="004A2C5E">
        <w:rPr>
          <w:rFonts w:cs="Arial"/>
          <w:iCs/>
          <w:szCs w:val="20"/>
          <w:u w:val="single"/>
          <w:lang w:val="sl-SI"/>
        </w:rPr>
        <w:t>d.</w:t>
      </w:r>
      <w:r>
        <w:rPr>
          <w:rFonts w:cs="Arial"/>
          <w:iCs/>
          <w:szCs w:val="20"/>
          <w:u w:val="single"/>
          <w:lang w:val="sl-SI"/>
        </w:rPr>
        <w:t>, je</w:t>
      </w:r>
      <w:r w:rsidRPr="006A5D94">
        <w:rPr>
          <w:rFonts w:cs="Arial"/>
          <w:iCs/>
          <w:szCs w:val="20"/>
          <w:lang w:val="sl-SI"/>
        </w:rPr>
        <w:t>:</w:t>
      </w:r>
    </w:p>
    <w:p w14:paraId="56EAE57D" w14:textId="77777777" w:rsidR="00AB563E" w:rsidRDefault="00AB563E" w:rsidP="00AB563E">
      <w:pPr>
        <w:pStyle w:val="Brezrazmikov"/>
        <w:numPr>
          <w:ilvl w:val="0"/>
          <w:numId w:val="21"/>
        </w:numPr>
        <w:ind w:left="357" w:hanging="357"/>
        <w:jc w:val="both"/>
        <w:rPr>
          <w:rFonts w:cs="Arial"/>
          <w:iCs/>
          <w:szCs w:val="20"/>
          <w:lang w:val="sl-SI"/>
        </w:rPr>
      </w:pPr>
      <w:r w:rsidRPr="004A2C5E">
        <w:rPr>
          <w:rFonts w:cs="Arial"/>
          <w:b/>
          <w:bCs/>
          <w:iCs/>
          <w:szCs w:val="20"/>
          <w:lang w:val="sl-SI"/>
        </w:rPr>
        <w:t>k 13. členu osnutka zakona</w:t>
      </w:r>
      <w:r w:rsidRPr="004A2C5E">
        <w:rPr>
          <w:rFonts w:cs="Arial"/>
          <w:iCs/>
          <w:szCs w:val="20"/>
          <w:lang w:val="sl-SI"/>
        </w:rPr>
        <w:t>, ki je zaradi preštevilčenja členov postal 1</w:t>
      </w:r>
      <w:r>
        <w:rPr>
          <w:rFonts w:cs="Arial"/>
          <w:iCs/>
          <w:szCs w:val="20"/>
          <w:lang w:val="sl-SI"/>
        </w:rPr>
        <w:t>5</w:t>
      </w:r>
      <w:r w:rsidRPr="004A2C5E">
        <w:rPr>
          <w:rFonts w:cs="Arial"/>
          <w:iCs/>
          <w:szCs w:val="20"/>
          <w:lang w:val="sl-SI"/>
        </w:rPr>
        <w:t>. člen osnutka zakona,</w:t>
      </w:r>
      <w:r w:rsidRPr="00217D8A">
        <w:rPr>
          <w:rFonts w:cs="Arial"/>
          <w:iCs/>
          <w:szCs w:val="20"/>
          <w:lang w:val="sl-SI"/>
        </w:rPr>
        <w:t xml:space="preserve"> predlagala, da se četrti odstavek </w:t>
      </w:r>
      <w:r w:rsidRPr="00AC2347">
        <w:rPr>
          <w:rFonts w:cs="Arial"/>
          <w:iCs/>
          <w:szCs w:val="20"/>
          <w:lang w:val="sl-SI"/>
        </w:rPr>
        <w:t>novega 70.da člena ZGD-1 uskladi z Direktivo 2023/2864, tako da se določi, da »se za družbo, ki je informacije</w:t>
      </w:r>
      <w:r w:rsidRPr="00217D8A">
        <w:rPr>
          <w:rFonts w:cs="Arial"/>
          <w:iCs/>
          <w:szCs w:val="20"/>
          <w:lang w:val="sl-SI"/>
        </w:rPr>
        <w:t xml:space="preserve"> iz prvega odstavka tega člena predložil</w:t>
      </w:r>
      <w:r>
        <w:rPr>
          <w:rFonts w:cs="Arial"/>
          <w:iCs/>
          <w:szCs w:val="20"/>
          <w:lang w:val="sl-SI"/>
        </w:rPr>
        <w:t>a</w:t>
      </w:r>
      <w:r w:rsidRPr="00217D8A">
        <w:rPr>
          <w:rFonts w:cs="Arial"/>
          <w:iCs/>
          <w:szCs w:val="20"/>
          <w:lang w:val="sl-SI"/>
        </w:rPr>
        <w:t xml:space="preserve"> v sistem za centralno shranjevanje nadzorovanih informacij (tj. organu za zbiranje iz prvega odstavka 159. člena ZTFI-1) na podlagi 158. člena ZTFI-1, z namenom, da bi te informacije postale dostopne na ESAP, šteje, da je to podjetje izpolnilo svoje obveznosti iz prvega odstavka tega člena, če so te informacije </w:t>
      </w:r>
      <w:r>
        <w:rPr>
          <w:rFonts w:cs="Arial"/>
          <w:iCs/>
          <w:szCs w:val="20"/>
          <w:lang w:val="sl-SI"/>
        </w:rPr>
        <w:t xml:space="preserve">v </w:t>
      </w:r>
      <w:r w:rsidRPr="00217D8A">
        <w:rPr>
          <w:rFonts w:cs="Arial"/>
          <w:iCs/>
          <w:szCs w:val="20"/>
          <w:lang w:val="sl-SI"/>
        </w:rPr>
        <w:t>sklad</w:t>
      </w:r>
      <w:r>
        <w:rPr>
          <w:rFonts w:cs="Arial"/>
          <w:iCs/>
          <w:szCs w:val="20"/>
          <w:lang w:val="sl-SI"/>
        </w:rPr>
        <w:t>u</w:t>
      </w:r>
      <w:r w:rsidRPr="00217D8A">
        <w:rPr>
          <w:rFonts w:cs="Arial"/>
          <w:iCs/>
          <w:szCs w:val="20"/>
          <w:lang w:val="sl-SI"/>
        </w:rPr>
        <w:t xml:space="preserve"> z zahtevami glede metapodatkov iz 2. odstavka tega člena«.</w:t>
      </w:r>
      <w:r>
        <w:rPr>
          <w:rFonts w:cs="Arial"/>
          <w:iCs/>
          <w:szCs w:val="20"/>
          <w:lang w:val="sl-SI"/>
        </w:rPr>
        <w:t xml:space="preserve"> Pripomba je upoštevana;</w:t>
      </w:r>
    </w:p>
    <w:p w14:paraId="0C72D743" w14:textId="77777777" w:rsidR="00AB563E" w:rsidRDefault="00AB563E" w:rsidP="00AB563E">
      <w:pPr>
        <w:pStyle w:val="Brezrazmikov"/>
        <w:numPr>
          <w:ilvl w:val="0"/>
          <w:numId w:val="21"/>
        </w:numPr>
        <w:ind w:left="357" w:hanging="357"/>
        <w:jc w:val="both"/>
        <w:rPr>
          <w:rFonts w:cs="Arial"/>
          <w:iCs/>
          <w:szCs w:val="20"/>
          <w:lang w:val="sl-SI"/>
        </w:rPr>
      </w:pPr>
      <w:r w:rsidRPr="006A2E2C">
        <w:rPr>
          <w:rFonts w:cs="Arial"/>
          <w:b/>
          <w:bCs/>
          <w:iCs/>
          <w:szCs w:val="20"/>
          <w:lang w:val="sl-SI"/>
        </w:rPr>
        <w:t>k 1</w:t>
      </w:r>
      <w:r>
        <w:rPr>
          <w:rFonts w:cs="Arial"/>
          <w:b/>
          <w:bCs/>
          <w:iCs/>
          <w:szCs w:val="20"/>
          <w:lang w:val="sl-SI"/>
        </w:rPr>
        <w:t>4</w:t>
      </w:r>
      <w:r w:rsidRPr="006A2E2C">
        <w:rPr>
          <w:rFonts w:cs="Arial"/>
          <w:b/>
          <w:bCs/>
          <w:iCs/>
          <w:szCs w:val="20"/>
          <w:lang w:val="sl-SI"/>
        </w:rPr>
        <w:t>. členu osnutka zakona</w:t>
      </w:r>
      <w:r w:rsidRPr="006A2E2C">
        <w:rPr>
          <w:rFonts w:cs="Arial"/>
          <w:iCs/>
          <w:szCs w:val="20"/>
          <w:lang w:val="sl-SI"/>
        </w:rPr>
        <w:t>, ki je zaradi preštevilčenja členov postal 1</w:t>
      </w:r>
      <w:r>
        <w:rPr>
          <w:rFonts w:cs="Arial"/>
          <w:iCs/>
          <w:szCs w:val="20"/>
          <w:lang w:val="sl-SI"/>
        </w:rPr>
        <w:t>6</w:t>
      </w:r>
      <w:r w:rsidRPr="006A2E2C">
        <w:rPr>
          <w:rFonts w:cs="Arial"/>
          <w:iCs/>
          <w:szCs w:val="20"/>
          <w:lang w:val="sl-SI"/>
        </w:rPr>
        <w:t>. člen osnutka zakona,</w:t>
      </w:r>
      <w:r>
        <w:rPr>
          <w:rFonts w:cs="Arial"/>
          <w:iCs/>
          <w:szCs w:val="20"/>
          <w:lang w:val="sl-SI"/>
        </w:rPr>
        <w:t xml:space="preserve"> predlagala, </w:t>
      </w:r>
      <w:r w:rsidRPr="00815323">
        <w:rPr>
          <w:rFonts w:cs="Arial"/>
          <w:iCs/>
          <w:szCs w:val="20"/>
          <w:lang w:val="sl-SI"/>
        </w:rPr>
        <w:t>da se v izogib podvajanju in dodatnih administrativnih bremen za javne družbe, ki so informacije iz novega 317.d člena ZGD-1 predložile v sistem ESAP prek sistema za centralno shranjevanje nadzorovanih informacij (tj. prek organa za zbiranje iz prvega odstavka 159. člena ZTFI-1)</w:t>
      </w:r>
      <w:r>
        <w:rPr>
          <w:rFonts w:cs="Arial"/>
          <w:iCs/>
          <w:szCs w:val="20"/>
          <w:lang w:val="sl-SI"/>
        </w:rPr>
        <w:t>,</w:t>
      </w:r>
      <w:r w:rsidRPr="00815323">
        <w:rPr>
          <w:rFonts w:cs="Arial"/>
          <w:iCs/>
          <w:szCs w:val="20"/>
          <w:lang w:val="sl-SI"/>
        </w:rPr>
        <w:t xml:space="preserve"> šteje, da so te družbe izpolnile obveznosti iz prvega odstavka 317.d člena ZGD-1, če so te informacije </w:t>
      </w:r>
      <w:r>
        <w:rPr>
          <w:rFonts w:cs="Arial"/>
          <w:iCs/>
          <w:szCs w:val="20"/>
          <w:lang w:val="sl-SI"/>
        </w:rPr>
        <w:t xml:space="preserve">v </w:t>
      </w:r>
      <w:r w:rsidRPr="00815323">
        <w:rPr>
          <w:rFonts w:cs="Arial"/>
          <w:iCs/>
          <w:szCs w:val="20"/>
          <w:lang w:val="sl-SI"/>
        </w:rPr>
        <w:t>sklad</w:t>
      </w:r>
      <w:r>
        <w:rPr>
          <w:rFonts w:cs="Arial"/>
          <w:iCs/>
          <w:szCs w:val="20"/>
          <w:lang w:val="sl-SI"/>
        </w:rPr>
        <w:t>u</w:t>
      </w:r>
      <w:r w:rsidRPr="00815323">
        <w:rPr>
          <w:rFonts w:cs="Arial"/>
          <w:iCs/>
          <w:szCs w:val="20"/>
          <w:lang w:val="sl-SI"/>
        </w:rPr>
        <w:t xml:space="preserve"> z zahtevami glede metapodatkov iz drugega odstavka 317. člena ZGD-1.</w:t>
      </w:r>
      <w:r>
        <w:rPr>
          <w:rFonts w:cs="Arial"/>
          <w:iCs/>
          <w:szCs w:val="20"/>
          <w:lang w:val="sl-SI"/>
        </w:rPr>
        <w:t xml:space="preserve"> </w:t>
      </w:r>
      <w:r w:rsidRPr="00DC3FDD">
        <w:rPr>
          <w:rFonts w:cs="Arial"/>
          <w:iCs/>
          <w:szCs w:val="20"/>
          <w:lang w:val="sl-SI"/>
        </w:rPr>
        <w:t>Pripomba je upoštevana</w:t>
      </w:r>
      <w:r>
        <w:rPr>
          <w:rFonts w:cs="Arial"/>
          <w:iCs/>
          <w:szCs w:val="20"/>
          <w:lang w:val="sl-SI"/>
        </w:rPr>
        <w:t>;</w:t>
      </w:r>
    </w:p>
    <w:p w14:paraId="2CB8D991" w14:textId="77777777" w:rsidR="00AB563E" w:rsidRPr="00815323" w:rsidRDefault="00AB563E" w:rsidP="00AB563E">
      <w:pPr>
        <w:pStyle w:val="Brezrazmikov"/>
        <w:numPr>
          <w:ilvl w:val="0"/>
          <w:numId w:val="21"/>
        </w:numPr>
        <w:ind w:left="357" w:hanging="357"/>
        <w:jc w:val="both"/>
        <w:rPr>
          <w:rFonts w:cs="Arial"/>
          <w:iCs/>
          <w:szCs w:val="20"/>
          <w:lang w:val="sl-SI"/>
        </w:rPr>
      </w:pPr>
      <w:r w:rsidRPr="00815323">
        <w:rPr>
          <w:rFonts w:cs="Arial"/>
          <w:b/>
          <w:bCs/>
          <w:iCs/>
          <w:szCs w:val="20"/>
          <w:lang w:val="sl-SI"/>
        </w:rPr>
        <w:t xml:space="preserve">k </w:t>
      </w:r>
      <w:r w:rsidRPr="004A2C5E">
        <w:rPr>
          <w:rFonts w:cs="Arial"/>
          <w:b/>
          <w:bCs/>
          <w:iCs/>
          <w:szCs w:val="20"/>
          <w:lang w:val="sl-SI"/>
        </w:rPr>
        <w:t>35</w:t>
      </w:r>
      <w:r w:rsidRPr="00815323">
        <w:rPr>
          <w:rFonts w:cs="Arial"/>
          <w:b/>
          <w:bCs/>
          <w:iCs/>
          <w:szCs w:val="20"/>
          <w:lang w:val="sl-SI"/>
        </w:rPr>
        <w:t>. členu osnutka zakona</w:t>
      </w:r>
      <w:r w:rsidRPr="00815323">
        <w:rPr>
          <w:rFonts w:cs="Arial"/>
          <w:iCs/>
          <w:szCs w:val="20"/>
          <w:lang w:val="sl-SI"/>
        </w:rPr>
        <w:t xml:space="preserve">, ki je zaradi preštevilčenja členov postal </w:t>
      </w:r>
      <w:r>
        <w:rPr>
          <w:rFonts w:cs="Arial"/>
          <w:iCs/>
          <w:szCs w:val="20"/>
          <w:lang w:val="sl-SI"/>
        </w:rPr>
        <w:t>37</w:t>
      </w:r>
      <w:r w:rsidRPr="00815323">
        <w:rPr>
          <w:rFonts w:cs="Arial"/>
          <w:iCs/>
          <w:szCs w:val="20"/>
          <w:lang w:val="sl-SI"/>
        </w:rPr>
        <w:t>. člen osnutka zakona, predlagala, da se preveri ustreznost sklica na informacije, ki morajo biti predložene v ESAP.</w:t>
      </w:r>
      <w:r>
        <w:rPr>
          <w:rFonts w:cs="Arial"/>
          <w:iCs/>
          <w:szCs w:val="20"/>
          <w:lang w:val="sl-SI"/>
        </w:rPr>
        <w:t xml:space="preserve"> </w:t>
      </w:r>
      <w:r w:rsidRPr="00DC3FDD">
        <w:rPr>
          <w:rFonts w:cs="Arial"/>
          <w:iCs/>
          <w:szCs w:val="20"/>
          <w:lang w:val="sl-SI"/>
        </w:rPr>
        <w:t>Pripomba je upoštevana.</w:t>
      </w:r>
    </w:p>
    <w:p w14:paraId="21167726" w14:textId="77777777" w:rsidR="00ED36BF" w:rsidRPr="00445B9C" w:rsidRDefault="00ED36BF" w:rsidP="00ED36BF">
      <w:pPr>
        <w:spacing w:line="260" w:lineRule="exact"/>
        <w:jc w:val="both"/>
        <w:rPr>
          <w:rFonts w:cs="Arial"/>
          <w:szCs w:val="20"/>
        </w:rPr>
      </w:pPr>
    </w:p>
    <w:p w14:paraId="75E5BDF3" w14:textId="77777777" w:rsidR="00ED36BF" w:rsidRPr="00445B9C" w:rsidRDefault="0089316A" w:rsidP="0089316A">
      <w:pPr>
        <w:spacing w:line="260" w:lineRule="exact"/>
        <w:ind w:left="714" w:hanging="357"/>
        <w:rPr>
          <w:rFonts w:cs="Arial"/>
          <w:b/>
          <w:szCs w:val="20"/>
        </w:rPr>
      </w:pPr>
      <w:r>
        <w:rPr>
          <w:rFonts w:cs="Arial"/>
          <w:b/>
          <w:szCs w:val="20"/>
        </w:rPr>
        <w:t xml:space="preserve">8. </w:t>
      </w:r>
      <w:r w:rsidR="00ED36BF" w:rsidRPr="00445B9C">
        <w:rPr>
          <w:rFonts w:cs="Arial"/>
          <w:b/>
          <w:szCs w:val="20"/>
        </w:rPr>
        <w:t>PODATEK O ZUNANJEM STROKOVNJAKU OZIROMA PRAVNI OSEBI, KI JE SODELOVALA PRI PRIPRAVI PREDLOGA ZAKONA</w:t>
      </w:r>
    </w:p>
    <w:p w14:paraId="09B5089E" w14:textId="77777777" w:rsidR="00ED36BF" w:rsidRPr="00445B9C" w:rsidRDefault="00ED36BF" w:rsidP="00ED36BF">
      <w:pPr>
        <w:spacing w:line="260" w:lineRule="exact"/>
        <w:rPr>
          <w:rFonts w:cs="Arial"/>
          <w:szCs w:val="20"/>
        </w:rPr>
      </w:pPr>
    </w:p>
    <w:p w14:paraId="01185A43" w14:textId="77777777" w:rsidR="00ED36BF" w:rsidRPr="00445B9C" w:rsidRDefault="00ED36BF" w:rsidP="00ED36BF">
      <w:pPr>
        <w:spacing w:line="260" w:lineRule="exact"/>
        <w:rPr>
          <w:rFonts w:cs="Arial"/>
          <w:szCs w:val="20"/>
        </w:rPr>
      </w:pPr>
      <w:r w:rsidRPr="00445B9C">
        <w:rPr>
          <w:rFonts w:cs="Arial"/>
          <w:szCs w:val="20"/>
        </w:rPr>
        <w:t>Pri pripravi predloga zakona niso sodelovali zunanji strokovnjaki oziroma pravne osebe.</w:t>
      </w:r>
    </w:p>
    <w:p w14:paraId="1E4B6D0C" w14:textId="77777777" w:rsidR="00ED36BF" w:rsidRPr="00445B9C" w:rsidRDefault="00ED36BF" w:rsidP="00ED36BF">
      <w:pPr>
        <w:spacing w:line="260" w:lineRule="exact"/>
        <w:rPr>
          <w:rFonts w:cs="Arial"/>
          <w:szCs w:val="20"/>
        </w:rPr>
      </w:pPr>
    </w:p>
    <w:p w14:paraId="4EA31B62" w14:textId="77777777" w:rsidR="00ED36BF" w:rsidRPr="00445B9C" w:rsidRDefault="0089316A" w:rsidP="0089316A">
      <w:pPr>
        <w:spacing w:line="260" w:lineRule="exact"/>
        <w:ind w:left="714" w:hanging="357"/>
        <w:rPr>
          <w:rFonts w:cs="Arial"/>
          <w:b/>
          <w:szCs w:val="20"/>
        </w:rPr>
      </w:pPr>
      <w:r>
        <w:rPr>
          <w:rFonts w:cs="Arial"/>
          <w:b/>
          <w:szCs w:val="20"/>
        </w:rPr>
        <w:t xml:space="preserve">9. </w:t>
      </w:r>
      <w:r w:rsidR="00ED36BF" w:rsidRPr="00445B9C">
        <w:rPr>
          <w:rFonts w:cs="Arial"/>
          <w:b/>
          <w:szCs w:val="20"/>
        </w:rPr>
        <w:t>ZNESEK PLAČILA ZUNANJIH STROKOVNJAKOV</w:t>
      </w:r>
    </w:p>
    <w:p w14:paraId="625E6284" w14:textId="77777777" w:rsidR="00ED36BF" w:rsidRPr="00445B9C" w:rsidRDefault="00ED36BF" w:rsidP="0020355C">
      <w:pPr>
        <w:spacing w:line="260" w:lineRule="exact"/>
        <w:ind w:left="720"/>
        <w:rPr>
          <w:rFonts w:cs="Arial"/>
          <w:b/>
          <w:szCs w:val="20"/>
        </w:rPr>
      </w:pPr>
      <w:r w:rsidRPr="00445B9C">
        <w:rPr>
          <w:rFonts w:cs="Arial"/>
          <w:b/>
          <w:szCs w:val="20"/>
        </w:rPr>
        <w:t>/</w:t>
      </w:r>
    </w:p>
    <w:p w14:paraId="59F6574A" w14:textId="77777777" w:rsidR="002D1A9C" w:rsidRPr="00445B9C" w:rsidRDefault="002D1A9C" w:rsidP="0020355C">
      <w:pPr>
        <w:spacing w:line="260" w:lineRule="exact"/>
        <w:ind w:left="720"/>
        <w:rPr>
          <w:rFonts w:cs="Arial"/>
          <w:b/>
          <w:szCs w:val="20"/>
        </w:rPr>
      </w:pPr>
    </w:p>
    <w:p w14:paraId="5A7F9CF4" w14:textId="77777777" w:rsidR="00ED36BF" w:rsidRPr="00445B9C" w:rsidRDefault="0089316A" w:rsidP="0089316A">
      <w:pPr>
        <w:spacing w:line="260" w:lineRule="exact"/>
        <w:ind w:left="714" w:hanging="357"/>
        <w:rPr>
          <w:rFonts w:cs="Arial"/>
          <w:b/>
          <w:szCs w:val="20"/>
        </w:rPr>
      </w:pPr>
      <w:bookmarkStart w:id="9" w:name="_Hlk55899731"/>
      <w:r>
        <w:rPr>
          <w:rFonts w:cs="Arial"/>
          <w:b/>
          <w:szCs w:val="20"/>
        </w:rPr>
        <w:t xml:space="preserve">10. </w:t>
      </w:r>
      <w:r w:rsidR="00ED36BF" w:rsidRPr="00445B9C">
        <w:rPr>
          <w:rFonts w:cs="Arial"/>
          <w:b/>
          <w:szCs w:val="20"/>
        </w:rPr>
        <w:t>NAVEDBA, KATERI PREDSTAVNIKI PREDLAGATELJA BODO SODELOVALI PRI DELU DRŽAVNEGA ZBORA IN DELOVNIH TELES</w:t>
      </w:r>
    </w:p>
    <w:p w14:paraId="6CB52C22" w14:textId="77777777" w:rsidR="00ED36BF" w:rsidRPr="00445B9C" w:rsidRDefault="00ED36BF" w:rsidP="00ED36BF">
      <w:pPr>
        <w:spacing w:line="260" w:lineRule="exact"/>
        <w:ind w:left="360"/>
        <w:rPr>
          <w:rFonts w:cs="Arial"/>
          <w:b/>
          <w:szCs w:val="20"/>
        </w:rPr>
      </w:pPr>
    </w:p>
    <w:bookmarkEnd w:id="9"/>
    <w:p w14:paraId="7D6AF8FA" w14:textId="77777777" w:rsidR="00C9332D" w:rsidRPr="00445B9C" w:rsidRDefault="00ED36BF" w:rsidP="004A7634">
      <w:pPr>
        <w:pStyle w:val="Odstavekseznama"/>
        <w:numPr>
          <w:ilvl w:val="0"/>
          <w:numId w:val="16"/>
        </w:numPr>
        <w:spacing w:line="260" w:lineRule="exact"/>
        <w:rPr>
          <w:rFonts w:cs="Arial"/>
          <w:szCs w:val="20"/>
        </w:rPr>
      </w:pPr>
      <w:r w:rsidRPr="00445B9C">
        <w:rPr>
          <w:rFonts w:cs="Arial"/>
          <w:szCs w:val="20"/>
        </w:rPr>
        <w:t>Klemen Boštjančič, minister za finance,</w:t>
      </w:r>
    </w:p>
    <w:p w14:paraId="0BDE8CEE" w14:textId="77777777" w:rsidR="00C9332D" w:rsidRPr="00445B9C" w:rsidRDefault="00ED36BF" w:rsidP="004A7634">
      <w:pPr>
        <w:pStyle w:val="Odstavekseznama"/>
        <w:numPr>
          <w:ilvl w:val="0"/>
          <w:numId w:val="16"/>
        </w:numPr>
        <w:spacing w:line="260" w:lineRule="exact"/>
        <w:rPr>
          <w:rFonts w:cs="Arial"/>
          <w:szCs w:val="20"/>
        </w:rPr>
      </w:pPr>
      <w:proofErr w:type="spellStart"/>
      <w:r w:rsidRPr="00445B9C">
        <w:rPr>
          <w:rFonts w:cs="Arial"/>
          <w:szCs w:val="20"/>
        </w:rPr>
        <w:t>Nikolina</w:t>
      </w:r>
      <w:proofErr w:type="spellEnd"/>
      <w:r w:rsidRPr="00445B9C">
        <w:rPr>
          <w:rFonts w:cs="Arial"/>
          <w:szCs w:val="20"/>
        </w:rPr>
        <w:t xml:space="preserve"> Prah, državna sekretarka,</w:t>
      </w:r>
    </w:p>
    <w:p w14:paraId="73D12E8B" w14:textId="77777777" w:rsidR="00C9332D" w:rsidRPr="00445B9C" w:rsidRDefault="00ED36BF" w:rsidP="004A7634">
      <w:pPr>
        <w:pStyle w:val="Odstavekseznama"/>
        <w:numPr>
          <w:ilvl w:val="0"/>
          <w:numId w:val="16"/>
        </w:numPr>
        <w:spacing w:line="260" w:lineRule="exact"/>
        <w:rPr>
          <w:rFonts w:cs="Arial"/>
          <w:szCs w:val="20"/>
        </w:rPr>
      </w:pPr>
      <w:r w:rsidRPr="00445B9C">
        <w:rPr>
          <w:rFonts w:cs="Arial"/>
          <w:szCs w:val="20"/>
        </w:rPr>
        <w:t>mag. Saša Jazbec, državna sekretarka,</w:t>
      </w:r>
    </w:p>
    <w:p w14:paraId="3AF39184" w14:textId="77777777" w:rsidR="00C9332D" w:rsidRPr="00445B9C" w:rsidRDefault="00ED36BF" w:rsidP="004A7634">
      <w:pPr>
        <w:pStyle w:val="Odstavekseznama"/>
        <w:numPr>
          <w:ilvl w:val="0"/>
          <w:numId w:val="16"/>
        </w:numPr>
        <w:spacing w:line="260" w:lineRule="exact"/>
        <w:rPr>
          <w:rFonts w:cs="Arial"/>
          <w:szCs w:val="20"/>
        </w:rPr>
      </w:pPr>
      <w:r w:rsidRPr="00445B9C">
        <w:rPr>
          <w:rFonts w:cs="Arial"/>
          <w:szCs w:val="20"/>
        </w:rPr>
        <w:t>Gordana Pipan, državna sekretarka,</w:t>
      </w:r>
    </w:p>
    <w:p w14:paraId="2D225B15" w14:textId="77777777" w:rsidR="00C9332D" w:rsidRPr="00445B9C" w:rsidRDefault="0090401C" w:rsidP="004A7634">
      <w:pPr>
        <w:pStyle w:val="Odstavekseznama"/>
        <w:numPr>
          <w:ilvl w:val="0"/>
          <w:numId w:val="16"/>
        </w:numPr>
        <w:spacing w:line="260" w:lineRule="exact"/>
        <w:rPr>
          <w:rFonts w:cs="Arial"/>
          <w:szCs w:val="20"/>
        </w:rPr>
      </w:pPr>
      <w:r w:rsidRPr="00445B9C">
        <w:rPr>
          <w:rFonts w:cs="Arial"/>
          <w:szCs w:val="20"/>
        </w:rPr>
        <w:t>mag. Katja Božič</w:t>
      </w:r>
      <w:r w:rsidR="00A45970" w:rsidRPr="00445B9C">
        <w:rPr>
          <w:rFonts w:cs="Arial"/>
          <w:szCs w:val="20"/>
        </w:rPr>
        <w:t>, državna sekretarka,</w:t>
      </w:r>
    </w:p>
    <w:p w14:paraId="1A0CFE36" w14:textId="77777777" w:rsidR="00C9332D" w:rsidRPr="00445B9C" w:rsidRDefault="00ED36BF" w:rsidP="004A7634">
      <w:pPr>
        <w:pStyle w:val="Odstavekseznama"/>
        <w:numPr>
          <w:ilvl w:val="0"/>
          <w:numId w:val="16"/>
        </w:numPr>
        <w:spacing w:line="260" w:lineRule="exact"/>
        <w:rPr>
          <w:rFonts w:cs="Arial"/>
          <w:szCs w:val="20"/>
        </w:rPr>
      </w:pPr>
      <w:r w:rsidRPr="00445B9C">
        <w:rPr>
          <w:rFonts w:cs="Arial"/>
          <w:szCs w:val="20"/>
        </w:rPr>
        <w:t>Urška Cvelbar, generalna direktorica Direktorata za finančni sistem,</w:t>
      </w:r>
    </w:p>
    <w:p w14:paraId="7F811F53" w14:textId="77777777" w:rsidR="00BF3AAD" w:rsidRPr="00445B9C" w:rsidRDefault="00BF3AAD" w:rsidP="004A7634">
      <w:pPr>
        <w:pStyle w:val="Odstavekseznama"/>
        <w:numPr>
          <w:ilvl w:val="0"/>
          <w:numId w:val="16"/>
        </w:numPr>
        <w:spacing w:line="260" w:lineRule="exact"/>
        <w:rPr>
          <w:rFonts w:cs="Arial"/>
          <w:szCs w:val="20"/>
        </w:rPr>
      </w:pPr>
      <w:r w:rsidRPr="00445B9C">
        <w:rPr>
          <w:rFonts w:cs="Arial"/>
          <w:szCs w:val="20"/>
        </w:rPr>
        <w:t xml:space="preserve">Leon </w:t>
      </w:r>
      <w:proofErr w:type="spellStart"/>
      <w:r w:rsidRPr="00445B9C">
        <w:rPr>
          <w:rFonts w:cs="Arial"/>
          <w:szCs w:val="20"/>
        </w:rPr>
        <w:t>Brčina</w:t>
      </w:r>
      <w:proofErr w:type="spellEnd"/>
      <w:r w:rsidRPr="00445B9C">
        <w:rPr>
          <w:rFonts w:cs="Arial"/>
          <w:szCs w:val="20"/>
        </w:rPr>
        <w:t>, sekretar, Sektor za zavarovalništvo in trg kapitala, Direktorat za finančni sistem</w:t>
      </w:r>
      <w:r w:rsidR="00AC4497">
        <w:rPr>
          <w:rFonts w:cs="Arial"/>
          <w:szCs w:val="20"/>
        </w:rPr>
        <w:t>.</w:t>
      </w:r>
    </w:p>
    <w:p w14:paraId="179BBED2" w14:textId="77777777" w:rsidR="006F5455" w:rsidRPr="00445B9C" w:rsidRDefault="006F5455" w:rsidP="006F5455">
      <w:pPr>
        <w:pStyle w:val="Brezrazmikov"/>
        <w:rPr>
          <w:rFonts w:cs="Arial"/>
          <w:szCs w:val="20"/>
          <w:lang w:val="sl-SI"/>
        </w:rPr>
      </w:pPr>
    </w:p>
    <w:p w14:paraId="4CF447F1" w14:textId="77777777" w:rsidR="006F5455" w:rsidRPr="00445B9C" w:rsidRDefault="006F5455" w:rsidP="006F5455">
      <w:pPr>
        <w:pStyle w:val="Brezrazmikov"/>
        <w:rPr>
          <w:rFonts w:cs="Arial"/>
          <w:szCs w:val="20"/>
          <w:lang w:val="sl-SI"/>
        </w:rPr>
      </w:pPr>
    </w:p>
    <w:p w14:paraId="5278D798" w14:textId="77777777" w:rsidR="00513496" w:rsidRPr="00445B9C" w:rsidRDefault="00513496">
      <w:pPr>
        <w:spacing w:line="240" w:lineRule="auto"/>
        <w:rPr>
          <w:rFonts w:cs="Arial"/>
          <w:b/>
          <w:bCs/>
          <w:szCs w:val="20"/>
        </w:rPr>
      </w:pPr>
      <w:r w:rsidRPr="00445B9C">
        <w:rPr>
          <w:rFonts w:cs="Arial"/>
          <w:b/>
          <w:bCs/>
          <w:szCs w:val="20"/>
        </w:rPr>
        <w:br w:type="page"/>
      </w:r>
    </w:p>
    <w:p w14:paraId="00F3C368" w14:textId="77777777" w:rsidR="000047A4" w:rsidRPr="00201C9A" w:rsidRDefault="00580931" w:rsidP="00201C9A">
      <w:pPr>
        <w:spacing w:after="160" w:line="259" w:lineRule="auto"/>
        <w:jc w:val="both"/>
        <w:rPr>
          <w:rFonts w:cs="Arial"/>
          <w:b/>
          <w:szCs w:val="20"/>
        </w:rPr>
      </w:pPr>
      <w:r w:rsidRPr="00201C9A">
        <w:rPr>
          <w:rFonts w:cs="Arial"/>
          <w:b/>
          <w:bCs/>
          <w:szCs w:val="20"/>
        </w:rPr>
        <w:lastRenderedPageBreak/>
        <w:t xml:space="preserve">II. </w:t>
      </w:r>
      <w:r w:rsidR="000258C6" w:rsidRPr="00201C9A">
        <w:rPr>
          <w:rFonts w:cs="Arial"/>
          <w:b/>
          <w:szCs w:val="20"/>
        </w:rPr>
        <w:t>BESEDILO ČLENOV</w:t>
      </w:r>
    </w:p>
    <w:p w14:paraId="229C1073" w14:textId="77777777" w:rsidR="00F52CEB" w:rsidRPr="0023027E" w:rsidRDefault="00F52CEB" w:rsidP="00F52CEB">
      <w:pPr>
        <w:jc w:val="center"/>
        <w:rPr>
          <w:rFonts w:cs="Arial"/>
          <w:b/>
          <w:bCs/>
          <w:szCs w:val="20"/>
        </w:rPr>
      </w:pPr>
      <w:bookmarkStart w:id="10" w:name="_Hlk195624758"/>
      <w:r w:rsidRPr="0023027E">
        <w:rPr>
          <w:rFonts w:cs="Arial"/>
          <w:b/>
          <w:bCs/>
          <w:szCs w:val="20"/>
        </w:rPr>
        <w:t>PRVI DEL</w:t>
      </w:r>
    </w:p>
    <w:p w14:paraId="582FD0F0" w14:textId="77777777" w:rsidR="00F52CEB" w:rsidRPr="0023027E" w:rsidRDefault="00F52CEB" w:rsidP="00F52CEB">
      <w:pPr>
        <w:jc w:val="center"/>
        <w:rPr>
          <w:rFonts w:cs="Arial"/>
          <w:szCs w:val="20"/>
        </w:rPr>
      </w:pPr>
    </w:p>
    <w:p w14:paraId="3D6F5F44" w14:textId="77777777" w:rsidR="000966FE" w:rsidRDefault="00F52CEB" w:rsidP="000966FE">
      <w:pPr>
        <w:spacing w:afterLines="20" w:after="48"/>
        <w:jc w:val="center"/>
        <w:rPr>
          <w:rFonts w:cs="Arial"/>
          <w:szCs w:val="20"/>
        </w:rPr>
      </w:pPr>
      <w:r w:rsidRPr="0023027E">
        <w:rPr>
          <w:rFonts w:cs="Arial"/>
          <w:szCs w:val="20"/>
        </w:rPr>
        <w:t>SPLOŠNE DOLOČBE</w:t>
      </w:r>
    </w:p>
    <w:p w14:paraId="74A68E37" w14:textId="77777777" w:rsidR="000966FE" w:rsidRDefault="000966FE">
      <w:pPr>
        <w:spacing w:afterLines="20" w:after="48"/>
        <w:jc w:val="both"/>
        <w:rPr>
          <w:rFonts w:cs="Arial"/>
          <w:szCs w:val="20"/>
        </w:rPr>
      </w:pPr>
    </w:p>
    <w:p w14:paraId="34AABE01"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11" w:name="_Ref205896570"/>
      <w:r w:rsidRPr="0023027E">
        <w:rPr>
          <w:rFonts w:cs="Arial"/>
          <w:b/>
          <w:bCs/>
          <w:szCs w:val="20"/>
        </w:rPr>
        <w:t>člen</w:t>
      </w:r>
      <w:bookmarkEnd w:id="11"/>
    </w:p>
    <w:p w14:paraId="1548071B" w14:textId="5E18A9E1" w:rsidR="000966FE" w:rsidRDefault="00F52CEB">
      <w:pPr>
        <w:pStyle w:val="Odstavekseznama"/>
        <w:spacing w:afterLines="20" w:after="48"/>
        <w:jc w:val="center"/>
        <w:rPr>
          <w:rFonts w:cs="Arial"/>
          <w:b/>
          <w:bCs/>
          <w:szCs w:val="20"/>
        </w:rPr>
      </w:pPr>
      <w:r w:rsidRPr="0023027E">
        <w:rPr>
          <w:rFonts w:cs="Arial"/>
          <w:b/>
          <w:bCs/>
          <w:szCs w:val="20"/>
        </w:rPr>
        <w:t>(vsebina)</w:t>
      </w:r>
    </w:p>
    <w:p w14:paraId="07454904" w14:textId="77777777" w:rsidR="000966FE" w:rsidRDefault="000966FE">
      <w:pPr>
        <w:spacing w:afterLines="20" w:after="48"/>
        <w:jc w:val="both"/>
        <w:rPr>
          <w:rFonts w:cs="Arial"/>
          <w:szCs w:val="20"/>
        </w:rPr>
      </w:pPr>
    </w:p>
    <w:p w14:paraId="080EC665" w14:textId="77777777" w:rsidR="000966FE" w:rsidRDefault="00F52CEB">
      <w:pPr>
        <w:spacing w:afterLines="20" w:after="48"/>
        <w:jc w:val="both"/>
        <w:rPr>
          <w:rFonts w:cs="Arial"/>
          <w:szCs w:val="20"/>
        </w:rPr>
      </w:pPr>
      <w:r w:rsidRPr="0023027E">
        <w:rPr>
          <w:rFonts w:cs="Arial"/>
          <w:szCs w:val="20"/>
        </w:rPr>
        <w:t>(1) S tem zakonom se v pravni red Republike Slovenije prenaša Direktiva (EU) 2023/2864 Evropskega parlamenta in Sveta z dne 13. decembra 2023 o spremembi nekaterih direktiv glede vzpostavitve in delovanja evropske enotne točke dostopa (UL L št. 2023/2864 z dne 20. 12. 2023</w:t>
      </w:r>
      <w:r w:rsidR="00044C54" w:rsidRPr="0023027E">
        <w:rPr>
          <w:rFonts w:cs="Arial"/>
          <w:szCs w:val="20"/>
        </w:rPr>
        <w:t>),</w:t>
      </w:r>
      <w:r w:rsidRPr="0023027E">
        <w:rPr>
          <w:rFonts w:cs="Arial"/>
          <w:szCs w:val="20"/>
        </w:rPr>
        <w:t xml:space="preserve"> </w:t>
      </w:r>
      <w:r w:rsidR="00D546AF">
        <w:rPr>
          <w:rFonts w:cs="Arial"/>
          <w:szCs w:val="20"/>
        </w:rPr>
        <w:t xml:space="preserve">zadnjič popravljena s Popravkom (UL L št. 2024/90411 z dne 15. 7. 2024), </w:t>
      </w:r>
      <w:r w:rsidR="00044C54" w:rsidRPr="0023027E">
        <w:rPr>
          <w:rFonts w:cs="Arial"/>
          <w:szCs w:val="20"/>
        </w:rPr>
        <w:t>(</w:t>
      </w:r>
      <w:r w:rsidRPr="0023027E">
        <w:rPr>
          <w:rFonts w:cs="Arial"/>
          <w:szCs w:val="20"/>
        </w:rPr>
        <w:t>v nadaljnjem besedilu: Direktiva 2023/2864/EU).</w:t>
      </w:r>
    </w:p>
    <w:p w14:paraId="39DDBD0D" w14:textId="77777777" w:rsidR="000966FE" w:rsidRDefault="000966FE">
      <w:pPr>
        <w:spacing w:afterLines="20" w:after="48"/>
        <w:jc w:val="both"/>
        <w:rPr>
          <w:rFonts w:cs="Arial"/>
          <w:szCs w:val="20"/>
        </w:rPr>
      </w:pPr>
    </w:p>
    <w:p w14:paraId="0AAA6395" w14:textId="77777777" w:rsidR="000966FE" w:rsidRDefault="00F52CEB">
      <w:pPr>
        <w:spacing w:afterLines="20" w:after="48"/>
        <w:jc w:val="both"/>
        <w:rPr>
          <w:rFonts w:cs="Arial"/>
          <w:szCs w:val="20"/>
        </w:rPr>
      </w:pPr>
      <w:r w:rsidRPr="0023027E">
        <w:rPr>
          <w:rFonts w:cs="Arial"/>
          <w:szCs w:val="20"/>
        </w:rPr>
        <w:t>(2) S tem zakonom se podrobneje ureja izvajanje:</w:t>
      </w:r>
    </w:p>
    <w:p w14:paraId="45BB0606" w14:textId="49D9C221" w:rsidR="000966FE" w:rsidRDefault="00F52CEB">
      <w:pPr>
        <w:spacing w:afterLines="20" w:after="48"/>
        <w:jc w:val="both"/>
        <w:rPr>
          <w:rFonts w:cs="Arial"/>
          <w:szCs w:val="20"/>
        </w:rPr>
      </w:pPr>
      <w:r w:rsidRPr="0023027E">
        <w:rPr>
          <w:rFonts w:cs="Arial"/>
          <w:szCs w:val="20"/>
        </w:rPr>
        <w:t>1. Uredb</w:t>
      </w:r>
      <w:r w:rsidR="00C715AB">
        <w:rPr>
          <w:rFonts w:cs="Arial"/>
          <w:szCs w:val="20"/>
        </w:rPr>
        <w:t>e</w:t>
      </w:r>
      <w:r w:rsidRPr="0023027E">
        <w:rPr>
          <w:rFonts w:cs="Arial"/>
          <w:szCs w:val="20"/>
        </w:rPr>
        <w:t xml:space="preserve"> (EU) 2023/2859 Evropskega parlamenta in Sveta z dne 13. decembra 2023 o vzpostavitvi evropske enotne točke dostopa, ki zagotavlja centraliziran dostop do javno dostopnih informacij, pomembnih za finančne storitve, kapitalske trge in </w:t>
      </w:r>
      <w:proofErr w:type="spellStart"/>
      <w:r w:rsidRPr="0023027E">
        <w:rPr>
          <w:rFonts w:cs="Arial"/>
          <w:szCs w:val="20"/>
        </w:rPr>
        <w:t>trajnostnost</w:t>
      </w:r>
      <w:proofErr w:type="spellEnd"/>
      <w:r w:rsidRPr="0023027E">
        <w:rPr>
          <w:rFonts w:cs="Arial"/>
          <w:szCs w:val="20"/>
        </w:rPr>
        <w:t xml:space="preserve"> (UL L št. </w:t>
      </w:r>
      <w:r w:rsidR="00D546AF">
        <w:rPr>
          <w:rFonts w:cs="Arial"/>
          <w:szCs w:val="20"/>
        </w:rPr>
        <w:t>2023/2859</w:t>
      </w:r>
      <w:r w:rsidRPr="0023027E">
        <w:rPr>
          <w:rFonts w:cs="Arial"/>
          <w:szCs w:val="20"/>
        </w:rPr>
        <w:t xml:space="preserve"> z dne 20. 12. 2023)</w:t>
      </w:r>
      <w:r w:rsidR="00C715AB">
        <w:rPr>
          <w:rFonts w:cs="Arial"/>
          <w:szCs w:val="20"/>
        </w:rPr>
        <w:t>,</w:t>
      </w:r>
      <w:r w:rsidRPr="0023027E">
        <w:rPr>
          <w:rFonts w:cs="Arial"/>
          <w:szCs w:val="20"/>
        </w:rPr>
        <w:t xml:space="preserve"> zadnjič spremenjene z Uredbo (EU) 2024/3005 Evropskega parlamenta in Sveta z dne 27. novembra 2024 o preglednosti in celovitosti dejavnosti ocenjevanja </w:t>
      </w:r>
      <w:proofErr w:type="spellStart"/>
      <w:r w:rsidRPr="0023027E">
        <w:rPr>
          <w:rFonts w:cs="Arial"/>
          <w:szCs w:val="20"/>
        </w:rPr>
        <w:t>okoljskih</w:t>
      </w:r>
      <w:proofErr w:type="spellEnd"/>
      <w:r w:rsidRPr="0023027E">
        <w:rPr>
          <w:rFonts w:cs="Arial"/>
          <w:szCs w:val="20"/>
        </w:rPr>
        <w:t>, socialnih in upravljavskih (ESG) dejavnikov ter spremembi uredb (EU) 2019/2088 in (EU) 2023/2859 (UL L št. 2024/3005 z dne 12. 12. 2024</w:t>
      </w:r>
      <w:r w:rsidR="00044C54" w:rsidRPr="0023027E">
        <w:rPr>
          <w:rFonts w:cs="Arial"/>
          <w:szCs w:val="20"/>
        </w:rPr>
        <w:t>),</w:t>
      </w:r>
      <w:r w:rsidRPr="0023027E">
        <w:rPr>
          <w:rFonts w:cs="Arial"/>
          <w:szCs w:val="20"/>
        </w:rPr>
        <w:t xml:space="preserve"> </w:t>
      </w:r>
      <w:r w:rsidR="00044C54" w:rsidRPr="0023027E">
        <w:rPr>
          <w:rFonts w:cs="Arial"/>
          <w:szCs w:val="20"/>
        </w:rPr>
        <w:t>(</w:t>
      </w:r>
      <w:r w:rsidRPr="0023027E">
        <w:rPr>
          <w:rFonts w:cs="Arial"/>
          <w:szCs w:val="20"/>
        </w:rPr>
        <w:t>v nadaljnjem besedilu: Uredba 2023/2859/EU)</w:t>
      </w:r>
      <w:r w:rsidR="0024714F">
        <w:rPr>
          <w:rFonts w:cs="Arial"/>
          <w:szCs w:val="20"/>
        </w:rPr>
        <w:t>,</w:t>
      </w:r>
      <w:r w:rsidRPr="0023027E">
        <w:rPr>
          <w:rFonts w:cs="Arial"/>
          <w:szCs w:val="20"/>
        </w:rPr>
        <w:t xml:space="preserve"> in</w:t>
      </w:r>
    </w:p>
    <w:p w14:paraId="32E2E52E" w14:textId="409DFDD3" w:rsidR="000966FE" w:rsidRDefault="00F52CEB">
      <w:pPr>
        <w:spacing w:afterLines="20" w:after="48"/>
        <w:jc w:val="both"/>
        <w:rPr>
          <w:rFonts w:cs="Arial"/>
          <w:szCs w:val="20"/>
        </w:rPr>
      </w:pPr>
      <w:r w:rsidRPr="0023027E">
        <w:rPr>
          <w:rFonts w:cs="Arial"/>
          <w:szCs w:val="20"/>
        </w:rPr>
        <w:t>2. Uredb</w:t>
      </w:r>
      <w:r w:rsidR="00C715AB">
        <w:rPr>
          <w:rFonts w:cs="Arial"/>
          <w:szCs w:val="20"/>
        </w:rPr>
        <w:t>e</w:t>
      </w:r>
      <w:r w:rsidRPr="0023027E">
        <w:rPr>
          <w:rFonts w:cs="Arial"/>
          <w:szCs w:val="20"/>
        </w:rPr>
        <w:t xml:space="preserve"> (EU) 2023/2869 Evropskega parlamenta in Sveta z dne 13. decembra 2023 o spremembi nekaterih uredb glede vzpostavitve in delovanja evropske enotne točke dostopa (UL L št. 2023/2869 z dne 20. 12. 2023</w:t>
      </w:r>
      <w:r w:rsidR="00C715AB">
        <w:rPr>
          <w:rFonts w:cs="Arial"/>
          <w:szCs w:val="20"/>
        </w:rPr>
        <w:t>;</w:t>
      </w:r>
      <w:r w:rsidRPr="0023027E">
        <w:rPr>
          <w:rFonts w:cs="Arial"/>
          <w:szCs w:val="20"/>
        </w:rPr>
        <w:t xml:space="preserve"> v nadaljnjem besedilu: Uredba 2023/2869/EU).</w:t>
      </w:r>
    </w:p>
    <w:p w14:paraId="457ED6C0" w14:textId="77777777" w:rsidR="000966FE" w:rsidRDefault="000966FE">
      <w:pPr>
        <w:spacing w:afterLines="20" w:after="48"/>
        <w:jc w:val="both"/>
        <w:rPr>
          <w:rFonts w:cs="Arial"/>
          <w:szCs w:val="20"/>
        </w:rPr>
      </w:pPr>
    </w:p>
    <w:p w14:paraId="2E0150B4" w14:textId="0B57F43B" w:rsidR="000966FE" w:rsidRDefault="00F52CEB">
      <w:pPr>
        <w:spacing w:afterLines="20" w:after="48"/>
        <w:jc w:val="both"/>
        <w:rPr>
          <w:rFonts w:cs="Arial"/>
          <w:szCs w:val="20"/>
        </w:rPr>
      </w:pPr>
      <w:r w:rsidRPr="0023027E">
        <w:rPr>
          <w:rFonts w:cs="Arial"/>
          <w:szCs w:val="20"/>
        </w:rPr>
        <w:t xml:space="preserve">(3) S tem zakonom se zaradi prenosa Direktive 2023/2864/EU </w:t>
      </w:r>
      <w:r w:rsidR="0024714F">
        <w:rPr>
          <w:rFonts w:cs="Arial"/>
          <w:szCs w:val="20"/>
        </w:rPr>
        <w:t>ter</w:t>
      </w:r>
      <w:r w:rsidR="0024714F" w:rsidRPr="0023027E">
        <w:rPr>
          <w:rFonts w:cs="Arial"/>
          <w:szCs w:val="20"/>
        </w:rPr>
        <w:t xml:space="preserve"> </w:t>
      </w:r>
      <w:r w:rsidRPr="0023027E">
        <w:rPr>
          <w:rFonts w:cs="Arial"/>
          <w:szCs w:val="20"/>
        </w:rPr>
        <w:t xml:space="preserve">ureditve izvajanja Uredbe 2023/2859/EU </w:t>
      </w:r>
      <w:r w:rsidR="0024714F">
        <w:rPr>
          <w:rFonts w:cs="Arial"/>
          <w:szCs w:val="20"/>
        </w:rPr>
        <w:t>in</w:t>
      </w:r>
      <w:r w:rsidR="0024714F" w:rsidRPr="0023027E">
        <w:rPr>
          <w:rFonts w:cs="Arial"/>
          <w:szCs w:val="20"/>
        </w:rPr>
        <w:t xml:space="preserve"> </w:t>
      </w:r>
      <w:r w:rsidRPr="0023027E">
        <w:rPr>
          <w:rFonts w:cs="Arial"/>
          <w:szCs w:val="20"/>
        </w:rPr>
        <w:t>Uredbe 2023/2869/EU spreminjajo in dopolnjujejo zakoni:</w:t>
      </w:r>
    </w:p>
    <w:p w14:paraId="0381D1C6" w14:textId="77777777" w:rsidR="00F52CEB" w:rsidRPr="0023027E" w:rsidRDefault="00F52CEB" w:rsidP="00A8764F">
      <w:pPr>
        <w:ind w:left="397"/>
        <w:jc w:val="both"/>
        <w:rPr>
          <w:rFonts w:cs="Arial"/>
          <w:szCs w:val="20"/>
        </w:rPr>
      </w:pPr>
      <w:r w:rsidRPr="0023027E">
        <w:rPr>
          <w:rFonts w:cs="Arial"/>
          <w:szCs w:val="20"/>
        </w:rPr>
        <w:t>1. Zakon o finančnih konglomeratih (Uradni list RS, št. 43/06, 87/11 in 56/13);</w:t>
      </w:r>
    </w:p>
    <w:p w14:paraId="26595E3E" w14:textId="066BB3D2" w:rsidR="00F52CEB" w:rsidRPr="0023027E" w:rsidRDefault="00F52CEB" w:rsidP="00A8764F">
      <w:pPr>
        <w:ind w:left="397"/>
        <w:jc w:val="both"/>
        <w:rPr>
          <w:rFonts w:cs="Arial"/>
          <w:szCs w:val="20"/>
        </w:rPr>
      </w:pPr>
      <w:r w:rsidRPr="0023027E">
        <w:rPr>
          <w:rFonts w:cs="Arial"/>
          <w:szCs w:val="20"/>
        </w:rPr>
        <w:t xml:space="preserve">2. Zakon o prevzemih (Uradni list RS, št. 79/06, 67/07 </w:t>
      </w:r>
      <w:r w:rsidR="00C715AB">
        <w:rPr>
          <w:rFonts w:cs="Arial"/>
          <w:szCs w:val="20"/>
        </w:rPr>
        <w:t>–</w:t>
      </w:r>
      <w:r w:rsidRPr="0023027E">
        <w:rPr>
          <w:rFonts w:cs="Arial"/>
          <w:szCs w:val="20"/>
        </w:rPr>
        <w:t xml:space="preserve"> ZTFI, 1/08, 68/08, 35/11 </w:t>
      </w:r>
      <w:r w:rsidR="00C715AB">
        <w:rPr>
          <w:rFonts w:cs="Arial"/>
          <w:szCs w:val="20"/>
        </w:rPr>
        <w:t>–</w:t>
      </w:r>
      <w:r w:rsidRPr="0023027E">
        <w:rPr>
          <w:rFonts w:cs="Arial"/>
          <w:szCs w:val="20"/>
        </w:rPr>
        <w:t xml:space="preserve"> ORZPre75, 105/11 </w:t>
      </w:r>
      <w:r w:rsidR="00C715AB">
        <w:rPr>
          <w:rFonts w:cs="Arial"/>
          <w:szCs w:val="20"/>
        </w:rPr>
        <w:t>–</w:t>
      </w:r>
      <w:r w:rsidRPr="0023027E">
        <w:rPr>
          <w:rFonts w:cs="Arial"/>
          <w:szCs w:val="20"/>
        </w:rPr>
        <w:t xml:space="preserve"> </w:t>
      </w:r>
      <w:proofErr w:type="spellStart"/>
      <w:r w:rsidRPr="0023027E">
        <w:rPr>
          <w:rFonts w:cs="Arial"/>
          <w:szCs w:val="20"/>
        </w:rPr>
        <w:t>odl</w:t>
      </w:r>
      <w:proofErr w:type="spellEnd"/>
      <w:r w:rsidRPr="0023027E">
        <w:rPr>
          <w:rFonts w:cs="Arial"/>
          <w:szCs w:val="20"/>
        </w:rPr>
        <w:t xml:space="preserve">. US, 10/12, 38/12, 56/13, 63/13 </w:t>
      </w:r>
      <w:r w:rsidR="00C715AB">
        <w:rPr>
          <w:rFonts w:cs="Arial"/>
          <w:szCs w:val="20"/>
        </w:rPr>
        <w:t>–</w:t>
      </w:r>
      <w:r w:rsidRPr="0023027E">
        <w:rPr>
          <w:rFonts w:cs="Arial"/>
          <w:szCs w:val="20"/>
        </w:rPr>
        <w:t xml:space="preserve"> ZS-K, 25/14 in 75/15);</w:t>
      </w:r>
    </w:p>
    <w:p w14:paraId="4D8124AC" w14:textId="77777777" w:rsidR="00F52CEB" w:rsidRPr="0023027E" w:rsidRDefault="00F52CEB" w:rsidP="00A8764F">
      <w:pPr>
        <w:ind w:left="397"/>
        <w:jc w:val="both"/>
        <w:rPr>
          <w:rFonts w:cs="Arial"/>
          <w:szCs w:val="20"/>
        </w:rPr>
      </w:pPr>
      <w:r w:rsidRPr="0023027E">
        <w:rPr>
          <w:rFonts w:cs="Arial"/>
          <w:szCs w:val="20"/>
        </w:rPr>
        <w:t>3. Zakon o revidiranju (Uradni list RS, št. 65/08, 63/13 – ZS-K, 84/18, 115/21 in 85/24);</w:t>
      </w:r>
    </w:p>
    <w:p w14:paraId="6E68C481" w14:textId="77777777" w:rsidR="00F52CEB" w:rsidRPr="0023027E" w:rsidRDefault="00F52CEB" w:rsidP="00A8764F">
      <w:pPr>
        <w:ind w:left="397"/>
        <w:jc w:val="both"/>
        <w:rPr>
          <w:rFonts w:cs="Arial"/>
          <w:szCs w:val="20"/>
        </w:rPr>
      </w:pPr>
      <w:r w:rsidRPr="0023027E">
        <w:rPr>
          <w:rFonts w:cs="Arial"/>
          <w:szCs w:val="20"/>
        </w:rPr>
        <w:t>4. Zakon o gospodarskih družbah (</w:t>
      </w:r>
      <w:r w:rsidR="00601A72" w:rsidRPr="00601A72">
        <w:rPr>
          <w:rFonts w:cs="Arial"/>
          <w:szCs w:val="20"/>
        </w:rPr>
        <w:t xml:space="preserve">Uradni list RS, št. 65/09 – uradno prečiščeno besedilo, 33/11, 91/11, 32/12, 57/12, 44/13 – </w:t>
      </w:r>
      <w:proofErr w:type="spellStart"/>
      <w:r w:rsidR="00601A72" w:rsidRPr="00601A72">
        <w:rPr>
          <w:rFonts w:cs="Arial"/>
          <w:szCs w:val="20"/>
        </w:rPr>
        <w:t>odl</w:t>
      </w:r>
      <w:proofErr w:type="spellEnd"/>
      <w:r w:rsidR="00601A72" w:rsidRPr="00601A72">
        <w:rPr>
          <w:rFonts w:cs="Arial"/>
          <w:szCs w:val="20"/>
        </w:rPr>
        <w:t xml:space="preserve">. US, 82/13, 55/15, 15/17, 22/19 – </w:t>
      </w:r>
      <w:proofErr w:type="spellStart"/>
      <w:r w:rsidR="00601A72" w:rsidRPr="00601A72">
        <w:rPr>
          <w:rFonts w:cs="Arial"/>
          <w:szCs w:val="20"/>
        </w:rPr>
        <w:t>ZPosS</w:t>
      </w:r>
      <w:proofErr w:type="spellEnd"/>
      <w:r w:rsidR="00601A72" w:rsidRPr="00601A72">
        <w:rPr>
          <w:rFonts w:cs="Arial"/>
          <w:szCs w:val="20"/>
        </w:rPr>
        <w:t xml:space="preserve">, 158/20 – </w:t>
      </w:r>
      <w:proofErr w:type="spellStart"/>
      <w:r w:rsidR="00601A72" w:rsidRPr="00601A72">
        <w:rPr>
          <w:rFonts w:cs="Arial"/>
          <w:szCs w:val="20"/>
        </w:rPr>
        <w:t>ZIntPK</w:t>
      </w:r>
      <w:proofErr w:type="spellEnd"/>
      <w:r w:rsidR="00601A72" w:rsidRPr="00601A72">
        <w:rPr>
          <w:rFonts w:cs="Arial"/>
          <w:szCs w:val="20"/>
        </w:rPr>
        <w:t>-C, 18/21, 18/23 – ZDU-1O, 75/23, 102/24 in 77/25</w:t>
      </w:r>
      <w:r w:rsidRPr="0023027E">
        <w:rPr>
          <w:rFonts w:cs="Arial"/>
          <w:szCs w:val="20"/>
        </w:rPr>
        <w:t>);</w:t>
      </w:r>
    </w:p>
    <w:p w14:paraId="444789E4" w14:textId="442A2865" w:rsidR="00F52CEB" w:rsidRPr="0023027E" w:rsidRDefault="00F52CEB" w:rsidP="00A8764F">
      <w:pPr>
        <w:ind w:left="397"/>
        <w:jc w:val="both"/>
        <w:rPr>
          <w:rFonts w:cs="Arial"/>
          <w:szCs w:val="20"/>
        </w:rPr>
      </w:pPr>
      <w:r w:rsidRPr="0023027E">
        <w:rPr>
          <w:rFonts w:cs="Arial"/>
          <w:szCs w:val="20"/>
        </w:rPr>
        <w:t>5. Zakon o investicijskih skladih in družbah za upravljanje (Uradni list RS, št. 31/15, 81/15, 77/16, 77/18, 161/21</w:t>
      </w:r>
      <w:r w:rsidR="00601A72">
        <w:rPr>
          <w:rFonts w:cs="Arial"/>
          <w:szCs w:val="20"/>
        </w:rPr>
        <w:t>,</w:t>
      </w:r>
      <w:r w:rsidR="005F6233">
        <w:rPr>
          <w:rFonts w:cs="Arial"/>
          <w:szCs w:val="20"/>
        </w:rPr>
        <w:t xml:space="preserve"> </w:t>
      </w:r>
      <w:r w:rsidRPr="0023027E">
        <w:rPr>
          <w:rFonts w:cs="Arial"/>
          <w:szCs w:val="20"/>
        </w:rPr>
        <w:t>101/22</w:t>
      </w:r>
      <w:r w:rsidR="00C715AB">
        <w:rPr>
          <w:rFonts w:cs="Arial"/>
          <w:szCs w:val="20"/>
        </w:rPr>
        <w:t xml:space="preserve"> –</w:t>
      </w:r>
      <w:r w:rsidRPr="0023027E">
        <w:rPr>
          <w:rFonts w:cs="Arial"/>
          <w:szCs w:val="20"/>
        </w:rPr>
        <w:t xml:space="preserve"> ZOAIS</w:t>
      </w:r>
      <w:r w:rsidR="00601A72">
        <w:rPr>
          <w:rFonts w:cs="Arial"/>
          <w:szCs w:val="20"/>
        </w:rPr>
        <w:t xml:space="preserve"> in 77/25</w:t>
      </w:r>
      <w:r w:rsidRPr="0023027E">
        <w:rPr>
          <w:rFonts w:cs="Arial"/>
          <w:szCs w:val="20"/>
        </w:rPr>
        <w:t>);</w:t>
      </w:r>
    </w:p>
    <w:p w14:paraId="17EC04C3" w14:textId="3B6D3550" w:rsidR="00F52CEB" w:rsidRPr="0023027E" w:rsidRDefault="00F52CEB" w:rsidP="00294FB5">
      <w:pPr>
        <w:ind w:left="397"/>
        <w:jc w:val="both"/>
        <w:rPr>
          <w:rFonts w:cs="Arial"/>
          <w:szCs w:val="20"/>
        </w:rPr>
      </w:pPr>
      <w:r w:rsidRPr="0023027E">
        <w:rPr>
          <w:rFonts w:cs="Arial"/>
          <w:szCs w:val="20"/>
        </w:rPr>
        <w:t>6. Zakon o upravljavcih alternativnih investicijskih skladov (Uradni list RS, št. 32/15, 77/18, 161/21</w:t>
      </w:r>
      <w:r w:rsidR="00601A72">
        <w:rPr>
          <w:rFonts w:cs="Arial"/>
          <w:szCs w:val="20"/>
        </w:rPr>
        <w:t>,</w:t>
      </w:r>
      <w:r w:rsidRPr="0023027E">
        <w:rPr>
          <w:rFonts w:cs="Arial"/>
          <w:szCs w:val="20"/>
        </w:rPr>
        <w:t xml:space="preserve"> 101/22 </w:t>
      </w:r>
      <w:r w:rsidR="00601A72">
        <w:rPr>
          <w:rFonts w:cs="Arial"/>
          <w:szCs w:val="20"/>
        </w:rPr>
        <w:t>–</w:t>
      </w:r>
      <w:r w:rsidRPr="0023027E">
        <w:rPr>
          <w:rFonts w:cs="Arial"/>
          <w:szCs w:val="20"/>
        </w:rPr>
        <w:t xml:space="preserve"> ZOAIS</w:t>
      </w:r>
      <w:r w:rsidR="00601A72">
        <w:rPr>
          <w:rFonts w:cs="Arial"/>
          <w:szCs w:val="20"/>
        </w:rPr>
        <w:t xml:space="preserve"> in 77/25</w:t>
      </w:r>
      <w:r w:rsidRPr="0023027E">
        <w:rPr>
          <w:rFonts w:cs="Arial"/>
          <w:szCs w:val="20"/>
        </w:rPr>
        <w:t>);</w:t>
      </w:r>
    </w:p>
    <w:p w14:paraId="547F76F1" w14:textId="567F2EF9" w:rsidR="00F52CEB" w:rsidRPr="0023027E" w:rsidRDefault="00A36045" w:rsidP="00A8764F">
      <w:pPr>
        <w:ind w:left="397"/>
        <w:jc w:val="both"/>
        <w:rPr>
          <w:rFonts w:cs="Arial"/>
          <w:szCs w:val="20"/>
        </w:rPr>
      </w:pPr>
      <w:r>
        <w:rPr>
          <w:rFonts w:cs="Arial"/>
          <w:szCs w:val="20"/>
        </w:rPr>
        <w:t>7</w:t>
      </w:r>
      <w:r w:rsidR="00F52CEB" w:rsidRPr="0023027E">
        <w:rPr>
          <w:rFonts w:cs="Arial"/>
          <w:szCs w:val="20"/>
        </w:rPr>
        <w:t>. Zakon o bonitetnem nadzoru investicijskih podjetij (Uradni list RS, št. 123/21);</w:t>
      </w:r>
    </w:p>
    <w:p w14:paraId="3902EE0B" w14:textId="1FA0D698" w:rsidR="00F52CEB" w:rsidRPr="0023027E" w:rsidRDefault="00A36045" w:rsidP="00A8764F">
      <w:pPr>
        <w:ind w:left="397"/>
        <w:jc w:val="both"/>
        <w:rPr>
          <w:rFonts w:cs="Arial"/>
          <w:szCs w:val="20"/>
        </w:rPr>
      </w:pPr>
      <w:r>
        <w:rPr>
          <w:rFonts w:cs="Arial"/>
          <w:szCs w:val="20"/>
        </w:rPr>
        <w:t>8</w:t>
      </w:r>
      <w:r w:rsidR="00F52CEB" w:rsidRPr="0023027E">
        <w:rPr>
          <w:rFonts w:cs="Arial"/>
          <w:szCs w:val="20"/>
        </w:rPr>
        <w:t>. Zakon o hipotekarni in komunalni obveznici (Uradni list RS, št. 1</w:t>
      </w:r>
      <w:r w:rsidR="003E08B7">
        <w:rPr>
          <w:rFonts w:cs="Arial"/>
          <w:szCs w:val="20"/>
        </w:rPr>
        <w:t>23</w:t>
      </w:r>
      <w:r w:rsidR="00F52CEB" w:rsidRPr="0023027E">
        <w:rPr>
          <w:rFonts w:cs="Arial"/>
          <w:szCs w:val="20"/>
        </w:rPr>
        <w:t>/2</w:t>
      </w:r>
      <w:r w:rsidR="003E08B7">
        <w:rPr>
          <w:rFonts w:cs="Arial"/>
          <w:szCs w:val="20"/>
        </w:rPr>
        <w:t>1</w:t>
      </w:r>
      <w:r w:rsidR="00F52CEB" w:rsidRPr="0023027E">
        <w:rPr>
          <w:rFonts w:cs="Arial"/>
          <w:szCs w:val="20"/>
        </w:rPr>
        <w:t>);</w:t>
      </w:r>
    </w:p>
    <w:p w14:paraId="4072E474" w14:textId="0FCD28CE" w:rsidR="00F52CEB" w:rsidRPr="0023027E" w:rsidRDefault="00A36045" w:rsidP="00A8764F">
      <w:pPr>
        <w:ind w:left="397"/>
        <w:jc w:val="both"/>
        <w:rPr>
          <w:rFonts w:cs="Arial"/>
          <w:szCs w:val="20"/>
        </w:rPr>
      </w:pPr>
      <w:r>
        <w:rPr>
          <w:rFonts w:cs="Arial"/>
          <w:szCs w:val="20"/>
        </w:rPr>
        <w:t>9</w:t>
      </w:r>
      <w:r w:rsidR="00F52CEB" w:rsidRPr="0023027E">
        <w:rPr>
          <w:rFonts w:cs="Arial"/>
          <w:szCs w:val="20"/>
        </w:rPr>
        <w:t>. Zakon o izvajanju Uredbe (EU) o dokumentih s ključnimi informacijami o paketnih naložbenih produktih za male vlagatelje in zavarovalnih naložbenih produktih (Uradni list RS, št. 30/18);</w:t>
      </w:r>
    </w:p>
    <w:p w14:paraId="12B3026C" w14:textId="67A3005F" w:rsidR="00F52CEB" w:rsidRPr="0023027E" w:rsidRDefault="00A36045" w:rsidP="00A8764F">
      <w:pPr>
        <w:ind w:left="397"/>
        <w:jc w:val="both"/>
        <w:rPr>
          <w:rFonts w:cs="Arial"/>
          <w:szCs w:val="20"/>
        </w:rPr>
      </w:pPr>
      <w:r>
        <w:rPr>
          <w:rFonts w:cs="Arial"/>
          <w:szCs w:val="20"/>
        </w:rPr>
        <w:t>10</w:t>
      </w:r>
      <w:r w:rsidR="00F52CEB" w:rsidRPr="0023027E">
        <w:rPr>
          <w:rFonts w:cs="Arial"/>
          <w:szCs w:val="20"/>
        </w:rPr>
        <w:t>. Zakon o izvajanju Uredbe (EU) o vseevropskem osebnem pokojninskem produktu (Uradni list RS, št. 28/23);</w:t>
      </w:r>
    </w:p>
    <w:p w14:paraId="78709943" w14:textId="169829DF" w:rsidR="00F52CEB" w:rsidRPr="0023027E" w:rsidRDefault="00A36045" w:rsidP="00A8764F">
      <w:pPr>
        <w:ind w:left="397"/>
        <w:jc w:val="both"/>
        <w:rPr>
          <w:rFonts w:cs="Arial"/>
          <w:szCs w:val="20"/>
        </w:rPr>
      </w:pPr>
      <w:r>
        <w:rPr>
          <w:rFonts w:cs="Arial"/>
          <w:szCs w:val="20"/>
        </w:rPr>
        <w:t>11</w:t>
      </w:r>
      <w:r w:rsidR="00F52CEB" w:rsidRPr="0023027E">
        <w:rPr>
          <w:rFonts w:cs="Arial"/>
          <w:szCs w:val="20"/>
        </w:rPr>
        <w:t xml:space="preserve">. Zakon o izvajanju Uredbe (EU) o trgih </w:t>
      </w:r>
      <w:proofErr w:type="spellStart"/>
      <w:r w:rsidR="00F52CEB" w:rsidRPr="0023027E">
        <w:rPr>
          <w:rFonts w:cs="Arial"/>
          <w:szCs w:val="20"/>
        </w:rPr>
        <w:t>kriptosredstev</w:t>
      </w:r>
      <w:proofErr w:type="spellEnd"/>
      <w:r w:rsidR="00F52CEB" w:rsidRPr="0023027E">
        <w:rPr>
          <w:rFonts w:cs="Arial"/>
          <w:szCs w:val="20"/>
        </w:rPr>
        <w:t xml:space="preserve"> (Uradni list RS, št. 95/24);</w:t>
      </w:r>
    </w:p>
    <w:p w14:paraId="12B489BE" w14:textId="68CAA960" w:rsidR="00F52CEB" w:rsidRPr="0023027E" w:rsidRDefault="00A36045" w:rsidP="00A8764F">
      <w:pPr>
        <w:ind w:left="397"/>
        <w:jc w:val="both"/>
        <w:rPr>
          <w:rFonts w:cs="Arial"/>
          <w:szCs w:val="20"/>
        </w:rPr>
      </w:pPr>
      <w:r>
        <w:rPr>
          <w:rFonts w:cs="Arial"/>
          <w:szCs w:val="20"/>
        </w:rPr>
        <w:lastRenderedPageBreak/>
        <w:t>12</w:t>
      </w:r>
      <w:r w:rsidR="00F52CEB" w:rsidRPr="0023027E">
        <w:rPr>
          <w:rFonts w:cs="Arial"/>
          <w:szCs w:val="20"/>
        </w:rPr>
        <w:t xml:space="preserve">. Zakon o izvajanju Uredbe (EU) o evropskih zelenih obveznicah in neobveznih razkritjih za obveznice, ki se tržijo kot </w:t>
      </w:r>
      <w:proofErr w:type="spellStart"/>
      <w:r w:rsidR="00F52CEB" w:rsidRPr="0023027E">
        <w:rPr>
          <w:rFonts w:cs="Arial"/>
          <w:szCs w:val="20"/>
        </w:rPr>
        <w:t>okoljsko</w:t>
      </w:r>
      <w:proofErr w:type="spellEnd"/>
      <w:r w:rsidR="00F52CEB" w:rsidRPr="0023027E">
        <w:rPr>
          <w:rFonts w:cs="Arial"/>
          <w:szCs w:val="20"/>
        </w:rPr>
        <w:t xml:space="preserve"> trajnostne obveznice, in za obveznice, povezane s </w:t>
      </w:r>
      <w:proofErr w:type="spellStart"/>
      <w:r w:rsidR="00F52CEB" w:rsidRPr="0023027E">
        <w:rPr>
          <w:rFonts w:cs="Arial"/>
          <w:szCs w:val="20"/>
        </w:rPr>
        <w:t>trajnostnostjo</w:t>
      </w:r>
      <w:proofErr w:type="spellEnd"/>
      <w:r w:rsidR="00F52CEB" w:rsidRPr="0023027E">
        <w:rPr>
          <w:rFonts w:cs="Arial"/>
          <w:szCs w:val="20"/>
        </w:rPr>
        <w:t xml:space="preserve"> (Uradni list RS, št. 24/25).</w:t>
      </w:r>
    </w:p>
    <w:p w14:paraId="3314EECE" w14:textId="77777777" w:rsidR="000966FE" w:rsidRDefault="000966FE" w:rsidP="000966FE">
      <w:pPr>
        <w:pStyle w:val="Odstavekseznama"/>
        <w:spacing w:afterLines="20" w:after="48"/>
        <w:rPr>
          <w:rFonts w:cs="Arial"/>
          <w:szCs w:val="20"/>
        </w:rPr>
      </w:pPr>
    </w:p>
    <w:p w14:paraId="451A11D4"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12" w:name="_Ref205898007"/>
      <w:r w:rsidRPr="0023027E">
        <w:rPr>
          <w:rFonts w:cs="Arial"/>
          <w:b/>
          <w:bCs/>
          <w:szCs w:val="20"/>
        </w:rPr>
        <w:t>člen</w:t>
      </w:r>
      <w:bookmarkEnd w:id="12"/>
    </w:p>
    <w:p w14:paraId="142AC650" w14:textId="77777777" w:rsidR="000966FE" w:rsidRDefault="00F52CEB">
      <w:pPr>
        <w:spacing w:afterLines="20" w:after="48"/>
        <w:jc w:val="center"/>
        <w:rPr>
          <w:rFonts w:cs="Arial"/>
          <w:b/>
          <w:bCs/>
          <w:szCs w:val="20"/>
        </w:rPr>
      </w:pPr>
      <w:r w:rsidRPr="0023027E">
        <w:rPr>
          <w:rFonts w:cs="Arial"/>
          <w:b/>
          <w:bCs/>
          <w:szCs w:val="20"/>
        </w:rPr>
        <w:t>(organ za zbiranje podatkov za informacije, ki se predložijo prostovoljno)</w:t>
      </w:r>
    </w:p>
    <w:p w14:paraId="4806ABCD" w14:textId="77777777" w:rsidR="000966FE" w:rsidRDefault="000966FE">
      <w:pPr>
        <w:spacing w:afterLines="20" w:after="48"/>
        <w:jc w:val="both"/>
        <w:rPr>
          <w:rFonts w:cs="Arial"/>
          <w:szCs w:val="20"/>
        </w:rPr>
      </w:pPr>
    </w:p>
    <w:p w14:paraId="42F9AEEA" w14:textId="27A9B2C4" w:rsidR="000966FE" w:rsidRDefault="00F52CEB">
      <w:pPr>
        <w:spacing w:afterLines="20" w:after="48"/>
        <w:jc w:val="both"/>
        <w:rPr>
          <w:rFonts w:cs="Arial"/>
          <w:szCs w:val="20"/>
        </w:rPr>
      </w:pPr>
      <w:r w:rsidRPr="0023027E">
        <w:rPr>
          <w:rFonts w:cs="Arial"/>
          <w:szCs w:val="20"/>
        </w:rPr>
        <w:t>Organ za zbiranje podatkov v skladu z 2. točko prvega odstavka 2. člena Uredbe 2023/2859/EU za informacij</w:t>
      </w:r>
      <w:r w:rsidR="006F1164">
        <w:rPr>
          <w:rFonts w:cs="Arial"/>
          <w:szCs w:val="20"/>
        </w:rPr>
        <w:t>e</w:t>
      </w:r>
      <w:r w:rsidRPr="0023027E">
        <w:rPr>
          <w:rFonts w:cs="Arial"/>
          <w:szCs w:val="20"/>
        </w:rPr>
        <w:t>, ki se predložijo prostovoljno na podlagi 3. člena Uredbe 2023/2859/EU, je za:</w:t>
      </w:r>
    </w:p>
    <w:p w14:paraId="7FB81FDF" w14:textId="19851CE4" w:rsidR="00F52CEB" w:rsidRPr="0023027E" w:rsidRDefault="00F52CEB" w:rsidP="00A8764F">
      <w:pPr>
        <w:ind w:left="397"/>
        <w:jc w:val="both"/>
        <w:rPr>
          <w:rFonts w:cs="Arial"/>
          <w:szCs w:val="20"/>
        </w:rPr>
      </w:pPr>
      <w:r w:rsidRPr="0023027E">
        <w:rPr>
          <w:rFonts w:cs="Arial"/>
          <w:szCs w:val="20"/>
        </w:rPr>
        <w:t xml:space="preserve">1. </w:t>
      </w:r>
      <w:r w:rsidR="00447F1C">
        <w:rPr>
          <w:rFonts w:cs="Arial"/>
          <w:szCs w:val="20"/>
        </w:rPr>
        <w:t>subjekte</w:t>
      </w:r>
      <w:r w:rsidRPr="0023027E">
        <w:rPr>
          <w:rFonts w:cs="Arial"/>
          <w:szCs w:val="20"/>
        </w:rPr>
        <w:t xml:space="preserve">, </w:t>
      </w:r>
      <w:r w:rsidR="003E08B7">
        <w:rPr>
          <w:rFonts w:cs="Arial"/>
          <w:szCs w:val="20"/>
        </w:rPr>
        <w:t xml:space="preserve">za nadzor </w:t>
      </w:r>
      <w:r w:rsidRPr="0023027E">
        <w:rPr>
          <w:rFonts w:cs="Arial"/>
          <w:szCs w:val="20"/>
        </w:rPr>
        <w:t>nad katerimi je pristojna v skladu z zakonom, ki ureja zavarovalništvo</w:t>
      </w:r>
      <w:r w:rsidR="003E08B7">
        <w:rPr>
          <w:rFonts w:cs="Arial"/>
          <w:szCs w:val="20"/>
        </w:rPr>
        <w:t>,</w:t>
      </w:r>
      <w:r w:rsidRPr="0023027E">
        <w:rPr>
          <w:rFonts w:cs="Arial"/>
          <w:szCs w:val="20"/>
        </w:rPr>
        <w:t xml:space="preserve"> in zakoni iz tretjega odstavka prejšnjega člena, Agencija za zavarovalni nadzor; </w:t>
      </w:r>
    </w:p>
    <w:p w14:paraId="55AB982F" w14:textId="4A6D1D4E" w:rsidR="00F52CEB" w:rsidRPr="0023027E" w:rsidRDefault="00F52CEB" w:rsidP="00A8764F">
      <w:pPr>
        <w:ind w:left="397"/>
        <w:jc w:val="both"/>
        <w:rPr>
          <w:rFonts w:cs="Arial"/>
          <w:szCs w:val="20"/>
        </w:rPr>
      </w:pPr>
      <w:r w:rsidRPr="0023027E">
        <w:rPr>
          <w:rFonts w:cs="Arial"/>
          <w:szCs w:val="20"/>
        </w:rPr>
        <w:t xml:space="preserve">2. </w:t>
      </w:r>
      <w:r w:rsidR="00447F1C">
        <w:rPr>
          <w:rFonts w:cs="Arial"/>
          <w:szCs w:val="20"/>
        </w:rPr>
        <w:t>subjekte</w:t>
      </w:r>
      <w:r w:rsidRPr="0023027E">
        <w:rPr>
          <w:rFonts w:cs="Arial"/>
          <w:szCs w:val="20"/>
        </w:rPr>
        <w:t xml:space="preserve">, za nadzor </w:t>
      </w:r>
      <w:r w:rsidR="003E08B7">
        <w:rPr>
          <w:rFonts w:cs="Arial"/>
          <w:szCs w:val="20"/>
        </w:rPr>
        <w:t xml:space="preserve">nad katerimi je pristojna </w:t>
      </w:r>
      <w:r w:rsidRPr="0023027E">
        <w:rPr>
          <w:rFonts w:cs="Arial"/>
          <w:szCs w:val="20"/>
        </w:rPr>
        <w:t>v skladu z zakonom, ki ureja bančništvo, zakonom, ki ureja reševanje in prisilno prenehanje bank, zakonom, ki ureja trg finančnih instrumentov, in zakoni iz tretjega odstavka prejšnjega člena, Banka Slovenije;</w:t>
      </w:r>
    </w:p>
    <w:p w14:paraId="32FA2BC0" w14:textId="32F6D089" w:rsidR="00F52CEB" w:rsidRPr="0023027E" w:rsidRDefault="00F52CEB" w:rsidP="00A8764F">
      <w:pPr>
        <w:ind w:left="397"/>
        <w:jc w:val="both"/>
        <w:rPr>
          <w:rFonts w:cs="Arial"/>
          <w:szCs w:val="20"/>
        </w:rPr>
      </w:pPr>
      <w:r w:rsidRPr="0023027E">
        <w:rPr>
          <w:rFonts w:cs="Arial"/>
          <w:szCs w:val="20"/>
        </w:rPr>
        <w:t xml:space="preserve">3. </w:t>
      </w:r>
      <w:r w:rsidR="00447F1C">
        <w:rPr>
          <w:rFonts w:cs="Arial"/>
          <w:szCs w:val="20"/>
        </w:rPr>
        <w:t>subjekte</w:t>
      </w:r>
      <w:r w:rsidR="003E08B7">
        <w:rPr>
          <w:rFonts w:cs="Arial"/>
          <w:szCs w:val="20"/>
        </w:rPr>
        <w:t>, za nadzor</w:t>
      </w:r>
      <w:r w:rsidRPr="0023027E">
        <w:rPr>
          <w:rFonts w:cs="Arial"/>
          <w:szCs w:val="20"/>
        </w:rPr>
        <w:t xml:space="preserve"> nad katerimi je pristojna v skladu z zakonom, ki ureja trg finančnih instrumentov, zakonom, ki ureja reševanje in prisilno prenehanje bank, in zakoni iz tretjega odstavka prejšnjega člena, Agencija za trg vrednostnih papirjev;</w:t>
      </w:r>
    </w:p>
    <w:p w14:paraId="426D3513" w14:textId="04751E37" w:rsidR="00F52CEB" w:rsidRPr="0023027E" w:rsidRDefault="00F52CEB" w:rsidP="00A8764F">
      <w:pPr>
        <w:ind w:left="397"/>
        <w:jc w:val="both"/>
        <w:rPr>
          <w:rFonts w:cs="Arial"/>
          <w:szCs w:val="20"/>
        </w:rPr>
      </w:pPr>
      <w:r w:rsidRPr="0023027E">
        <w:rPr>
          <w:rFonts w:cs="Arial"/>
          <w:szCs w:val="20"/>
        </w:rPr>
        <w:t xml:space="preserve">4. </w:t>
      </w:r>
      <w:r w:rsidR="00447F1C">
        <w:rPr>
          <w:rFonts w:cs="Arial"/>
          <w:szCs w:val="20"/>
        </w:rPr>
        <w:t>subjekte</w:t>
      </w:r>
      <w:r w:rsidR="003E08B7">
        <w:rPr>
          <w:rFonts w:cs="Arial"/>
          <w:szCs w:val="20"/>
        </w:rPr>
        <w:t>,</w:t>
      </w:r>
      <w:r w:rsidRPr="0023027E">
        <w:rPr>
          <w:rFonts w:cs="Arial"/>
          <w:szCs w:val="20"/>
        </w:rPr>
        <w:t xml:space="preserve"> za nadzor nad katerimi je pristojna v skladu z zakonom, ki ureja revidiranje, </w:t>
      </w:r>
      <w:bookmarkStart w:id="13" w:name="_Hlk207093772"/>
      <w:r w:rsidRPr="0023027E">
        <w:rPr>
          <w:rFonts w:cs="Arial"/>
          <w:szCs w:val="20"/>
        </w:rPr>
        <w:t>Agencija za javni nadzor nad revidiranjem</w:t>
      </w:r>
      <w:bookmarkEnd w:id="13"/>
      <w:r w:rsidRPr="0023027E">
        <w:rPr>
          <w:rFonts w:cs="Arial"/>
          <w:szCs w:val="20"/>
        </w:rPr>
        <w:t>;</w:t>
      </w:r>
    </w:p>
    <w:p w14:paraId="7299E8F3" w14:textId="0B5C7EB9" w:rsidR="00F52CEB" w:rsidRPr="0023027E" w:rsidRDefault="00F52CEB" w:rsidP="00A8764F">
      <w:pPr>
        <w:ind w:left="397"/>
        <w:jc w:val="both"/>
        <w:rPr>
          <w:rFonts w:cs="Arial"/>
          <w:szCs w:val="20"/>
        </w:rPr>
      </w:pPr>
      <w:r w:rsidRPr="0023027E">
        <w:rPr>
          <w:rFonts w:cs="Arial"/>
          <w:szCs w:val="20"/>
        </w:rPr>
        <w:t xml:space="preserve">5. </w:t>
      </w:r>
      <w:r w:rsidR="00447F1C">
        <w:rPr>
          <w:rFonts w:cs="Arial"/>
          <w:szCs w:val="20"/>
        </w:rPr>
        <w:t>subjekte</w:t>
      </w:r>
      <w:r w:rsidRPr="0023027E">
        <w:rPr>
          <w:rFonts w:cs="Arial"/>
          <w:szCs w:val="20"/>
        </w:rPr>
        <w:t xml:space="preserve">, ki niso </w:t>
      </w:r>
      <w:r w:rsidR="002D19D1">
        <w:rPr>
          <w:rFonts w:cs="Arial"/>
          <w:szCs w:val="20"/>
        </w:rPr>
        <w:t>subjekti</w:t>
      </w:r>
      <w:r w:rsidR="002D19D1" w:rsidRPr="0023027E">
        <w:rPr>
          <w:rFonts w:cs="Arial"/>
          <w:szCs w:val="20"/>
        </w:rPr>
        <w:t xml:space="preserve"> </w:t>
      </w:r>
      <w:r w:rsidRPr="0023027E">
        <w:rPr>
          <w:rFonts w:cs="Arial"/>
          <w:szCs w:val="20"/>
        </w:rPr>
        <w:t xml:space="preserve">iz </w:t>
      </w:r>
      <w:r w:rsidR="003E08B7">
        <w:rPr>
          <w:rFonts w:cs="Arial"/>
          <w:szCs w:val="20"/>
        </w:rPr>
        <w:t>1.</w:t>
      </w:r>
      <w:r w:rsidRPr="0023027E">
        <w:rPr>
          <w:rFonts w:cs="Arial"/>
          <w:szCs w:val="20"/>
        </w:rPr>
        <w:t xml:space="preserve"> do </w:t>
      </w:r>
      <w:r w:rsidR="003E08B7">
        <w:rPr>
          <w:rFonts w:cs="Arial"/>
          <w:szCs w:val="20"/>
        </w:rPr>
        <w:t>4.</w:t>
      </w:r>
      <w:r w:rsidRPr="0023027E">
        <w:rPr>
          <w:rFonts w:cs="Arial"/>
          <w:szCs w:val="20"/>
        </w:rPr>
        <w:t xml:space="preserve"> točke tega člena, Agencija Republike Slovenije za javnopravne evidence</w:t>
      </w:r>
      <w:r w:rsidR="00DA78EB">
        <w:rPr>
          <w:rFonts w:cs="Arial"/>
          <w:szCs w:val="20"/>
        </w:rPr>
        <w:t xml:space="preserve"> in storitve</w:t>
      </w:r>
      <w:r w:rsidRPr="0023027E">
        <w:rPr>
          <w:rFonts w:cs="Arial"/>
          <w:szCs w:val="20"/>
        </w:rPr>
        <w:t>.</w:t>
      </w:r>
    </w:p>
    <w:p w14:paraId="158AA452" w14:textId="77777777" w:rsidR="00F52CEB" w:rsidRPr="0023027E" w:rsidRDefault="00F52CEB" w:rsidP="00F52CEB">
      <w:pPr>
        <w:ind w:left="851"/>
        <w:jc w:val="both"/>
        <w:rPr>
          <w:rFonts w:cs="Arial"/>
          <w:szCs w:val="20"/>
        </w:rPr>
      </w:pPr>
    </w:p>
    <w:p w14:paraId="02CEA2F4" w14:textId="77777777" w:rsidR="000966FE" w:rsidRDefault="00F52CEB" w:rsidP="000966FE">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14" w:name="_Ref205900140"/>
      <w:r w:rsidRPr="0023027E">
        <w:rPr>
          <w:rFonts w:cs="Arial"/>
          <w:b/>
          <w:bCs/>
          <w:szCs w:val="20"/>
        </w:rPr>
        <w:t>člen</w:t>
      </w:r>
      <w:bookmarkEnd w:id="14"/>
    </w:p>
    <w:p w14:paraId="4C4E10DB" w14:textId="671A6F31" w:rsidR="000966FE" w:rsidRDefault="00F52CEB">
      <w:pPr>
        <w:spacing w:afterLines="20" w:after="48"/>
        <w:jc w:val="center"/>
        <w:rPr>
          <w:rFonts w:cs="Arial"/>
          <w:b/>
          <w:bCs/>
          <w:szCs w:val="20"/>
        </w:rPr>
      </w:pPr>
      <w:r w:rsidRPr="0023027E">
        <w:rPr>
          <w:rFonts w:cs="Arial"/>
          <w:b/>
          <w:bCs/>
          <w:szCs w:val="20"/>
        </w:rPr>
        <w:t>(kvalificiran</w:t>
      </w:r>
      <w:r w:rsidR="0097040B">
        <w:rPr>
          <w:rFonts w:cs="Arial"/>
          <w:b/>
          <w:bCs/>
          <w:szCs w:val="20"/>
        </w:rPr>
        <w:t>i</w:t>
      </w:r>
      <w:r w:rsidRPr="0023027E">
        <w:rPr>
          <w:rFonts w:cs="Arial"/>
          <w:b/>
          <w:bCs/>
          <w:szCs w:val="20"/>
        </w:rPr>
        <w:t xml:space="preserve"> elektronski žig)</w:t>
      </w:r>
    </w:p>
    <w:p w14:paraId="69E96D76" w14:textId="77777777" w:rsidR="00F52CEB" w:rsidRPr="0023027E" w:rsidRDefault="00F52CEB" w:rsidP="00F52CEB">
      <w:pPr>
        <w:ind w:left="851"/>
        <w:jc w:val="both"/>
        <w:rPr>
          <w:rFonts w:cs="Arial"/>
          <w:szCs w:val="20"/>
        </w:rPr>
      </w:pPr>
    </w:p>
    <w:p w14:paraId="3B1938C9" w14:textId="6EB852BE" w:rsidR="000966FE" w:rsidRDefault="00F52CEB" w:rsidP="000966FE">
      <w:pPr>
        <w:spacing w:afterLines="20" w:after="48"/>
        <w:jc w:val="both"/>
        <w:rPr>
          <w:rFonts w:cs="Arial"/>
          <w:szCs w:val="20"/>
        </w:rPr>
      </w:pPr>
      <w:r w:rsidRPr="0023027E">
        <w:rPr>
          <w:rFonts w:cs="Arial"/>
          <w:szCs w:val="20"/>
        </w:rPr>
        <w:t xml:space="preserve">Organi iz prejšnjega člena lahko zahtevajo, da informacije, ki jih subjekti predložijo, da bodo dostopne na evropski enotni točki dostopa, </w:t>
      </w:r>
      <w:r w:rsidR="0097040B">
        <w:rPr>
          <w:rFonts w:cs="Arial"/>
          <w:szCs w:val="20"/>
        </w:rPr>
        <w:t>kakor</w:t>
      </w:r>
      <w:r w:rsidR="0097040B" w:rsidRPr="0023027E">
        <w:rPr>
          <w:rFonts w:cs="Arial"/>
          <w:szCs w:val="20"/>
        </w:rPr>
        <w:t xml:space="preserve"> </w:t>
      </w:r>
      <w:r w:rsidRPr="0023027E">
        <w:rPr>
          <w:rFonts w:cs="Arial"/>
          <w:szCs w:val="20"/>
        </w:rPr>
        <w:t>je opredeljena v 1. členu Uredbe 2023/2859/EU, spremlja kvalificirani elektronski žig.</w:t>
      </w:r>
    </w:p>
    <w:p w14:paraId="51A44698" w14:textId="77777777" w:rsidR="00F52CEB" w:rsidRPr="0023027E" w:rsidRDefault="00F52CEB" w:rsidP="00F52CEB">
      <w:pPr>
        <w:ind w:left="851"/>
        <w:jc w:val="both"/>
        <w:rPr>
          <w:rFonts w:cs="Arial"/>
          <w:szCs w:val="20"/>
        </w:rPr>
      </w:pPr>
    </w:p>
    <w:p w14:paraId="26350B50" w14:textId="77777777" w:rsidR="000966FE" w:rsidRDefault="00F52CEB" w:rsidP="000966FE">
      <w:pPr>
        <w:spacing w:afterLines="20" w:after="48"/>
        <w:jc w:val="center"/>
        <w:rPr>
          <w:rFonts w:cs="Arial"/>
          <w:b/>
          <w:bCs/>
          <w:szCs w:val="20"/>
        </w:rPr>
      </w:pPr>
      <w:r w:rsidRPr="0023027E">
        <w:rPr>
          <w:rFonts w:cs="Arial"/>
          <w:b/>
          <w:bCs/>
          <w:szCs w:val="20"/>
        </w:rPr>
        <w:t>DRUGI DEL</w:t>
      </w:r>
    </w:p>
    <w:p w14:paraId="5BFFCA96" w14:textId="77777777" w:rsidR="000966FE" w:rsidRDefault="000966FE">
      <w:pPr>
        <w:spacing w:afterLines="20" w:after="48"/>
        <w:jc w:val="center"/>
        <w:rPr>
          <w:rFonts w:cs="Arial"/>
          <w:b/>
          <w:bCs/>
          <w:szCs w:val="20"/>
        </w:rPr>
      </w:pPr>
    </w:p>
    <w:p w14:paraId="7F0BC41D" w14:textId="77777777" w:rsidR="000966FE" w:rsidRDefault="00F52CEB">
      <w:pPr>
        <w:spacing w:afterLines="20" w:after="48"/>
        <w:jc w:val="center"/>
        <w:rPr>
          <w:rFonts w:cs="Arial"/>
          <w:szCs w:val="20"/>
        </w:rPr>
      </w:pPr>
      <w:r w:rsidRPr="0023027E">
        <w:rPr>
          <w:rFonts w:cs="Arial"/>
          <w:szCs w:val="20"/>
        </w:rPr>
        <w:t>SPREMEMBE IN DOPOLNITVE ZAKONOV</w:t>
      </w:r>
    </w:p>
    <w:p w14:paraId="016F94C2" w14:textId="77777777" w:rsidR="000966FE" w:rsidRDefault="000966FE">
      <w:pPr>
        <w:spacing w:afterLines="20" w:after="48"/>
        <w:jc w:val="both"/>
        <w:rPr>
          <w:rFonts w:cs="Arial"/>
          <w:szCs w:val="20"/>
        </w:rPr>
      </w:pPr>
    </w:p>
    <w:p w14:paraId="30AA92A5" w14:textId="77777777" w:rsidR="000966FE" w:rsidRDefault="00F52CEB">
      <w:pPr>
        <w:spacing w:afterLines="20" w:after="48"/>
        <w:jc w:val="both"/>
        <w:rPr>
          <w:rFonts w:cs="Arial"/>
          <w:b/>
          <w:bCs/>
          <w:szCs w:val="20"/>
        </w:rPr>
      </w:pPr>
      <w:r w:rsidRPr="0023027E">
        <w:rPr>
          <w:rFonts w:cs="Arial"/>
          <w:b/>
          <w:bCs/>
          <w:szCs w:val="20"/>
        </w:rPr>
        <w:t>1. Zakon o finančnih konglomeratih</w:t>
      </w:r>
    </w:p>
    <w:p w14:paraId="1AC89850" w14:textId="77777777" w:rsidR="000966FE" w:rsidRDefault="000966FE">
      <w:pPr>
        <w:spacing w:afterLines="20" w:after="48"/>
        <w:jc w:val="both"/>
        <w:rPr>
          <w:rFonts w:cs="Arial"/>
          <w:b/>
          <w:bCs/>
          <w:szCs w:val="20"/>
        </w:rPr>
      </w:pPr>
      <w:bookmarkStart w:id="15" w:name="_Ref131671330"/>
    </w:p>
    <w:p w14:paraId="1C880846"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16" w:name="_Ref205901407"/>
      <w:r w:rsidRPr="0023027E">
        <w:rPr>
          <w:rFonts w:cs="Arial"/>
          <w:b/>
          <w:bCs/>
          <w:szCs w:val="20"/>
        </w:rPr>
        <w:t>člen</w:t>
      </w:r>
      <w:bookmarkEnd w:id="15"/>
      <w:bookmarkEnd w:id="16"/>
    </w:p>
    <w:p w14:paraId="29B22109" w14:textId="77777777" w:rsidR="000966FE" w:rsidRDefault="000966FE">
      <w:pPr>
        <w:spacing w:afterLines="20" w:after="48"/>
        <w:jc w:val="both"/>
        <w:rPr>
          <w:rFonts w:cs="Arial"/>
          <w:b/>
          <w:bCs/>
          <w:szCs w:val="20"/>
        </w:rPr>
      </w:pPr>
    </w:p>
    <w:p w14:paraId="7D8610E0" w14:textId="45D4C588" w:rsidR="00710A81" w:rsidRDefault="00F52CEB">
      <w:pPr>
        <w:spacing w:afterLines="20" w:after="48"/>
        <w:jc w:val="both"/>
        <w:rPr>
          <w:rFonts w:cs="Arial"/>
          <w:szCs w:val="20"/>
        </w:rPr>
      </w:pPr>
      <w:r w:rsidRPr="0023027E">
        <w:rPr>
          <w:rFonts w:cs="Arial"/>
          <w:szCs w:val="20"/>
        </w:rPr>
        <w:t xml:space="preserve">V Zakonu o finančnih konglomeratih (Uradni list RS, št. 43/06, 87/11 in 56/13) se v </w:t>
      </w:r>
      <w:r w:rsidR="005B1B5F">
        <w:rPr>
          <w:rFonts w:cs="Arial"/>
          <w:szCs w:val="20"/>
        </w:rPr>
        <w:t xml:space="preserve">prvem odstavku </w:t>
      </w:r>
      <w:r w:rsidRPr="0023027E">
        <w:rPr>
          <w:rFonts w:cs="Arial"/>
          <w:szCs w:val="20"/>
        </w:rPr>
        <w:t xml:space="preserve">1. </w:t>
      </w:r>
      <w:r w:rsidR="005B1B5F" w:rsidRPr="0023027E">
        <w:rPr>
          <w:rFonts w:cs="Arial"/>
          <w:szCs w:val="20"/>
        </w:rPr>
        <w:t>člen</w:t>
      </w:r>
      <w:r w:rsidR="005B1B5F">
        <w:rPr>
          <w:rFonts w:cs="Arial"/>
          <w:szCs w:val="20"/>
        </w:rPr>
        <w:t>a</w:t>
      </w:r>
      <w:r w:rsidR="005B1B5F" w:rsidRPr="0023027E">
        <w:rPr>
          <w:rFonts w:cs="Arial"/>
          <w:szCs w:val="20"/>
        </w:rPr>
        <w:t xml:space="preserve"> </w:t>
      </w:r>
      <w:r w:rsidR="00710A81">
        <w:rPr>
          <w:rFonts w:cs="Arial"/>
          <w:szCs w:val="20"/>
        </w:rPr>
        <w:t>besedilo »</w:t>
      </w:r>
      <w:r w:rsidR="00710A81" w:rsidRPr="00710A81">
        <w:rPr>
          <w:rFonts w:cs="Arial"/>
          <w:szCs w:val="20"/>
        </w:rPr>
        <w:t>(UL L št. 35 z dne 11. 2. 2003, str. 1, v nadaljnjem besedilu: direktiva 2002/87/ES), zadnjič spremenjene z Direktivo 2011/89/EU Evropskega parlamenta in Sveta z dne 16. novembra 2011 o spremembah direktiv 98/78/ES, 2002/87/ES, 2006/48/ES in 2009/138/ES glede dopolnilnega nadzora finančnih subjektov v finančnem konglomeratu (UL L št. 326 z dne 8. 12. 2011, str. 113)</w:t>
      </w:r>
      <w:r w:rsidR="00710A81">
        <w:rPr>
          <w:rFonts w:cs="Arial"/>
          <w:szCs w:val="20"/>
        </w:rPr>
        <w:t>« nadomesti z besedilom »</w:t>
      </w:r>
      <w:r w:rsidR="00710A81" w:rsidRPr="00710A81">
        <w:rPr>
          <w:rFonts w:cs="Arial"/>
          <w:szCs w:val="20"/>
        </w:rPr>
        <w:t>(UL L št. 35 z dne 11. 2. 2003, str. 1</w:t>
      </w:r>
      <w:r w:rsidR="00710A81">
        <w:rPr>
          <w:rFonts w:cs="Arial"/>
          <w:szCs w:val="20"/>
        </w:rPr>
        <w:t>),</w:t>
      </w:r>
      <w:r w:rsidR="00710A81" w:rsidRPr="00710A81">
        <w:t xml:space="preserve"> </w:t>
      </w:r>
      <w:r w:rsidR="00710A81" w:rsidRPr="00710A81">
        <w:rPr>
          <w:rFonts w:cs="Arial"/>
          <w:szCs w:val="20"/>
        </w:rPr>
        <w:t xml:space="preserve">zadnjič spremenjene z Direktivo (EU) 2023/2864 Evropskega parlamenta in Sveta </w:t>
      </w:r>
      <w:r w:rsidR="005B1B5F" w:rsidRPr="005B1B5F">
        <w:rPr>
          <w:rFonts w:cs="Arial"/>
          <w:szCs w:val="20"/>
        </w:rPr>
        <w:t xml:space="preserve">z dne 13. decembra 2023 </w:t>
      </w:r>
      <w:r w:rsidR="00710A81" w:rsidRPr="00710A81">
        <w:rPr>
          <w:rFonts w:cs="Arial"/>
          <w:szCs w:val="20"/>
        </w:rPr>
        <w:t xml:space="preserve">o spremembi nekaterih direktiv glede vzpostavitve in delovanja evropske enotne točke dostopa (UL L št. 2023/2864 z dne 20. 12. 2023); (v nadaljnjem besedilu: Direktiva </w:t>
      </w:r>
      <w:r w:rsidR="00710A81" w:rsidRPr="0023027E">
        <w:rPr>
          <w:rFonts w:cs="Arial"/>
          <w:szCs w:val="20"/>
        </w:rPr>
        <w:t>2002/87/ES</w:t>
      </w:r>
      <w:r w:rsidR="00710A81" w:rsidRPr="00710A81">
        <w:rPr>
          <w:rFonts w:cs="Arial"/>
          <w:szCs w:val="20"/>
        </w:rPr>
        <w:t>)</w:t>
      </w:r>
      <w:r w:rsidR="002E00DD">
        <w:rPr>
          <w:rFonts w:cs="Arial"/>
          <w:szCs w:val="20"/>
        </w:rPr>
        <w:t>«</w:t>
      </w:r>
      <w:r w:rsidR="00710A81" w:rsidRPr="00710A81">
        <w:rPr>
          <w:rFonts w:cs="Arial"/>
          <w:szCs w:val="20"/>
        </w:rPr>
        <w:t>.</w:t>
      </w:r>
    </w:p>
    <w:p w14:paraId="572CF621" w14:textId="77777777" w:rsidR="000966FE" w:rsidRDefault="000966FE">
      <w:pPr>
        <w:spacing w:afterLines="20" w:after="48"/>
        <w:jc w:val="both"/>
        <w:rPr>
          <w:rFonts w:cs="Arial"/>
          <w:b/>
          <w:bCs/>
          <w:szCs w:val="20"/>
        </w:rPr>
      </w:pPr>
    </w:p>
    <w:p w14:paraId="72EB43AD"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17" w:name="_Ref205970225"/>
      <w:r w:rsidRPr="0023027E">
        <w:rPr>
          <w:rFonts w:cs="Arial"/>
          <w:b/>
          <w:bCs/>
          <w:szCs w:val="20"/>
        </w:rPr>
        <w:t>člen</w:t>
      </w:r>
      <w:bookmarkEnd w:id="17"/>
    </w:p>
    <w:p w14:paraId="46902F12" w14:textId="77777777" w:rsidR="000966FE" w:rsidRDefault="000966FE">
      <w:pPr>
        <w:pStyle w:val="Odstavekseznama"/>
        <w:spacing w:afterLines="20" w:after="48"/>
        <w:ind w:left="785"/>
        <w:rPr>
          <w:rFonts w:cs="Arial"/>
          <w:b/>
          <w:bCs/>
          <w:szCs w:val="20"/>
        </w:rPr>
      </w:pPr>
    </w:p>
    <w:p w14:paraId="246A9CAF" w14:textId="77777777" w:rsidR="000966FE" w:rsidRDefault="00F52CEB">
      <w:pPr>
        <w:spacing w:afterLines="20" w:after="48"/>
        <w:jc w:val="both"/>
        <w:rPr>
          <w:rFonts w:cs="Arial"/>
          <w:szCs w:val="20"/>
        </w:rPr>
      </w:pPr>
      <w:r w:rsidRPr="0023027E">
        <w:rPr>
          <w:rFonts w:cs="Arial"/>
          <w:szCs w:val="20"/>
        </w:rPr>
        <w:t>Za 34. členom se doda nov</w:t>
      </w:r>
      <w:r w:rsidR="003C0289">
        <w:rPr>
          <w:rFonts w:cs="Arial"/>
          <w:szCs w:val="20"/>
        </w:rPr>
        <w:t>,</w:t>
      </w:r>
      <w:r w:rsidRPr="0023027E">
        <w:rPr>
          <w:rFonts w:cs="Arial"/>
          <w:szCs w:val="20"/>
        </w:rPr>
        <w:t xml:space="preserve"> 34.a člen, ki se glasi: </w:t>
      </w:r>
    </w:p>
    <w:p w14:paraId="2909A291" w14:textId="77777777" w:rsidR="000966FE" w:rsidRDefault="000966FE">
      <w:pPr>
        <w:spacing w:afterLines="20" w:after="48"/>
        <w:jc w:val="both"/>
        <w:rPr>
          <w:rFonts w:cs="Arial"/>
          <w:szCs w:val="20"/>
        </w:rPr>
      </w:pPr>
    </w:p>
    <w:p w14:paraId="71AE68F8" w14:textId="77777777" w:rsidR="000966FE" w:rsidRDefault="00F52CEB">
      <w:pPr>
        <w:spacing w:afterLines="20" w:after="48"/>
        <w:jc w:val="center"/>
        <w:rPr>
          <w:rFonts w:cs="Arial"/>
          <w:b/>
          <w:bCs/>
          <w:szCs w:val="20"/>
        </w:rPr>
      </w:pPr>
      <w:r w:rsidRPr="0023027E">
        <w:rPr>
          <w:rFonts w:cs="Arial"/>
          <w:szCs w:val="20"/>
        </w:rPr>
        <w:t>»</w:t>
      </w:r>
      <w:r w:rsidRPr="0023027E">
        <w:rPr>
          <w:rFonts w:cs="Arial"/>
          <w:b/>
          <w:bCs/>
          <w:szCs w:val="20"/>
        </w:rPr>
        <w:t>34.a člen</w:t>
      </w:r>
    </w:p>
    <w:p w14:paraId="4AFDD932" w14:textId="08AE5A8D" w:rsidR="000966FE" w:rsidRDefault="00F52CEB">
      <w:pPr>
        <w:spacing w:afterLines="20" w:after="48"/>
        <w:jc w:val="center"/>
        <w:rPr>
          <w:rFonts w:cs="Arial"/>
          <w:b/>
          <w:bCs/>
          <w:szCs w:val="20"/>
        </w:rPr>
      </w:pPr>
      <w:r w:rsidRPr="0023027E">
        <w:rPr>
          <w:rFonts w:cs="Arial"/>
          <w:b/>
          <w:bCs/>
          <w:szCs w:val="20"/>
        </w:rPr>
        <w:t>(</w:t>
      </w:r>
      <w:r w:rsidR="0097040B" w:rsidRPr="0097040B">
        <w:rPr>
          <w:rFonts w:cs="Arial"/>
          <w:b/>
          <w:bCs/>
          <w:szCs w:val="20"/>
        </w:rPr>
        <w:t>predložitev informacij na evropsko enotno točko dostopa</w:t>
      </w:r>
      <w:r w:rsidRPr="0023027E">
        <w:rPr>
          <w:rFonts w:cs="Arial"/>
          <w:b/>
          <w:bCs/>
          <w:szCs w:val="20"/>
        </w:rPr>
        <w:t>)</w:t>
      </w:r>
    </w:p>
    <w:p w14:paraId="07822A9C" w14:textId="77777777" w:rsidR="000966FE" w:rsidRDefault="000966FE">
      <w:pPr>
        <w:spacing w:afterLines="20" w:after="48"/>
        <w:jc w:val="both"/>
        <w:rPr>
          <w:rFonts w:cs="Arial"/>
          <w:szCs w:val="20"/>
        </w:rPr>
      </w:pPr>
    </w:p>
    <w:p w14:paraId="27A9552D" w14:textId="6B1E29B7" w:rsidR="000966FE" w:rsidRDefault="00F52CEB">
      <w:pPr>
        <w:spacing w:afterLines="20" w:after="48"/>
        <w:jc w:val="both"/>
        <w:rPr>
          <w:rFonts w:cs="Arial"/>
          <w:szCs w:val="20"/>
        </w:rPr>
      </w:pPr>
      <w:bookmarkStart w:id="18" w:name="_Hlk203392789"/>
      <w:bookmarkStart w:id="19" w:name="_Hlk202516676"/>
      <w:r w:rsidRPr="0023027E">
        <w:rPr>
          <w:rFonts w:cs="Arial"/>
          <w:szCs w:val="20"/>
        </w:rPr>
        <w:t>(1) Nadzorovan</w:t>
      </w:r>
      <w:r w:rsidR="000D52C3" w:rsidRPr="0023027E">
        <w:rPr>
          <w:rFonts w:cs="Arial"/>
          <w:szCs w:val="20"/>
        </w:rPr>
        <w:t>a</w:t>
      </w:r>
      <w:r w:rsidRPr="0023027E">
        <w:rPr>
          <w:rFonts w:cs="Arial"/>
          <w:szCs w:val="20"/>
        </w:rPr>
        <w:t xml:space="preserve"> oseb</w:t>
      </w:r>
      <w:r w:rsidR="000D52C3" w:rsidRPr="0023027E">
        <w:rPr>
          <w:rFonts w:cs="Arial"/>
          <w:szCs w:val="20"/>
        </w:rPr>
        <w:t>a</w:t>
      </w:r>
      <w:r w:rsidRPr="0023027E">
        <w:rPr>
          <w:rFonts w:cs="Arial"/>
          <w:szCs w:val="20"/>
        </w:rPr>
        <w:t xml:space="preserve"> pri objavi katerih koli informacij iz prvega do tretjega odstavka prejšnjega člena te informacije hkrati predloži </w:t>
      </w:r>
      <w:r w:rsidR="00394C8B">
        <w:rPr>
          <w:rFonts w:cs="Arial"/>
          <w:szCs w:val="20"/>
        </w:rPr>
        <w:t>koordinatorju</w:t>
      </w:r>
      <w:r w:rsidRPr="0023027E">
        <w:rPr>
          <w:rFonts w:cs="Arial"/>
          <w:szCs w:val="20"/>
        </w:rPr>
        <w:t xml:space="preserve">. </w:t>
      </w:r>
      <w:r w:rsidR="00394C8B">
        <w:rPr>
          <w:rFonts w:cs="Arial"/>
          <w:szCs w:val="20"/>
        </w:rPr>
        <w:t>Koordinator</w:t>
      </w:r>
      <w:r w:rsidRPr="0023027E">
        <w:rPr>
          <w:rFonts w:cs="Arial"/>
          <w:szCs w:val="20"/>
        </w:rPr>
        <w:t xml:space="preserve">, ki je organ za zbiranje podatkov, </w:t>
      </w:r>
      <w:r w:rsidR="008264E4">
        <w:rPr>
          <w:rFonts w:cs="Arial"/>
          <w:szCs w:val="20"/>
        </w:rPr>
        <w:t>kakor</w:t>
      </w:r>
      <w:r w:rsidR="008264E4" w:rsidRPr="0023027E">
        <w:rPr>
          <w:rFonts w:cs="Arial"/>
          <w:szCs w:val="20"/>
        </w:rPr>
        <w:t xml:space="preserve"> </w:t>
      </w:r>
      <w:r w:rsidRPr="0023027E">
        <w:rPr>
          <w:rFonts w:cs="Arial"/>
          <w:szCs w:val="20"/>
        </w:rPr>
        <w:t xml:space="preserve">je opredeljen v 2. točki 2. člena Uredbe (EU) 2023/2859 Evropskega parlamenta in Sveta z dne 13. decembra 2023 o vzpostavitvi evropske enotne točke dostopa, ki zagotavlja centraliziran dostop do javno dostopnih informacij, pomembnih za finančne storitve, kapitalske trge in </w:t>
      </w:r>
      <w:proofErr w:type="spellStart"/>
      <w:r w:rsidRPr="0023027E">
        <w:rPr>
          <w:rFonts w:cs="Arial"/>
          <w:szCs w:val="20"/>
        </w:rPr>
        <w:t>trajnostnost</w:t>
      </w:r>
      <w:proofErr w:type="spellEnd"/>
      <w:r w:rsidRPr="0023027E">
        <w:rPr>
          <w:rFonts w:cs="Arial"/>
          <w:szCs w:val="20"/>
        </w:rPr>
        <w:t xml:space="preserve"> (UL L št. 2023/2859 z dne 20. 12. 2023), zadnjič spremenjen</w:t>
      </w:r>
      <w:r w:rsidR="003C0289">
        <w:rPr>
          <w:rFonts w:cs="Arial"/>
          <w:szCs w:val="20"/>
        </w:rPr>
        <w:t>e</w:t>
      </w:r>
      <w:r w:rsidRPr="0023027E">
        <w:rPr>
          <w:rFonts w:cs="Arial"/>
          <w:szCs w:val="20"/>
        </w:rPr>
        <w:t xml:space="preserve"> z Uredbo (EU) 2024/3005 Evropskega parlamenta in Sveta z dne 27. novembra 2024 o preglednosti in celovitosti dejavnosti ocenjevanja </w:t>
      </w:r>
      <w:proofErr w:type="spellStart"/>
      <w:r w:rsidRPr="0023027E">
        <w:rPr>
          <w:rFonts w:cs="Arial"/>
          <w:szCs w:val="20"/>
        </w:rPr>
        <w:t>okoljskih</w:t>
      </w:r>
      <w:proofErr w:type="spellEnd"/>
      <w:r w:rsidRPr="0023027E">
        <w:rPr>
          <w:rFonts w:cs="Arial"/>
          <w:szCs w:val="20"/>
        </w:rPr>
        <w:t>, socialnih in upravljavskih (ESG) dejavnikov ter spremembi uredb (EU) 2019/2088</w:t>
      </w:r>
      <w:r w:rsidR="00B732CB">
        <w:rPr>
          <w:rFonts w:cs="Arial"/>
          <w:szCs w:val="20"/>
        </w:rPr>
        <w:t xml:space="preserve"> in (EU) 2023/2859 </w:t>
      </w:r>
      <w:r w:rsidRPr="0023027E">
        <w:rPr>
          <w:rFonts w:cs="Arial"/>
          <w:szCs w:val="20"/>
        </w:rPr>
        <w:t xml:space="preserve"> (UL L št. 2024/3005 z dne 12. 12. 2024), (v nadaljnjem besedilu: Uredba 2023/2859/EU)</w:t>
      </w:r>
      <w:r w:rsidR="003C0289">
        <w:rPr>
          <w:rFonts w:cs="Arial"/>
          <w:szCs w:val="20"/>
        </w:rPr>
        <w:t>,</w:t>
      </w:r>
      <w:r w:rsidRPr="0023027E">
        <w:rPr>
          <w:rFonts w:cs="Arial"/>
          <w:szCs w:val="20"/>
        </w:rPr>
        <w:t xml:space="preserve"> informacije iz prejšnjega stavka predloži evropski enotni točki dostopa, vzpostavljeni na podlagi Uredbe 2023/2859/EU.</w:t>
      </w:r>
      <w:bookmarkEnd w:id="18"/>
    </w:p>
    <w:p w14:paraId="26356329" w14:textId="77777777" w:rsidR="000966FE" w:rsidRDefault="000966FE">
      <w:pPr>
        <w:spacing w:afterLines="20" w:after="48"/>
        <w:jc w:val="both"/>
        <w:rPr>
          <w:rFonts w:cs="Arial"/>
          <w:szCs w:val="20"/>
        </w:rPr>
      </w:pPr>
    </w:p>
    <w:p w14:paraId="6929DE21" w14:textId="15EEFA85" w:rsidR="000966FE" w:rsidRDefault="00F52CEB">
      <w:pPr>
        <w:spacing w:afterLines="20" w:after="48"/>
        <w:jc w:val="both"/>
        <w:rPr>
          <w:rFonts w:cs="Arial"/>
          <w:szCs w:val="20"/>
        </w:rPr>
      </w:pPr>
      <w:r w:rsidRPr="0023027E">
        <w:rPr>
          <w:rFonts w:cs="Arial"/>
          <w:szCs w:val="20"/>
        </w:rPr>
        <w:t xml:space="preserve">(2) Informacije iz prejšnjega odstavka </w:t>
      </w:r>
      <w:r w:rsidR="006A1FF3" w:rsidRPr="0023027E">
        <w:rPr>
          <w:rFonts w:cs="Arial"/>
          <w:szCs w:val="20"/>
        </w:rPr>
        <w:t xml:space="preserve">so </w:t>
      </w:r>
      <w:r w:rsidR="006A1FF3">
        <w:rPr>
          <w:rFonts w:cs="Arial"/>
          <w:szCs w:val="20"/>
        </w:rPr>
        <w:t xml:space="preserve">v </w:t>
      </w:r>
      <w:r w:rsidR="006A1FF3" w:rsidRPr="0023027E">
        <w:rPr>
          <w:rFonts w:cs="Arial"/>
          <w:szCs w:val="20"/>
        </w:rPr>
        <w:t>sklad</w:t>
      </w:r>
      <w:r w:rsidR="006A1FF3">
        <w:rPr>
          <w:rFonts w:cs="Arial"/>
          <w:szCs w:val="20"/>
        </w:rPr>
        <w:t>u</w:t>
      </w:r>
      <w:r w:rsidR="006A1FF3" w:rsidRPr="0023027E">
        <w:rPr>
          <w:rFonts w:cs="Arial"/>
          <w:szCs w:val="20"/>
        </w:rPr>
        <w:t xml:space="preserve"> </w:t>
      </w:r>
      <w:r w:rsidR="006A1FF3">
        <w:rPr>
          <w:rFonts w:cs="Arial"/>
          <w:szCs w:val="20"/>
        </w:rPr>
        <w:t>s</w:t>
      </w:r>
      <w:r w:rsidR="006A1FF3" w:rsidRPr="0023027E">
        <w:rPr>
          <w:rFonts w:cs="Arial"/>
          <w:szCs w:val="20"/>
        </w:rPr>
        <w:t xml:space="preserve"> </w:t>
      </w:r>
      <w:r w:rsidR="006A1FF3">
        <w:rPr>
          <w:rFonts w:cs="Arial"/>
          <w:szCs w:val="20"/>
        </w:rPr>
        <w:t>t</w:t>
      </w:r>
      <w:r w:rsidR="006A1FF3" w:rsidRPr="0023027E">
        <w:rPr>
          <w:rFonts w:cs="Arial"/>
          <w:szCs w:val="20"/>
        </w:rPr>
        <w:t>emi zahtevami</w:t>
      </w:r>
      <w:r w:rsidRPr="0023027E">
        <w:rPr>
          <w:rFonts w:cs="Arial"/>
          <w:szCs w:val="20"/>
        </w:rPr>
        <w:t>:</w:t>
      </w:r>
    </w:p>
    <w:p w14:paraId="063B87B6" w14:textId="548D31CC" w:rsidR="000966FE" w:rsidRDefault="00F52CEB">
      <w:pPr>
        <w:spacing w:afterLines="20" w:after="48"/>
        <w:ind w:left="227"/>
        <w:jc w:val="both"/>
        <w:rPr>
          <w:rFonts w:cs="Arial"/>
          <w:szCs w:val="20"/>
        </w:rPr>
      </w:pPr>
      <w:r w:rsidRPr="0023027E">
        <w:rPr>
          <w:rFonts w:cs="Arial"/>
          <w:szCs w:val="20"/>
        </w:rPr>
        <w:t>1. predložene so v formatu, ki omogoča izvoz podatkov, kakor je opredeljen v 3. točki 2. člena Uredbe 2023/2859/EU</w:t>
      </w:r>
      <w:r w:rsidR="0065550F">
        <w:rPr>
          <w:rFonts w:cs="Arial"/>
          <w:szCs w:val="20"/>
        </w:rPr>
        <w:t>,</w:t>
      </w:r>
      <w:r w:rsidRPr="0023027E">
        <w:rPr>
          <w:rFonts w:cs="Arial"/>
          <w:szCs w:val="20"/>
        </w:rPr>
        <w:t xml:space="preserve"> ali kadar to zahtevajo predpisi, v strojno berlji</w:t>
      </w:r>
      <w:r w:rsidR="0065550F">
        <w:rPr>
          <w:rFonts w:cs="Arial"/>
          <w:szCs w:val="20"/>
        </w:rPr>
        <w:t>vi obliki</w:t>
      </w:r>
      <w:r w:rsidRPr="0023027E">
        <w:rPr>
          <w:rFonts w:cs="Arial"/>
          <w:szCs w:val="20"/>
        </w:rPr>
        <w:t>, kakor je opredeljen</w:t>
      </w:r>
      <w:r w:rsidR="0065550F">
        <w:rPr>
          <w:rFonts w:cs="Arial"/>
          <w:szCs w:val="20"/>
        </w:rPr>
        <w:t>a</w:t>
      </w:r>
      <w:r w:rsidRPr="0023027E">
        <w:rPr>
          <w:rFonts w:cs="Arial"/>
          <w:szCs w:val="20"/>
        </w:rPr>
        <w:t xml:space="preserve"> v 4. točki 2. člena Uredbe 2023/2859/EU; </w:t>
      </w:r>
    </w:p>
    <w:p w14:paraId="34D1FDED" w14:textId="6050341D" w:rsidR="000966FE" w:rsidRDefault="00F52CEB">
      <w:pPr>
        <w:spacing w:afterLines="20" w:after="48"/>
        <w:ind w:left="227"/>
        <w:jc w:val="both"/>
        <w:rPr>
          <w:rFonts w:cs="Arial"/>
          <w:szCs w:val="20"/>
        </w:rPr>
      </w:pPr>
      <w:r w:rsidRPr="0023027E">
        <w:rPr>
          <w:rFonts w:cs="Arial"/>
          <w:szCs w:val="20"/>
        </w:rPr>
        <w:t xml:space="preserve">2. vsebujejo </w:t>
      </w:r>
      <w:r w:rsidR="0065550F">
        <w:rPr>
          <w:rFonts w:cs="Arial"/>
          <w:szCs w:val="20"/>
        </w:rPr>
        <w:t>te</w:t>
      </w:r>
      <w:r w:rsidR="0065550F" w:rsidRPr="0023027E">
        <w:rPr>
          <w:rFonts w:cs="Arial"/>
          <w:szCs w:val="20"/>
        </w:rPr>
        <w:t xml:space="preserve"> </w:t>
      </w:r>
      <w:r w:rsidRPr="0023027E">
        <w:rPr>
          <w:rFonts w:cs="Arial"/>
          <w:szCs w:val="20"/>
        </w:rPr>
        <w:t>metapodatke:</w:t>
      </w:r>
    </w:p>
    <w:p w14:paraId="77073866" w14:textId="77777777"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vsa imena nadzorovane osebe, na katero se informacije nanašajo;</w:t>
      </w:r>
    </w:p>
    <w:p w14:paraId="6B0B8FF2" w14:textId="604C2C4E"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identifikator pravnih subjektov nadzorovane osebe, </w:t>
      </w:r>
      <w:r w:rsidR="0065550F">
        <w:rPr>
          <w:rFonts w:cs="Arial"/>
          <w:szCs w:val="20"/>
        </w:rPr>
        <w:t>kakor</w:t>
      </w:r>
      <w:r w:rsidR="0065550F" w:rsidRPr="0023027E">
        <w:rPr>
          <w:rFonts w:cs="Arial"/>
          <w:szCs w:val="20"/>
        </w:rPr>
        <w:t xml:space="preserve"> </w:t>
      </w:r>
      <w:r w:rsidRPr="0023027E">
        <w:rPr>
          <w:rFonts w:cs="Arial"/>
          <w:szCs w:val="20"/>
        </w:rPr>
        <w:t xml:space="preserve">je določen na podlagi točke </w:t>
      </w:r>
      <w:r w:rsidR="005962A5">
        <w:rPr>
          <w:rFonts w:cs="Arial"/>
          <w:szCs w:val="20"/>
        </w:rPr>
        <w:t>(</w:t>
      </w:r>
      <w:r w:rsidRPr="0023027E">
        <w:rPr>
          <w:rFonts w:cs="Arial"/>
          <w:szCs w:val="20"/>
        </w:rPr>
        <w:t>b) četrtega odstavka 7. člena Uredbe 2023/2859/EU;</w:t>
      </w:r>
    </w:p>
    <w:p w14:paraId="359E3086" w14:textId="7AD4ACB6"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velikost nadzorovane osebe po kategorijah, </w:t>
      </w:r>
      <w:r w:rsidR="0065550F">
        <w:rPr>
          <w:rFonts w:cs="Arial"/>
          <w:szCs w:val="20"/>
        </w:rPr>
        <w:t>kakor</w:t>
      </w:r>
      <w:r w:rsidR="0065550F" w:rsidRPr="0023027E">
        <w:rPr>
          <w:rFonts w:cs="Arial"/>
          <w:szCs w:val="20"/>
        </w:rPr>
        <w:t xml:space="preserve"> </w:t>
      </w:r>
      <w:r w:rsidRPr="0023027E">
        <w:rPr>
          <w:rFonts w:cs="Arial"/>
          <w:szCs w:val="20"/>
        </w:rPr>
        <w:t xml:space="preserve">so določene na podlagi točke </w:t>
      </w:r>
      <w:r w:rsidR="005962A5">
        <w:rPr>
          <w:rFonts w:cs="Arial"/>
          <w:szCs w:val="20"/>
        </w:rPr>
        <w:t>(</w:t>
      </w:r>
      <w:r w:rsidRPr="0023027E">
        <w:rPr>
          <w:rFonts w:cs="Arial"/>
          <w:szCs w:val="20"/>
        </w:rPr>
        <w:t>d) četrtega odstavka 7. člena Uredbe 2023/2859/EU;</w:t>
      </w:r>
    </w:p>
    <w:p w14:paraId="10B85707" w14:textId="77777777"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vrsto informacij glede na razvrstitev na podlagi točke </w:t>
      </w:r>
      <w:r w:rsidR="005962A5">
        <w:rPr>
          <w:rFonts w:cs="Arial"/>
          <w:szCs w:val="20"/>
        </w:rPr>
        <w:t>(</w:t>
      </w:r>
      <w:r w:rsidRPr="0023027E">
        <w:rPr>
          <w:rFonts w:cs="Arial"/>
          <w:szCs w:val="20"/>
        </w:rPr>
        <w:t xml:space="preserve">c) četrtega odstavka 7. člena Uredbe 2023/2859/EU; </w:t>
      </w:r>
    </w:p>
    <w:p w14:paraId="0AEF72ED" w14:textId="77777777"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oznako, ali informacije vsebujejo osebne podatke. </w:t>
      </w:r>
    </w:p>
    <w:p w14:paraId="1F18973C" w14:textId="77777777" w:rsidR="000966FE" w:rsidRDefault="000966FE">
      <w:pPr>
        <w:spacing w:afterLines="20" w:after="48"/>
        <w:jc w:val="both"/>
        <w:rPr>
          <w:rFonts w:cs="Arial"/>
          <w:szCs w:val="20"/>
        </w:rPr>
      </w:pPr>
    </w:p>
    <w:p w14:paraId="0D6EA7ED" w14:textId="24C9077D" w:rsidR="000966FE" w:rsidRDefault="00F52CEB">
      <w:pPr>
        <w:spacing w:afterLines="20" w:after="48"/>
        <w:jc w:val="both"/>
        <w:rPr>
          <w:rFonts w:cs="Arial"/>
          <w:szCs w:val="20"/>
        </w:rPr>
      </w:pPr>
      <w:r w:rsidRPr="0023027E">
        <w:rPr>
          <w:rFonts w:cs="Arial"/>
          <w:szCs w:val="20"/>
        </w:rPr>
        <w:t>(3) Za namene druge alineje 2. točke prejšnjega odstavka nadzorovan</w:t>
      </w:r>
      <w:r w:rsidR="000D52C3" w:rsidRPr="0023027E">
        <w:rPr>
          <w:rFonts w:cs="Arial"/>
          <w:szCs w:val="20"/>
        </w:rPr>
        <w:t>a</w:t>
      </w:r>
      <w:r w:rsidRPr="0023027E">
        <w:rPr>
          <w:rFonts w:cs="Arial"/>
          <w:szCs w:val="20"/>
        </w:rPr>
        <w:t xml:space="preserve"> oseb</w:t>
      </w:r>
      <w:r w:rsidR="000D52C3" w:rsidRPr="0023027E">
        <w:rPr>
          <w:rFonts w:cs="Arial"/>
          <w:szCs w:val="20"/>
        </w:rPr>
        <w:t>a</w:t>
      </w:r>
      <w:r w:rsidRPr="0023027E">
        <w:rPr>
          <w:rFonts w:cs="Arial"/>
          <w:szCs w:val="20"/>
        </w:rPr>
        <w:t xml:space="preserve"> pridobi identifikator pravnih subjektov, </w:t>
      </w:r>
      <w:r w:rsidR="0065550F">
        <w:rPr>
          <w:rFonts w:cs="Arial"/>
          <w:szCs w:val="20"/>
        </w:rPr>
        <w:t>kakor</w:t>
      </w:r>
      <w:r w:rsidRPr="0023027E">
        <w:rPr>
          <w:rFonts w:cs="Arial"/>
          <w:szCs w:val="20"/>
        </w:rPr>
        <w:t xml:space="preserve"> je določen na podlagi točke </w:t>
      </w:r>
      <w:r w:rsidR="005962A5">
        <w:rPr>
          <w:rFonts w:cs="Arial"/>
          <w:szCs w:val="20"/>
        </w:rPr>
        <w:t>(</w:t>
      </w:r>
      <w:r w:rsidRPr="0023027E">
        <w:rPr>
          <w:rFonts w:cs="Arial"/>
          <w:szCs w:val="20"/>
        </w:rPr>
        <w:t xml:space="preserve">b) četrtega odstavka 7. člena Uredbe 2023/2859/EU, če </w:t>
      </w:r>
      <w:r w:rsidR="00F443AF" w:rsidRPr="004C3C23">
        <w:rPr>
          <w:rFonts w:cs="Arial"/>
          <w:szCs w:val="20"/>
        </w:rPr>
        <w:t>tega identifikatorja še nima</w:t>
      </w:r>
      <w:r w:rsidRPr="0023027E">
        <w:rPr>
          <w:rFonts w:cs="Arial"/>
          <w:szCs w:val="20"/>
        </w:rPr>
        <w:t>.«.</w:t>
      </w:r>
    </w:p>
    <w:p w14:paraId="692CDB61" w14:textId="77777777" w:rsidR="000966FE" w:rsidRDefault="000966FE">
      <w:pPr>
        <w:spacing w:afterLines="20" w:after="48"/>
        <w:jc w:val="both"/>
        <w:rPr>
          <w:rFonts w:cs="Arial"/>
          <w:szCs w:val="20"/>
        </w:rPr>
      </w:pPr>
    </w:p>
    <w:p w14:paraId="78E8FF7C"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20" w:name="_Ref206406627"/>
      <w:r w:rsidRPr="0023027E">
        <w:rPr>
          <w:rFonts w:cs="Arial"/>
          <w:b/>
          <w:bCs/>
          <w:szCs w:val="20"/>
        </w:rPr>
        <w:t>člen</w:t>
      </w:r>
      <w:bookmarkEnd w:id="20"/>
    </w:p>
    <w:p w14:paraId="1D9E43CA" w14:textId="77777777" w:rsidR="000966FE" w:rsidRDefault="000966FE">
      <w:pPr>
        <w:spacing w:afterLines="20" w:after="48"/>
        <w:jc w:val="both"/>
        <w:rPr>
          <w:rFonts w:cs="Arial"/>
          <w:szCs w:val="20"/>
        </w:rPr>
      </w:pPr>
    </w:p>
    <w:p w14:paraId="5B9B6D14" w14:textId="02B44AC2" w:rsidR="000966FE" w:rsidRDefault="00F52CEB">
      <w:pPr>
        <w:spacing w:afterLines="20" w:after="48"/>
        <w:jc w:val="both"/>
        <w:rPr>
          <w:rFonts w:cs="Arial"/>
          <w:szCs w:val="20"/>
        </w:rPr>
      </w:pPr>
      <w:r w:rsidRPr="0023027E">
        <w:rPr>
          <w:rFonts w:cs="Arial"/>
          <w:szCs w:val="20"/>
        </w:rPr>
        <w:t>V 55. členu se v prvem odstavku za 3. točko dodata novi</w:t>
      </w:r>
      <w:r w:rsidR="00A06867">
        <w:rPr>
          <w:rFonts w:cs="Arial"/>
          <w:szCs w:val="20"/>
        </w:rPr>
        <w:t xml:space="preserve"> 4. in 5.</w:t>
      </w:r>
      <w:r w:rsidRPr="0023027E">
        <w:rPr>
          <w:rFonts w:cs="Arial"/>
          <w:szCs w:val="20"/>
        </w:rPr>
        <w:t xml:space="preserve"> točk</w:t>
      </w:r>
      <w:r w:rsidR="00A06867">
        <w:rPr>
          <w:rFonts w:cs="Arial"/>
          <w:szCs w:val="20"/>
        </w:rPr>
        <w:t>a</w:t>
      </w:r>
      <w:r w:rsidRPr="0023027E">
        <w:rPr>
          <w:rFonts w:cs="Arial"/>
          <w:szCs w:val="20"/>
        </w:rPr>
        <w:t>, ki se glasita:</w:t>
      </w:r>
    </w:p>
    <w:p w14:paraId="74B48A27" w14:textId="3A5710B3" w:rsidR="000966FE" w:rsidRDefault="00F52CEB">
      <w:pPr>
        <w:spacing w:afterLines="20" w:after="48"/>
        <w:jc w:val="both"/>
        <w:rPr>
          <w:rFonts w:cs="Arial"/>
          <w:szCs w:val="20"/>
        </w:rPr>
      </w:pPr>
      <w:r w:rsidRPr="0023027E">
        <w:rPr>
          <w:rFonts w:cs="Arial"/>
          <w:szCs w:val="20"/>
        </w:rPr>
        <w:t xml:space="preserve">»4. če ne predloži informacij v skladu </w:t>
      </w:r>
      <w:r w:rsidR="00F443AF">
        <w:rPr>
          <w:rFonts w:cs="Arial"/>
          <w:szCs w:val="20"/>
        </w:rPr>
        <w:t>s</w:t>
      </w:r>
      <w:r w:rsidR="00F443AF" w:rsidRPr="0023027E">
        <w:rPr>
          <w:rFonts w:cs="Arial"/>
          <w:szCs w:val="20"/>
        </w:rPr>
        <w:t xml:space="preserve"> </w:t>
      </w:r>
      <w:r w:rsidRPr="0023027E">
        <w:rPr>
          <w:rFonts w:cs="Arial"/>
          <w:szCs w:val="20"/>
        </w:rPr>
        <w:t>prvim odstavkom 34.a člena tega zakona ali teh informacij ne predloži v skladu z zahtevami iz drugega odstavka 34.a člena tega zakona;</w:t>
      </w:r>
    </w:p>
    <w:p w14:paraId="4D24FDF7" w14:textId="198F9955" w:rsidR="000966FE" w:rsidRDefault="00F52CEB">
      <w:pPr>
        <w:spacing w:afterLines="20" w:after="48"/>
        <w:jc w:val="both"/>
        <w:rPr>
          <w:rFonts w:cs="Arial"/>
          <w:szCs w:val="20"/>
        </w:rPr>
      </w:pPr>
      <w:r w:rsidRPr="0023027E">
        <w:rPr>
          <w:rFonts w:cs="Arial"/>
          <w:szCs w:val="20"/>
        </w:rPr>
        <w:t>5. če ne pridobi identifikatorja pravnih subjektov v skladu s tretjim odstavkom 34.a člena tega zakona;</w:t>
      </w:r>
      <w:r w:rsidR="005C3657">
        <w:rPr>
          <w:rFonts w:cs="Arial"/>
          <w:szCs w:val="20"/>
        </w:rPr>
        <w:t>«</w:t>
      </w:r>
      <w:r w:rsidR="00F443AF">
        <w:rPr>
          <w:rFonts w:cs="Arial"/>
          <w:szCs w:val="20"/>
        </w:rPr>
        <w:t>.</w:t>
      </w:r>
    </w:p>
    <w:p w14:paraId="1F2FDA0E" w14:textId="77777777" w:rsidR="000966FE" w:rsidRDefault="000966FE">
      <w:pPr>
        <w:spacing w:afterLines="20" w:after="48"/>
        <w:jc w:val="both"/>
        <w:rPr>
          <w:rFonts w:cs="Arial"/>
          <w:szCs w:val="20"/>
        </w:rPr>
      </w:pPr>
    </w:p>
    <w:p w14:paraId="09CCFF17" w14:textId="77777777" w:rsidR="000966FE" w:rsidRDefault="00F52CEB">
      <w:pPr>
        <w:spacing w:afterLines="20" w:after="48"/>
        <w:jc w:val="both"/>
        <w:rPr>
          <w:rFonts w:cs="Arial"/>
          <w:szCs w:val="20"/>
        </w:rPr>
      </w:pPr>
      <w:r w:rsidRPr="0023027E">
        <w:rPr>
          <w:rFonts w:cs="Arial"/>
          <w:szCs w:val="20"/>
        </w:rPr>
        <w:t>Dosedanji 4. in 5. točka postaneta 6. in 7. točka.</w:t>
      </w:r>
    </w:p>
    <w:bookmarkEnd w:id="19"/>
    <w:p w14:paraId="1862CB15" w14:textId="77777777" w:rsidR="000966FE" w:rsidRDefault="000966FE">
      <w:pPr>
        <w:spacing w:afterLines="20" w:after="48"/>
        <w:jc w:val="both"/>
        <w:rPr>
          <w:rFonts w:cs="Arial"/>
          <w:szCs w:val="20"/>
        </w:rPr>
      </w:pPr>
    </w:p>
    <w:p w14:paraId="2115A12C" w14:textId="77777777" w:rsidR="000966FE" w:rsidRDefault="00F52CEB">
      <w:pPr>
        <w:spacing w:afterLines="20" w:after="48"/>
        <w:jc w:val="both"/>
        <w:rPr>
          <w:rFonts w:cs="Arial"/>
          <w:b/>
          <w:bCs/>
          <w:szCs w:val="20"/>
        </w:rPr>
      </w:pPr>
      <w:r w:rsidRPr="0023027E">
        <w:rPr>
          <w:rFonts w:cs="Arial"/>
          <w:b/>
          <w:bCs/>
          <w:szCs w:val="20"/>
        </w:rPr>
        <w:t>2. Zakon o prevzemih</w:t>
      </w:r>
    </w:p>
    <w:p w14:paraId="55D4E5D5" w14:textId="77777777" w:rsidR="000966FE" w:rsidRDefault="000966FE">
      <w:pPr>
        <w:spacing w:afterLines="20" w:after="48"/>
        <w:jc w:val="both"/>
        <w:rPr>
          <w:rFonts w:cs="Arial"/>
          <w:szCs w:val="20"/>
        </w:rPr>
      </w:pPr>
    </w:p>
    <w:p w14:paraId="6381F5D7"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21" w:name="_Ref210386805"/>
      <w:r w:rsidRPr="0023027E">
        <w:rPr>
          <w:rFonts w:cs="Arial"/>
          <w:b/>
          <w:bCs/>
          <w:szCs w:val="20"/>
        </w:rPr>
        <w:lastRenderedPageBreak/>
        <w:t>člen</w:t>
      </w:r>
      <w:bookmarkEnd w:id="21"/>
    </w:p>
    <w:p w14:paraId="0BC134AA" w14:textId="77777777" w:rsidR="000966FE" w:rsidRDefault="000966FE">
      <w:pPr>
        <w:spacing w:afterLines="20" w:after="48"/>
        <w:jc w:val="both"/>
        <w:rPr>
          <w:rFonts w:cs="Arial"/>
          <w:szCs w:val="20"/>
        </w:rPr>
      </w:pPr>
    </w:p>
    <w:p w14:paraId="0E0E2565" w14:textId="77777777" w:rsidR="000966FE" w:rsidRDefault="00F52CEB">
      <w:pPr>
        <w:spacing w:afterLines="20" w:after="48"/>
        <w:jc w:val="both"/>
        <w:rPr>
          <w:rFonts w:cs="Arial"/>
          <w:szCs w:val="20"/>
        </w:rPr>
      </w:pPr>
      <w:r w:rsidRPr="0023027E">
        <w:rPr>
          <w:rFonts w:cs="Arial"/>
          <w:szCs w:val="20"/>
        </w:rPr>
        <w:t xml:space="preserve">V Zakonu o prevzemih (Uradni list RS, št. 79/06, 67/07 – ZTFI, 1/08, 68/08, 35/11 – ORZPre75, 105/11 – </w:t>
      </w:r>
      <w:proofErr w:type="spellStart"/>
      <w:r w:rsidRPr="0023027E">
        <w:rPr>
          <w:rFonts w:cs="Arial"/>
          <w:szCs w:val="20"/>
        </w:rPr>
        <w:t>odl</w:t>
      </w:r>
      <w:proofErr w:type="spellEnd"/>
      <w:r w:rsidRPr="0023027E">
        <w:rPr>
          <w:rFonts w:cs="Arial"/>
          <w:szCs w:val="20"/>
        </w:rPr>
        <w:t xml:space="preserve">. US, 10/12, 38/12, 56/13, 63/13 – ZS-K, 25/14 in 75/15) se </w:t>
      </w:r>
      <w:r w:rsidR="00A06867">
        <w:rPr>
          <w:rFonts w:cs="Arial"/>
          <w:szCs w:val="20"/>
        </w:rPr>
        <w:t xml:space="preserve">besedilo </w:t>
      </w:r>
      <w:r w:rsidRPr="0023027E">
        <w:rPr>
          <w:rFonts w:cs="Arial"/>
          <w:szCs w:val="20"/>
        </w:rPr>
        <w:t>2. člen</w:t>
      </w:r>
      <w:r w:rsidR="00A06867">
        <w:rPr>
          <w:rFonts w:cs="Arial"/>
          <w:szCs w:val="20"/>
        </w:rPr>
        <w:t>a</w:t>
      </w:r>
      <w:r w:rsidRPr="0023027E">
        <w:rPr>
          <w:rFonts w:cs="Arial"/>
          <w:szCs w:val="20"/>
        </w:rPr>
        <w:t xml:space="preserve"> spremeni tako, da se glasi:</w:t>
      </w:r>
    </w:p>
    <w:p w14:paraId="4FBD39AE" w14:textId="29C75380" w:rsidR="000966FE" w:rsidRDefault="00F52CEB">
      <w:pPr>
        <w:spacing w:afterLines="20" w:after="48"/>
        <w:jc w:val="both"/>
        <w:rPr>
          <w:rFonts w:cs="Arial"/>
          <w:szCs w:val="20"/>
        </w:rPr>
      </w:pPr>
      <w:r w:rsidRPr="0023027E">
        <w:rPr>
          <w:rFonts w:cs="Arial"/>
          <w:szCs w:val="20"/>
        </w:rPr>
        <w:t>»S tem zakonom se v pravni red Republike Slovenije prenaša Direktiva 2004/25/ES Evropskega parlamenta in Sveta z dne 21. aprila 2004 o ponudbah za prevzem (UL L št. 142, 30. 4. 2004, str. 12), zadnjič spremenjen</w:t>
      </w:r>
      <w:r w:rsidR="00A06867">
        <w:rPr>
          <w:rFonts w:cs="Arial"/>
          <w:szCs w:val="20"/>
        </w:rPr>
        <w:t>a</w:t>
      </w:r>
      <w:r w:rsidRPr="0023027E">
        <w:rPr>
          <w:rFonts w:cs="Arial"/>
          <w:szCs w:val="20"/>
        </w:rPr>
        <w:t xml:space="preserve"> z Direktivo (EU) </w:t>
      </w:r>
      <w:bookmarkStart w:id="22" w:name="_Hlk214459600"/>
      <w:r w:rsidRPr="0023027E">
        <w:rPr>
          <w:rFonts w:cs="Arial"/>
          <w:szCs w:val="20"/>
        </w:rPr>
        <w:t xml:space="preserve">2023/2864 </w:t>
      </w:r>
      <w:bookmarkEnd w:id="22"/>
      <w:r w:rsidRPr="0023027E">
        <w:rPr>
          <w:rFonts w:cs="Arial"/>
          <w:szCs w:val="20"/>
        </w:rPr>
        <w:t xml:space="preserve">Evropskega parlamenta in Sveta </w:t>
      </w:r>
      <w:r w:rsidR="002201C7" w:rsidRPr="004C2B64">
        <w:rPr>
          <w:rFonts w:cs="Arial"/>
          <w:szCs w:val="20"/>
        </w:rPr>
        <w:t xml:space="preserve">z dne 13. decembra 2023 </w:t>
      </w:r>
      <w:r w:rsidRPr="0023027E">
        <w:rPr>
          <w:rFonts w:cs="Arial"/>
          <w:szCs w:val="20"/>
        </w:rPr>
        <w:t>o spremembi nekaterih direktiv glede vzpostavitve in delovanja evropske enotne točke dostopa (UL L št. 2023/2864 z dne 20. 12. 2023)</w:t>
      </w:r>
      <w:r w:rsidR="003B23DA">
        <w:rPr>
          <w:rFonts w:cs="Arial"/>
          <w:szCs w:val="20"/>
        </w:rPr>
        <w:t>,</w:t>
      </w:r>
      <w:r w:rsidRPr="0023027E">
        <w:rPr>
          <w:rFonts w:cs="Arial"/>
          <w:szCs w:val="20"/>
        </w:rPr>
        <w:t xml:space="preserve"> (v nadaljnjem besedilu: Direktiva 2004/25/ES).«.</w:t>
      </w:r>
    </w:p>
    <w:p w14:paraId="295AA593" w14:textId="77777777" w:rsidR="000966FE" w:rsidRDefault="000966FE">
      <w:pPr>
        <w:spacing w:afterLines="20" w:after="48"/>
        <w:jc w:val="both"/>
        <w:rPr>
          <w:rFonts w:cs="Arial"/>
          <w:szCs w:val="20"/>
        </w:rPr>
      </w:pPr>
    </w:p>
    <w:p w14:paraId="158EB852"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23" w:name="_Ref206407442"/>
      <w:r w:rsidRPr="0023027E">
        <w:rPr>
          <w:rFonts w:cs="Arial"/>
          <w:b/>
          <w:bCs/>
          <w:szCs w:val="20"/>
        </w:rPr>
        <w:t>člen</w:t>
      </w:r>
      <w:bookmarkEnd w:id="23"/>
    </w:p>
    <w:p w14:paraId="1F41D2F2" w14:textId="77777777" w:rsidR="000966FE" w:rsidRDefault="00F52CEB">
      <w:pPr>
        <w:spacing w:afterLines="20" w:after="48"/>
        <w:jc w:val="both"/>
        <w:rPr>
          <w:rFonts w:cs="Arial"/>
          <w:szCs w:val="20"/>
        </w:rPr>
      </w:pPr>
      <w:r w:rsidRPr="0023027E">
        <w:rPr>
          <w:rFonts w:cs="Arial"/>
          <w:szCs w:val="20"/>
        </w:rPr>
        <w:t>Za 9. členom se doda nov</w:t>
      </w:r>
      <w:r w:rsidR="003B23DA">
        <w:rPr>
          <w:rFonts w:cs="Arial"/>
          <w:szCs w:val="20"/>
        </w:rPr>
        <w:t>,</w:t>
      </w:r>
      <w:r w:rsidRPr="0023027E">
        <w:rPr>
          <w:rFonts w:cs="Arial"/>
          <w:szCs w:val="20"/>
        </w:rPr>
        <w:t xml:space="preserve"> 9.a člen, ki se glasi:</w:t>
      </w:r>
    </w:p>
    <w:p w14:paraId="3B464762" w14:textId="77777777" w:rsidR="000966FE" w:rsidRDefault="000966FE">
      <w:pPr>
        <w:spacing w:afterLines="20" w:after="48"/>
        <w:jc w:val="both"/>
        <w:rPr>
          <w:rFonts w:cs="Arial"/>
          <w:szCs w:val="20"/>
        </w:rPr>
      </w:pPr>
    </w:p>
    <w:p w14:paraId="122D60A8" w14:textId="77777777" w:rsidR="000966FE" w:rsidRDefault="00F52CEB">
      <w:pPr>
        <w:spacing w:afterLines="20" w:after="48"/>
        <w:jc w:val="center"/>
        <w:rPr>
          <w:rFonts w:cs="Arial"/>
          <w:b/>
          <w:bCs/>
          <w:szCs w:val="20"/>
        </w:rPr>
      </w:pPr>
      <w:r w:rsidRPr="0023027E">
        <w:rPr>
          <w:rFonts w:cs="Arial"/>
          <w:szCs w:val="20"/>
        </w:rPr>
        <w:t>»</w:t>
      </w:r>
      <w:r w:rsidRPr="0023027E">
        <w:rPr>
          <w:rFonts w:cs="Arial"/>
          <w:b/>
          <w:bCs/>
          <w:szCs w:val="20"/>
        </w:rPr>
        <w:t>9.a člen</w:t>
      </w:r>
    </w:p>
    <w:p w14:paraId="71E1CFA4" w14:textId="370EFB31" w:rsidR="000966FE" w:rsidRDefault="00F52CEB">
      <w:pPr>
        <w:spacing w:afterLines="20" w:after="48"/>
        <w:jc w:val="center"/>
        <w:rPr>
          <w:rFonts w:cs="Arial"/>
          <w:szCs w:val="20"/>
        </w:rPr>
      </w:pPr>
      <w:r w:rsidRPr="0023027E">
        <w:rPr>
          <w:rFonts w:cs="Arial"/>
          <w:b/>
          <w:bCs/>
          <w:szCs w:val="20"/>
        </w:rPr>
        <w:t>(</w:t>
      </w:r>
      <w:r w:rsidR="002179A5" w:rsidRPr="0097040B">
        <w:rPr>
          <w:rFonts w:cs="Arial"/>
          <w:b/>
          <w:bCs/>
          <w:szCs w:val="20"/>
        </w:rPr>
        <w:t>predložitev informacij na evropsko enotno točko dostopa</w:t>
      </w:r>
      <w:r w:rsidRPr="0023027E">
        <w:rPr>
          <w:rFonts w:cs="Arial"/>
          <w:b/>
          <w:bCs/>
          <w:szCs w:val="20"/>
        </w:rPr>
        <w:t>)</w:t>
      </w:r>
    </w:p>
    <w:p w14:paraId="7EE7B2C5" w14:textId="77777777" w:rsidR="000966FE" w:rsidRDefault="000966FE">
      <w:pPr>
        <w:spacing w:afterLines="20" w:after="48"/>
        <w:jc w:val="both"/>
        <w:rPr>
          <w:rFonts w:cs="Arial"/>
          <w:szCs w:val="20"/>
        </w:rPr>
      </w:pPr>
    </w:p>
    <w:p w14:paraId="19C23ADC" w14:textId="2FE6B556" w:rsidR="000966FE" w:rsidRDefault="00F52CEB">
      <w:pPr>
        <w:spacing w:afterLines="20" w:after="48"/>
        <w:jc w:val="both"/>
        <w:rPr>
          <w:rFonts w:cs="Arial"/>
          <w:szCs w:val="20"/>
        </w:rPr>
      </w:pPr>
      <w:r w:rsidRPr="0023027E">
        <w:rPr>
          <w:rFonts w:cs="Arial"/>
          <w:szCs w:val="20"/>
        </w:rPr>
        <w:t xml:space="preserve">(1) </w:t>
      </w:r>
      <w:r w:rsidR="00B72C97" w:rsidRPr="00B72C97">
        <w:rPr>
          <w:rFonts w:cs="Arial"/>
          <w:szCs w:val="20"/>
        </w:rPr>
        <w:t>Prevzemnik oziroma ciljna družba, če so delnice ciljne družbe z glasovalno pravico uvrščene v trgovanje na organiziranem trgu</w:t>
      </w:r>
      <w:r w:rsidR="003B23DA">
        <w:rPr>
          <w:rFonts w:cs="Arial"/>
          <w:szCs w:val="20"/>
        </w:rPr>
        <w:t>,</w:t>
      </w:r>
      <w:r w:rsidRPr="0023027E">
        <w:rPr>
          <w:rFonts w:cs="Arial"/>
          <w:szCs w:val="20"/>
        </w:rPr>
        <w:t xml:space="preserve"> pri objavi katerih koli informacij iz 24., </w:t>
      </w:r>
      <w:r w:rsidR="00F364E6">
        <w:rPr>
          <w:rFonts w:cs="Arial"/>
          <w:szCs w:val="20"/>
        </w:rPr>
        <w:t>28</w:t>
      </w:r>
      <w:r w:rsidRPr="0023027E">
        <w:rPr>
          <w:rFonts w:cs="Arial"/>
          <w:szCs w:val="20"/>
        </w:rPr>
        <w:t>., 34. in 65. člena tega zakona te informacije hkrati predloži</w:t>
      </w:r>
      <w:r w:rsidR="00D73261">
        <w:rPr>
          <w:rFonts w:cs="Arial"/>
          <w:szCs w:val="20"/>
        </w:rPr>
        <w:t>ta</w:t>
      </w:r>
      <w:r w:rsidRPr="0023027E">
        <w:rPr>
          <w:rFonts w:cs="Arial"/>
          <w:szCs w:val="20"/>
        </w:rPr>
        <w:t xml:space="preserve"> agenciji. Agencija, ki je organ za zbiranje podatkov, </w:t>
      </w:r>
      <w:r w:rsidR="008264E4">
        <w:rPr>
          <w:rFonts w:cs="Arial"/>
          <w:szCs w:val="20"/>
        </w:rPr>
        <w:t>kakor</w:t>
      </w:r>
      <w:r w:rsidRPr="0023027E">
        <w:rPr>
          <w:rFonts w:cs="Arial"/>
          <w:szCs w:val="20"/>
        </w:rPr>
        <w:t xml:space="preserve"> je opredeljen v 2. točki 2. člena Uredbe (EU) 2023/2859 Evropskega parlamenta in Sveta z dne 13. decembra 2023 o vzpostavitvi evropske enotne točke dostopa, ki zagotavlja centraliziran dostop do javno dostopnih informacij, pomembnih za finančne storitve, kapitalske trge in </w:t>
      </w:r>
      <w:proofErr w:type="spellStart"/>
      <w:r w:rsidRPr="0023027E">
        <w:rPr>
          <w:rFonts w:cs="Arial"/>
          <w:szCs w:val="20"/>
        </w:rPr>
        <w:t>trajnostnost</w:t>
      </w:r>
      <w:proofErr w:type="spellEnd"/>
      <w:r w:rsidRPr="0023027E">
        <w:rPr>
          <w:rFonts w:cs="Arial"/>
          <w:szCs w:val="20"/>
        </w:rPr>
        <w:t xml:space="preserve"> (UL L št. 2023/2859 z dne 20. 12. 2023), zadnjič spremenjen</w:t>
      </w:r>
      <w:r w:rsidR="0077410A">
        <w:rPr>
          <w:rFonts w:cs="Arial"/>
          <w:szCs w:val="20"/>
        </w:rPr>
        <w:t>e</w:t>
      </w:r>
      <w:r w:rsidRPr="0023027E">
        <w:rPr>
          <w:rFonts w:cs="Arial"/>
          <w:szCs w:val="20"/>
        </w:rPr>
        <w:t xml:space="preserve"> z Uredbo (EU) 2024/3005 Evropskega parlamenta in Sveta z dne 27. novembra 2024 o preglednosti in celovitosti dejavnosti ocenjevanja </w:t>
      </w:r>
      <w:proofErr w:type="spellStart"/>
      <w:r w:rsidRPr="0023027E">
        <w:rPr>
          <w:rFonts w:cs="Arial"/>
          <w:szCs w:val="20"/>
        </w:rPr>
        <w:t>okoljskih</w:t>
      </w:r>
      <w:proofErr w:type="spellEnd"/>
      <w:r w:rsidRPr="0023027E">
        <w:rPr>
          <w:rFonts w:cs="Arial"/>
          <w:szCs w:val="20"/>
        </w:rPr>
        <w:t>, socialnih in upravljavskih (ESG) dejavnikov ter spremembi uredb (EU) 2019/2088</w:t>
      </w:r>
      <w:r w:rsidR="00B732CB" w:rsidRPr="00B732CB">
        <w:rPr>
          <w:rFonts w:cs="Arial"/>
          <w:szCs w:val="20"/>
        </w:rPr>
        <w:t xml:space="preserve"> </w:t>
      </w:r>
      <w:r w:rsidR="00B732CB">
        <w:rPr>
          <w:rFonts w:cs="Arial"/>
          <w:szCs w:val="20"/>
        </w:rPr>
        <w:t>in (EU) 2023/2859</w:t>
      </w:r>
      <w:r w:rsidRPr="0023027E">
        <w:rPr>
          <w:rFonts w:cs="Arial"/>
          <w:szCs w:val="20"/>
        </w:rPr>
        <w:t xml:space="preserve"> (UL L št. 2024/3005 z dne 12. 12. 2024), (v nadaljnjem besedilu: Uredba 2023/2859/EU)</w:t>
      </w:r>
      <w:r w:rsidR="00CE2EDB">
        <w:rPr>
          <w:rFonts w:cs="Arial"/>
          <w:szCs w:val="20"/>
        </w:rPr>
        <w:t>,</w:t>
      </w:r>
      <w:r w:rsidRPr="0023027E">
        <w:rPr>
          <w:rFonts w:cs="Arial"/>
          <w:szCs w:val="20"/>
        </w:rPr>
        <w:t xml:space="preserve"> informacije iz prejšnjega stavka predloži evropski enotni točki dostopa, vzpostavljeni na podlagi Uredbe 2023/2859/EU.</w:t>
      </w:r>
    </w:p>
    <w:p w14:paraId="4B58D72C" w14:textId="77777777" w:rsidR="000966FE" w:rsidRDefault="000966FE">
      <w:pPr>
        <w:spacing w:afterLines="20" w:after="48"/>
        <w:jc w:val="both"/>
        <w:rPr>
          <w:rFonts w:cs="Arial"/>
          <w:szCs w:val="20"/>
        </w:rPr>
      </w:pPr>
    </w:p>
    <w:p w14:paraId="2A43973D" w14:textId="69ED7985" w:rsidR="000966FE" w:rsidRDefault="00F52CEB">
      <w:pPr>
        <w:spacing w:afterLines="20" w:after="48"/>
        <w:jc w:val="both"/>
        <w:rPr>
          <w:rFonts w:cs="Arial"/>
          <w:szCs w:val="20"/>
        </w:rPr>
      </w:pPr>
      <w:bookmarkStart w:id="24" w:name="_Hlk202783992"/>
      <w:r w:rsidRPr="0023027E">
        <w:rPr>
          <w:rFonts w:cs="Arial"/>
          <w:szCs w:val="20"/>
        </w:rPr>
        <w:t xml:space="preserve">(2) Informacije iz prejšnjega odstavka </w:t>
      </w:r>
      <w:r w:rsidR="006A1FF3" w:rsidRPr="0023027E">
        <w:rPr>
          <w:rFonts w:cs="Arial"/>
          <w:szCs w:val="20"/>
        </w:rPr>
        <w:t xml:space="preserve">so </w:t>
      </w:r>
      <w:r w:rsidR="006A1FF3">
        <w:rPr>
          <w:rFonts w:cs="Arial"/>
          <w:szCs w:val="20"/>
        </w:rPr>
        <w:t xml:space="preserve">v </w:t>
      </w:r>
      <w:r w:rsidR="006A1FF3" w:rsidRPr="0023027E">
        <w:rPr>
          <w:rFonts w:cs="Arial"/>
          <w:szCs w:val="20"/>
        </w:rPr>
        <w:t>sklad</w:t>
      </w:r>
      <w:r w:rsidR="006A1FF3">
        <w:rPr>
          <w:rFonts w:cs="Arial"/>
          <w:szCs w:val="20"/>
        </w:rPr>
        <w:t>u</w:t>
      </w:r>
      <w:r w:rsidR="006A1FF3" w:rsidRPr="0023027E">
        <w:rPr>
          <w:rFonts w:cs="Arial"/>
          <w:szCs w:val="20"/>
        </w:rPr>
        <w:t xml:space="preserve"> </w:t>
      </w:r>
      <w:r w:rsidR="006A1FF3">
        <w:rPr>
          <w:rFonts w:cs="Arial"/>
          <w:szCs w:val="20"/>
        </w:rPr>
        <w:t>s</w:t>
      </w:r>
      <w:r w:rsidR="006A1FF3" w:rsidRPr="0023027E">
        <w:rPr>
          <w:rFonts w:cs="Arial"/>
          <w:szCs w:val="20"/>
        </w:rPr>
        <w:t xml:space="preserve"> </w:t>
      </w:r>
      <w:r w:rsidR="006A1FF3">
        <w:rPr>
          <w:rFonts w:cs="Arial"/>
          <w:szCs w:val="20"/>
        </w:rPr>
        <w:t>t</w:t>
      </w:r>
      <w:r w:rsidR="006A1FF3" w:rsidRPr="0023027E">
        <w:rPr>
          <w:rFonts w:cs="Arial"/>
          <w:szCs w:val="20"/>
        </w:rPr>
        <w:t>emi zahtevami</w:t>
      </w:r>
      <w:r w:rsidRPr="0023027E">
        <w:rPr>
          <w:rFonts w:cs="Arial"/>
          <w:szCs w:val="20"/>
        </w:rPr>
        <w:t>:</w:t>
      </w:r>
    </w:p>
    <w:p w14:paraId="3C85F9AF" w14:textId="77777777" w:rsidR="0065550F" w:rsidRPr="0023027E" w:rsidRDefault="00F52CEB" w:rsidP="0065550F">
      <w:pPr>
        <w:spacing w:afterLines="20" w:after="48"/>
        <w:ind w:left="227"/>
        <w:jc w:val="both"/>
        <w:rPr>
          <w:rFonts w:cs="Arial"/>
          <w:szCs w:val="20"/>
        </w:rPr>
      </w:pPr>
      <w:r w:rsidRPr="0023027E">
        <w:rPr>
          <w:rFonts w:cs="Arial"/>
          <w:szCs w:val="20"/>
        </w:rPr>
        <w:t xml:space="preserve">1. predložene so v formatu, ki omogoča izvoz podatkov, kakor je opredeljen v 3. točki 2. člena </w:t>
      </w:r>
    </w:p>
    <w:p w14:paraId="6C86407D" w14:textId="77777777" w:rsidR="0065550F" w:rsidRDefault="0065550F" w:rsidP="0065550F">
      <w:pPr>
        <w:spacing w:afterLines="20" w:after="48"/>
        <w:ind w:left="227"/>
        <w:jc w:val="both"/>
        <w:rPr>
          <w:rFonts w:cs="Arial"/>
          <w:szCs w:val="20"/>
        </w:rPr>
      </w:pPr>
      <w:r w:rsidRPr="0023027E">
        <w:rPr>
          <w:rFonts w:cs="Arial"/>
          <w:szCs w:val="20"/>
        </w:rPr>
        <w:t>Uredbe 2023/2859/E</w:t>
      </w:r>
      <w:r w:rsidRPr="004C3C23">
        <w:rPr>
          <w:rFonts w:cs="Arial"/>
          <w:szCs w:val="20"/>
        </w:rPr>
        <w:t>U, ali</w:t>
      </w:r>
      <w:r w:rsidRPr="0023027E">
        <w:rPr>
          <w:rFonts w:cs="Arial"/>
          <w:szCs w:val="20"/>
        </w:rPr>
        <w:t xml:space="preserve"> kadar to zahtevajo predpisi, v strojno berljiv</w:t>
      </w:r>
      <w:r>
        <w:rPr>
          <w:rFonts w:cs="Arial"/>
          <w:szCs w:val="20"/>
        </w:rPr>
        <w:t>i</w:t>
      </w:r>
      <w:r w:rsidRPr="0023027E">
        <w:rPr>
          <w:rFonts w:cs="Arial"/>
          <w:szCs w:val="20"/>
        </w:rPr>
        <w:t xml:space="preserve"> </w:t>
      </w:r>
      <w:r>
        <w:rPr>
          <w:rFonts w:cs="Arial"/>
          <w:szCs w:val="20"/>
        </w:rPr>
        <w:t>obliki</w:t>
      </w:r>
      <w:r w:rsidRPr="0023027E">
        <w:rPr>
          <w:rFonts w:cs="Arial"/>
          <w:szCs w:val="20"/>
        </w:rPr>
        <w:t>, kakor je opredeljen</w:t>
      </w:r>
      <w:r>
        <w:rPr>
          <w:rFonts w:cs="Arial"/>
          <w:szCs w:val="20"/>
        </w:rPr>
        <w:t>a</w:t>
      </w:r>
      <w:r w:rsidRPr="0023027E">
        <w:rPr>
          <w:rFonts w:cs="Arial"/>
          <w:szCs w:val="20"/>
        </w:rPr>
        <w:t xml:space="preserve"> v 4. točki 2. člena Uredbe 2023/2859/EU; </w:t>
      </w:r>
    </w:p>
    <w:p w14:paraId="747E6457" w14:textId="0EE2F517" w:rsidR="000966FE" w:rsidRDefault="0065550F" w:rsidP="0065550F">
      <w:pPr>
        <w:spacing w:afterLines="20" w:after="48"/>
        <w:ind w:left="227"/>
        <w:jc w:val="both"/>
        <w:rPr>
          <w:rFonts w:cs="Arial"/>
          <w:szCs w:val="20"/>
        </w:rPr>
      </w:pPr>
      <w:r w:rsidRPr="0023027E">
        <w:rPr>
          <w:rFonts w:cs="Arial"/>
          <w:szCs w:val="20"/>
        </w:rPr>
        <w:t xml:space="preserve">2. vsebujejo </w:t>
      </w:r>
      <w:r>
        <w:rPr>
          <w:rFonts w:cs="Arial"/>
          <w:szCs w:val="20"/>
        </w:rPr>
        <w:t>t</w:t>
      </w:r>
      <w:r w:rsidRPr="0023027E">
        <w:rPr>
          <w:rFonts w:cs="Arial"/>
          <w:szCs w:val="20"/>
        </w:rPr>
        <w:t>e metapodatke:</w:t>
      </w:r>
    </w:p>
    <w:p w14:paraId="2FDC5FE8" w14:textId="77777777"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vsa imena prevzemnika in ciljne družbe, na katero se informacije nanašajo;</w:t>
      </w:r>
    </w:p>
    <w:p w14:paraId="34581C53" w14:textId="23BBDDB2"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identifikator pravnih subjektov prevzemnika in ciljne družbe, </w:t>
      </w:r>
      <w:r w:rsidR="0065550F">
        <w:rPr>
          <w:rFonts w:cs="Arial"/>
          <w:szCs w:val="20"/>
        </w:rPr>
        <w:t>kakor</w:t>
      </w:r>
      <w:r w:rsidRPr="0023027E">
        <w:rPr>
          <w:rFonts w:cs="Arial"/>
          <w:szCs w:val="20"/>
        </w:rPr>
        <w:t xml:space="preserve"> je določen na podlagi točke </w:t>
      </w:r>
      <w:r w:rsidR="005962A5">
        <w:rPr>
          <w:rFonts w:cs="Arial"/>
          <w:szCs w:val="20"/>
        </w:rPr>
        <w:t>(</w:t>
      </w:r>
      <w:r w:rsidRPr="0023027E">
        <w:rPr>
          <w:rFonts w:cs="Arial"/>
          <w:szCs w:val="20"/>
        </w:rPr>
        <w:t>b) četrtega odstavka 7. člena Uredbe 2023/2859/EU;</w:t>
      </w:r>
    </w:p>
    <w:p w14:paraId="33437C36" w14:textId="640FE727"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velikost prevzemnika in ciljne družbe po kategorijah, </w:t>
      </w:r>
      <w:r w:rsidR="0065550F">
        <w:rPr>
          <w:rFonts w:cs="Arial"/>
          <w:szCs w:val="20"/>
        </w:rPr>
        <w:t>kakor</w:t>
      </w:r>
      <w:r w:rsidRPr="0023027E">
        <w:rPr>
          <w:rFonts w:cs="Arial"/>
          <w:szCs w:val="20"/>
        </w:rPr>
        <w:t xml:space="preserve"> so določene na podlagi točke </w:t>
      </w:r>
      <w:r w:rsidR="005962A5">
        <w:rPr>
          <w:rFonts w:cs="Arial"/>
          <w:szCs w:val="20"/>
        </w:rPr>
        <w:t>(</w:t>
      </w:r>
      <w:r w:rsidRPr="0023027E">
        <w:rPr>
          <w:rFonts w:cs="Arial"/>
          <w:szCs w:val="20"/>
        </w:rPr>
        <w:t>d) četrtega odstavka 7. člena Uredbe 2023/2859/EU;</w:t>
      </w:r>
    </w:p>
    <w:p w14:paraId="3F00F836" w14:textId="7025E0E3" w:rsidR="000966FE" w:rsidRDefault="002239DE">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239DE">
        <w:rPr>
          <w:rFonts w:cs="Arial"/>
          <w:szCs w:val="20"/>
        </w:rPr>
        <w:t xml:space="preserve">navedbo industrijskih sektorjev </w:t>
      </w:r>
      <w:r w:rsidR="00F52CEB" w:rsidRPr="0023027E">
        <w:rPr>
          <w:rFonts w:cs="Arial"/>
          <w:szCs w:val="20"/>
        </w:rPr>
        <w:t xml:space="preserve">gospodarskih dejavnosti družbe, </w:t>
      </w:r>
      <w:r w:rsidR="00FB0833">
        <w:rPr>
          <w:rFonts w:cs="Arial"/>
          <w:szCs w:val="20"/>
        </w:rPr>
        <w:t>kakor</w:t>
      </w:r>
      <w:r w:rsidR="00F52CEB" w:rsidRPr="0023027E">
        <w:rPr>
          <w:rFonts w:cs="Arial"/>
          <w:szCs w:val="20"/>
        </w:rPr>
        <w:t xml:space="preserve"> so določeni na podlagi točke </w:t>
      </w:r>
      <w:r w:rsidR="005962A5">
        <w:rPr>
          <w:rFonts w:cs="Arial"/>
          <w:szCs w:val="20"/>
        </w:rPr>
        <w:t>(</w:t>
      </w:r>
      <w:r w:rsidR="00F52CEB" w:rsidRPr="0023027E">
        <w:rPr>
          <w:rFonts w:cs="Arial"/>
          <w:szCs w:val="20"/>
        </w:rPr>
        <w:t>e) četrtega odstavka 7. člena Uredbe 2023/2859/EU;</w:t>
      </w:r>
    </w:p>
    <w:p w14:paraId="233F0C3B" w14:textId="77777777"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vrste informacij glede na razvrstitev na podlagi točke </w:t>
      </w:r>
      <w:r w:rsidR="005962A5">
        <w:rPr>
          <w:rFonts w:cs="Arial"/>
          <w:szCs w:val="20"/>
        </w:rPr>
        <w:t>(</w:t>
      </w:r>
      <w:r w:rsidRPr="0023027E">
        <w:rPr>
          <w:rFonts w:cs="Arial"/>
          <w:szCs w:val="20"/>
        </w:rPr>
        <w:t xml:space="preserve">c) četrtega odstavka 7. člena Uredbe 2023/2859/EU; </w:t>
      </w:r>
    </w:p>
    <w:p w14:paraId="44C4FA64" w14:textId="77777777"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oznako, ali informacije vsebujejo osebne podatke. </w:t>
      </w:r>
    </w:p>
    <w:p w14:paraId="53C6A8B1" w14:textId="77777777" w:rsidR="000966FE" w:rsidRDefault="000966FE">
      <w:pPr>
        <w:spacing w:afterLines="20" w:after="48"/>
        <w:jc w:val="both"/>
        <w:rPr>
          <w:rFonts w:cs="Arial"/>
          <w:szCs w:val="20"/>
        </w:rPr>
      </w:pPr>
    </w:p>
    <w:p w14:paraId="07426A64" w14:textId="3C15C4E5" w:rsidR="000966FE" w:rsidRDefault="00F52CEB">
      <w:pPr>
        <w:spacing w:afterLines="20" w:after="48"/>
        <w:jc w:val="both"/>
        <w:rPr>
          <w:rFonts w:cs="Arial"/>
          <w:szCs w:val="20"/>
        </w:rPr>
      </w:pPr>
      <w:r w:rsidRPr="0023027E">
        <w:rPr>
          <w:rFonts w:cs="Arial"/>
          <w:szCs w:val="20"/>
        </w:rPr>
        <w:lastRenderedPageBreak/>
        <w:t xml:space="preserve">(3) Za namene druge alineje 2. točke prejšnjega odstavka </w:t>
      </w:r>
      <w:r w:rsidR="00207002" w:rsidRPr="0023027E">
        <w:rPr>
          <w:rFonts w:cs="Arial"/>
          <w:szCs w:val="20"/>
        </w:rPr>
        <w:t xml:space="preserve">prevzemnik </w:t>
      </w:r>
      <w:r w:rsidR="00D73261">
        <w:rPr>
          <w:rFonts w:cs="Arial"/>
          <w:szCs w:val="20"/>
        </w:rPr>
        <w:t>oziroma</w:t>
      </w:r>
      <w:r w:rsidR="00D73261" w:rsidRPr="0023027E">
        <w:rPr>
          <w:rFonts w:cs="Arial"/>
          <w:szCs w:val="20"/>
        </w:rPr>
        <w:t xml:space="preserve"> </w:t>
      </w:r>
      <w:r w:rsidR="00207002" w:rsidRPr="0023027E">
        <w:rPr>
          <w:rFonts w:cs="Arial"/>
          <w:szCs w:val="20"/>
        </w:rPr>
        <w:t>ciljna družba</w:t>
      </w:r>
      <w:r w:rsidR="00436573">
        <w:rPr>
          <w:rFonts w:cs="Arial"/>
          <w:szCs w:val="20"/>
        </w:rPr>
        <w:t>, ki sta javna družba</w:t>
      </w:r>
      <w:r w:rsidR="003F0C07">
        <w:rPr>
          <w:rFonts w:cs="Arial"/>
          <w:szCs w:val="20"/>
        </w:rPr>
        <w:t>,</w:t>
      </w:r>
      <w:r w:rsidR="00207002" w:rsidRPr="0023027E">
        <w:rPr>
          <w:rFonts w:cs="Arial"/>
          <w:szCs w:val="20"/>
        </w:rPr>
        <w:t xml:space="preserve"> </w:t>
      </w:r>
      <w:r w:rsidRPr="0023027E">
        <w:rPr>
          <w:rFonts w:cs="Arial"/>
          <w:szCs w:val="20"/>
        </w:rPr>
        <w:t>pridobi</w:t>
      </w:r>
      <w:r w:rsidR="002179A5">
        <w:rPr>
          <w:rFonts w:cs="Arial"/>
          <w:szCs w:val="20"/>
        </w:rPr>
        <w:t>ta</w:t>
      </w:r>
      <w:r w:rsidRPr="0023027E">
        <w:rPr>
          <w:rFonts w:cs="Arial"/>
          <w:szCs w:val="20"/>
        </w:rPr>
        <w:t xml:space="preserve"> identifikator pravnih subjektov, </w:t>
      </w:r>
      <w:r w:rsidR="0065550F">
        <w:rPr>
          <w:rFonts w:cs="Arial"/>
          <w:szCs w:val="20"/>
        </w:rPr>
        <w:t>kakor</w:t>
      </w:r>
      <w:r w:rsidRPr="0023027E">
        <w:rPr>
          <w:rFonts w:cs="Arial"/>
          <w:szCs w:val="20"/>
        </w:rPr>
        <w:t xml:space="preserve"> je določen na podlagi točke </w:t>
      </w:r>
      <w:r w:rsidR="005962A5">
        <w:rPr>
          <w:rFonts w:cs="Arial"/>
          <w:szCs w:val="20"/>
        </w:rPr>
        <w:t>(</w:t>
      </w:r>
      <w:r w:rsidRPr="0023027E">
        <w:rPr>
          <w:rFonts w:cs="Arial"/>
          <w:szCs w:val="20"/>
        </w:rPr>
        <w:t xml:space="preserve">b) četrtega odstavka 7. člena Uredbe 2023/2859/EU, če </w:t>
      </w:r>
      <w:r w:rsidR="00F443AF" w:rsidRPr="004C3C23">
        <w:rPr>
          <w:rFonts w:cs="Arial"/>
          <w:szCs w:val="20"/>
        </w:rPr>
        <w:t>tega identifikatorja še nima</w:t>
      </w:r>
      <w:r w:rsidR="002179A5">
        <w:rPr>
          <w:rFonts w:cs="Arial"/>
          <w:szCs w:val="20"/>
        </w:rPr>
        <w:t>ta</w:t>
      </w:r>
      <w:r w:rsidRPr="0023027E">
        <w:rPr>
          <w:rFonts w:cs="Arial"/>
          <w:szCs w:val="20"/>
        </w:rPr>
        <w:t>.</w:t>
      </w:r>
      <w:bookmarkEnd w:id="24"/>
      <w:r w:rsidRPr="0023027E">
        <w:rPr>
          <w:rFonts w:cs="Arial"/>
          <w:szCs w:val="20"/>
        </w:rPr>
        <w:t>«.</w:t>
      </w:r>
    </w:p>
    <w:p w14:paraId="19F83ADF" w14:textId="77777777" w:rsidR="000966FE" w:rsidRDefault="000966FE">
      <w:pPr>
        <w:spacing w:afterLines="20" w:after="48"/>
        <w:jc w:val="both"/>
        <w:rPr>
          <w:rFonts w:cs="Arial"/>
          <w:szCs w:val="20"/>
        </w:rPr>
      </w:pPr>
    </w:p>
    <w:p w14:paraId="62F74DDC" w14:textId="77777777" w:rsidR="000966FE" w:rsidRDefault="00EB3BDC">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25" w:name="_Ref210389314"/>
      <w:r w:rsidRPr="0023027E">
        <w:rPr>
          <w:rFonts w:cs="Arial"/>
          <w:b/>
          <w:bCs/>
          <w:szCs w:val="20"/>
        </w:rPr>
        <w:t>člen</w:t>
      </w:r>
      <w:bookmarkEnd w:id="25"/>
    </w:p>
    <w:p w14:paraId="4472CA63" w14:textId="77777777" w:rsidR="000966FE" w:rsidRDefault="000966FE">
      <w:pPr>
        <w:spacing w:afterLines="20" w:after="48"/>
        <w:jc w:val="both"/>
        <w:rPr>
          <w:rFonts w:cs="Arial"/>
          <w:szCs w:val="20"/>
        </w:rPr>
      </w:pPr>
    </w:p>
    <w:p w14:paraId="02CB0D2A" w14:textId="5D25E16B" w:rsidR="000966FE" w:rsidRDefault="00EB3BDC">
      <w:pPr>
        <w:spacing w:afterLines="20" w:after="48"/>
        <w:jc w:val="both"/>
        <w:rPr>
          <w:rFonts w:cs="Arial"/>
          <w:szCs w:val="20"/>
        </w:rPr>
      </w:pPr>
      <w:bookmarkStart w:id="26" w:name="_Hlk210389429"/>
      <w:r w:rsidRPr="00EB3BDC">
        <w:rPr>
          <w:rFonts w:cs="Arial"/>
          <w:szCs w:val="20"/>
        </w:rPr>
        <w:t>V 17. členu se za četrtim odstavkom doda nov, peti odstavek, ki se glasi:</w:t>
      </w:r>
    </w:p>
    <w:p w14:paraId="42C4A587" w14:textId="13722FBF" w:rsidR="00EB3BDC" w:rsidRPr="00EB3BDC" w:rsidRDefault="00EB3BDC" w:rsidP="00EB3BDC">
      <w:pPr>
        <w:pStyle w:val="zamik"/>
        <w:spacing w:before="210" w:after="210"/>
        <w:jc w:val="both"/>
        <w:rPr>
          <w:rFonts w:ascii="Arial" w:eastAsia="Arial" w:hAnsi="Arial" w:cs="Arial"/>
          <w:sz w:val="20"/>
          <w:szCs w:val="20"/>
        </w:rPr>
      </w:pPr>
      <w:r w:rsidRPr="00EB3BDC">
        <w:rPr>
          <w:rFonts w:ascii="Arial" w:eastAsia="Arial" w:hAnsi="Arial" w:cs="Arial"/>
          <w:sz w:val="20"/>
          <w:szCs w:val="20"/>
        </w:rPr>
        <w:t>»(5) Agencija informacije iz tega člena</w:t>
      </w:r>
      <w:r w:rsidR="001C0F1D">
        <w:rPr>
          <w:rFonts w:ascii="Arial" w:eastAsia="Arial" w:hAnsi="Arial" w:cs="Arial"/>
          <w:sz w:val="20"/>
          <w:szCs w:val="20"/>
        </w:rPr>
        <w:t>,</w:t>
      </w:r>
      <w:r w:rsidRPr="00EB3BDC">
        <w:rPr>
          <w:rFonts w:ascii="Arial" w:eastAsia="Arial" w:hAnsi="Arial" w:cs="Arial"/>
          <w:sz w:val="20"/>
          <w:szCs w:val="20"/>
        </w:rPr>
        <w:t xml:space="preserve"> </w:t>
      </w:r>
      <w:r w:rsidR="001C0F1D" w:rsidRPr="001C0F1D">
        <w:rPr>
          <w:rFonts w:ascii="Arial" w:eastAsia="Arial" w:hAnsi="Arial" w:cs="Arial"/>
          <w:sz w:val="20"/>
          <w:szCs w:val="20"/>
        </w:rPr>
        <w:t xml:space="preserve">ki se nanašajo na ciljno družbo, katere delnice z glasovalno pravico so uvrščene v trgovanje na organiziranem trgu, </w:t>
      </w:r>
      <w:r w:rsidRPr="00EB3BDC">
        <w:rPr>
          <w:rFonts w:ascii="Arial" w:eastAsia="Arial" w:hAnsi="Arial" w:cs="Arial"/>
          <w:sz w:val="20"/>
          <w:szCs w:val="20"/>
        </w:rPr>
        <w:t xml:space="preserve">predloži evropski enotni točki dostopa, vzpostavljeni na podlagi Uredbe 2023/2859/EU, pri čemer zagotovi, da informacije </w:t>
      </w:r>
      <w:r w:rsidR="002179A5">
        <w:rPr>
          <w:rFonts w:ascii="Arial" w:eastAsia="Arial" w:hAnsi="Arial" w:cs="Arial"/>
          <w:sz w:val="20"/>
          <w:szCs w:val="20"/>
        </w:rPr>
        <w:t>izpolnjujejo</w:t>
      </w:r>
      <w:r w:rsidR="002179A5" w:rsidRPr="004473E2">
        <w:rPr>
          <w:rFonts w:ascii="Arial" w:eastAsia="Arial" w:hAnsi="Arial" w:cs="Arial"/>
          <w:sz w:val="20"/>
          <w:szCs w:val="20"/>
        </w:rPr>
        <w:t xml:space="preserve"> te zahtev</w:t>
      </w:r>
      <w:r w:rsidR="002179A5">
        <w:rPr>
          <w:rFonts w:ascii="Arial" w:eastAsia="Arial" w:hAnsi="Arial" w:cs="Arial"/>
          <w:sz w:val="20"/>
          <w:szCs w:val="20"/>
        </w:rPr>
        <w:t>e</w:t>
      </w:r>
      <w:r w:rsidRPr="00EB3BDC">
        <w:rPr>
          <w:rFonts w:ascii="Arial" w:eastAsia="Arial" w:hAnsi="Arial" w:cs="Arial"/>
          <w:sz w:val="20"/>
          <w:szCs w:val="20"/>
        </w:rPr>
        <w:t>:</w:t>
      </w:r>
    </w:p>
    <w:p w14:paraId="0D0EF867" w14:textId="77777777" w:rsidR="000966FE" w:rsidRDefault="00EB3BDC" w:rsidP="000966FE">
      <w:pPr>
        <w:spacing w:afterLines="20" w:after="48"/>
        <w:ind w:left="340"/>
        <w:jc w:val="both"/>
        <w:rPr>
          <w:rFonts w:cs="Arial"/>
          <w:szCs w:val="20"/>
        </w:rPr>
      </w:pPr>
      <w:r w:rsidRPr="00EB3BDC">
        <w:rPr>
          <w:rFonts w:cs="Arial"/>
          <w:szCs w:val="20"/>
        </w:rPr>
        <w:t xml:space="preserve">1. so predložene v formatu, ki omogoča izvoz podatkov, kakor je opredeljen v 3. točki 2. člena Uredbe 2023/2859/EU; </w:t>
      </w:r>
    </w:p>
    <w:p w14:paraId="125C2F0F" w14:textId="33307CB7" w:rsidR="000966FE" w:rsidRDefault="00EB3BDC">
      <w:pPr>
        <w:spacing w:afterLines="20" w:after="48"/>
        <w:ind w:left="340"/>
        <w:jc w:val="both"/>
        <w:rPr>
          <w:rFonts w:cs="Arial"/>
          <w:szCs w:val="20"/>
        </w:rPr>
      </w:pPr>
      <w:r w:rsidRPr="00EB3BDC">
        <w:rPr>
          <w:rFonts w:cs="Arial"/>
          <w:szCs w:val="20"/>
        </w:rPr>
        <w:t xml:space="preserve">2. vsebujejo </w:t>
      </w:r>
      <w:r w:rsidR="00F443AF">
        <w:rPr>
          <w:rFonts w:cs="Arial"/>
          <w:szCs w:val="20"/>
        </w:rPr>
        <w:t>te</w:t>
      </w:r>
      <w:r w:rsidRPr="00EB3BDC">
        <w:rPr>
          <w:rFonts w:cs="Arial"/>
          <w:szCs w:val="20"/>
        </w:rPr>
        <w:t xml:space="preserve"> metapodatke: </w:t>
      </w:r>
    </w:p>
    <w:p w14:paraId="7586094B" w14:textId="77777777" w:rsidR="000966FE" w:rsidRDefault="00EB3BDC">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EB3BDC">
        <w:rPr>
          <w:rFonts w:cs="Arial"/>
          <w:szCs w:val="20"/>
        </w:rPr>
        <w:t>vsa imena prevzemnika in ciljne družbe, na katero se informacije nanašajo;</w:t>
      </w:r>
    </w:p>
    <w:p w14:paraId="321F80F3" w14:textId="42743D81" w:rsidR="000966FE" w:rsidRDefault="00EB3BDC">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EB3BDC">
        <w:rPr>
          <w:rFonts w:cs="Arial"/>
          <w:szCs w:val="20"/>
        </w:rPr>
        <w:t xml:space="preserve">kadar je na voljo, identifikator pravnih subjektov prevzemnika in ciljne družbe, </w:t>
      </w:r>
      <w:r w:rsidR="0065550F">
        <w:rPr>
          <w:rFonts w:cs="Arial"/>
          <w:szCs w:val="20"/>
        </w:rPr>
        <w:t>kakor</w:t>
      </w:r>
      <w:r w:rsidRPr="00EB3BDC">
        <w:rPr>
          <w:rFonts w:cs="Arial"/>
          <w:szCs w:val="20"/>
        </w:rPr>
        <w:t xml:space="preserve"> je določen na podlagi točke </w:t>
      </w:r>
      <w:r w:rsidR="005962A5">
        <w:rPr>
          <w:rFonts w:cs="Arial"/>
          <w:szCs w:val="20"/>
        </w:rPr>
        <w:t>(</w:t>
      </w:r>
      <w:r w:rsidRPr="00EB3BDC">
        <w:rPr>
          <w:rFonts w:cs="Arial"/>
          <w:szCs w:val="20"/>
        </w:rPr>
        <w:t>b) četrtega odstavka 7. člena Uredbe 2023/2859/EU;</w:t>
      </w:r>
    </w:p>
    <w:p w14:paraId="7DA2CA1B" w14:textId="77777777" w:rsidR="000966FE" w:rsidRDefault="00EB3BDC">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EB3BDC">
        <w:rPr>
          <w:rFonts w:cs="Arial"/>
          <w:szCs w:val="20"/>
        </w:rPr>
        <w:t xml:space="preserve">vrste informacij glede na razvrstitev na podlagi točke </w:t>
      </w:r>
      <w:r w:rsidR="005962A5">
        <w:rPr>
          <w:rFonts w:cs="Arial"/>
          <w:szCs w:val="20"/>
        </w:rPr>
        <w:t>(</w:t>
      </w:r>
      <w:r w:rsidRPr="00EB3BDC">
        <w:rPr>
          <w:rFonts w:cs="Arial"/>
          <w:szCs w:val="20"/>
        </w:rPr>
        <w:t xml:space="preserve">c) četrtega odstavka 7. člena Uredbe 2023/2859/EU; </w:t>
      </w:r>
    </w:p>
    <w:p w14:paraId="69307A39" w14:textId="77777777" w:rsidR="000966FE" w:rsidRDefault="00EB3BDC">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EB3BDC">
        <w:rPr>
          <w:rFonts w:cs="Arial"/>
          <w:szCs w:val="20"/>
        </w:rPr>
        <w:t>oznako, ali informacije vsebujejo osebne podatke.</w:t>
      </w:r>
      <w:r w:rsidR="003F0C07">
        <w:rPr>
          <w:rFonts w:cs="Arial"/>
          <w:szCs w:val="20"/>
        </w:rPr>
        <w:t>«.</w:t>
      </w:r>
      <w:r w:rsidRPr="00EB3BDC">
        <w:rPr>
          <w:rFonts w:cs="Arial"/>
          <w:szCs w:val="20"/>
        </w:rPr>
        <w:t xml:space="preserve"> </w:t>
      </w:r>
    </w:p>
    <w:bookmarkEnd w:id="26"/>
    <w:p w14:paraId="03CDC5D6" w14:textId="77777777" w:rsidR="000966FE" w:rsidRDefault="000966FE">
      <w:pPr>
        <w:spacing w:afterLines="20" w:after="48"/>
        <w:jc w:val="both"/>
        <w:rPr>
          <w:rFonts w:cs="Arial"/>
          <w:szCs w:val="20"/>
        </w:rPr>
      </w:pPr>
    </w:p>
    <w:p w14:paraId="082B5027"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27" w:name="_Ref206417686"/>
      <w:r w:rsidRPr="0023027E">
        <w:rPr>
          <w:rFonts w:cs="Arial"/>
          <w:b/>
          <w:bCs/>
          <w:szCs w:val="20"/>
        </w:rPr>
        <w:t>člen</w:t>
      </w:r>
      <w:bookmarkEnd w:id="27"/>
    </w:p>
    <w:p w14:paraId="00AE9E7F" w14:textId="77777777" w:rsidR="000966FE" w:rsidRDefault="000966FE">
      <w:pPr>
        <w:spacing w:afterLines="20" w:after="48"/>
        <w:jc w:val="both"/>
        <w:rPr>
          <w:rFonts w:cs="Arial"/>
          <w:szCs w:val="20"/>
        </w:rPr>
      </w:pPr>
    </w:p>
    <w:p w14:paraId="460315B3" w14:textId="0B5E2794" w:rsidR="000966FE" w:rsidRDefault="00F52CEB">
      <w:pPr>
        <w:spacing w:afterLines="20" w:after="48"/>
        <w:jc w:val="both"/>
        <w:rPr>
          <w:rFonts w:cs="Arial"/>
          <w:szCs w:val="20"/>
        </w:rPr>
      </w:pPr>
      <w:r w:rsidRPr="0023027E">
        <w:rPr>
          <w:rFonts w:cs="Arial"/>
          <w:szCs w:val="20"/>
        </w:rPr>
        <w:t xml:space="preserve">V 72. členu se v prvem odstavku za drugo alinejo dodata novi </w:t>
      </w:r>
      <w:r w:rsidR="003F0C07">
        <w:rPr>
          <w:rFonts w:cs="Arial"/>
          <w:szCs w:val="20"/>
        </w:rPr>
        <w:t xml:space="preserve">tretja in četrta </w:t>
      </w:r>
      <w:r w:rsidRPr="0023027E">
        <w:rPr>
          <w:rFonts w:cs="Arial"/>
          <w:szCs w:val="20"/>
        </w:rPr>
        <w:t>alinej</w:t>
      </w:r>
      <w:r w:rsidR="00CA51E3">
        <w:rPr>
          <w:rFonts w:cs="Arial"/>
          <w:szCs w:val="20"/>
        </w:rPr>
        <w:t>a</w:t>
      </w:r>
      <w:r w:rsidRPr="0023027E">
        <w:rPr>
          <w:rFonts w:cs="Arial"/>
          <w:szCs w:val="20"/>
        </w:rPr>
        <w:t>, ki se glasita:</w:t>
      </w:r>
    </w:p>
    <w:p w14:paraId="7F644A44" w14:textId="22A205EA" w:rsidR="000966FE" w:rsidRDefault="00F52CEB">
      <w:pPr>
        <w:spacing w:afterLines="20" w:after="48"/>
        <w:jc w:val="both"/>
        <w:rPr>
          <w:rFonts w:cs="Arial"/>
          <w:szCs w:val="20"/>
        </w:rPr>
      </w:pPr>
      <w:r w:rsidRPr="0023027E">
        <w:rPr>
          <w:rFonts w:cs="Arial"/>
          <w:szCs w:val="20"/>
        </w:rPr>
        <w:t>»</w:t>
      </w:r>
      <w:r w:rsidR="002179A5">
        <w:rPr>
          <w:rFonts w:cs="Arial"/>
          <w:szCs w:val="20"/>
        </w:rPr>
        <w:t>–</w:t>
      </w:r>
      <w:r w:rsidR="002179A5" w:rsidRPr="0023027E">
        <w:rPr>
          <w:rFonts w:cs="Arial"/>
          <w:szCs w:val="20"/>
        </w:rPr>
        <w:t xml:space="preserve"> </w:t>
      </w:r>
      <w:r w:rsidRPr="0023027E">
        <w:rPr>
          <w:rFonts w:cs="Arial"/>
          <w:szCs w:val="20"/>
        </w:rPr>
        <w:t xml:space="preserve">če ne predloži informacij v skladu </w:t>
      </w:r>
      <w:r w:rsidR="008658B9">
        <w:rPr>
          <w:rFonts w:cs="Arial"/>
          <w:szCs w:val="20"/>
        </w:rPr>
        <w:t>s prvim</w:t>
      </w:r>
      <w:r w:rsidRPr="0023027E">
        <w:rPr>
          <w:rFonts w:cs="Arial"/>
          <w:szCs w:val="20"/>
        </w:rPr>
        <w:t xml:space="preserve"> odstavkom 9.a člena tega zakona ali teh informacij ne predloži v skladu z zahtevami iz </w:t>
      </w:r>
      <w:r w:rsidR="008658B9">
        <w:rPr>
          <w:rFonts w:cs="Arial"/>
          <w:szCs w:val="20"/>
        </w:rPr>
        <w:t>drugega</w:t>
      </w:r>
      <w:r w:rsidRPr="0023027E">
        <w:rPr>
          <w:rFonts w:cs="Arial"/>
          <w:szCs w:val="20"/>
        </w:rPr>
        <w:t xml:space="preserve"> odstavka 9.a člena tega zakona;</w:t>
      </w:r>
    </w:p>
    <w:p w14:paraId="458220FE" w14:textId="7F3AE7D5" w:rsidR="000966FE" w:rsidRDefault="002179A5">
      <w:pPr>
        <w:spacing w:afterLines="20" w:after="48"/>
        <w:jc w:val="both"/>
        <w:rPr>
          <w:rFonts w:cs="Arial"/>
          <w:szCs w:val="20"/>
        </w:rPr>
      </w:pPr>
      <w:r>
        <w:rPr>
          <w:rFonts w:cs="Arial"/>
          <w:szCs w:val="20"/>
        </w:rPr>
        <w:t>–</w:t>
      </w:r>
      <w:r w:rsidRPr="0023027E">
        <w:rPr>
          <w:rFonts w:cs="Arial"/>
          <w:szCs w:val="20"/>
        </w:rPr>
        <w:t xml:space="preserve"> </w:t>
      </w:r>
      <w:r w:rsidR="00F52CEB" w:rsidRPr="0023027E">
        <w:rPr>
          <w:rFonts w:cs="Arial"/>
          <w:szCs w:val="20"/>
        </w:rPr>
        <w:t xml:space="preserve">če ne pridobi identifikatorja pravnih subjektov v skladu s </w:t>
      </w:r>
      <w:r w:rsidR="008658B9">
        <w:rPr>
          <w:rFonts w:cs="Arial"/>
          <w:szCs w:val="20"/>
        </w:rPr>
        <w:t>tretjim</w:t>
      </w:r>
      <w:r w:rsidR="008658B9" w:rsidRPr="0023027E">
        <w:rPr>
          <w:rFonts w:cs="Arial"/>
          <w:szCs w:val="20"/>
        </w:rPr>
        <w:t xml:space="preserve"> </w:t>
      </w:r>
      <w:r w:rsidR="00F52CEB" w:rsidRPr="0023027E">
        <w:rPr>
          <w:rFonts w:cs="Arial"/>
          <w:szCs w:val="20"/>
        </w:rPr>
        <w:t>odstavkom 9.a člena tega zakona;«.</w:t>
      </w:r>
    </w:p>
    <w:p w14:paraId="2C3887B7" w14:textId="77777777" w:rsidR="000966FE" w:rsidRDefault="000966FE">
      <w:pPr>
        <w:spacing w:afterLines="20" w:after="48"/>
        <w:jc w:val="both"/>
        <w:rPr>
          <w:rFonts w:cs="Arial"/>
          <w:szCs w:val="20"/>
        </w:rPr>
      </w:pPr>
    </w:p>
    <w:p w14:paraId="0FBB5059" w14:textId="77777777" w:rsidR="000966FE" w:rsidRDefault="00F52CEB">
      <w:pPr>
        <w:spacing w:afterLines="20" w:after="48"/>
        <w:jc w:val="both"/>
        <w:rPr>
          <w:rFonts w:cs="Arial"/>
          <w:szCs w:val="20"/>
        </w:rPr>
      </w:pPr>
      <w:r w:rsidRPr="0023027E">
        <w:rPr>
          <w:rFonts w:cs="Arial"/>
          <w:szCs w:val="20"/>
        </w:rPr>
        <w:t>Dosedanje tretja do sedemnajsta alineja postanejo peta do devetnajsta alineja.</w:t>
      </w:r>
    </w:p>
    <w:p w14:paraId="20062A25" w14:textId="77777777" w:rsidR="000966FE" w:rsidRDefault="000966FE">
      <w:pPr>
        <w:spacing w:afterLines="20" w:after="48"/>
        <w:jc w:val="both"/>
        <w:rPr>
          <w:rFonts w:cs="Arial"/>
          <w:b/>
          <w:bCs/>
          <w:szCs w:val="20"/>
        </w:rPr>
      </w:pPr>
    </w:p>
    <w:p w14:paraId="278B8FAE" w14:textId="77777777" w:rsidR="000966FE" w:rsidRDefault="00F52CEB">
      <w:pPr>
        <w:spacing w:afterLines="20" w:after="48"/>
        <w:jc w:val="both"/>
        <w:rPr>
          <w:rFonts w:cs="Arial"/>
          <w:b/>
          <w:bCs/>
          <w:szCs w:val="20"/>
        </w:rPr>
      </w:pPr>
      <w:r w:rsidRPr="0023027E">
        <w:rPr>
          <w:rFonts w:cs="Arial"/>
          <w:b/>
          <w:bCs/>
          <w:szCs w:val="20"/>
        </w:rPr>
        <w:t>3. Zakon o revidiranju</w:t>
      </w:r>
    </w:p>
    <w:p w14:paraId="3013CF91" w14:textId="77777777" w:rsidR="000966FE" w:rsidRDefault="000966FE">
      <w:pPr>
        <w:spacing w:afterLines="20" w:after="48"/>
        <w:jc w:val="both"/>
        <w:rPr>
          <w:rFonts w:cs="Arial"/>
          <w:szCs w:val="20"/>
        </w:rPr>
      </w:pPr>
    </w:p>
    <w:p w14:paraId="030EC0DA"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28" w:name="_Ref206417897"/>
      <w:r w:rsidRPr="0023027E">
        <w:rPr>
          <w:rFonts w:cs="Arial"/>
          <w:b/>
          <w:bCs/>
          <w:szCs w:val="20"/>
        </w:rPr>
        <w:t>člen</w:t>
      </w:r>
      <w:bookmarkEnd w:id="28"/>
    </w:p>
    <w:p w14:paraId="68091022" w14:textId="77777777" w:rsidR="000966FE" w:rsidRDefault="000966FE">
      <w:pPr>
        <w:spacing w:afterLines="20" w:after="48"/>
        <w:jc w:val="both"/>
        <w:rPr>
          <w:rFonts w:cs="Arial"/>
          <w:szCs w:val="20"/>
        </w:rPr>
      </w:pPr>
    </w:p>
    <w:p w14:paraId="3EBCD740" w14:textId="7D9F929B" w:rsidR="000966FE" w:rsidRDefault="00F52CEB">
      <w:pPr>
        <w:spacing w:afterLines="20" w:after="48"/>
        <w:jc w:val="both"/>
        <w:rPr>
          <w:rFonts w:cs="Arial"/>
          <w:szCs w:val="20"/>
        </w:rPr>
      </w:pPr>
      <w:r w:rsidRPr="0023027E">
        <w:rPr>
          <w:rFonts w:cs="Arial"/>
          <w:szCs w:val="20"/>
        </w:rPr>
        <w:t>V Zakonu o revidiranju (Uradni list RS, št. 65/08, 63/13 – ZS-K, 84/18, 115/21 in 85/24) se za 36. členom doda nov</w:t>
      </w:r>
      <w:r w:rsidR="00CA51E3">
        <w:rPr>
          <w:rFonts w:cs="Arial"/>
          <w:szCs w:val="20"/>
        </w:rPr>
        <w:t>,</w:t>
      </w:r>
      <w:r w:rsidRPr="0023027E">
        <w:rPr>
          <w:rFonts w:cs="Arial"/>
          <w:szCs w:val="20"/>
        </w:rPr>
        <w:t xml:space="preserve"> 36.a</w:t>
      </w:r>
      <w:r w:rsidR="00CA51E3">
        <w:rPr>
          <w:rFonts w:cs="Arial"/>
          <w:szCs w:val="20"/>
        </w:rPr>
        <w:t xml:space="preserve"> člen</w:t>
      </w:r>
      <w:r w:rsidRPr="0023027E">
        <w:rPr>
          <w:rFonts w:cs="Arial"/>
          <w:szCs w:val="20"/>
        </w:rPr>
        <w:t>, ki se glasi:</w:t>
      </w:r>
    </w:p>
    <w:p w14:paraId="6D9A7622" w14:textId="77777777" w:rsidR="000966FE" w:rsidRDefault="000966FE">
      <w:pPr>
        <w:spacing w:afterLines="20" w:after="48"/>
        <w:jc w:val="both"/>
        <w:rPr>
          <w:rFonts w:cs="Arial"/>
          <w:szCs w:val="20"/>
        </w:rPr>
      </w:pPr>
    </w:p>
    <w:p w14:paraId="59B2E5EB" w14:textId="77777777" w:rsidR="000966FE" w:rsidRDefault="00F52CEB">
      <w:pPr>
        <w:spacing w:afterLines="20" w:after="48"/>
        <w:jc w:val="center"/>
        <w:rPr>
          <w:rFonts w:cs="Arial"/>
          <w:b/>
          <w:bCs/>
          <w:szCs w:val="20"/>
        </w:rPr>
      </w:pPr>
      <w:r w:rsidRPr="0023027E">
        <w:rPr>
          <w:rFonts w:cs="Arial"/>
          <w:b/>
          <w:bCs/>
          <w:szCs w:val="20"/>
        </w:rPr>
        <w:t>»36.a člen</w:t>
      </w:r>
    </w:p>
    <w:p w14:paraId="3F2B540B" w14:textId="62641AC2" w:rsidR="000966FE" w:rsidRDefault="00F52CEB">
      <w:pPr>
        <w:spacing w:afterLines="20" w:after="48"/>
        <w:jc w:val="center"/>
        <w:rPr>
          <w:rFonts w:cs="Arial"/>
          <w:b/>
          <w:bCs/>
          <w:szCs w:val="20"/>
        </w:rPr>
      </w:pPr>
      <w:r w:rsidRPr="0023027E">
        <w:rPr>
          <w:rFonts w:cs="Arial"/>
          <w:b/>
          <w:bCs/>
          <w:szCs w:val="20"/>
        </w:rPr>
        <w:t>(</w:t>
      </w:r>
      <w:r w:rsidR="002179A5" w:rsidRPr="0097040B">
        <w:rPr>
          <w:rFonts w:cs="Arial"/>
          <w:b/>
          <w:bCs/>
          <w:szCs w:val="20"/>
        </w:rPr>
        <w:t>predložitev informacij na evropsko enotno točko dostopa</w:t>
      </w:r>
      <w:r w:rsidRPr="0023027E">
        <w:rPr>
          <w:rFonts w:cs="Arial"/>
          <w:b/>
          <w:bCs/>
          <w:szCs w:val="20"/>
        </w:rPr>
        <w:t>)</w:t>
      </w:r>
    </w:p>
    <w:p w14:paraId="7C440482" w14:textId="77777777" w:rsidR="000966FE" w:rsidRDefault="000966FE">
      <w:pPr>
        <w:spacing w:afterLines="20" w:after="48"/>
        <w:jc w:val="both"/>
        <w:rPr>
          <w:rFonts w:cs="Arial"/>
          <w:szCs w:val="20"/>
        </w:rPr>
      </w:pPr>
    </w:p>
    <w:p w14:paraId="586DD940" w14:textId="74108CE8" w:rsidR="00C62D51" w:rsidRDefault="00F52CEB">
      <w:pPr>
        <w:spacing w:afterLines="20" w:after="48"/>
        <w:jc w:val="both"/>
        <w:rPr>
          <w:rFonts w:cs="Arial"/>
          <w:szCs w:val="20"/>
        </w:rPr>
      </w:pPr>
      <w:r w:rsidRPr="0023027E">
        <w:rPr>
          <w:rFonts w:cs="Arial"/>
          <w:szCs w:val="20"/>
        </w:rPr>
        <w:t xml:space="preserve">(1) Agencija je organ za zbiranje podatkov, </w:t>
      </w:r>
      <w:r w:rsidR="008264E4">
        <w:rPr>
          <w:rFonts w:cs="Arial"/>
          <w:szCs w:val="20"/>
        </w:rPr>
        <w:t>kakor</w:t>
      </w:r>
      <w:r w:rsidRPr="0023027E">
        <w:rPr>
          <w:rFonts w:cs="Arial"/>
          <w:szCs w:val="20"/>
        </w:rPr>
        <w:t xml:space="preserve"> je opredeljen v 2. točki 2. člena Uredbe (EU) 2023/2859 Evropskega parlamenta in Sveta z dne 13. decembra 2023 o vzpostavitvi evropske enotne točke dostopa, ki zagotavlja centraliziran dostop do javno dostopnih informacij, pomembnih za finančne storitve, kapitalske trge in </w:t>
      </w:r>
      <w:proofErr w:type="spellStart"/>
      <w:r w:rsidRPr="0023027E">
        <w:rPr>
          <w:rFonts w:cs="Arial"/>
          <w:szCs w:val="20"/>
        </w:rPr>
        <w:t>trajnostnost</w:t>
      </w:r>
      <w:proofErr w:type="spellEnd"/>
      <w:r w:rsidRPr="0023027E">
        <w:rPr>
          <w:rFonts w:cs="Arial"/>
          <w:szCs w:val="20"/>
        </w:rPr>
        <w:t xml:space="preserve"> (UL L št. 2023/2859 z dne 20. 12. 2023), zadnjič spremenjena z Uredbo (EU) 2024/3005 Evropskega parlamenta in Sveta z dne 27. novembra 2024 o preglednosti in celovitosti dejavnosti ocenjevanja </w:t>
      </w:r>
      <w:proofErr w:type="spellStart"/>
      <w:r w:rsidRPr="0023027E">
        <w:rPr>
          <w:rFonts w:cs="Arial"/>
          <w:szCs w:val="20"/>
        </w:rPr>
        <w:t>okoljskih</w:t>
      </w:r>
      <w:proofErr w:type="spellEnd"/>
      <w:r w:rsidRPr="0023027E">
        <w:rPr>
          <w:rFonts w:cs="Arial"/>
          <w:szCs w:val="20"/>
        </w:rPr>
        <w:t xml:space="preserve">, socialnih in </w:t>
      </w:r>
      <w:r w:rsidRPr="0023027E">
        <w:rPr>
          <w:rFonts w:cs="Arial"/>
          <w:szCs w:val="20"/>
        </w:rPr>
        <w:lastRenderedPageBreak/>
        <w:t>upravljavskih (ESG) dejavnikov ter spremembi uredb (EU) 2019/2088</w:t>
      </w:r>
      <w:r w:rsidR="00B732CB" w:rsidRPr="00B732CB">
        <w:rPr>
          <w:rFonts w:cs="Arial"/>
          <w:szCs w:val="20"/>
        </w:rPr>
        <w:t xml:space="preserve"> </w:t>
      </w:r>
      <w:r w:rsidR="00B732CB">
        <w:rPr>
          <w:rFonts w:cs="Arial"/>
          <w:szCs w:val="20"/>
        </w:rPr>
        <w:t>in (EU) 2023/2859</w:t>
      </w:r>
      <w:r w:rsidRPr="0023027E">
        <w:rPr>
          <w:rFonts w:cs="Arial"/>
          <w:szCs w:val="20"/>
        </w:rPr>
        <w:t xml:space="preserve"> (UL L št. 2024/3005 z dne 12. 12. 2024), (v nadaljnjem besedilu: Uredba 2023/2859/EU), za informacije iz 152. </w:t>
      </w:r>
      <w:r w:rsidR="002179A5">
        <w:rPr>
          <w:rFonts w:cs="Arial"/>
          <w:szCs w:val="20"/>
        </w:rPr>
        <w:t xml:space="preserve">člena </w:t>
      </w:r>
      <w:r w:rsidRPr="0023027E">
        <w:rPr>
          <w:rFonts w:cs="Arial"/>
          <w:szCs w:val="20"/>
        </w:rPr>
        <w:t xml:space="preserve">in prvega odstavka 153. člena tega zakona ter zagotavlja, da so te informacije dostopne </w:t>
      </w:r>
      <w:r w:rsidR="002179A5">
        <w:rPr>
          <w:rFonts w:cs="Arial"/>
          <w:szCs w:val="20"/>
        </w:rPr>
        <w:t>na</w:t>
      </w:r>
      <w:r w:rsidR="002179A5" w:rsidRPr="0023027E">
        <w:rPr>
          <w:rFonts w:cs="Arial"/>
          <w:szCs w:val="20"/>
        </w:rPr>
        <w:t xml:space="preserve"> </w:t>
      </w:r>
      <w:r w:rsidRPr="0023027E">
        <w:rPr>
          <w:rFonts w:cs="Arial"/>
          <w:szCs w:val="20"/>
        </w:rPr>
        <w:t>evropski enotni točki dostopa, vzpostavljeni na podlagi prvega odstavka 1. člena Uredbe 2023/2859/EU.</w:t>
      </w:r>
    </w:p>
    <w:p w14:paraId="093446FE" w14:textId="77777777" w:rsidR="000966FE" w:rsidRDefault="000966FE">
      <w:pPr>
        <w:spacing w:afterLines="20" w:after="48"/>
        <w:jc w:val="both"/>
        <w:rPr>
          <w:rFonts w:cs="Arial"/>
          <w:szCs w:val="20"/>
        </w:rPr>
      </w:pPr>
    </w:p>
    <w:p w14:paraId="3594307A" w14:textId="6D08D3B0" w:rsidR="000966FE" w:rsidRDefault="00F52CEB">
      <w:pPr>
        <w:spacing w:afterLines="20" w:after="48"/>
        <w:jc w:val="both"/>
        <w:rPr>
          <w:rFonts w:cs="Arial"/>
          <w:szCs w:val="20"/>
        </w:rPr>
      </w:pPr>
      <w:r w:rsidRPr="0023027E">
        <w:rPr>
          <w:rFonts w:cs="Arial"/>
          <w:szCs w:val="20"/>
        </w:rPr>
        <w:t xml:space="preserve">(2) Informacije iz prejšnjega odstavka </w:t>
      </w:r>
      <w:r w:rsidR="006A1FF3" w:rsidRPr="0023027E">
        <w:rPr>
          <w:rFonts w:cs="Arial"/>
          <w:szCs w:val="20"/>
        </w:rPr>
        <w:t xml:space="preserve">so </w:t>
      </w:r>
      <w:r w:rsidR="006A1FF3">
        <w:rPr>
          <w:rFonts w:cs="Arial"/>
          <w:szCs w:val="20"/>
        </w:rPr>
        <w:t xml:space="preserve">v </w:t>
      </w:r>
      <w:r w:rsidR="006A1FF3" w:rsidRPr="0023027E">
        <w:rPr>
          <w:rFonts w:cs="Arial"/>
          <w:szCs w:val="20"/>
        </w:rPr>
        <w:t>sklad</w:t>
      </w:r>
      <w:r w:rsidR="006A1FF3">
        <w:rPr>
          <w:rFonts w:cs="Arial"/>
          <w:szCs w:val="20"/>
        </w:rPr>
        <w:t>u</w:t>
      </w:r>
      <w:r w:rsidR="006A1FF3" w:rsidRPr="0023027E">
        <w:rPr>
          <w:rFonts w:cs="Arial"/>
          <w:szCs w:val="20"/>
        </w:rPr>
        <w:t xml:space="preserve"> </w:t>
      </w:r>
      <w:r w:rsidR="006A1FF3">
        <w:rPr>
          <w:rFonts w:cs="Arial"/>
          <w:szCs w:val="20"/>
        </w:rPr>
        <w:t>s</w:t>
      </w:r>
      <w:r w:rsidR="006A1FF3" w:rsidRPr="0023027E">
        <w:rPr>
          <w:rFonts w:cs="Arial"/>
          <w:szCs w:val="20"/>
        </w:rPr>
        <w:t xml:space="preserve"> </w:t>
      </w:r>
      <w:r w:rsidR="006A1FF3">
        <w:rPr>
          <w:rFonts w:cs="Arial"/>
          <w:szCs w:val="20"/>
        </w:rPr>
        <w:t>t</w:t>
      </w:r>
      <w:r w:rsidR="006A1FF3" w:rsidRPr="0023027E">
        <w:rPr>
          <w:rFonts w:cs="Arial"/>
          <w:szCs w:val="20"/>
        </w:rPr>
        <w:t>emi zahtevami</w:t>
      </w:r>
      <w:r w:rsidRPr="0023027E">
        <w:rPr>
          <w:rFonts w:cs="Arial"/>
          <w:szCs w:val="20"/>
        </w:rPr>
        <w:t>:</w:t>
      </w:r>
    </w:p>
    <w:p w14:paraId="3CF69D69" w14:textId="77777777" w:rsidR="0065550F" w:rsidRPr="0023027E" w:rsidRDefault="00F52CEB" w:rsidP="0065550F">
      <w:pPr>
        <w:spacing w:afterLines="20" w:after="48"/>
        <w:ind w:left="227"/>
        <w:jc w:val="both"/>
        <w:rPr>
          <w:rFonts w:cs="Arial"/>
          <w:szCs w:val="20"/>
        </w:rPr>
      </w:pPr>
      <w:r w:rsidRPr="0023027E">
        <w:rPr>
          <w:rFonts w:cs="Arial"/>
          <w:szCs w:val="20"/>
        </w:rPr>
        <w:t xml:space="preserve">1. predložene so v formatu, ki omogoča izvoz podatkov, kakor je opredeljen v 3. točki 2. člena </w:t>
      </w:r>
    </w:p>
    <w:p w14:paraId="111486A0" w14:textId="6DE16344" w:rsidR="000966FE" w:rsidRDefault="0065550F" w:rsidP="0065550F">
      <w:pPr>
        <w:spacing w:afterLines="20" w:after="48"/>
        <w:ind w:left="227"/>
        <w:jc w:val="both"/>
        <w:rPr>
          <w:rFonts w:cs="Arial"/>
          <w:szCs w:val="20"/>
        </w:rPr>
      </w:pPr>
      <w:r w:rsidRPr="0023027E">
        <w:rPr>
          <w:rFonts w:cs="Arial"/>
          <w:szCs w:val="20"/>
        </w:rPr>
        <w:t>Uredbe 2023/2859/E</w:t>
      </w:r>
      <w:r w:rsidRPr="004C3C23">
        <w:rPr>
          <w:rFonts w:cs="Arial"/>
          <w:szCs w:val="20"/>
        </w:rPr>
        <w:t>U, ali</w:t>
      </w:r>
      <w:r w:rsidRPr="0023027E">
        <w:rPr>
          <w:rFonts w:cs="Arial"/>
          <w:szCs w:val="20"/>
        </w:rPr>
        <w:t xml:space="preserve"> kadar to zahtevajo predpisi, v strojno berljiv</w:t>
      </w:r>
      <w:r>
        <w:rPr>
          <w:rFonts w:cs="Arial"/>
          <w:szCs w:val="20"/>
        </w:rPr>
        <w:t>i</w:t>
      </w:r>
      <w:r w:rsidRPr="0023027E">
        <w:rPr>
          <w:rFonts w:cs="Arial"/>
          <w:szCs w:val="20"/>
        </w:rPr>
        <w:t xml:space="preserve"> </w:t>
      </w:r>
      <w:r>
        <w:rPr>
          <w:rFonts w:cs="Arial"/>
          <w:szCs w:val="20"/>
        </w:rPr>
        <w:t>obliki</w:t>
      </w:r>
      <w:r w:rsidRPr="0023027E">
        <w:rPr>
          <w:rFonts w:cs="Arial"/>
          <w:szCs w:val="20"/>
        </w:rPr>
        <w:t>, kakor je opredeljen</w:t>
      </w:r>
      <w:r>
        <w:rPr>
          <w:rFonts w:cs="Arial"/>
          <w:szCs w:val="20"/>
        </w:rPr>
        <w:t>a</w:t>
      </w:r>
      <w:r w:rsidRPr="0023027E">
        <w:rPr>
          <w:rFonts w:cs="Arial"/>
          <w:szCs w:val="20"/>
        </w:rPr>
        <w:t xml:space="preserve"> v 4. točki 2. člena Uredbe 2023/2859/EU; </w:t>
      </w:r>
      <w:r w:rsidR="00F52CEB" w:rsidRPr="0023027E">
        <w:rPr>
          <w:rFonts w:cs="Arial"/>
          <w:szCs w:val="20"/>
        </w:rPr>
        <w:t xml:space="preserve"> </w:t>
      </w:r>
    </w:p>
    <w:p w14:paraId="5B7D547B" w14:textId="72530017" w:rsidR="000966FE" w:rsidRDefault="00F52CEB">
      <w:pPr>
        <w:spacing w:afterLines="20" w:after="48"/>
        <w:ind w:left="227"/>
        <w:jc w:val="both"/>
        <w:rPr>
          <w:rFonts w:cs="Arial"/>
          <w:szCs w:val="20"/>
        </w:rPr>
      </w:pPr>
      <w:r w:rsidRPr="0023027E">
        <w:rPr>
          <w:rFonts w:cs="Arial"/>
          <w:szCs w:val="20"/>
        </w:rPr>
        <w:t xml:space="preserve">2. vsebujejo </w:t>
      </w:r>
      <w:r w:rsidR="00F443AF">
        <w:rPr>
          <w:rFonts w:cs="Arial"/>
          <w:szCs w:val="20"/>
        </w:rPr>
        <w:t>te</w:t>
      </w:r>
      <w:r w:rsidRPr="0023027E">
        <w:rPr>
          <w:rFonts w:cs="Arial"/>
          <w:szCs w:val="20"/>
        </w:rPr>
        <w:t xml:space="preserve"> metapodatke:</w:t>
      </w:r>
    </w:p>
    <w:p w14:paraId="721EE0E6" w14:textId="5BC47079"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vsa imena revizijske družbe ali pooblaščenega revizorja, na kater</w:t>
      </w:r>
      <w:r w:rsidR="006A4C05">
        <w:rPr>
          <w:rFonts w:cs="Arial"/>
          <w:szCs w:val="20"/>
        </w:rPr>
        <w:t>e</w:t>
      </w:r>
      <w:r w:rsidR="006A1FF3">
        <w:rPr>
          <w:rFonts w:cs="Arial"/>
          <w:szCs w:val="20"/>
        </w:rPr>
        <w:t>ga</w:t>
      </w:r>
      <w:r w:rsidRPr="0023027E">
        <w:rPr>
          <w:rFonts w:cs="Arial"/>
          <w:szCs w:val="20"/>
        </w:rPr>
        <w:t xml:space="preserve"> se informacije nanašajo;</w:t>
      </w:r>
    </w:p>
    <w:p w14:paraId="25A6DF2D" w14:textId="069C81A2"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če obstaja, identifikator pravnih subjektov revizijske družbe, kakor je določen na podlagi točke </w:t>
      </w:r>
      <w:r w:rsidR="00892C49">
        <w:rPr>
          <w:rFonts w:cs="Arial"/>
          <w:szCs w:val="20"/>
        </w:rPr>
        <w:t>(</w:t>
      </w:r>
      <w:r w:rsidRPr="0023027E">
        <w:rPr>
          <w:rFonts w:cs="Arial"/>
          <w:szCs w:val="20"/>
        </w:rPr>
        <w:t>b) četrtega odstavka 7. člena Uredbe 2023/2859/EU;</w:t>
      </w:r>
    </w:p>
    <w:p w14:paraId="0DCC9280" w14:textId="128C7D73"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vrsto informacij glede na razvrstitev na podlagi točke </w:t>
      </w:r>
      <w:r w:rsidR="00892C49">
        <w:rPr>
          <w:rFonts w:cs="Arial"/>
          <w:szCs w:val="20"/>
        </w:rPr>
        <w:t>(</w:t>
      </w:r>
      <w:r w:rsidR="0077410A">
        <w:rPr>
          <w:rFonts w:cs="Arial"/>
          <w:szCs w:val="20"/>
        </w:rPr>
        <w:t xml:space="preserve">c) </w:t>
      </w:r>
      <w:r w:rsidRPr="0023027E">
        <w:rPr>
          <w:rFonts w:cs="Arial"/>
          <w:szCs w:val="20"/>
        </w:rPr>
        <w:t>četrtega odstavka 7. člena Uredbe 2023/2859/EU;</w:t>
      </w:r>
    </w:p>
    <w:p w14:paraId="7C1CE11C" w14:textId="77777777" w:rsidR="000966FE" w:rsidRDefault="00F52CEB">
      <w:pPr>
        <w:pStyle w:val="Odstavekseznama"/>
        <w:numPr>
          <w:ilvl w:val="0"/>
          <w:numId w:val="50"/>
        </w:numPr>
        <w:overflowPunct w:val="0"/>
        <w:autoSpaceDE w:val="0"/>
        <w:autoSpaceDN w:val="0"/>
        <w:adjustRightInd w:val="0"/>
        <w:spacing w:afterLines="20" w:after="48" w:line="240" w:lineRule="auto"/>
        <w:contextualSpacing w:val="0"/>
        <w:jc w:val="both"/>
        <w:textAlignment w:val="baseline"/>
        <w:rPr>
          <w:rFonts w:cs="Arial"/>
          <w:szCs w:val="20"/>
        </w:rPr>
      </w:pPr>
      <w:bookmarkStart w:id="29" w:name="_Hlk202530909"/>
      <w:r w:rsidRPr="0023027E">
        <w:rPr>
          <w:rFonts w:cs="Arial"/>
          <w:szCs w:val="20"/>
        </w:rPr>
        <w:t>oznako, ali informacije vsebujejo osebne podatke.</w:t>
      </w:r>
      <w:r w:rsidR="00CA51E3">
        <w:rPr>
          <w:rFonts w:cs="Arial"/>
          <w:szCs w:val="20"/>
        </w:rPr>
        <w:t>«.</w:t>
      </w:r>
      <w:r w:rsidRPr="0023027E">
        <w:rPr>
          <w:rFonts w:cs="Arial"/>
          <w:szCs w:val="20"/>
        </w:rPr>
        <w:t xml:space="preserve"> </w:t>
      </w:r>
    </w:p>
    <w:bookmarkEnd w:id="29"/>
    <w:p w14:paraId="7AF4DA3E" w14:textId="77777777" w:rsidR="000966FE" w:rsidRDefault="000966FE">
      <w:pPr>
        <w:spacing w:afterLines="20" w:after="48"/>
        <w:jc w:val="both"/>
        <w:rPr>
          <w:rFonts w:cs="Arial"/>
          <w:szCs w:val="20"/>
        </w:rPr>
      </w:pPr>
    </w:p>
    <w:p w14:paraId="1E656C18"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30" w:name="_Ref206418430"/>
      <w:r w:rsidRPr="0023027E">
        <w:rPr>
          <w:rFonts w:cs="Arial"/>
          <w:b/>
          <w:bCs/>
          <w:szCs w:val="20"/>
        </w:rPr>
        <w:t>člen</w:t>
      </w:r>
      <w:bookmarkEnd w:id="30"/>
    </w:p>
    <w:p w14:paraId="33F09A07" w14:textId="77777777" w:rsidR="000966FE" w:rsidRDefault="000966FE">
      <w:pPr>
        <w:spacing w:afterLines="20" w:after="48"/>
        <w:jc w:val="both"/>
        <w:rPr>
          <w:rFonts w:cs="Arial"/>
          <w:szCs w:val="20"/>
        </w:rPr>
      </w:pPr>
    </w:p>
    <w:p w14:paraId="3051D90F" w14:textId="77777777" w:rsidR="000966FE" w:rsidRPr="009B7DB9" w:rsidRDefault="00F52CEB">
      <w:pPr>
        <w:spacing w:afterLines="20" w:after="48"/>
        <w:jc w:val="both"/>
        <w:rPr>
          <w:rFonts w:cs="Arial"/>
          <w:szCs w:val="20"/>
        </w:rPr>
      </w:pPr>
      <w:r w:rsidRPr="009B7DB9">
        <w:rPr>
          <w:rFonts w:cs="Arial"/>
          <w:szCs w:val="20"/>
        </w:rPr>
        <w:t xml:space="preserve">V 79. členu se </w:t>
      </w:r>
      <w:r w:rsidR="005651E1" w:rsidRPr="009B7DB9">
        <w:rPr>
          <w:rFonts w:cs="Arial"/>
          <w:szCs w:val="20"/>
        </w:rPr>
        <w:t xml:space="preserve">za drugim </w:t>
      </w:r>
      <w:r w:rsidRPr="009B7DB9">
        <w:rPr>
          <w:rFonts w:cs="Arial"/>
          <w:szCs w:val="20"/>
        </w:rPr>
        <w:t>odstavk</w:t>
      </w:r>
      <w:r w:rsidR="005651E1" w:rsidRPr="009B7DB9">
        <w:rPr>
          <w:rFonts w:cs="Arial"/>
          <w:szCs w:val="20"/>
        </w:rPr>
        <w:t>om doda nov, tretji odstavek, ki se glasi:</w:t>
      </w:r>
    </w:p>
    <w:p w14:paraId="4F00D81C" w14:textId="0145A77D" w:rsidR="000966FE" w:rsidRDefault="005651E1">
      <w:pPr>
        <w:spacing w:afterLines="20" w:after="48"/>
        <w:jc w:val="both"/>
        <w:rPr>
          <w:rFonts w:cs="Arial"/>
          <w:szCs w:val="20"/>
        </w:rPr>
      </w:pPr>
      <w:r w:rsidRPr="009B7DB9">
        <w:rPr>
          <w:rFonts w:cs="Arial"/>
          <w:szCs w:val="20"/>
        </w:rPr>
        <w:t xml:space="preserve">»(3) Agencija je organ za zbiranje podatkov iz prvega odstavka tega člena, </w:t>
      </w:r>
      <w:r w:rsidR="00FB0833">
        <w:rPr>
          <w:rFonts w:cs="Arial"/>
          <w:szCs w:val="20"/>
        </w:rPr>
        <w:t>kakor</w:t>
      </w:r>
      <w:r w:rsidRPr="009B7DB9">
        <w:rPr>
          <w:rFonts w:cs="Arial"/>
          <w:szCs w:val="20"/>
        </w:rPr>
        <w:t xml:space="preserve"> je opredeljen v 2. točki 2. člena Uredbe 2023/2859/EU</w:t>
      </w:r>
      <w:r w:rsidR="00CA51E3" w:rsidRPr="009B7DB9">
        <w:rPr>
          <w:rFonts w:cs="Arial"/>
          <w:szCs w:val="20"/>
        </w:rPr>
        <w:t>,</w:t>
      </w:r>
      <w:r w:rsidRPr="009B7DB9">
        <w:rPr>
          <w:rFonts w:cs="Arial"/>
          <w:szCs w:val="20"/>
        </w:rPr>
        <w:t xml:space="preserve"> in zagotavlja, da so te informacije dostopne </w:t>
      </w:r>
      <w:r w:rsidR="002179A5">
        <w:rPr>
          <w:rFonts w:cs="Arial"/>
          <w:szCs w:val="20"/>
        </w:rPr>
        <w:t>na</w:t>
      </w:r>
      <w:r w:rsidRPr="009B7DB9">
        <w:rPr>
          <w:rFonts w:cs="Arial"/>
          <w:szCs w:val="20"/>
        </w:rPr>
        <w:t xml:space="preserve"> evropski enotni točki dostopa, vzpostavljeni na podlagi prvega odstavka 1. člena Uredbe 2023/2859/EU.«</w:t>
      </w:r>
      <w:r w:rsidR="00F52CEB" w:rsidRPr="009B7DB9">
        <w:rPr>
          <w:rFonts w:cs="Arial"/>
          <w:szCs w:val="20"/>
        </w:rPr>
        <w:t>.</w:t>
      </w:r>
      <w:r w:rsidR="00F52CEB" w:rsidRPr="0023027E">
        <w:rPr>
          <w:rFonts w:cs="Arial"/>
          <w:szCs w:val="20"/>
        </w:rPr>
        <w:t xml:space="preserve"> </w:t>
      </w:r>
    </w:p>
    <w:p w14:paraId="6E6F84D5" w14:textId="77777777" w:rsidR="000966FE" w:rsidRDefault="000966FE">
      <w:pPr>
        <w:spacing w:afterLines="20" w:after="48"/>
        <w:jc w:val="both"/>
        <w:rPr>
          <w:rFonts w:cs="Arial"/>
          <w:szCs w:val="20"/>
        </w:rPr>
      </w:pPr>
    </w:p>
    <w:p w14:paraId="4747D757" w14:textId="77777777" w:rsidR="000966FE" w:rsidRDefault="00F52CEB">
      <w:pPr>
        <w:spacing w:afterLines="20" w:after="48"/>
        <w:jc w:val="both"/>
        <w:rPr>
          <w:rFonts w:cs="Arial"/>
          <w:b/>
          <w:bCs/>
          <w:szCs w:val="20"/>
        </w:rPr>
      </w:pPr>
      <w:r w:rsidRPr="0023027E">
        <w:rPr>
          <w:rFonts w:cs="Arial"/>
          <w:b/>
          <w:bCs/>
          <w:szCs w:val="20"/>
        </w:rPr>
        <w:t>4. Zakon o gospodarskih družbah</w:t>
      </w:r>
    </w:p>
    <w:p w14:paraId="2A1CF71A" w14:textId="77777777" w:rsidR="000966FE" w:rsidRDefault="000966FE">
      <w:pPr>
        <w:spacing w:afterLines="20" w:after="48"/>
        <w:jc w:val="both"/>
        <w:rPr>
          <w:rFonts w:cs="Arial"/>
          <w:szCs w:val="20"/>
          <w:highlight w:val="yellow"/>
        </w:rPr>
      </w:pPr>
    </w:p>
    <w:p w14:paraId="344079C3"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31" w:name="_Ref206424190"/>
      <w:r w:rsidRPr="0023027E">
        <w:rPr>
          <w:rFonts w:cs="Arial"/>
          <w:b/>
          <w:bCs/>
          <w:szCs w:val="20"/>
        </w:rPr>
        <w:t>člen</w:t>
      </w:r>
      <w:bookmarkEnd w:id="31"/>
    </w:p>
    <w:p w14:paraId="288BF519" w14:textId="77777777" w:rsidR="000966FE" w:rsidRDefault="000966FE">
      <w:pPr>
        <w:spacing w:afterLines="20" w:after="48"/>
        <w:jc w:val="both"/>
        <w:rPr>
          <w:rFonts w:cs="Arial"/>
          <w:szCs w:val="20"/>
        </w:rPr>
      </w:pPr>
    </w:p>
    <w:p w14:paraId="1C468FF5" w14:textId="154BCA7F" w:rsidR="000966FE" w:rsidRDefault="00F52CEB">
      <w:pPr>
        <w:spacing w:afterLines="20" w:after="48" w:line="260" w:lineRule="exact"/>
        <w:jc w:val="both"/>
        <w:rPr>
          <w:rFonts w:cs="Arial"/>
          <w:color w:val="000000" w:themeColor="text1"/>
          <w:szCs w:val="20"/>
        </w:rPr>
      </w:pPr>
      <w:r w:rsidRPr="0023027E">
        <w:rPr>
          <w:rFonts w:cs="Arial"/>
          <w:szCs w:val="20"/>
        </w:rPr>
        <w:t xml:space="preserve">V Zakonu o gospodarskih družbah </w:t>
      </w:r>
      <w:r w:rsidR="00D67312" w:rsidRPr="0023027E">
        <w:rPr>
          <w:rFonts w:cs="Arial"/>
          <w:szCs w:val="20"/>
        </w:rPr>
        <w:t>(</w:t>
      </w:r>
      <w:r w:rsidRPr="0023027E">
        <w:rPr>
          <w:rFonts w:cs="Arial"/>
          <w:szCs w:val="20"/>
        </w:rPr>
        <w:t xml:space="preserve">Uradni list RS, št. 65/09 – uradno prečiščeno besedilo, 33/11, 91/11, 32/12, 57/12, 44/13 – </w:t>
      </w:r>
      <w:proofErr w:type="spellStart"/>
      <w:r w:rsidRPr="0023027E">
        <w:rPr>
          <w:rFonts w:cs="Arial"/>
          <w:szCs w:val="20"/>
        </w:rPr>
        <w:t>odl</w:t>
      </w:r>
      <w:proofErr w:type="spellEnd"/>
      <w:r w:rsidRPr="0023027E">
        <w:rPr>
          <w:rFonts w:cs="Arial"/>
          <w:szCs w:val="20"/>
        </w:rPr>
        <w:t xml:space="preserve">. US, 82/13, 55/15, 15/17, 22/19 – </w:t>
      </w:r>
      <w:proofErr w:type="spellStart"/>
      <w:r w:rsidRPr="0023027E">
        <w:rPr>
          <w:rFonts w:cs="Arial"/>
          <w:szCs w:val="20"/>
        </w:rPr>
        <w:t>ZPosS</w:t>
      </w:r>
      <w:proofErr w:type="spellEnd"/>
      <w:r w:rsidRPr="0023027E">
        <w:rPr>
          <w:rFonts w:cs="Arial"/>
          <w:szCs w:val="20"/>
        </w:rPr>
        <w:t xml:space="preserve">, 158/20 – </w:t>
      </w:r>
      <w:proofErr w:type="spellStart"/>
      <w:r w:rsidRPr="0023027E">
        <w:rPr>
          <w:rFonts w:cs="Arial"/>
          <w:szCs w:val="20"/>
        </w:rPr>
        <w:t>ZIntPK</w:t>
      </w:r>
      <w:proofErr w:type="spellEnd"/>
      <w:r w:rsidRPr="0023027E">
        <w:rPr>
          <w:rFonts w:cs="Arial"/>
          <w:szCs w:val="20"/>
        </w:rPr>
        <w:t>-C, 18/21, 18/23 – ZDU-1O, 75/23 in 102/24</w:t>
      </w:r>
      <w:r w:rsidR="00D67312" w:rsidRPr="0023027E">
        <w:rPr>
          <w:rFonts w:cs="Arial"/>
          <w:szCs w:val="20"/>
        </w:rPr>
        <w:t>)</w:t>
      </w:r>
      <w:r w:rsidRPr="0023027E">
        <w:rPr>
          <w:rFonts w:cs="Arial"/>
          <w:szCs w:val="20"/>
        </w:rPr>
        <w:t xml:space="preserve"> se </w:t>
      </w:r>
      <w:r w:rsidRPr="0023027E">
        <w:rPr>
          <w:rFonts w:cs="Arial"/>
          <w:color w:val="000000" w:themeColor="text1"/>
          <w:szCs w:val="20"/>
        </w:rPr>
        <w:t>v 3. členu v osmem odstavku za enajsto alinejo pika nadomesti s podpičjem in doda nova</w:t>
      </w:r>
      <w:r w:rsidR="007E71F8">
        <w:rPr>
          <w:rFonts w:cs="Arial"/>
          <w:color w:val="000000" w:themeColor="text1"/>
          <w:szCs w:val="20"/>
        </w:rPr>
        <w:t>,</w:t>
      </w:r>
      <w:r w:rsidRPr="0023027E">
        <w:rPr>
          <w:rFonts w:cs="Arial"/>
          <w:color w:val="000000" w:themeColor="text1"/>
          <w:szCs w:val="20"/>
        </w:rPr>
        <w:t xml:space="preserve"> dvanajsta alineja, ki se glasi:</w:t>
      </w:r>
    </w:p>
    <w:p w14:paraId="5A0D759B" w14:textId="77777777" w:rsidR="00F52CEB" w:rsidRPr="0023027E" w:rsidRDefault="00F52CEB" w:rsidP="00F52CEB">
      <w:pPr>
        <w:spacing w:line="240" w:lineRule="auto"/>
        <w:jc w:val="both"/>
        <w:rPr>
          <w:rFonts w:cs="Arial"/>
          <w:color w:val="000000" w:themeColor="text1"/>
          <w:szCs w:val="20"/>
        </w:rPr>
      </w:pPr>
    </w:p>
    <w:p w14:paraId="51659FB6" w14:textId="440189AA" w:rsidR="00F52CEB" w:rsidRPr="004210A7" w:rsidRDefault="00F52CEB" w:rsidP="004210A7">
      <w:pPr>
        <w:spacing w:afterLines="20" w:after="48" w:line="260" w:lineRule="exact"/>
        <w:jc w:val="both"/>
        <w:rPr>
          <w:rFonts w:cs="Arial"/>
          <w:szCs w:val="20"/>
        </w:rPr>
      </w:pPr>
      <w:r w:rsidRPr="004210A7">
        <w:rPr>
          <w:rFonts w:cs="Arial"/>
          <w:szCs w:val="20"/>
        </w:rPr>
        <w:t>»</w:t>
      </w:r>
      <w:r w:rsidR="006A1FF3">
        <w:rPr>
          <w:rFonts w:cs="Arial"/>
          <w:color w:val="000000" w:themeColor="text1"/>
          <w:szCs w:val="20"/>
        </w:rPr>
        <w:t>–</w:t>
      </w:r>
      <w:r w:rsidR="006A1FF3" w:rsidRPr="0023027E">
        <w:rPr>
          <w:rFonts w:cs="Arial"/>
          <w:color w:val="000000" w:themeColor="text1"/>
          <w:szCs w:val="20"/>
        </w:rPr>
        <w:t xml:space="preserve"> </w:t>
      </w:r>
      <w:r w:rsidRPr="004210A7">
        <w:rPr>
          <w:rFonts w:cs="Arial"/>
          <w:szCs w:val="20"/>
        </w:rPr>
        <w:t xml:space="preserve">»evropska enotna točka dostopa« </w:t>
      </w:r>
      <w:r w:rsidR="006F1164">
        <w:rPr>
          <w:rFonts w:cs="Arial"/>
          <w:szCs w:val="20"/>
        </w:rPr>
        <w:t xml:space="preserve">je </w:t>
      </w:r>
      <w:r w:rsidRPr="004210A7">
        <w:rPr>
          <w:rFonts w:cs="Arial"/>
          <w:szCs w:val="20"/>
        </w:rPr>
        <w:t xml:space="preserve">evropska enotna točka dostopa, </w:t>
      </w:r>
      <w:r w:rsidR="00FB0833">
        <w:rPr>
          <w:rFonts w:cs="Arial"/>
          <w:szCs w:val="20"/>
        </w:rPr>
        <w:t>kakor</w:t>
      </w:r>
      <w:r w:rsidRPr="004210A7">
        <w:rPr>
          <w:rFonts w:cs="Arial"/>
          <w:szCs w:val="20"/>
        </w:rPr>
        <w:t xml:space="preserve"> je opredeljena v 1. členu </w:t>
      </w:r>
      <w:r w:rsidR="009E4F82" w:rsidRPr="004210A7">
        <w:rPr>
          <w:rFonts w:cs="Arial"/>
          <w:szCs w:val="20"/>
        </w:rPr>
        <w:t xml:space="preserve">Uredbe (EU) 2023/2859 Evropskega parlamenta in Sveta z dne 13. decembra 2023 o vzpostavitvi evropske enotne točke dostopa, ki zagotavlja centraliziran dostop do javno dostopnih informacij, pomembnih za finančne storitve, kapitalske trge in </w:t>
      </w:r>
      <w:proofErr w:type="spellStart"/>
      <w:r w:rsidR="009E4F82" w:rsidRPr="004210A7">
        <w:rPr>
          <w:rFonts w:cs="Arial"/>
          <w:szCs w:val="20"/>
        </w:rPr>
        <w:t>trajnostnost</w:t>
      </w:r>
      <w:proofErr w:type="spellEnd"/>
      <w:r w:rsidR="009E4F82" w:rsidRPr="004210A7">
        <w:rPr>
          <w:rFonts w:cs="Arial"/>
          <w:szCs w:val="20"/>
        </w:rPr>
        <w:t xml:space="preserve"> (UL L št. 2023/2859 z dne 20. 12. 2023), zadnjič spremenjene z Uredbo (EU) 2024/3005 Evropskega parlamenta in Sveta z dne 27. novembra 2024 o preglednosti in celovitosti dejavnosti ocenjevanja </w:t>
      </w:r>
      <w:proofErr w:type="spellStart"/>
      <w:r w:rsidR="009E4F82" w:rsidRPr="004210A7">
        <w:rPr>
          <w:rFonts w:cs="Arial"/>
          <w:szCs w:val="20"/>
        </w:rPr>
        <w:t>okoljskih</w:t>
      </w:r>
      <w:proofErr w:type="spellEnd"/>
      <w:r w:rsidR="009E4F82" w:rsidRPr="004210A7">
        <w:rPr>
          <w:rFonts w:cs="Arial"/>
          <w:szCs w:val="20"/>
        </w:rPr>
        <w:t>, socialnih in upravljavskih (ESG) dejavnikov ter spremembi uredb (EU) 2019/2088</w:t>
      </w:r>
      <w:r w:rsidR="00B732CB" w:rsidRPr="00B732CB">
        <w:rPr>
          <w:rFonts w:cs="Arial"/>
          <w:szCs w:val="20"/>
        </w:rPr>
        <w:t xml:space="preserve"> </w:t>
      </w:r>
      <w:r w:rsidR="00B732CB">
        <w:rPr>
          <w:rFonts w:cs="Arial"/>
          <w:szCs w:val="20"/>
        </w:rPr>
        <w:t>in (EU) 2023/2859</w:t>
      </w:r>
      <w:r w:rsidR="009E4F82" w:rsidRPr="004210A7">
        <w:rPr>
          <w:rFonts w:cs="Arial"/>
          <w:szCs w:val="20"/>
        </w:rPr>
        <w:t xml:space="preserve"> (UL L št. 2024/3005 z dne 12. 12. 2024), (v nadaljnjem besedilu: Uredba 2023/2859/EU)</w:t>
      </w:r>
      <w:r w:rsidRPr="004210A7">
        <w:rPr>
          <w:rFonts w:cs="Arial"/>
          <w:szCs w:val="20"/>
        </w:rPr>
        <w:t>.«.</w:t>
      </w:r>
    </w:p>
    <w:p w14:paraId="42ACF23E" w14:textId="77777777" w:rsidR="000B6256" w:rsidRDefault="000B6256" w:rsidP="00F52CEB">
      <w:pPr>
        <w:spacing w:line="240" w:lineRule="auto"/>
        <w:jc w:val="both"/>
        <w:rPr>
          <w:rFonts w:cs="Arial"/>
          <w:color w:val="000000" w:themeColor="text1"/>
          <w:szCs w:val="20"/>
        </w:rPr>
      </w:pPr>
    </w:p>
    <w:p w14:paraId="7FD6084A" w14:textId="77777777" w:rsidR="000966FE" w:rsidRDefault="000966FE" w:rsidP="000966FE">
      <w:pPr>
        <w:spacing w:afterLines="20" w:after="48"/>
        <w:jc w:val="both"/>
        <w:rPr>
          <w:rFonts w:cs="Arial"/>
          <w:szCs w:val="20"/>
        </w:rPr>
      </w:pPr>
    </w:p>
    <w:p w14:paraId="510901EF"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32" w:name="_Ref206424758"/>
      <w:r w:rsidRPr="0023027E">
        <w:rPr>
          <w:rFonts w:cs="Arial"/>
          <w:b/>
          <w:bCs/>
          <w:szCs w:val="20"/>
        </w:rPr>
        <w:t>člen</w:t>
      </w:r>
      <w:bookmarkEnd w:id="32"/>
    </w:p>
    <w:p w14:paraId="619BFBD3" w14:textId="77777777" w:rsidR="000966FE" w:rsidRDefault="000966FE">
      <w:pPr>
        <w:spacing w:afterLines="20" w:after="48"/>
        <w:jc w:val="both"/>
        <w:rPr>
          <w:rFonts w:cs="Arial"/>
          <w:szCs w:val="20"/>
        </w:rPr>
      </w:pPr>
    </w:p>
    <w:p w14:paraId="3818AADD" w14:textId="05B062D5" w:rsidR="000966FE" w:rsidRDefault="00F52CEB">
      <w:pPr>
        <w:spacing w:afterLines="20" w:after="48"/>
        <w:jc w:val="both"/>
        <w:rPr>
          <w:rFonts w:cs="Arial"/>
          <w:szCs w:val="20"/>
        </w:rPr>
      </w:pPr>
      <w:r w:rsidRPr="0023027E">
        <w:rPr>
          <w:rFonts w:cs="Arial"/>
          <w:szCs w:val="20"/>
        </w:rPr>
        <w:t>Za 70.d členom se doda nov, 70.</w:t>
      </w:r>
      <w:r w:rsidR="005C3657">
        <w:rPr>
          <w:rFonts w:cs="Arial"/>
          <w:szCs w:val="20"/>
        </w:rPr>
        <w:t>da</w:t>
      </w:r>
      <w:r w:rsidR="005C3657" w:rsidRPr="0023027E">
        <w:rPr>
          <w:rFonts w:cs="Arial"/>
          <w:szCs w:val="20"/>
        </w:rPr>
        <w:t xml:space="preserve"> </w:t>
      </w:r>
      <w:r w:rsidRPr="0023027E">
        <w:rPr>
          <w:rFonts w:cs="Arial"/>
          <w:szCs w:val="20"/>
        </w:rPr>
        <w:t>člen, ki se glasi:</w:t>
      </w:r>
    </w:p>
    <w:p w14:paraId="255FB8A1" w14:textId="77777777" w:rsidR="000966FE" w:rsidRDefault="000966FE">
      <w:pPr>
        <w:spacing w:afterLines="20" w:after="48"/>
        <w:jc w:val="both"/>
        <w:rPr>
          <w:rFonts w:cs="Arial"/>
          <w:szCs w:val="20"/>
        </w:rPr>
      </w:pPr>
    </w:p>
    <w:p w14:paraId="643AB1E2" w14:textId="77777777" w:rsidR="000966FE" w:rsidRDefault="00F52CEB">
      <w:pPr>
        <w:spacing w:afterLines="20" w:after="48"/>
        <w:jc w:val="center"/>
        <w:rPr>
          <w:rFonts w:cs="Arial"/>
          <w:b/>
          <w:bCs/>
          <w:szCs w:val="20"/>
        </w:rPr>
      </w:pPr>
      <w:r w:rsidRPr="0023027E">
        <w:rPr>
          <w:rFonts w:cs="Arial"/>
          <w:szCs w:val="20"/>
        </w:rPr>
        <w:t>»</w:t>
      </w:r>
      <w:r w:rsidRPr="0023027E">
        <w:rPr>
          <w:rFonts w:cs="Arial"/>
          <w:b/>
          <w:bCs/>
          <w:szCs w:val="20"/>
        </w:rPr>
        <w:t>70.</w:t>
      </w:r>
      <w:r w:rsidR="00D94581" w:rsidRPr="0023027E">
        <w:rPr>
          <w:rFonts w:cs="Arial"/>
          <w:b/>
          <w:bCs/>
          <w:szCs w:val="20"/>
        </w:rPr>
        <w:t>da</w:t>
      </w:r>
      <w:r w:rsidRPr="0023027E">
        <w:rPr>
          <w:rFonts w:cs="Arial"/>
          <w:b/>
          <w:bCs/>
          <w:szCs w:val="20"/>
        </w:rPr>
        <w:t xml:space="preserve"> člen</w:t>
      </w:r>
    </w:p>
    <w:p w14:paraId="3AC70A30" w14:textId="5DA9BEC3" w:rsidR="000966FE" w:rsidRDefault="00F52CEB">
      <w:pPr>
        <w:spacing w:afterLines="20" w:after="48"/>
        <w:jc w:val="center"/>
        <w:rPr>
          <w:rFonts w:cs="Arial"/>
          <w:b/>
          <w:bCs/>
          <w:szCs w:val="20"/>
        </w:rPr>
      </w:pPr>
      <w:r w:rsidRPr="0023027E">
        <w:rPr>
          <w:rFonts w:cs="Arial"/>
          <w:b/>
          <w:bCs/>
          <w:szCs w:val="20"/>
        </w:rPr>
        <w:t>(</w:t>
      </w:r>
      <w:r w:rsidR="002179A5" w:rsidRPr="0097040B">
        <w:rPr>
          <w:rFonts w:cs="Arial"/>
          <w:b/>
          <w:bCs/>
          <w:szCs w:val="20"/>
        </w:rPr>
        <w:t>predložitev informacij na evropsko enotno točko dostopa</w:t>
      </w:r>
      <w:r w:rsidRPr="0023027E">
        <w:rPr>
          <w:rFonts w:cs="Arial"/>
          <w:b/>
          <w:bCs/>
          <w:szCs w:val="20"/>
        </w:rPr>
        <w:t>)</w:t>
      </w:r>
    </w:p>
    <w:p w14:paraId="00DE9A2D" w14:textId="77777777" w:rsidR="000966FE" w:rsidRDefault="000966FE">
      <w:pPr>
        <w:spacing w:afterLines="20" w:after="48"/>
        <w:jc w:val="both"/>
        <w:rPr>
          <w:rFonts w:cs="Arial"/>
          <w:szCs w:val="20"/>
        </w:rPr>
      </w:pPr>
    </w:p>
    <w:p w14:paraId="76CD4F71" w14:textId="522F9BD5" w:rsidR="000966FE" w:rsidRDefault="00F52CEB">
      <w:pPr>
        <w:spacing w:afterLines="20" w:after="48"/>
        <w:jc w:val="both"/>
        <w:rPr>
          <w:rFonts w:cs="Arial"/>
          <w:szCs w:val="20"/>
        </w:rPr>
      </w:pPr>
      <w:r w:rsidRPr="0023027E">
        <w:rPr>
          <w:rFonts w:cs="Arial"/>
          <w:szCs w:val="20"/>
        </w:rPr>
        <w:t xml:space="preserve">(1) Družbe iz 70.c, 70.č 70.d </w:t>
      </w:r>
      <w:r w:rsidR="00CA2BF0" w:rsidRPr="0023027E">
        <w:rPr>
          <w:rFonts w:cs="Arial"/>
          <w:szCs w:val="20"/>
        </w:rPr>
        <w:t xml:space="preserve">in </w:t>
      </w:r>
      <w:r w:rsidR="00CA2BF0">
        <w:rPr>
          <w:rFonts w:cs="Arial"/>
          <w:szCs w:val="20"/>
        </w:rPr>
        <w:t xml:space="preserve">683.b </w:t>
      </w:r>
      <w:r w:rsidRPr="0023027E">
        <w:rPr>
          <w:rFonts w:cs="Arial"/>
          <w:szCs w:val="20"/>
        </w:rPr>
        <w:t xml:space="preserve">člena tega zakona pri objavi </w:t>
      </w:r>
      <w:r w:rsidR="00C0481E">
        <w:rPr>
          <w:rFonts w:cs="Arial"/>
          <w:szCs w:val="20"/>
        </w:rPr>
        <w:t xml:space="preserve">letnega </w:t>
      </w:r>
      <w:r w:rsidRPr="0023027E">
        <w:rPr>
          <w:rFonts w:cs="Arial"/>
          <w:szCs w:val="20"/>
        </w:rPr>
        <w:t xml:space="preserve"> poročila, konsolidiranega </w:t>
      </w:r>
      <w:r w:rsidR="00C0481E">
        <w:rPr>
          <w:rFonts w:cs="Arial"/>
          <w:szCs w:val="20"/>
        </w:rPr>
        <w:t>letnega</w:t>
      </w:r>
      <w:r w:rsidRPr="0023027E">
        <w:rPr>
          <w:rFonts w:cs="Arial"/>
          <w:szCs w:val="20"/>
        </w:rPr>
        <w:t xml:space="preserve"> poročila, </w:t>
      </w:r>
      <w:r w:rsidR="006A1FF3">
        <w:rPr>
          <w:rFonts w:cs="Arial"/>
          <w:szCs w:val="20"/>
        </w:rPr>
        <w:t xml:space="preserve">pri obeh poročilih </w:t>
      </w:r>
      <w:r w:rsidRPr="0023027E">
        <w:rPr>
          <w:rFonts w:cs="Arial"/>
          <w:szCs w:val="20"/>
        </w:rPr>
        <w:t>vključno z informacijami, zahtevanimi v 8. členu Uredbe 2020/852/EU, ter letnih računovodskih izkazov, konsolidiranih računovodskih izkazov, reviz</w:t>
      </w:r>
      <w:r w:rsidR="00CA2BF0">
        <w:rPr>
          <w:rFonts w:cs="Arial"/>
          <w:szCs w:val="20"/>
        </w:rPr>
        <w:t>orjevega poročila o računovodskih izkazih</w:t>
      </w:r>
      <w:r w:rsidRPr="0023027E">
        <w:rPr>
          <w:rFonts w:cs="Arial"/>
          <w:szCs w:val="20"/>
        </w:rPr>
        <w:t xml:space="preserve">, </w:t>
      </w:r>
      <w:r w:rsidR="00CA2BF0">
        <w:rPr>
          <w:rFonts w:cs="Arial"/>
          <w:szCs w:val="20"/>
        </w:rPr>
        <w:t xml:space="preserve">revizorjevega poročila o dajanju zagotovil o </w:t>
      </w:r>
      <w:proofErr w:type="spellStart"/>
      <w:r w:rsidR="00CA2BF0">
        <w:rPr>
          <w:rFonts w:cs="Arial"/>
          <w:szCs w:val="20"/>
        </w:rPr>
        <w:t>trajnostnosti</w:t>
      </w:r>
      <w:proofErr w:type="spellEnd"/>
      <w:r w:rsidRPr="0023027E">
        <w:rPr>
          <w:rFonts w:cs="Arial"/>
          <w:szCs w:val="20"/>
        </w:rPr>
        <w:t xml:space="preserve">, poročil o </w:t>
      </w:r>
      <w:proofErr w:type="spellStart"/>
      <w:r w:rsidRPr="0023027E">
        <w:rPr>
          <w:rFonts w:cs="Arial"/>
          <w:szCs w:val="20"/>
        </w:rPr>
        <w:t>trajnostnosti</w:t>
      </w:r>
      <w:proofErr w:type="spellEnd"/>
      <w:r w:rsidRPr="0023027E">
        <w:rPr>
          <w:rFonts w:cs="Arial"/>
          <w:szCs w:val="20"/>
        </w:rPr>
        <w:t xml:space="preserve"> </w:t>
      </w:r>
      <w:r w:rsidR="00CA2BF0">
        <w:rPr>
          <w:rFonts w:cs="Arial"/>
          <w:szCs w:val="20"/>
        </w:rPr>
        <w:t xml:space="preserve">v zvezi s tujim </w:t>
      </w:r>
      <w:r w:rsidRPr="0023027E">
        <w:rPr>
          <w:rFonts w:cs="Arial"/>
          <w:szCs w:val="20"/>
        </w:rPr>
        <w:t>podjetj</w:t>
      </w:r>
      <w:r w:rsidR="00CA2BF0">
        <w:rPr>
          <w:rFonts w:cs="Arial"/>
          <w:szCs w:val="20"/>
        </w:rPr>
        <w:t>em</w:t>
      </w:r>
      <w:r w:rsidRPr="0023027E">
        <w:rPr>
          <w:rFonts w:cs="Arial"/>
          <w:szCs w:val="20"/>
        </w:rPr>
        <w:t xml:space="preserve"> iz tretj</w:t>
      </w:r>
      <w:r w:rsidR="00CA2BF0">
        <w:rPr>
          <w:rFonts w:cs="Arial"/>
          <w:szCs w:val="20"/>
        </w:rPr>
        <w:t>e</w:t>
      </w:r>
      <w:r w:rsidRPr="0023027E">
        <w:rPr>
          <w:rFonts w:cs="Arial"/>
          <w:szCs w:val="20"/>
        </w:rPr>
        <w:t xml:space="preserve"> držav</w:t>
      </w:r>
      <w:r w:rsidR="00CA2BF0">
        <w:rPr>
          <w:rFonts w:cs="Arial"/>
          <w:szCs w:val="20"/>
        </w:rPr>
        <w:t>e</w:t>
      </w:r>
      <w:r w:rsidRPr="0023027E">
        <w:rPr>
          <w:rFonts w:cs="Arial"/>
          <w:szCs w:val="20"/>
        </w:rPr>
        <w:t xml:space="preserve">, izjave iz </w:t>
      </w:r>
      <w:r w:rsidR="00CA2BF0">
        <w:rPr>
          <w:rFonts w:cs="Arial"/>
          <w:szCs w:val="20"/>
        </w:rPr>
        <w:t>tretjega</w:t>
      </w:r>
      <w:r w:rsidRPr="0023027E">
        <w:rPr>
          <w:rFonts w:cs="Arial"/>
          <w:szCs w:val="20"/>
        </w:rPr>
        <w:t xml:space="preserve"> odstavka 70.d člena tega zakona, poročila o plačilih vladam ter konsolidiranega poročila o plačilih vladam iz 70.b člena tega zakona te informacije hkrati predložijo </w:t>
      </w:r>
      <w:r w:rsidR="00BE7658">
        <w:rPr>
          <w:rFonts w:cs="Arial"/>
          <w:szCs w:val="20"/>
        </w:rPr>
        <w:t>AJPES</w:t>
      </w:r>
      <w:r w:rsidRPr="0023027E">
        <w:rPr>
          <w:rFonts w:cs="Arial"/>
          <w:szCs w:val="20"/>
        </w:rPr>
        <w:t>. A</w:t>
      </w:r>
      <w:r w:rsidR="00BE7658">
        <w:rPr>
          <w:rFonts w:cs="Arial"/>
          <w:szCs w:val="20"/>
        </w:rPr>
        <w:t>JPES</w:t>
      </w:r>
      <w:r w:rsidRPr="0023027E">
        <w:rPr>
          <w:rFonts w:cs="Arial"/>
          <w:szCs w:val="20"/>
        </w:rPr>
        <w:t xml:space="preserve">, ki je organ za zbiranje podatkov, </w:t>
      </w:r>
      <w:r w:rsidR="00FB0833">
        <w:rPr>
          <w:rFonts w:cs="Arial"/>
          <w:szCs w:val="20"/>
        </w:rPr>
        <w:t>kakor</w:t>
      </w:r>
      <w:r w:rsidRPr="0023027E">
        <w:rPr>
          <w:rFonts w:cs="Arial"/>
          <w:szCs w:val="20"/>
        </w:rPr>
        <w:t xml:space="preserve"> je opredeljen v 2. točki 2. člena Uredbe 2023/2859/EU</w:t>
      </w:r>
      <w:r w:rsidR="00CE2EDB">
        <w:rPr>
          <w:rFonts w:cs="Arial"/>
          <w:szCs w:val="20"/>
        </w:rPr>
        <w:t>,</w:t>
      </w:r>
      <w:r w:rsidRPr="0023027E">
        <w:rPr>
          <w:rFonts w:cs="Arial"/>
          <w:szCs w:val="20"/>
        </w:rPr>
        <w:t xml:space="preserve"> informacije iz prejšnjega stavka predloži evropski enotni točki dostopa.</w:t>
      </w:r>
    </w:p>
    <w:p w14:paraId="3D6D8A81" w14:textId="77777777" w:rsidR="000966FE" w:rsidRDefault="000966FE">
      <w:pPr>
        <w:spacing w:afterLines="20" w:after="48"/>
        <w:jc w:val="both"/>
        <w:rPr>
          <w:rFonts w:cs="Arial"/>
          <w:szCs w:val="20"/>
        </w:rPr>
      </w:pPr>
    </w:p>
    <w:p w14:paraId="2E673DD2" w14:textId="4C834C92" w:rsidR="000966FE" w:rsidRDefault="00F52CEB">
      <w:pPr>
        <w:spacing w:afterLines="20" w:after="48"/>
        <w:jc w:val="both"/>
        <w:rPr>
          <w:rFonts w:cs="Arial"/>
          <w:szCs w:val="20"/>
        </w:rPr>
      </w:pPr>
      <w:r w:rsidRPr="0023027E">
        <w:rPr>
          <w:rFonts w:cs="Arial"/>
          <w:szCs w:val="20"/>
        </w:rPr>
        <w:t xml:space="preserve">(2) Informacije iz prejšnjega odstavka </w:t>
      </w:r>
      <w:r w:rsidR="006A1FF3" w:rsidRPr="0023027E">
        <w:rPr>
          <w:rFonts w:cs="Arial"/>
          <w:szCs w:val="20"/>
        </w:rPr>
        <w:t xml:space="preserve">so </w:t>
      </w:r>
      <w:r w:rsidR="006A1FF3">
        <w:rPr>
          <w:rFonts w:cs="Arial"/>
          <w:szCs w:val="20"/>
        </w:rPr>
        <w:t xml:space="preserve">v </w:t>
      </w:r>
      <w:r w:rsidR="006A1FF3" w:rsidRPr="0023027E">
        <w:rPr>
          <w:rFonts w:cs="Arial"/>
          <w:szCs w:val="20"/>
        </w:rPr>
        <w:t>sklad</w:t>
      </w:r>
      <w:r w:rsidR="006A1FF3">
        <w:rPr>
          <w:rFonts w:cs="Arial"/>
          <w:szCs w:val="20"/>
        </w:rPr>
        <w:t>u</w:t>
      </w:r>
      <w:r w:rsidR="006A1FF3" w:rsidRPr="0023027E">
        <w:rPr>
          <w:rFonts w:cs="Arial"/>
          <w:szCs w:val="20"/>
        </w:rPr>
        <w:t xml:space="preserve"> </w:t>
      </w:r>
      <w:r w:rsidR="006A1FF3">
        <w:rPr>
          <w:rFonts w:cs="Arial"/>
          <w:szCs w:val="20"/>
        </w:rPr>
        <w:t>s</w:t>
      </w:r>
      <w:r w:rsidR="006A1FF3" w:rsidRPr="0023027E">
        <w:rPr>
          <w:rFonts w:cs="Arial"/>
          <w:szCs w:val="20"/>
        </w:rPr>
        <w:t xml:space="preserve"> </w:t>
      </w:r>
      <w:r w:rsidR="006A1FF3">
        <w:rPr>
          <w:rFonts w:cs="Arial"/>
          <w:szCs w:val="20"/>
        </w:rPr>
        <w:t>t</w:t>
      </w:r>
      <w:r w:rsidR="006A1FF3" w:rsidRPr="0023027E">
        <w:rPr>
          <w:rFonts w:cs="Arial"/>
          <w:szCs w:val="20"/>
        </w:rPr>
        <w:t>emi zahtevami</w:t>
      </w:r>
      <w:r w:rsidRPr="0023027E">
        <w:rPr>
          <w:rFonts w:cs="Arial"/>
          <w:szCs w:val="20"/>
        </w:rPr>
        <w:t>:</w:t>
      </w:r>
    </w:p>
    <w:p w14:paraId="49BB7BA7" w14:textId="0ED3ED80" w:rsidR="000966FE" w:rsidRDefault="00F52CEB">
      <w:pPr>
        <w:spacing w:afterLines="20" w:after="48"/>
        <w:jc w:val="both"/>
        <w:rPr>
          <w:rFonts w:cs="Arial"/>
          <w:szCs w:val="20"/>
        </w:rPr>
      </w:pPr>
      <w:r w:rsidRPr="0023027E">
        <w:rPr>
          <w:rFonts w:cs="Arial"/>
          <w:szCs w:val="20"/>
        </w:rPr>
        <w:t xml:space="preserve">1. predložene so v formatu, ki omogoča izvoz podatkov, kakor je opredeljen v 3. točki 2. člena </w:t>
      </w:r>
      <w:r w:rsidR="0065550F" w:rsidRPr="0023027E">
        <w:rPr>
          <w:rFonts w:cs="Arial"/>
          <w:szCs w:val="20"/>
        </w:rPr>
        <w:t>Uredbe 2023/2859/E</w:t>
      </w:r>
      <w:r w:rsidR="0065550F" w:rsidRPr="004C3C23">
        <w:rPr>
          <w:rFonts w:cs="Arial"/>
          <w:szCs w:val="20"/>
        </w:rPr>
        <w:t>U, ali</w:t>
      </w:r>
      <w:r w:rsidR="0065550F" w:rsidRPr="0023027E">
        <w:rPr>
          <w:rFonts w:cs="Arial"/>
          <w:szCs w:val="20"/>
        </w:rPr>
        <w:t xml:space="preserve"> kadar to zahtevajo predpisi, v strojno berljiv</w:t>
      </w:r>
      <w:r w:rsidR="0065550F">
        <w:rPr>
          <w:rFonts w:cs="Arial"/>
          <w:szCs w:val="20"/>
        </w:rPr>
        <w:t>i</w:t>
      </w:r>
      <w:r w:rsidR="0065550F" w:rsidRPr="0023027E">
        <w:rPr>
          <w:rFonts w:cs="Arial"/>
          <w:szCs w:val="20"/>
        </w:rPr>
        <w:t xml:space="preserve"> </w:t>
      </w:r>
      <w:r w:rsidR="0065550F">
        <w:rPr>
          <w:rFonts w:cs="Arial"/>
          <w:szCs w:val="20"/>
        </w:rPr>
        <w:t>obliki</w:t>
      </w:r>
      <w:r w:rsidR="0065550F" w:rsidRPr="0023027E">
        <w:rPr>
          <w:rFonts w:cs="Arial"/>
          <w:szCs w:val="20"/>
        </w:rPr>
        <w:t>, kakor je opredeljen</w:t>
      </w:r>
      <w:r w:rsidR="0065550F">
        <w:rPr>
          <w:rFonts w:cs="Arial"/>
          <w:szCs w:val="20"/>
        </w:rPr>
        <w:t>a</w:t>
      </w:r>
      <w:r w:rsidR="0065550F" w:rsidRPr="0023027E">
        <w:rPr>
          <w:rFonts w:cs="Arial"/>
          <w:szCs w:val="20"/>
        </w:rPr>
        <w:t xml:space="preserve"> v 4. točki 2. člena Uredbe 2023/2859/EU</w:t>
      </w:r>
      <w:r w:rsidRPr="0023027E">
        <w:rPr>
          <w:rFonts w:cs="Arial"/>
          <w:szCs w:val="20"/>
        </w:rPr>
        <w:t xml:space="preserve">; </w:t>
      </w:r>
    </w:p>
    <w:p w14:paraId="388391C1" w14:textId="6066250F" w:rsidR="000966FE" w:rsidRDefault="00F52CEB">
      <w:pPr>
        <w:spacing w:afterLines="20" w:after="48"/>
        <w:jc w:val="both"/>
        <w:rPr>
          <w:rFonts w:cs="Arial"/>
          <w:szCs w:val="20"/>
        </w:rPr>
      </w:pPr>
      <w:r w:rsidRPr="0023027E">
        <w:rPr>
          <w:rFonts w:cs="Arial"/>
          <w:szCs w:val="20"/>
        </w:rPr>
        <w:t xml:space="preserve">2. vsebujejo </w:t>
      </w:r>
      <w:r w:rsidR="00F443AF">
        <w:rPr>
          <w:rFonts w:cs="Arial"/>
          <w:szCs w:val="20"/>
        </w:rPr>
        <w:t>te</w:t>
      </w:r>
      <w:r w:rsidRPr="0023027E">
        <w:rPr>
          <w:rFonts w:cs="Arial"/>
          <w:szCs w:val="20"/>
        </w:rPr>
        <w:t xml:space="preserve"> metapodatke:</w:t>
      </w:r>
    </w:p>
    <w:p w14:paraId="2A7B7C05" w14:textId="237BF337" w:rsidR="000966FE" w:rsidRDefault="00F52CEB">
      <w:pPr>
        <w:pStyle w:val="Odstavekseznama"/>
        <w:numPr>
          <w:ilvl w:val="0"/>
          <w:numId w:val="54"/>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vsa imena družbe, na katero se informacije nanašajo, in ime obvladujoče družbe, ki sporoča informacije na ravni skupine, kadar je družba, ki poroča, izvzeta odvisna družb</w:t>
      </w:r>
      <w:r w:rsidR="004210A7">
        <w:rPr>
          <w:rFonts w:cs="Arial"/>
          <w:szCs w:val="20"/>
        </w:rPr>
        <w:t>a</w:t>
      </w:r>
      <w:r w:rsidRPr="0023027E">
        <w:rPr>
          <w:rFonts w:cs="Arial"/>
          <w:szCs w:val="20"/>
        </w:rPr>
        <w:t xml:space="preserve"> iz četrtega odstavka 70.č člena tega zakona;</w:t>
      </w:r>
    </w:p>
    <w:p w14:paraId="5E519CAA" w14:textId="4D595EC1" w:rsidR="000966FE" w:rsidRDefault="00F52CEB">
      <w:pPr>
        <w:pStyle w:val="Odstavekseznama"/>
        <w:numPr>
          <w:ilvl w:val="0"/>
          <w:numId w:val="54"/>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identifikator pravnih subjektov družbe</w:t>
      </w:r>
      <w:r w:rsidR="006A1FF3">
        <w:rPr>
          <w:rFonts w:cs="Arial"/>
          <w:szCs w:val="20"/>
        </w:rPr>
        <w:t>,</w:t>
      </w:r>
      <w:r w:rsidRPr="0023027E">
        <w:rPr>
          <w:rFonts w:cs="Arial"/>
          <w:szCs w:val="20"/>
        </w:rPr>
        <w:t xml:space="preserve"> in kadar je družba, ki poroča, izvzeta odvisna družb</w:t>
      </w:r>
      <w:r w:rsidR="004210A7">
        <w:rPr>
          <w:rFonts w:cs="Arial"/>
          <w:szCs w:val="20"/>
        </w:rPr>
        <w:t>a</w:t>
      </w:r>
      <w:r w:rsidRPr="0023027E">
        <w:rPr>
          <w:rFonts w:cs="Arial"/>
          <w:szCs w:val="20"/>
        </w:rPr>
        <w:t xml:space="preserve"> iz četrtega odstavka 70.č člena tega zakona, kadar je na voljo, identifikator pravnih subjektov obvladujoče družbe, ki sporoča informacije na ravni skupine, </w:t>
      </w:r>
      <w:r w:rsidR="0065550F">
        <w:rPr>
          <w:rFonts w:cs="Arial"/>
          <w:szCs w:val="20"/>
        </w:rPr>
        <w:t>kakor</w:t>
      </w:r>
      <w:r w:rsidRPr="0023027E">
        <w:rPr>
          <w:rFonts w:cs="Arial"/>
          <w:szCs w:val="20"/>
        </w:rPr>
        <w:t xml:space="preserve"> je določen na podlagi točke </w:t>
      </w:r>
      <w:r w:rsidR="00892C49">
        <w:rPr>
          <w:rFonts w:cs="Arial"/>
          <w:szCs w:val="20"/>
        </w:rPr>
        <w:t>(</w:t>
      </w:r>
      <w:r w:rsidRPr="0023027E">
        <w:rPr>
          <w:rFonts w:cs="Arial"/>
          <w:szCs w:val="20"/>
        </w:rPr>
        <w:t xml:space="preserve">b) četrtega odstavka 7. člena Uredbe 2023/2859/EU; </w:t>
      </w:r>
    </w:p>
    <w:p w14:paraId="7BF3FF38" w14:textId="7C7EE076" w:rsidR="000966FE" w:rsidRDefault="00F52CEB">
      <w:pPr>
        <w:pStyle w:val="Odstavekseznama"/>
        <w:numPr>
          <w:ilvl w:val="0"/>
          <w:numId w:val="54"/>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velikost družbe po kategorijah, </w:t>
      </w:r>
      <w:r w:rsidR="0065550F">
        <w:rPr>
          <w:rFonts w:cs="Arial"/>
          <w:szCs w:val="20"/>
        </w:rPr>
        <w:t>kakor</w:t>
      </w:r>
      <w:r w:rsidRPr="0023027E">
        <w:rPr>
          <w:rFonts w:cs="Arial"/>
          <w:szCs w:val="20"/>
        </w:rPr>
        <w:t xml:space="preserve"> so določene na podlagi točke </w:t>
      </w:r>
      <w:r w:rsidR="00892C49">
        <w:rPr>
          <w:rFonts w:cs="Arial"/>
          <w:szCs w:val="20"/>
        </w:rPr>
        <w:t>(</w:t>
      </w:r>
      <w:r w:rsidRPr="0023027E">
        <w:rPr>
          <w:rFonts w:cs="Arial"/>
          <w:szCs w:val="20"/>
        </w:rPr>
        <w:t>d) četrtega odstavka 7. člena Uredbe 2023/2859/EU;</w:t>
      </w:r>
    </w:p>
    <w:p w14:paraId="5A9302E6" w14:textId="7654BE46" w:rsidR="000966FE" w:rsidRDefault="002239DE">
      <w:pPr>
        <w:pStyle w:val="Odstavekseznama"/>
        <w:numPr>
          <w:ilvl w:val="0"/>
          <w:numId w:val="54"/>
        </w:numPr>
        <w:overflowPunct w:val="0"/>
        <w:autoSpaceDE w:val="0"/>
        <w:autoSpaceDN w:val="0"/>
        <w:adjustRightInd w:val="0"/>
        <w:spacing w:afterLines="20" w:after="48" w:line="240" w:lineRule="auto"/>
        <w:contextualSpacing w:val="0"/>
        <w:jc w:val="both"/>
        <w:textAlignment w:val="baseline"/>
        <w:rPr>
          <w:rFonts w:cs="Arial"/>
          <w:szCs w:val="20"/>
        </w:rPr>
      </w:pPr>
      <w:r w:rsidRPr="002239DE">
        <w:rPr>
          <w:rFonts w:cs="Arial"/>
          <w:szCs w:val="20"/>
        </w:rPr>
        <w:t xml:space="preserve">navedbo industrijskih sektorjev </w:t>
      </w:r>
      <w:r w:rsidR="00F52CEB" w:rsidRPr="0023027E">
        <w:rPr>
          <w:rFonts w:cs="Arial"/>
          <w:szCs w:val="20"/>
        </w:rPr>
        <w:t xml:space="preserve">gospodarskih dejavnosti družbe, </w:t>
      </w:r>
      <w:r w:rsidR="00FB0833">
        <w:rPr>
          <w:rFonts w:cs="Arial"/>
          <w:szCs w:val="20"/>
        </w:rPr>
        <w:t>kakor</w:t>
      </w:r>
      <w:r w:rsidR="00F52CEB" w:rsidRPr="0023027E">
        <w:rPr>
          <w:rFonts w:cs="Arial"/>
          <w:szCs w:val="20"/>
        </w:rPr>
        <w:t xml:space="preserve"> so določeni na podlagi točke </w:t>
      </w:r>
      <w:r w:rsidR="00892C49">
        <w:rPr>
          <w:rFonts w:cs="Arial"/>
          <w:szCs w:val="20"/>
        </w:rPr>
        <w:t>(</w:t>
      </w:r>
      <w:r w:rsidR="00F52CEB" w:rsidRPr="0023027E">
        <w:rPr>
          <w:rFonts w:cs="Arial"/>
          <w:szCs w:val="20"/>
        </w:rPr>
        <w:t>e) četrtega odstavka 7. člena Uredbe 2023/2859/EU;</w:t>
      </w:r>
    </w:p>
    <w:p w14:paraId="54E31FA0" w14:textId="77777777" w:rsidR="000966FE" w:rsidRDefault="00F52CEB">
      <w:pPr>
        <w:pStyle w:val="Odstavekseznama"/>
        <w:numPr>
          <w:ilvl w:val="0"/>
          <w:numId w:val="54"/>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vrsto informacij glede na razvrstitev na podlagi točke </w:t>
      </w:r>
      <w:r w:rsidR="00892C49">
        <w:rPr>
          <w:rFonts w:cs="Arial"/>
          <w:szCs w:val="20"/>
        </w:rPr>
        <w:t>(</w:t>
      </w:r>
      <w:r w:rsidRPr="0023027E">
        <w:rPr>
          <w:rFonts w:cs="Arial"/>
          <w:szCs w:val="20"/>
        </w:rPr>
        <w:t xml:space="preserve">c) četrtega odstavka 7. člena Uredbe 2023/2859/EU; </w:t>
      </w:r>
    </w:p>
    <w:p w14:paraId="28411072" w14:textId="77777777" w:rsidR="000966FE" w:rsidRDefault="00F52CEB">
      <w:pPr>
        <w:pStyle w:val="Odstavekseznama"/>
        <w:numPr>
          <w:ilvl w:val="0"/>
          <w:numId w:val="54"/>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oznako, ali informacije vsebujejo osebne podatke. </w:t>
      </w:r>
    </w:p>
    <w:p w14:paraId="6320BEA7" w14:textId="77777777" w:rsidR="000966FE" w:rsidRDefault="000966FE">
      <w:pPr>
        <w:spacing w:afterLines="20" w:after="48"/>
        <w:jc w:val="both"/>
        <w:rPr>
          <w:rFonts w:cs="Arial"/>
          <w:szCs w:val="20"/>
        </w:rPr>
      </w:pPr>
    </w:p>
    <w:p w14:paraId="7A3EF351" w14:textId="22CE14BF" w:rsidR="000966FE" w:rsidRDefault="00F52CEB">
      <w:pPr>
        <w:spacing w:afterLines="20" w:after="48"/>
        <w:jc w:val="both"/>
        <w:rPr>
          <w:rFonts w:cs="Arial"/>
          <w:szCs w:val="20"/>
        </w:rPr>
      </w:pPr>
      <w:r w:rsidRPr="0023027E">
        <w:rPr>
          <w:rFonts w:cs="Arial"/>
          <w:szCs w:val="20"/>
        </w:rPr>
        <w:t>(3) Za namene druge alineje 2. točke prejšnjega odstavka družb</w:t>
      </w:r>
      <w:r w:rsidR="000D52C3" w:rsidRPr="0023027E">
        <w:rPr>
          <w:rFonts w:cs="Arial"/>
          <w:szCs w:val="20"/>
        </w:rPr>
        <w:t>a</w:t>
      </w:r>
      <w:r w:rsidRPr="0023027E">
        <w:rPr>
          <w:rFonts w:cs="Arial"/>
          <w:szCs w:val="20"/>
        </w:rPr>
        <w:t xml:space="preserve"> pridobi identifikator pravnih subjektov, </w:t>
      </w:r>
      <w:r w:rsidR="0065550F">
        <w:rPr>
          <w:rFonts w:cs="Arial"/>
          <w:szCs w:val="20"/>
        </w:rPr>
        <w:t>kakor</w:t>
      </w:r>
      <w:r w:rsidRPr="0023027E">
        <w:rPr>
          <w:rFonts w:cs="Arial"/>
          <w:szCs w:val="20"/>
        </w:rPr>
        <w:t xml:space="preserve"> je določen na podlagi točke </w:t>
      </w:r>
      <w:r w:rsidR="00892C49">
        <w:rPr>
          <w:rFonts w:cs="Arial"/>
          <w:szCs w:val="20"/>
        </w:rPr>
        <w:t>(</w:t>
      </w:r>
      <w:r w:rsidRPr="0023027E">
        <w:rPr>
          <w:rFonts w:cs="Arial"/>
          <w:szCs w:val="20"/>
        </w:rPr>
        <w:t xml:space="preserve">b) četrtega odstavka 7. člena Uredbe 2023/2859/EU, če </w:t>
      </w:r>
      <w:r w:rsidR="00F443AF" w:rsidRPr="004C3C23">
        <w:rPr>
          <w:rFonts w:cs="Arial"/>
          <w:szCs w:val="20"/>
        </w:rPr>
        <w:t>tega identifikatorja še nima</w:t>
      </w:r>
      <w:r w:rsidRPr="0023027E">
        <w:rPr>
          <w:rFonts w:cs="Arial"/>
          <w:szCs w:val="20"/>
        </w:rPr>
        <w:t>.</w:t>
      </w:r>
    </w:p>
    <w:p w14:paraId="5C0964C8" w14:textId="77777777" w:rsidR="000966FE" w:rsidRDefault="000966FE">
      <w:pPr>
        <w:spacing w:afterLines="20" w:after="48"/>
        <w:jc w:val="both"/>
        <w:rPr>
          <w:rFonts w:cs="Arial"/>
          <w:szCs w:val="20"/>
        </w:rPr>
      </w:pPr>
    </w:p>
    <w:p w14:paraId="6F6C3E52" w14:textId="7BF43B52" w:rsidR="000966FE" w:rsidRDefault="00F52CEB">
      <w:pPr>
        <w:spacing w:afterLines="20" w:after="48"/>
        <w:jc w:val="both"/>
        <w:rPr>
          <w:rFonts w:cs="Arial"/>
          <w:szCs w:val="20"/>
        </w:rPr>
      </w:pPr>
      <w:r w:rsidRPr="0023027E">
        <w:rPr>
          <w:rFonts w:cs="Arial"/>
          <w:szCs w:val="20"/>
        </w:rPr>
        <w:t xml:space="preserve">(4) Če družba informacije iz prvega odstavka tega člena predloži </w:t>
      </w:r>
      <w:r w:rsidR="00736F56" w:rsidRPr="00736F56">
        <w:rPr>
          <w:rFonts w:cs="Arial"/>
          <w:szCs w:val="20"/>
        </w:rPr>
        <w:t>v sistem za centralno shranjevanje nadzorovanih informacij na podlagi 15</w:t>
      </w:r>
      <w:r w:rsidR="00736F56">
        <w:rPr>
          <w:rFonts w:cs="Arial"/>
          <w:szCs w:val="20"/>
        </w:rPr>
        <w:t>9</w:t>
      </w:r>
      <w:r w:rsidR="00736F56" w:rsidRPr="00736F56">
        <w:rPr>
          <w:rFonts w:cs="Arial"/>
          <w:szCs w:val="20"/>
        </w:rPr>
        <w:t>. člena Zakona o trgu finančnih instrumentov (</w:t>
      </w:r>
      <w:r w:rsidR="007946ED" w:rsidRPr="007946ED">
        <w:rPr>
          <w:rFonts w:cs="Arial"/>
          <w:szCs w:val="20"/>
        </w:rPr>
        <w:t xml:space="preserve">Uradni list RS, št. 77/18, 17/19 – </w:t>
      </w:r>
      <w:proofErr w:type="spellStart"/>
      <w:r w:rsidR="007946ED" w:rsidRPr="007946ED">
        <w:rPr>
          <w:rFonts w:cs="Arial"/>
          <w:szCs w:val="20"/>
        </w:rPr>
        <w:t>popr</w:t>
      </w:r>
      <w:proofErr w:type="spellEnd"/>
      <w:r w:rsidR="007946ED" w:rsidRPr="007946ED">
        <w:rPr>
          <w:rFonts w:cs="Arial"/>
          <w:szCs w:val="20"/>
        </w:rPr>
        <w:t>., 66/19, 123/21</w:t>
      </w:r>
      <w:r w:rsidR="007946ED">
        <w:rPr>
          <w:rFonts w:cs="Arial"/>
          <w:szCs w:val="20"/>
        </w:rPr>
        <w:t>,</w:t>
      </w:r>
      <w:r w:rsidR="007946ED" w:rsidRPr="007946ED">
        <w:rPr>
          <w:rFonts w:cs="Arial"/>
          <w:szCs w:val="20"/>
        </w:rPr>
        <w:t xml:space="preserve"> 45/24</w:t>
      </w:r>
      <w:r w:rsidR="007946ED">
        <w:rPr>
          <w:rFonts w:cs="Arial"/>
          <w:szCs w:val="20"/>
        </w:rPr>
        <w:t xml:space="preserve"> in 77/25</w:t>
      </w:r>
      <w:r w:rsidR="00736F56" w:rsidRPr="00736F56">
        <w:rPr>
          <w:rFonts w:cs="Arial"/>
          <w:szCs w:val="20"/>
        </w:rPr>
        <w:t>; v nadaljnjem besedilu: ZTFI-1)</w:t>
      </w:r>
      <w:r w:rsidRPr="0023027E">
        <w:rPr>
          <w:rFonts w:cs="Arial"/>
          <w:szCs w:val="20"/>
        </w:rPr>
        <w:t>, da bi te informacije postale dostopne na evropski enotni točki dostopa, se šteje, da je ta družba izpolnil</w:t>
      </w:r>
      <w:r w:rsidR="007946ED">
        <w:rPr>
          <w:rFonts w:cs="Arial"/>
          <w:szCs w:val="20"/>
        </w:rPr>
        <w:t>a</w:t>
      </w:r>
      <w:r w:rsidRPr="0023027E">
        <w:rPr>
          <w:rFonts w:cs="Arial"/>
          <w:szCs w:val="20"/>
        </w:rPr>
        <w:t xml:space="preserve"> obveznosti iz prvega odstavka tega člena, če so te informacije </w:t>
      </w:r>
      <w:r w:rsidR="006A1FF3">
        <w:rPr>
          <w:rFonts w:cs="Arial"/>
          <w:szCs w:val="20"/>
        </w:rPr>
        <w:t xml:space="preserve">v </w:t>
      </w:r>
      <w:r w:rsidRPr="0023027E">
        <w:rPr>
          <w:rFonts w:cs="Arial"/>
          <w:szCs w:val="20"/>
        </w:rPr>
        <w:t>sklad</w:t>
      </w:r>
      <w:r w:rsidR="006A1FF3">
        <w:rPr>
          <w:rFonts w:cs="Arial"/>
          <w:szCs w:val="20"/>
        </w:rPr>
        <w:t>u</w:t>
      </w:r>
      <w:r w:rsidRPr="0023027E">
        <w:rPr>
          <w:rFonts w:cs="Arial"/>
          <w:szCs w:val="20"/>
        </w:rPr>
        <w:t xml:space="preserve"> z zahtevami glede metapodatkov iz drugega odstavka tega člena.«.</w:t>
      </w:r>
    </w:p>
    <w:p w14:paraId="269FBEAF" w14:textId="77777777" w:rsidR="000966FE" w:rsidRDefault="000966FE">
      <w:pPr>
        <w:spacing w:afterLines="20" w:after="48"/>
        <w:jc w:val="both"/>
        <w:rPr>
          <w:rFonts w:cs="Arial"/>
          <w:szCs w:val="20"/>
        </w:rPr>
      </w:pPr>
    </w:p>
    <w:p w14:paraId="596312D1" w14:textId="77777777" w:rsidR="000966FE" w:rsidRDefault="00711DA7">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33" w:name="_Ref210821680"/>
      <w:r w:rsidRPr="0023027E">
        <w:rPr>
          <w:rFonts w:cs="Arial"/>
          <w:b/>
          <w:bCs/>
          <w:szCs w:val="20"/>
        </w:rPr>
        <w:t>člen</w:t>
      </w:r>
      <w:bookmarkEnd w:id="33"/>
    </w:p>
    <w:p w14:paraId="48D5D48F" w14:textId="77777777" w:rsidR="00711DA7" w:rsidRDefault="00711DA7" w:rsidP="00711DA7">
      <w:pPr>
        <w:spacing w:line="240" w:lineRule="auto"/>
        <w:jc w:val="both"/>
        <w:rPr>
          <w:rFonts w:cs="Arial"/>
          <w:color w:val="000000" w:themeColor="text1"/>
          <w:szCs w:val="20"/>
        </w:rPr>
      </w:pPr>
    </w:p>
    <w:p w14:paraId="4919F8D4" w14:textId="058754D3" w:rsidR="00711DA7" w:rsidRPr="00E771EB" w:rsidRDefault="00711DA7" w:rsidP="00E771EB">
      <w:pPr>
        <w:spacing w:afterLines="20" w:after="48"/>
        <w:jc w:val="both"/>
        <w:rPr>
          <w:rFonts w:cs="Arial"/>
          <w:szCs w:val="20"/>
        </w:rPr>
      </w:pPr>
      <w:r w:rsidRPr="00E771EB">
        <w:rPr>
          <w:rFonts w:cs="Arial"/>
          <w:szCs w:val="20"/>
        </w:rPr>
        <w:t xml:space="preserve">V 281.d členu se besedilo »Zakona o trgu finančnih instrumentov (Uradni list RS, št. 77/18, 17/19 – </w:t>
      </w:r>
      <w:proofErr w:type="spellStart"/>
      <w:r w:rsidRPr="00E771EB">
        <w:rPr>
          <w:rFonts w:cs="Arial"/>
          <w:szCs w:val="20"/>
        </w:rPr>
        <w:t>popr</w:t>
      </w:r>
      <w:proofErr w:type="spellEnd"/>
      <w:r w:rsidRPr="00E771EB">
        <w:rPr>
          <w:rFonts w:cs="Arial"/>
          <w:szCs w:val="20"/>
        </w:rPr>
        <w:t xml:space="preserve">. in 66/19; v nadaljnjem besedilu: ZTFI-1)« nadomesti </w:t>
      </w:r>
      <w:r w:rsidR="00450512" w:rsidRPr="00E771EB">
        <w:rPr>
          <w:rFonts w:cs="Arial"/>
          <w:szCs w:val="20"/>
        </w:rPr>
        <w:t>s kratico</w:t>
      </w:r>
      <w:r w:rsidRPr="00E771EB">
        <w:rPr>
          <w:rFonts w:cs="Arial"/>
          <w:szCs w:val="20"/>
        </w:rPr>
        <w:t xml:space="preserve"> »ZTFI-1«.</w:t>
      </w:r>
    </w:p>
    <w:p w14:paraId="31A9545F" w14:textId="77777777" w:rsidR="00C62D51" w:rsidRDefault="00C62D51">
      <w:pPr>
        <w:spacing w:afterLines="20" w:after="48"/>
        <w:jc w:val="both"/>
        <w:rPr>
          <w:rFonts w:cs="Arial"/>
          <w:szCs w:val="20"/>
          <w:highlight w:val="yellow"/>
        </w:rPr>
      </w:pPr>
    </w:p>
    <w:p w14:paraId="48169601" w14:textId="77777777" w:rsidR="00C62D51"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34" w:name="_Ref206489998"/>
      <w:r w:rsidRPr="0023027E">
        <w:rPr>
          <w:rFonts w:cs="Arial"/>
          <w:b/>
          <w:bCs/>
          <w:szCs w:val="20"/>
        </w:rPr>
        <w:t>člen</w:t>
      </w:r>
      <w:bookmarkEnd w:id="34"/>
    </w:p>
    <w:p w14:paraId="258587DF" w14:textId="77777777" w:rsidR="00F52CEB" w:rsidRPr="0023027E" w:rsidRDefault="00F52CEB">
      <w:pPr>
        <w:spacing w:afterLines="20" w:after="48"/>
        <w:jc w:val="both"/>
        <w:rPr>
          <w:rFonts w:cs="Arial"/>
          <w:szCs w:val="20"/>
        </w:rPr>
      </w:pPr>
    </w:p>
    <w:p w14:paraId="0EBA31E2" w14:textId="1650FB08" w:rsidR="00F52CEB" w:rsidRPr="0023027E" w:rsidRDefault="00F52CEB">
      <w:pPr>
        <w:spacing w:afterLines="20" w:after="48"/>
        <w:jc w:val="both"/>
        <w:rPr>
          <w:rFonts w:cs="Arial"/>
          <w:szCs w:val="20"/>
        </w:rPr>
      </w:pPr>
      <w:r w:rsidRPr="0023027E">
        <w:rPr>
          <w:rFonts w:cs="Arial"/>
          <w:szCs w:val="20"/>
        </w:rPr>
        <w:t>Za 317.</w:t>
      </w:r>
      <w:r w:rsidR="006E195D">
        <w:rPr>
          <w:rFonts w:cs="Arial"/>
          <w:szCs w:val="20"/>
        </w:rPr>
        <w:t>č</w:t>
      </w:r>
      <w:r w:rsidR="006E195D" w:rsidRPr="0023027E">
        <w:rPr>
          <w:rFonts w:cs="Arial"/>
          <w:szCs w:val="20"/>
        </w:rPr>
        <w:t xml:space="preserve"> </w:t>
      </w:r>
      <w:r w:rsidRPr="0023027E">
        <w:rPr>
          <w:rFonts w:cs="Arial"/>
          <w:szCs w:val="20"/>
        </w:rPr>
        <w:t>členom se doda nov</w:t>
      </w:r>
      <w:r w:rsidR="00450512">
        <w:rPr>
          <w:rFonts w:cs="Arial"/>
          <w:szCs w:val="20"/>
        </w:rPr>
        <w:t>,</w:t>
      </w:r>
      <w:r w:rsidRPr="0023027E">
        <w:rPr>
          <w:rFonts w:cs="Arial"/>
          <w:szCs w:val="20"/>
        </w:rPr>
        <w:t xml:space="preserve"> 317.d člen, ki se glasi:</w:t>
      </w:r>
    </w:p>
    <w:p w14:paraId="1818639A" w14:textId="77777777" w:rsidR="00F52CEB" w:rsidRPr="0023027E" w:rsidRDefault="00F52CEB">
      <w:pPr>
        <w:spacing w:afterLines="20" w:after="48"/>
        <w:jc w:val="both"/>
        <w:rPr>
          <w:rFonts w:cs="Arial"/>
          <w:szCs w:val="20"/>
          <w:highlight w:val="yellow"/>
        </w:rPr>
      </w:pPr>
    </w:p>
    <w:p w14:paraId="7AB1BCC5" w14:textId="77777777" w:rsidR="00F52CEB" w:rsidRPr="0023027E" w:rsidRDefault="00F52CEB">
      <w:pPr>
        <w:spacing w:afterLines="20" w:after="48"/>
        <w:jc w:val="center"/>
        <w:rPr>
          <w:rFonts w:cs="Arial"/>
          <w:b/>
          <w:bCs/>
          <w:szCs w:val="20"/>
        </w:rPr>
      </w:pPr>
      <w:r w:rsidRPr="0023027E">
        <w:rPr>
          <w:rFonts w:cs="Arial"/>
          <w:szCs w:val="20"/>
        </w:rPr>
        <w:t>»</w:t>
      </w:r>
      <w:r w:rsidRPr="0023027E">
        <w:rPr>
          <w:rFonts w:cs="Arial"/>
          <w:b/>
          <w:bCs/>
          <w:szCs w:val="20"/>
        </w:rPr>
        <w:t>317.d člen</w:t>
      </w:r>
    </w:p>
    <w:p w14:paraId="0FA3C9C1" w14:textId="19DD4D37" w:rsidR="00F52CEB" w:rsidRPr="0023027E" w:rsidRDefault="00F52CEB">
      <w:pPr>
        <w:spacing w:afterLines="20" w:after="48"/>
        <w:jc w:val="center"/>
        <w:rPr>
          <w:rFonts w:cs="Arial"/>
          <w:b/>
          <w:bCs/>
          <w:szCs w:val="20"/>
        </w:rPr>
      </w:pPr>
      <w:r w:rsidRPr="0023027E">
        <w:rPr>
          <w:rFonts w:cs="Arial"/>
          <w:b/>
          <w:bCs/>
          <w:szCs w:val="20"/>
        </w:rPr>
        <w:t>(</w:t>
      </w:r>
      <w:r w:rsidR="002179A5" w:rsidRPr="0097040B">
        <w:rPr>
          <w:rFonts w:cs="Arial"/>
          <w:b/>
          <w:bCs/>
          <w:szCs w:val="20"/>
        </w:rPr>
        <w:t>predložitev informacij na evropsko enotno točko dostopa</w:t>
      </w:r>
      <w:r w:rsidRPr="0023027E">
        <w:rPr>
          <w:rFonts w:cs="Arial"/>
          <w:b/>
          <w:bCs/>
          <w:szCs w:val="20"/>
        </w:rPr>
        <w:t>)</w:t>
      </w:r>
    </w:p>
    <w:p w14:paraId="197FB214" w14:textId="77777777" w:rsidR="00F52CEB" w:rsidRPr="0023027E" w:rsidRDefault="00F52CEB">
      <w:pPr>
        <w:spacing w:afterLines="20" w:after="48"/>
        <w:jc w:val="both"/>
        <w:rPr>
          <w:rFonts w:cs="Arial"/>
          <w:szCs w:val="20"/>
        </w:rPr>
      </w:pPr>
    </w:p>
    <w:p w14:paraId="52DF6F3F" w14:textId="50E64F5D" w:rsidR="00F52CEB" w:rsidRPr="0023027E" w:rsidRDefault="00F52CEB">
      <w:pPr>
        <w:spacing w:afterLines="20" w:after="48"/>
        <w:jc w:val="both"/>
        <w:rPr>
          <w:rFonts w:cs="Arial"/>
          <w:szCs w:val="20"/>
        </w:rPr>
      </w:pPr>
      <w:r w:rsidRPr="0023027E">
        <w:rPr>
          <w:rFonts w:cs="Arial"/>
          <w:szCs w:val="20"/>
        </w:rPr>
        <w:t>(1) Institucionalni vlagatelj, upravljav</w:t>
      </w:r>
      <w:r w:rsidR="000D52C3" w:rsidRPr="0023027E">
        <w:rPr>
          <w:rFonts w:cs="Arial"/>
          <w:szCs w:val="20"/>
        </w:rPr>
        <w:t>e</w:t>
      </w:r>
      <w:r w:rsidRPr="0023027E">
        <w:rPr>
          <w:rFonts w:cs="Arial"/>
          <w:szCs w:val="20"/>
        </w:rPr>
        <w:t>c premoženja, svetoval</w:t>
      </w:r>
      <w:r w:rsidR="000D52C3" w:rsidRPr="0023027E">
        <w:rPr>
          <w:rFonts w:cs="Arial"/>
          <w:szCs w:val="20"/>
        </w:rPr>
        <w:t>e</w:t>
      </w:r>
      <w:r w:rsidRPr="0023027E">
        <w:rPr>
          <w:rFonts w:cs="Arial"/>
          <w:szCs w:val="20"/>
        </w:rPr>
        <w:t>c za glasovanje in družb</w:t>
      </w:r>
      <w:r w:rsidR="000D52C3" w:rsidRPr="0023027E">
        <w:rPr>
          <w:rFonts w:cs="Arial"/>
          <w:szCs w:val="20"/>
        </w:rPr>
        <w:t>a</w:t>
      </w:r>
      <w:r w:rsidRPr="0023027E">
        <w:rPr>
          <w:rFonts w:cs="Arial"/>
          <w:szCs w:val="20"/>
        </w:rPr>
        <w:t xml:space="preserve"> pri objavi katerih koli informacij iz 281.d, petega odstavka 294.a, osmega odstavka 294.b, šestega odstavka 304., 317.b, 317.c in 317.č člena tega zakona te informacije hkrati predložijo A</w:t>
      </w:r>
      <w:r w:rsidR="00BE7658">
        <w:rPr>
          <w:rFonts w:cs="Arial"/>
          <w:szCs w:val="20"/>
        </w:rPr>
        <w:t>JPES</w:t>
      </w:r>
      <w:r w:rsidRPr="0023027E">
        <w:rPr>
          <w:rFonts w:cs="Arial"/>
          <w:szCs w:val="20"/>
        </w:rPr>
        <w:t>. A</w:t>
      </w:r>
      <w:r w:rsidR="00BE7658">
        <w:rPr>
          <w:rFonts w:cs="Arial"/>
          <w:szCs w:val="20"/>
        </w:rPr>
        <w:t>JPES</w:t>
      </w:r>
      <w:r w:rsidRPr="0023027E">
        <w:rPr>
          <w:rFonts w:cs="Arial"/>
          <w:szCs w:val="20"/>
        </w:rPr>
        <w:t xml:space="preserve">, ki je organ za zbiranje podatkov, </w:t>
      </w:r>
      <w:r w:rsidR="00FB0833">
        <w:rPr>
          <w:rFonts w:cs="Arial"/>
          <w:szCs w:val="20"/>
        </w:rPr>
        <w:t>kakor</w:t>
      </w:r>
      <w:r w:rsidRPr="0023027E">
        <w:rPr>
          <w:rFonts w:cs="Arial"/>
          <w:szCs w:val="20"/>
        </w:rPr>
        <w:t xml:space="preserve"> je opredeljen v 2. točki 2. člena Uredbe 2023/2859/EU</w:t>
      </w:r>
      <w:r w:rsidR="006A1FF3">
        <w:rPr>
          <w:rFonts w:cs="Arial"/>
          <w:szCs w:val="20"/>
        </w:rPr>
        <w:t>,</w:t>
      </w:r>
      <w:r w:rsidRPr="0023027E">
        <w:rPr>
          <w:rFonts w:cs="Arial"/>
          <w:szCs w:val="20"/>
        </w:rPr>
        <w:t xml:space="preserve"> informacije iz prejšnjega stavka predloži evropski enotni točki dostopa.</w:t>
      </w:r>
    </w:p>
    <w:p w14:paraId="60BBB6C0" w14:textId="77777777" w:rsidR="00F52CEB" w:rsidRPr="0023027E" w:rsidRDefault="00F52CEB">
      <w:pPr>
        <w:spacing w:afterLines="20" w:after="48"/>
        <w:jc w:val="both"/>
        <w:rPr>
          <w:rFonts w:cs="Arial"/>
          <w:szCs w:val="20"/>
        </w:rPr>
      </w:pPr>
    </w:p>
    <w:p w14:paraId="1C5ECF0D" w14:textId="5AF3B99A" w:rsidR="00C62D51" w:rsidRDefault="00F52CEB">
      <w:pPr>
        <w:spacing w:afterLines="20" w:after="48"/>
        <w:jc w:val="both"/>
        <w:rPr>
          <w:rFonts w:cs="Arial"/>
          <w:szCs w:val="20"/>
        </w:rPr>
      </w:pPr>
      <w:r w:rsidRPr="0023027E">
        <w:rPr>
          <w:rFonts w:cs="Arial"/>
          <w:szCs w:val="20"/>
        </w:rPr>
        <w:t xml:space="preserve">(2) Informacije iz prejšnjega odstavka </w:t>
      </w:r>
      <w:r w:rsidR="006A1FF3" w:rsidRPr="0023027E">
        <w:rPr>
          <w:rFonts w:cs="Arial"/>
          <w:szCs w:val="20"/>
        </w:rPr>
        <w:t xml:space="preserve">so </w:t>
      </w:r>
      <w:r w:rsidR="006A1FF3">
        <w:rPr>
          <w:rFonts w:cs="Arial"/>
          <w:szCs w:val="20"/>
        </w:rPr>
        <w:t xml:space="preserve">v </w:t>
      </w:r>
      <w:r w:rsidR="006A1FF3" w:rsidRPr="0023027E">
        <w:rPr>
          <w:rFonts w:cs="Arial"/>
          <w:szCs w:val="20"/>
        </w:rPr>
        <w:t>sklad</w:t>
      </w:r>
      <w:r w:rsidR="006A1FF3">
        <w:rPr>
          <w:rFonts w:cs="Arial"/>
          <w:szCs w:val="20"/>
        </w:rPr>
        <w:t>u</w:t>
      </w:r>
      <w:r w:rsidR="006A1FF3" w:rsidRPr="0023027E">
        <w:rPr>
          <w:rFonts w:cs="Arial"/>
          <w:szCs w:val="20"/>
        </w:rPr>
        <w:t xml:space="preserve"> </w:t>
      </w:r>
      <w:r w:rsidR="006A1FF3">
        <w:rPr>
          <w:rFonts w:cs="Arial"/>
          <w:szCs w:val="20"/>
        </w:rPr>
        <w:t>s</w:t>
      </w:r>
      <w:r w:rsidR="006A1FF3" w:rsidRPr="0023027E">
        <w:rPr>
          <w:rFonts w:cs="Arial"/>
          <w:szCs w:val="20"/>
        </w:rPr>
        <w:t xml:space="preserve"> </w:t>
      </w:r>
      <w:r w:rsidR="006A1FF3">
        <w:rPr>
          <w:rFonts w:cs="Arial"/>
          <w:szCs w:val="20"/>
        </w:rPr>
        <w:t>t</w:t>
      </w:r>
      <w:r w:rsidR="006A1FF3" w:rsidRPr="0023027E">
        <w:rPr>
          <w:rFonts w:cs="Arial"/>
          <w:szCs w:val="20"/>
        </w:rPr>
        <w:t>emi zahtevami</w:t>
      </w:r>
      <w:r w:rsidRPr="0023027E">
        <w:rPr>
          <w:rFonts w:cs="Arial"/>
          <w:szCs w:val="20"/>
        </w:rPr>
        <w:t>:</w:t>
      </w:r>
    </w:p>
    <w:p w14:paraId="7C39DD64" w14:textId="39A9DFC3" w:rsidR="00C62D51" w:rsidRDefault="00F52CEB">
      <w:pPr>
        <w:spacing w:afterLines="20" w:after="48"/>
        <w:jc w:val="both"/>
        <w:rPr>
          <w:rFonts w:cs="Arial"/>
          <w:szCs w:val="20"/>
        </w:rPr>
      </w:pPr>
      <w:r w:rsidRPr="0023027E">
        <w:rPr>
          <w:rFonts w:cs="Arial"/>
          <w:szCs w:val="20"/>
        </w:rPr>
        <w:t xml:space="preserve">1. predložene so v formatu, ki omogoča izvoz podatkov, kakor je opredeljen v 3. točki 2. člena </w:t>
      </w:r>
      <w:r w:rsidR="0065550F" w:rsidRPr="0023027E">
        <w:rPr>
          <w:rFonts w:cs="Arial"/>
          <w:szCs w:val="20"/>
        </w:rPr>
        <w:t>Uredbe 2023/2859/E</w:t>
      </w:r>
      <w:r w:rsidR="0065550F" w:rsidRPr="004C3C23">
        <w:rPr>
          <w:rFonts w:cs="Arial"/>
          <w:szCs w:val="20"/>
        </w:rPr>
        <w:t>U, ali</w:t>
      </w:r>
      <w:r w:rsidR="0065550F" w:rsidRPr="0023027E">
        <w:rPr>
          <w:rFonts w:cs="Arial"/>
          <w:szCs w:val="20"/>
        </w:rPr>
        <w:t xml:space="preserve"> kadar to zahtevajo predpisi, v strojno berljiv</w:t>
      </w:r>
      <w:r w:rsidR="0065550F">
        <w:rPr>
          <w:rFonts w:cs="Arial"/>
          <w:szCs w:val="20"/>
        </w:rPr>
        <w:t>i</w:t>
      </w:r>
      <w:r w:rsidR="0065550F" w:rsidRPr="0023027E">
        <w:rPr>
          <w:rFonts w:cs="Arial"/>
          <w:szCs w:val="20"/>
        </w:rPr>
        <w:t xml:space="preserve"> </w:t>
      </w:r>
      <w:r w:rsidR="0065550F">
        <w:rPr>
          <w:rFonts w:cs="Arial"/>
          <w:szCs w:val="20"/>
        </w:rPr>
        <w:t>obliki</w:t>
      </w:r>
      <w:r w:rsidR="0065550F" w:rsidRPr="0023027E">
        <w:rPr>
          <w:rFonts w:cs="Arial"/>
          <w:szCs w:val="20"/>
        </w:rPr>
        <w:t>, kakor je opredeljen</w:t>
      </w:r>
      <w:r w:rsidR="0065550F">
        <w:rPr>
          <w:rFonts w:cs="Arial"/>
          <w:szCs w:val="20"/>
        </w:rPr>
        <w:t>a</w:t>
      </w:r>
      <w:r w:rsidR="0065550F" w:rsidRPr="0023027E">
        <w:rPr>
          <w:rFonts w:cs="Arial"/>
          <w:szCs w:val="20"/>
        </w:rPr>
        <w:t xml:space="preserve"> v 4. točki 2. člena Uredbe 2023/2859/EU</w:t>
      </w:r>
      <w:r w:rsidRPr="0023027E">
        <w:rPr>
          <w:rFonts w:cs="Arial"/>
          <w:szCs w:val="20"/>
        </w:rPr>
        <w:t xml:space="preserve">; </w:t>
      </w:r>
    </w:p>
    <w:p w14:paraId="52EF43F5" w14:textId="403946CE" w:rsidR="00C62D51" w:rsidRDefault="00F52CEB">
      <w:pPr>
        <w:spacing w:afterLines="20" w:after="48"/>
        <w:jc w:val="both"/>
        <w:rPr>
          <w:rFonts w:cs="Arial"/>
          <w:szCs w:val="20"/>
        </w:rPr>
      </w:pPr>
      <w:r w:rsidRPr="0023027E">
        <w:rPr>
          <w:rFonts w:cs="Arial"/>
          <w:szCs w:val="20"/>
        </w:rPr>
        <w:t xml:space="preserve">2. vsebujejo </w:t>
      </w:r>
      <w:r w:rsidR="00F443AF">
        <w:rPr>
          <w:rFonts w:cs="Arial"/>
          <w:szCs w:val="20"/>
        </w:rPr>
        <w:t>te</w:t>
      </w:r>
      <w:r w:rsidRPr="0023027E">
        <w:rPr>
          <w:rFonts w:cs="Arial"/>
          <w:szCs w:val="20"/>
        </w:rPr>
        <w:t xml:space="preserve"> metapodatke:</w:t>
      </w:r>
    </w:p>
    <w:p w14:paraId="400EE6F2" w14:textId="08C3E1DB" w:rsidR="00C62D51" w:rsidRDefault="00F52CEB">
      <w:pPr>
        <w:pStyle w:val="Odstavekseznama"/>
        <w:numPr>
          <w:ilvl w:val="0"/>
          <w:numId w:val="55"/>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vsa imena institucionalnega vlagatelja, upravljavca premoženja, svetovalca za glasovanje ali družbe, na </w:t>
      </w:r>
      <w:r w:rsidR="004210A7" w:rsidRPr="0023027E">
        <w:rPr>
          <w:rFonts w:cs="Arial"/>
          <w:szCs w:val="20"/>
        </w:rPr>
        <w:t>kater</w:t>
      </w:r>
      <w:r w:rsidR="004210A7">
        <w:rPr>
          <w:rFonts w:cs="Arial"/>
          <w:szCs w:val="20"/>
        </w:rPr>
        <w:t>e</w:t>
      </w:r>
      <w:r w:rsidR="004210A7" w:rsidRPr="0023027E">
        <w:rPr>
          <w:rFonts w:cs="Arial"/>
          <w:szCs w:val="20"/>
        </w:rPr>
        <w:t xml:space="preserve"> </w:t>
      </w:r>
      <w:r w:rsidRPr="0023027E">
        <w:rPr>
          <w:rFonts w:cs="Arial"/>
          <w:szCs w:val="20"/>
        </w:rPr>
        <w:t>se informacije nanašajo;</w:t>
      </w:r>
    </w:p>
    <w:p w14:paraId="16BE9CB2" w14:textId="207FC292" w:rsidR="00C62D51" w:rsidRDefault="00F52CEB">
      <w:pPr>
        <w:pStyle w:val="Odstavekseznama"/>
        <w:numPr>
          <w:ilvl w:val="0"/>
          <w:numId w:val="55"/>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identifikator pravnih subjektov institucionalnega vlagatelja, upravljavca premoženja, svetovalca za glasovanje ali družbe, </w:t>
      </w:r>
      <w:r w:rsidR="0065550F">
        <w:rPr>
          <w:rFonts w:cs="Arial"/>
          <w:szCs w:val="20"/>
        </w:rPr>
        <w:t>kakor</w:t>
      </w:r>
      <w:r w:rsidRPr="0023027E">
        <w:rPr>
          <w:rFonts w:cs="Arial"/>
          <w:szCs w:val="20"/>
        </w:rPr>
        <w:t xml:space="preserve"> je določen na podlagi točke </w:t>
      </w:r>
      <w:r w:rsidR="00892C49">
        <w:rPr>
          <w:rFonts w:cs="Arial"/>
          <w:szCs w:val="20"/>
        </w:rPr>
        <w:t>(</w:t>
      </w:r>
      <w:r w:rsidRPr="0023027E">
        <w:rPr>
          <w:rFonts w:cs="Arial"/>
          <w:szCs w:val="20"/>
        </w:rPr>
        <w:t>b) četrtega odstavka 7. člena Uredbe 2023/2859/EU;</w:t>
      </w:r>
    </w:p>
    <w:p w14:paraId="298E16C8" w14:textId="780A409E" w:rsidR="00C62D51" w:rsidRDefault="00F52CEB">
      <w:pPr>
        <w:pStyle w:val="Odstavekseznama"/>
        <w:numPr>
          <w:ilvl w:val="0"/>
          <w:numId w:val="55"/>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velikost institucionalnega vlagatelja, upravljavca premoženja, svetovalca za glasovanje ali družbe po kategorijah, </w:t>
      </w:r>
      <w:r w:rsidR="0065550F">
        <w:rPr>
          <w:rFonts w:cs="Arial"/>
          <w:szCs w:val="20"/>
        </w:rPr>
        <w:t>kakor</w:t>
      </w:r>
      <w:r w:rsidRPr="0023027E">
        <w:rPr>
          <w:rFonts w:cs="Arial"/>
          <w:szCs w:val="20"/>
        </w:rPr>
        <w:t xml:space="preserve"> so določene na podlagi točke </w:t>
      </w:r>
      <w:r w:rsidR="00892C49">
        <w:rPr>
          <w:rFonts w:cs="Arial"/>
          <w:szCs w:val="20"/>
        </w:rPr>
        <w:t>(</w:t>
      </w:r>
      <w:r w:rsidRPr="0023027E">
        <w:rPr>
          <w:rFonts w:cs="Arial"/>
          <w:szCs w:val="20"/>
        </w:rPr>
        <w:t>d) četrtega odstavka 7. člena Uredbe 2023/2859/EU;</w:t>
      </w:r>
    </w:p>
    <w:p w14:paraId="4B0CC063" w14:textId="016FFE34" w:rsidR="00C62D51" w:rsidRDefault="002239DE">
      <w:pPr>
        <w:pStyle w:val="Odstavekseznama"/>
        <w:numPr>
          <w:ilvl w:val="0"/>
          <w:numId w:val="55"/>
        </w:numPr>
        <w:overflowPunct w:val="0"/>
        <w:autoSpaceDE w:val="0"/>
        <w:autoSpaceDN w:val="0"/>
        <w:adjustRightInd w:val="0"/>
        <w:spacing w:afterLines="20" w:after="48" w:line="240" w:lineRule="auto"/>
        <w:contextualSpacing w:val="0"/>
        <w:jc w:val="both"/>
        <w:textAlignment w:val="baseline"/>
        <w:rPr>
          <w:rFonts w:cs="Arial"/>
          <w:szCs w:val="20"/>
        </w:rPr>
      </w:pPr>
      <w:r w:rsidRPr="002239DE">
        <w:rPr>
          <w:rFonts w:cs="Arial"/>
          <w:szCs w:val="20"/>
        </w:rPr>
        <w:t xml:space="preserve">navedbo industrijskih sektorjev </w:t>
      </w:r>
      <w:r w:rsidR="00F52CEB" w:rsidRPr="0023027E">
        <w:rPr>
          <w:rFonts w:cs="Arial"/>
          <w:szCs w:val="20"/>
        </w:rPr>
        <w:t xml:space="preserve">gospodarskih dejavnosti družbe, </w:t>
      </w:r>
      <w:r w:rsidR="00FB0833">
        <w:rPr>
          <w:rFonts w:cs="Arial"/>
          <w:szCs w:val="20"/>
        </w:rPr>
        <w:t>kakor</w:t>
      </w:r>
      <w:r w:rsidR="00F52CEB" w:rsidRPr="0023027E">
        <w:rPr>
          <w:rFonts w:cs="Arial"/>
          <w:szCs w:val="20"/>
        </w:rPr>
        <w:t xml:space="preserve"> so določeni na podlagi točke </w:t>
      </w:r>
      <w:r w:rsidR="00892C49">
        <w:rPr>
          <w:rFonts w:cs="Arial"/>
          <w:szCs w:val="20"/>
        </w:rPr>
        <w:t>(</w:t>
      </w:r>
      <w:r w:rsidR="00F52CEB" w:rsidRPr="0023027E">
        <w:rPr>
          <w:rFonts w:cs="Arial"/>
          <w:szCs w:val="20"/>
        </w:rPr>
        <w:t>e) četrtega odstavka 7. člena Uredbe 2023/2859/EU;</w:t>
      </w:r>
    </w:p>
    <w:p w14:paraId="433D659D" w14:textId="77777777" w:rsidR="00C62D51" w:rsidRDefault="00F52CEB">
      <w:pPr>
        <w:pStyle w:val="Odstavekseznama"/>
        <w:numPr>
          <w:ilvl w:val="0"/>
          <w:numId w:val="55"/>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vrsto informacij glede na razvrstitev na podlagi točke </w:t>
      </w:r>
      <w:r w:rsidR="00892C49">
        <w:rPr>
          <w:rFonts w:cs="Arial"/>
          <w:szCs w:val="20"/>
        </w:rPr>
        <w:t>(</w:t>
      </w:r>
      <w:r w:rsidRPr="0023027E">
        <w:rPr>
          <w:rFonts w:cs="Arial"/>
          <w:szCs w:val="20"/>
        </w:rPr>
        <w:t xml:space="preserve">c) četrtega odstavka 7. člena Uredbe 2023/2859/EU; </w:t>
      </w:r>
    </w:p>
    <w:p w14:paraId="25701519" w14:textId="77777777" w:rsidR="00C62D51" w:rsidRDefault="00F52CEB">
      <w:pPr>
        <w:pStyle w:val="Odstavekseznama"/>
        <w:numPr>
          <w:ilvl w:val="0"/>
          <w:numId w:val="55"/>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oznako, ali informacije vsebujejo osebne podatke. </w:t>
      </w:r>
    </w:p>
    <w:p w14:paraId="57E62A7C" w14:textId="77777777" w:rsidR="000966FE" w:rsidRDefault="000966FE">
      <w:pPr>
        <w:spacing w:afterLines="20" w:after="48"/>
        <w:jc w:val="both"/>
        <w:rPr>
          <w:rFonts w:cs="Arial"/>
          <w:szCs w:val="20"/>
        </w:rPr>
      </w:pPr>
    </w:p>
    <w:p w14:paraId="33F8BF0C" w14:textId="011D4D56" w:rsidR="000966FE" w:rsidRDefault="00F52CEB">
      <w:pPr>
        <w:spacing w:afterLines="20" w:after="48"/>
        <w:jc w:val="both"/>
        <w:rPr>
          <w:rFonts w:cs="Arial"/>
          <w:szCs w:val="20"/>
        </w:rPr>
      </w:pPr>
      <w:r w:rsidRPr="0023027E">
        <w:rPr>
          <w:rFonts w:cs="Arial"/>
          <w:szCs w:val="20"/>
        </w:rPr>
        <w:t>(3) Za namene druge alineje 2. točke prejšnjega odstavka institucionalni vlagatelj, upravljav</w:t>
      </w:r>
      <w:r w:rsidR="000D52C3" w:rsidRPr="0023027E">
        <w:rPr>
          <w:rFonts w:cs="Arial"/>
          <w:szCs w:val="20"/>
        </w:rPr>
        <w:t>e</w:t>
      </w:r>
      <w:r w:rsidRPr="0023027E">
        <w:rPr>
          <w:rFonts w:cs="Arial"/>
          <w:szCs w:val="20"/>
        </w:rPr>
        <w:t>c premoženja, svetoval</w:t>
      </w:r>
      <w:r w:rsidR="000D52C3" w:rsidRPr="0023027E">
        <w:rPr>
          <w:rFonts w:cs="Arial"/>
          <w:szCs w:val="20"/>
        </w:rPr>
        <w:t>e</w:t>
      </w:r>
      <w:r w:rsidRPr="0023027E">
        <w:rPr>
          <w:rFonts w:cs="Arial"/>
          <w:szCs w:val="20"/>
        </w:rPr>
        <w:t>c za glasovanje in družb</w:t>
      </w:r>
      <w:r w:rsidR="000D52C3" w:rsidRPr="0023027E">
        <w:rPr>
          <w:rFonts w:cs="Arial"/>
          <w:szCs w:val="20"/>
        </w:rPr>
        <w:t>a</w:t>
      </w:r>
      <w:r w:rsidRPr="0023027E">
        <w:rPr>
          <w:rFonts w:cs="Arial"/>
          <w:szCs w:val="20"/>
        </w:rPr>
        <w:t xml:space="preserve"> pridobijo identifikator pravnih subjektov, </w:t>
      </w:r>
      <w:r w:rsidR="0065550F">
        <w:rPr>
          <w:rFonts w:cs="Arial"/>
          <w:szCs w:val="20"/>
        </w:rPr>
        <w:t>kakor</w:t>
      </w:r>
      <w:r w:rsidRPr="0023027E">
        <w:rPr>
          <w:rFonts w:cs="Arial"/>
          <w:szCs w:val="20"/>
        </w:rPr>
        <w:t xml:space="preserve"> je določen na podlagi točke </w:t>
      </w:r>
      <w:r w:rsidR="00892C49">
        <w:rPr>
          <w:rFonts w:cs="Arial"/>
          <w:szCs w:val="20"/>
        </w:rPr>
        <w:t>(</w:t>
      </w:r>
      <w:r w:rsidRPr="0023027E">
        <w:rPr>
          <w:rFonts w:cs="Arial"/>
          <w:szCs w:val="20"/>
        </w:rPr>
        <w:t xml:space="preserve">b) četrtega odstavka 7. člena Uredbe 2023/2859/EU, če </w:t>
      </w:r>
      <w:r w:rsidR="00F443AF" w:rsidRPr="004C3C23">
        <w:rPr>
          <w:rFonts w:cs="Arial"/>
          <w:szCs w:val="20"/>
        </w:rPr>
        <w:t>tega identifikatorja še nima</w:t>
      </w:r>
      <w:r w:rsidRPr="0023027E">
        <w:rPr>
          <w:rFonts w:cs="Arial"/>
          <w:szCs w:val="20"/>
        </w:rPr>
        <w:t>.</w:t>
      </w:r>
    </w:p>
    <w:p w14:paraId="68C60DB1" w14:textId="77777777" w:rsidR="000966FE" w:rsidRDefault="000966FE">
      <w:pPr>
        <w:spacing w:afterLines="20" w:after="48"/>
        <w:jc w:val="both"/>
        <w:rPr>
          <w:rFonts w:cs="Arial"/>
          <w:szCs w:val="20"/>
          <w:highlight w:val="yellow"/>
        </w:rPr>
      </w:pPr>
    </w:p>
    <w:p w14:paraId="11083371" w14:textId="6DE63301" w:rsidR="000966FE" w:rsidRDefault="00F57B16">
      <w:pPr>
        <w:spacing w:afterLines="20" w:after="48"/>
        <w:jc w:val="both"/>
        <w:rPr>
          <w:rFonts w:cs="Arial"/>
          <w:szCs w:val="20"/>
          <w:highlight w:val="yellow"/>
        </w:rPr>
      </w:pPr>
      <w:r w:rsidRPr="00F57B16">
        <w:rPr>
          <w:rFonts w:cs="Arial"/>
          <w:szCs w:val="20"/>
        </w:rPr>
        <w:t xml:space="preserve">(4) Če družba informacije iz prvega odstavka tega člena predloži v sistem za centralno shranjevanje nadzorovanih informacij na podlagi 159. člena ZTFI-1, da bi te informacije postale dostopne na evropski enotni točki dostopa, se šteje, da je ta družba izpolnila obveznosti iz prvega odstavka tega člena, če so te informacije </w:t>
      </w:r>
      <w:r w:rsidR="008A55E4">
        <w:rPr>
          <w:rFonts w:cs="Arial"/>
          <w:szCs w:val="20"/>
        </w:rPr>
        <w:t xml:space="preserve">v </w:t>
      </w:r>
      <w:r w:rsidRPr="00F57B16">
        <w:rPr>
          <w:rFonts w:cs="Arial"/>
          <w:szCs w:val="20"/>
        </w:rPr>
        <w:t>sklad</w:t>
      </w:r>
      <w:r w:rsidR="008A55E4">
        <w:rPr>
          <w:rFonts w:cs="Arial"/>
          <w:szCs w:val="20"/>
        </w:rPr>
        <w:t>u</w:t>
      </w:r>
      <w:r w:rsidRPr="00F57B16">
        <w:rPr>
          <w:rFonts w:cs="Arial"/>
          <w:szCs w:val="20"/>
        </w:rPr>
        <w:t xml:space="preserve"> z zahtevami glede metapodatkov iz drugega odstavka tega člena.«.</w:t>
      </w:r>
    </w:p>
    <w:p w14:paraId="02AA3E5C" w14:textId="77777777" w:rsidR="000966FE" w:rsidRDefault="000966FE">
      <w:pPr>
        <w:spacing w:afterLines="20" w:after="48"/>
        <w:jc w:val="both"/>
        <w:rPr>
          <w:rFonts w:cs="Arial"/>
          <w:szCs w:val="20"/>
          <w:highlight w:val="yellow"/>
        </w:rPr>
      </w:pPr>
    </w:p>
    <w:p w14:paraId="58270DC3"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35" w:name="_Ref206491029"/>
      <w:r w:rsidRPr="0023027E">
        <w:rPr>
          <w:rFonts w:cs="Arial"/>
          <w:b/>
          <w:bCs/>
          <w:szCs w:val="20"/>
        </w:rPr>
        <w:t>člen</w:t>
      </w:r>
      <w:bookmarkEnd w:id="35"/>
    </w:p>
    <w:p w14:paraId="6D47D079" w14:textId="77777777" w:rsidR="000966FE" w:rsidRDefault="000966FE">
      <w:pPr>
        <w:spacing w:afterLines="20" w:after="48"/>
        <w:jc w:val="both"/>
        <w:rPr>
          <w:rFonts w:cs="Arial"/>
          <w:szCs w:val="20"/>
        </w:rPr>
      </w:pPr>
    </w:p>
    <w:p w14:paraId="7715B29B" w14:textId="77777777" w:rsidR="000966FE" w:rsidRDefault="00F52CEB">
      <w:pPr>
        <w:spacing w:afterLines="20" w:after="48"/>
        <w:jc w:val="both"/>
        <w:rPr>
          <w:rFonts w:cs="Arial"/>
          <w:szCs w:val="20"/>
        </w:rPr>
      </w:pPr>
      <w:r w:rsidRPr="0023027E">
        <w:rPr>
          <w:rFonts w:cs="Arial"/>
          <w:szCs w:val="20"/>
        </w:rPr>
        <w:t>V 686. členu se v prvem odstavku za 12. točko doda nova</w:t>
      </w:r>
      <w:r w:rsidR="00450512">
        <w:rPr>
          <w:rFonts w:cs="Arial"/>
          <w:szCs w:val="20"/>
        </w:rPr>
        <w:t>,</w:t>
      </w:r>
      <w:r w:rsidRPr="0023027E">
        <w:rPr>
          <w:rFonts w:cs="Arial"/>
          <w:szCs w:val="20"/>
        </w:rPr>
        <w:t xml:space="preserve"> 12.a točka, ki se glasi:</w:t>
      </w:r>
    </w:p>
    <w:p w14:paraId="1671DFDE" w14:textId="77777777" w:rsidR="000966FE" w:rsidRDefault="000966FE">
      <w:pPr>
        <w:spacing w:afterLines="20" w:after="48"/>
        <w:jc w:val="both"/>
        <w:rPr>
          <w:rFonts w:cs="Arial"/>
          <w:szCs w:val="20"/>
        </w:rPr>
      </w:pPr>
    </w:p>
    <w:p w14:paraId="29A60F5B" w14:textId="67964694" w:rsidR="000966FE" w:rsidRDefault="00F52CEB">
      <w:pPr>
        <w:spacing w:afterLines="20" w:after="48"/>
        <w:jc w:val="both"/>
        <w:rPr>
          <w:rFonts w:cs="Arial"/>
          <w:szCs w:val="20"/>
        </w:rPr>
      </w:pPr>
      <w:r w:rsidRPr="0023027E">
        <w:rPr>
          <w:rFonts w:cs="Arial"/>
          <w:szCs w:val="20"/>
        </w:rPr>
        <w:lastRenderedPageBreak/>
        <w:t>»12.a ne izpolnjuje obveznosti glede predložitve informacij in metapodatkov ali ne pridobi identifikatorja pravnih subjektov v skladu s prvim, drugim ali tretjim odstavkom 70.</w:t>
      </w:r>
      <w:r w:rsidR="003064F8">
        <w:rPr>
          <w:rFonts w:cs="Arial"/>
          <w:szCs w:val="20"/>
        </w:rPr>
        <w:t>da</w:t>
      </w:r>
      <w:r w:rsidR="003064F8" w:rsidRPr="0023027E">
        <w:rPr>
          <w:rFonts w:cs="Arial"/>
          <w:szCs w:val="20"/>
        </w:rPr>
        <w:t xml:space="preserve"> </w:t>
      </w:r>
      <w:r w:rsidRPr="0023027E">
        <w:rPr>
          <w:rFonts w:cs="Arial"/>
          <w:szCs w:val="20"/>
        </w:rPr>
        <w:t>člena tega zakona;«.</w:t>
      </w:r>
    </w:p>
    <w:p w14:paraId="62A7E961" w14:textId="77777777" w:rsidR="000966FE" w:rsidRDefault="000966FE">
      <w:pPr>
        <w:spacing w:afterLines="20" w:after="48"/>
        <w:jc w:val="both"/>
        <w:rPr>
          <w:rFonts w:cs="Arial"/>
          <w:szCs w:val="20"/>
        </w:rPr>
      </w:pPr>
    </w:p>
    <w:p w14:paraId="5EB1077A" w14:textId="1FE0A494" w:rsidR="000966FE" w:rsidRDefault="00F52CEB">
      <w:pPr>
        <w:spacing w:afterLines="20" w:after="48"/>
        <w:jc w:val="both"/>
        <w:rPr>
          <w:rFonts w:cs="Arial"/>
          <w:szCs w:val="20"/>
        </w:rPr>
      </w:pPr>
      <w:r w:rsidRPr="0023027E">
        <w:rPr>
          <w:rFonts w:cs="Arial"/>
          <w:szCs w:val="20"/>
        </w:rPr>
        <w:t xml:space="preserve">Za 33. točko </w:t>
      </w:r>
      <w:r w:rsidR="004210A7">
        <w:rPr>
          <w:rFonts w:cs="Arial"/>
          <w:szCs w:val="20"/>
        </w:rPr>
        <w:t xml:space="preserve">se </w:t>
      </w:r>
      <w:r w:rsidRPr="0023027E">
        <w:rPr>
          <w:rFonts w:cs="Arial"/>
          <w:szCs w:val="20"/>
        </w:rPr>
        <w:t>doda nova</w:t>
      </w:r>
      <w:r w:rsidR="00450512">
        <w:rPr>
          <w:rFonts w:cs="Arial"/>
          <w:szCs w:val="20"/>
        </w:rPr>
        <w:t>,</w:t>
      </w:r>
      <w:r w:rsidRPr="0023027E">
        <w:rPr>
          <w:rFonts w:cs="Arial"/>
          <w:szCs w:val="20"/>
        </w:rPr>
        <w:t xml:space="preserve"> 33.a točka, ki se glasi:</w:t>
      </w:r>
    </w:p>
    <w:p w14:paraId="4878B9F9" w14:textId="77777777" w:rsidR="000966FE" w:rsidRDefault="000966FE">
      <w:pPr>
        <w:spacing w:afterLines="20" w:after="48"/>
        <w:jc w:val="both"/>
        <w:rPr>
          <w:rFonts w:cs="Arial"/>
          <w:szCs w:val="20"/>
        </w:rPr>
      </w:pPr>
    </w:p>
    <w:p w14:paraId="5A835973" w14:textId="77777777" w:rsidR="000966FE" w:rsidRDefault="00F52CEB">
      <w:pPr>
        <w:spacing w:afterLines="20" w:after="48"/>
        <w:jc w:val="both"/>
        <w:rPr>
          <w:rFonts w:cs="Arial"/>
          <w:szCs w:val="20"/>
        </w:rPr>
      </w:pPr>
      <w:r w:rsidRPr="0023027E">
        <w:rPr>
          <w:rFonts w:cs="Arial"/>
          <w:szCs w:val="20"/>
        </w:rPr>
        <w:t>»33.a ne izpolnjuje obveznosti glede predložitve informacij in metapodatkov ali ne pridobi identifikatorja pravnih subjektov v skladu s prvim, drugim ali tretjim odstavkom 317.d člena tega zakona;«.</w:t>
      </w:r>
    </w:p>
    <w:p w14:paraId="7C0B825E" w14:textId="77777777" w:rsidR="000966FE" w:rsidRDefault="000966FE">
      <w:pPr>
        <w:spacing w:afterLines="20" w:after="48"/>
        <w:jc w:val="both"/>
        <w:rPr>
          <w:rFonts w:cs="Arial"/>
          <w:szCs w:val="20"/>
          <w:highlight w:val="yellow"/>
        </w:rPr>
      </w:pPr>
    </w:p>
    <w:p w14:paraId="60953813" w14:textId="77777777" w:rsidR="000966FE" w:rsidRDefault="00F52CEB">
      <w:pPr>
        <w:spacing w:afterLines="20" w:after="48"/>
        <w:jc w:val="both"/>
        <w:rPr>
          <w:rFonts w:cs="Arial"/>
          <w:b/>
          <w:bCs/>
          <w:szCs w:val="20"/>
        </w:rPr>
      </w:pPr>
      <w:r w:rsidRPr="0023027E">
        <w:rPr>
          <w:rFonts w:cs="Arial"/>
          <w:b/>
          <w:bCs/>
          <w:szCs w:val="20"/>
        </w:rPr>
        <w:t>5. Zakon o investicijskih skladih in družbah za upravljanje</w:t>
      </w:r>
    </w:p>
    <w:p w14:paraId="57950858" w14:textId="77777777" w:rsidR="000966FE" w:rsidRDefault="000966FE">
      <w:pPr>
        <w:spacing w:afterLines="20" w:after="48"/>
        <w:jc w:val="both"/>
        <w:rPr>
          <w:rFonts w:cs="Arial"/>
          <w:szCs w:val="20"/>
        </w:rPr>
      </w:pPr>
    </w:p>
    <w:p w14:paraId="0B6DF0D6"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36" w:name="_Ref206491167"/>
      <w:r w:rsidRPr="0023027E">
        <w:rPr>
          <w:rFonts w:cs="Arial"/>
          <w:b/>
          <w:bCs/>
          <w:szCs w:val="20"/>
        </w:rPr>
        <w:t>člen</w:t>
      </w:r>
      <w:bookmarkEnd w:id="36"/>
    </w:p>
    <w:p w14:paraId="13BD058E" w14:textId="77777777" w:rsidR="000966FE" w:rsidRDefault="000966FE">
      <w:pPr>
        <w:spacing w:afterLines="20" w:after="48"/>
        <w:jc w:val="both"/>
        <w:rPr>
          <w:rFonts w:cs="Arial"/>
          <w:szCs w:val="20"/>
        </w:rPr>
      </w:pPr>
    </w:p>
    <w:p w14:paraId="558ADAD2" w14:textId="79148852" w:rsidR="000966FE" w:rsidRDefault="00F52CEB">
      <w:pPr>
        <w:spacing w:afterLines="20" w:after="48"/>
        <w:jc w:val="both"/>
        <w:rPr>
          <w:rFonts w:cs="Arial"/>
          <w:szCs w:val="20"/>
        </w:rPr>
      </w:pPr>
      <w:r w:rsidRPr="0023027E">
        <w:rPr>
          <w:rFonts w:cs="Arial"/>
          <w:szCs w:val="20"/>
        </w:rPr>
        <w:t>V Zakonu o investicijskih skladih in družbah za upravljanje</w:t>
      </w:r>
      <w:r w:rsidRPr="0023027E" w:rsidDel="003B7892">
        <w:rPr>
          <w:rFonts w:cs="Arial"/>
          <w:szCs w:val="20"/>
        </w:rPr>
        <w:t xml:space="preserve"> </w:t>
      </w:r>
      <w:r w:rsidRPr="0023027E">
        <w:rPr>
          <w:rFonts w:cs="Arial"/>
          <w:szCs w:val="20"/>
        </w:rPr>
        <w:t>(Uradni list RS, št. 31/15, 81/15, 77/16, 77/18, 161/21</w:t>
      </w:r>
      <w:r w:rsidR="00CC6CA5">
        <w:rPr>
          <w:rFonts w:cs="Arial"/>
          <w:szCs w:val="20"/>
        </w:rPr>
        <w:t>,</w:t>
      </w:r>
      <w:r w:rsidRPr="0023027E">
        <w:rPr>
          <w:rFonts w:cs="Arial"/>
          <w:szCs w:val="20"/>
        </w:rPr>
        <w:t xml:space="preserve"> 101/22 – ZOAIS</w:t>
      </w:r>
      <w:r w:rsidR="00CC6CA5">
        <w:rPr>
          <w:rFonts w:cs="Arial"/>
          <w:szCs w:val="20"/>
        </w:rPr>
        <w:t xml:space="preserve"> in 77/25</w:t>
      </w:r>
      <w:r w:rsidRPr="0023027E">
        <w:rPr>
          <w:rFonts w:cs="Arial"/>
          <w:szCs w:val="20"/>
        </w:rPr>
        <w:t>) se v 2. členu v prvem odstavku v 1. točki besedilo »</w:t>
      </w:r>
      <w:r w:rsidR="00113D8A" w:rsidRPr="00113D8A">
        <w:rPr>
          <w:rFonts w:cs="Arial"/>
          <w:szCs w:val="20"/>
        </w:rPr>
        <w:t>Direktivo 2022/2556/EU Evropskega parlamenta in Sveta z dne 14. decembra 2022 o spremembi direktiv 2009/65/ES, 2009/138/ES, 2011/61/EU, 2013/36/EU, 2014/59/EU, 2014/65/EU, 2015/2366/EU in 2016/2341/EU glede digitalne operativne odpornosti za finančni sektor (UL L št. 333 z dne 27. 12. 2022, str. 153)</w:t>
      </w:r>
      <w:r w:rsidRPr="0023027E">
        <w:rPr>
          <w:rFonts w:cs="Arial"/>
          <w:szCs w:val="20"/>
        </w:rPr>
        <w:t>« nadomesti z besedilom »</w:t>
      </w:r>
      <w:bookmarkStart w:id="37" w:name="_Hlk202860443"/>
      <w:r w:rsidRPr="0023027E">
        <w:rPr>
          <w:rFonts w:cs="Arial"/>
          <w:szCs w:val="20"/>
        </w:rPr>
        <w:t xml:space="preserve">Direktivo (EU) 2023/2864 Evropskega parlamenta in Sveta </w:t>
      </w:r>
      <w:r w:rsidR="002201C7" w:rsidRPr="004C2B64">
        <w:rPr>
          <w:rFonts w:cs="Arial"/>
          <w:szCs w:val="20"/>
        </w:rPr>
        <w:t xml:space="preserve">z dne 13. decembra 2023 </w:t>
      </w:r>
      <w:r w:rsidRPr="0023027E">
        <w:rPr>
          <w:rFonts w:cs="Arial"/>
          <w:szCs w:val="20"/>
        </w:rPr>
        <w:t>o spremembi nekaterih direktiv glede vzpostavitve in delovanja evropske enotne točke dostopa (UL L št. 2023/2864 z dne 20. 12. 2023)</w:t>
      </w:r>
      <w:bookmarkEnd w:id="37"/>
      <w:r w:rsidRPr="0023027E">
        <w:rPr>
          <w:rFonts w:cs="Arial"/>
          <w:szCs w:val="20"/>
        </w:rPr>
        <w:t>«.</w:t>
      </w:r>
    </w:p>
    <w:p w14:paraId="4AF99A02" w14:textId="77777777" w:rsidR="000966FE" w:rsidRDefault="000966FE">
      <w:pPr>
        <w:spacing w:afterLines="20" w:after="48"/>
        <w:jc w:val="both"/>
        <w:rPr>
          <w:rFonts w:cs="Arial"/>
          <w:szCs w:val="20"/>
        </w:rPr>
      </w:pPr>
    </w:p>
    <w:p w14:paraId="649611E5" w14:textId="17DB7FDF" w:rsidR="000966FE" w:rsidRDefault="00F52CEB">
      <w:pPr>
        <w:spacing w:afterLines="20" w:after="48"/>
        <w:jc w:val="both"/>
        <w:rPr>
          <w:rFonts w:cs="Arial"/>
          <w:szCs w:val="20"/>
        </w:rPr>
      </w:pPr>
      <w:r w:rsidRPr="0023027E">
        <w:rPr>
          <w:rFonts w:cs="Arial"/>
          <w:szCs w:val="20"/>
        </w:rPr>
        <w:t xml:space="preserve">V 5. točki se besedilo »Uredbo (EU) 2017/2402 Evropskega parlamenta in Sveta z dne 12. decembra 2017 o določitvi splošnega okvira za </w:t>
      </w:r>
      <w:proofErr w:type="spellStart"/>
      <w:r w:rsidRPr="0023027E">
        <w:rPr>
          <w:rFonts w:cs="Arial"/>
          <w:szCs w:val="20"/>
        </w:rPr>
        <w:t>listinjenje</w:t>
      </w:r>
      <w:proofErr w:type="spellEnd"/>
      <w:r w:rsidRPr="0023027E">
        <w:rPr>
          <w:rFonts w:cs="Arial"/>
          <w:szCs w:val="20"/>
        </w:rPr>
        <w:t xml:space="preserve"> in o vzpostavitvi posebnega okvira za enostavno, pregledno in standardizirano </w:t>
      </w:r>
      <w:proofErr w:type="spellStart"/>
      <w:r w:rsidRPr="0023027E">
        <w:rPr>
          <w:rFonts w:cs="Arial"/>
          <w:szCs w:val="20"/>
        </w:rPr>
        <w:t>listinjenje</w:t>
      </w:r>
      <w:proofErr w:type="spellEnd"/>
      <w:r w:rsidRPr="0023027E">
        <w:rPr>
          <w:rFonts w:cs="Arial"/>
          <w:szCs w:val="20"/>
        </w:rPr>
        <w:t xml:space="preserve"> ter o spremembah direktiv 2009/65/ES, 2009/138/ES in 2011/61/EU ter uredb (ES) št. 1060/2009 in (EU) št. 648/2012 (UL L št. 347 z dne 28. 12. 2017, str. 35)« nadomesti z besedilom »Direktivo (EU) 2023/2864 Evropskega parlamenta in Sveta </w:t>
      </w:r>
      <w:r w:rsidR="002201C7" w:rsidRPr="004C2B64">
        <w:rPr>
          <w:rFonts w:cs="Arial"/>
          <w:szCs w:val="20"/>
        </w:rPr>
        <w:t xml:space="preserve">z dne 13. decembra 2023 </w:t>
      </w:r>
      <w:r w:rsidRPr="0023027E">
        <w:rPr>
          <w:rFonts w:cs="Arial"/>
          <w:szCs w:val="20"/>
        </w:rPr>
        <w:t>o spremembi nekaterih direktiv glede vzpostavitve in delovanja evropske enotne točke dostopa (UL L št. 2023/2864 z dne 20. 12. 2023)«.</w:t>
      </w:r>
    </w:p>
    <w:p w14:paraId="6C396FDB" w14:textId="77777777" w:rsidR="000966FE" w:rsidRDefault="000966FE">
      <w:pPr>
        <w:spacing w:afterLines="20" w:after="48"/>
        <w:jc w:val="both"/>
        <w:rPr>
          <w:rFonts w:cs="Arial"/>
          <w:szCs w:val="20"/>
        </w:rPr>
      </w:pPr>
    </w:p>
    <w:p w14:paraId="72851373" w14:textId="604DBD4B" w:rsidR="000966FE" w:rsidRDefault="00F52CEB">
      <w:pPr>
        <w:spacing w:afterLines="20" w:after="48"/>
        <w:jc w:val="both"/>
        <w:rPr>
          <w:rFonts w:cs="Arial"/>
          <w:szCs w:val="20"/>
        </w:rPr>
      </w:pPr>
      <w:r w:rsidRPr="0023027E">
        <w:rPr>
          <w:rFonts w:cs="Arial"/>
          <w:szCs w:val="20"/>
        </w:rPr>
        <w:t>V 7. točki se za besedilom »</w:t>
      </w:r>
      <w:r w:rsidR="00AD6CE8" w:rsidRPr="00AD6CE8">
        <w:rPr>
          <w:rFonts w:cs="Arial"/>
          <w:szCs w:val="20"/>
        </w:rPr>
        <w:t>(UL L št. 328 z dne 18. 12. 2019, str. 29)</w:t>
      </w:r>
      <w:r w:rsidRPr="0023027E">
        <w:rPr>
          <w:rFonts w:cs="Arial"/>
          <w:szCs w:val="20"/>
        </w:rPr>
        <w:t>« doda</w:t>
      </w:r>
      <w:r w:rsidR="00801B04">
        <w:rPr>
          <w:rFonts w:cs="Arial"/>
          <w:szCs w:val="20"/>
        </w:rPr>
        <w:t>ta</w:t>
      </w:r>
      <w:r w:rsidRPr="0023027E">
        <w:rPr>
          <w:rFonts w:cs="Arial"/>
          <w:szCs w:val="20"/>
        </w:rPr>
        <w:t xml:space="preserve"> vejica in besedilo »zadnjič spremenjena z Direktivo (EU) 2023/2864 Evropskega parlamenta in Sveta </w:t>
      </w:r>
      <w:r w:rsidR="002201C7" w:rsidRPr="004C2B64">
        <w:rPr>
          <w:rFonts w:cs="Arial"/>
          <w:szCs w:val="20"/>
        </w:rPr>
        <w:t xml:space="preserve">z dne 13. decembra 2023 </w:t>
      </w:r>
      <w:r w:rsidRPr="0023027E">
        <w:rPr>
          <w:rFonts w:cs="Arial"/>
          <w:szCs w:val="20"/>
        </w:rPr>
        <w:t>o spremembi nekaterih direktiv glede vzpostavitve in delovanja evropske enotne točke dostopa (UL L št. 2023/2864 z dne 20. 12. 2023)</w:t>
      </w:r>
      <w:r w:rsidR="00AD6CE8">
        <w:rPr>
          <w:rFonts w:cs="Arial"/>
          <w:szCs w:val="20"/>
        </w:rPr>
        <w:t>,</w:t>
      </w:r>
      <w:r w:rsidRPr="0023027E">
        <w:rPr>
          <w:rFonts w:cs="Arial"/>
          <w:szCs w:val="20"/>
        </w:rPr>
        <w:t>«.</w:t>
      </w:r>
    </w:p>
    <w:p w14:paraId="76481C62" w14:textId="77777777" w:rsidR="00F52CEB" w:rsidRPr="0023027E" w:rsidRDefault="00F52CEB">
      <w:pPr>
        <w:spacing w:afterLines="20" w:after="48"/>
        <w:jc w:val="both"/>
        <w:rPr>
          <w:rFonts w:cs="Arial"/>
          <w:szCs w:val="20"/>
        </w:rPr>
      </w:pPr>
    </w:p>
    <w:p w14:paraId="4775D450" w14:textId="59AD95F5" w:rsidR="000966FE" w:rsidRDefault="00F52CEB">
      <w:pPr>
        <w:spacing w:afterLines="20" w:after="48"/>
        <w:jc w:val="both"/>
        <w:rPr>
          <w:rFonts w:cs="Arial"/>
          <w:szCs w:val="20"/>
        </w:rPr>
      </w:pPr>
      <w:r w:rsidRPr="0023027E">
        <w:rPr>
          <w:rFonts w:cs="Arial"/>
          <w:szCs w:val="20"/>
        </w:rPr>
        <w:t xml:space="preserve">V 8. točki se besedilo »popravljena s Popravkom (UL L št. 405 z dne 2. 12. 2020, str. 84)« nadomesti z besedilom »spremenjena z Direktivo (EU) 2023/2864 Evropskega parlamenta in Sveta </w:t>
      </w:r>
      <w:r w:rsidR="002201C7" w:rsidRPr="004C2B64">
        <w:rPr>
          <w:rFonts w:cs="Arial"/>
          <w:szCs w:val="20"/>
        </w:rPr>
        <w:t xml:space="preserve">z dne 13. decembra 2023 </w:t>
      </w:r>
      <w:r w:rsidRPr="0023027E">
        <w:rPr>
          <w:rFonts w:cs="Arial"/>
          <w:szCs w:val="20"/>
        </w:rPr>
        <w:t>o spremembi nekaterih direktiv glede vzpostavitve in delovanja evropske enotne točke dostopa (UL L št. 2023/2864 z dne 20. 12. 2023)«.</w:t>
      </w:r>
    </w:p>
    <w:p w14:paraId="0E5ECC85" w14:textId="77777777" w:rsidR="000966FE" w:rsidRDefault="000966FE">
      <w:pPr>
        <w:spacing w:afterLines="20" w:after="48"/>
        <w:jc w:val="both"/>
        <w:rPr>
          <w:rFonts w:cs="Arial"/>
          <w:szCs w:val="20"/>
        </w:rPr>
      </w:pPr>
    </w:p>
    <w:p w14:paraId="65D8BA6B" w14:textId="77777777" w:rsidR="000966FE" w:rsidRDefault="00F52CEB">
      <w:pPr>
        <w:spacing w:afterLines="20" w:after="48"/>
        <w:jc w:val="both"/>
        <w:rPr>
          <w:rFonts w:cs="Arial"/>
          <w:szCs w:val="20"/>
        </w:rPr>
      </w:pPr>
      <w:r w:rsidRPr="0023027E">
        <w:rPr>
          <w:rFonts w:cs="Arial"/>
          <w:szCs w:val="20"/>
        </w:rPr>
        <w:t>V drugem odstavku se v 3. točki besedilo »Uredbo (EU) 2019/1156 Evropskega parlamenta in Sveta z dne 20. junija 2019 o olajšanju čezmejne distribucije kolektivnih naložbenih podjemov in spremembi uredb (EU) št. 345/2013, (EU) št. 346/2013 in (EU) št. 1286/2014 (UL L št. 188 z dne 12. 7. 2019, str. 55)« nadomesti z besedilom »Uredbo (EU) 2023/2869 Evropskega parlamenta in Sveta z dne 13. decembra 2023 o spremembi nekaterih uredb glede vzpostavitve in delovanja evropske enotne točke dostopa (UL L št. 2023/2869 z dne 20. 12. 2023)«.</w:t>
      </w:r>
    </w:p>
    <w:p w14:paraId="46748C3D" w14:textId="77777777" w:rsidR="000966FE" w:rsidRDefault="000966FE">
      <w:pPr>
        <w:spacing w:afterLines="20" w:after="48"/>
        <w:jc w:val="both"/>
        <w:rPr>
          <w:rFonts w:cs="Arial"/>
          <w:szCs w:val="20"/>
        </w:rPr>
      </w:pPr>
    </w:p>
    <w:p w14:paraId="0034D32F" w14:textId="77777777" w:rsidR="000966FE" w:rsidRDefault="00F52CEB">
      <w:pPr>
        <w:spacing w:afterLines="20" w:after="48"/>
        <w:jc w:val="both"/>
        <w:rPr>
          <w:rFonts w:cs="Arial"/>
          <w:szCs w:val="20"/>
        </w:rPr>
      </w:pPr>
      <w:r w:rsidRPr="0023027E">
        <w:rPr>
          <w:rFonts w:cs="Arial"/>
          <w:szCs w:val="20"/>
        </w:rPr>
        <w:lastRenderedPageBreak/>
        <w:t>V 4. točki se besedilo »Uredbo (EU) 2019/1156 Evropskega parlamenta in Sveta z dne 20. junija 2019 o olajšanju čezmejne distribucije kolektivnih naložbenih podjemov in spremembi uredb (EU) št. 345/2013, (EU) št. 346/2013 in (EU) št. 1286/2014 (UL L št. 188 z dne 12. 7. 2019, str. 55)« nadomesti z besedilom »Uredbo (EU) 2023/2869 Evropskega parlamenta in Sveta z dne 13. decembra 2023 o spremembi nekaterih uredb glede vzpostavitve in delovanja evropske enotne točke dostopa (UL L št. 2023/2869 z dne 20. 12. 2023)«.</w:t>
      </w:r>
    </w:p>
    <w:p w14:paraId="3FD418C6" w14:textId="77777777" w:rsidR="000966FE" w:rsidRDefault="000966FE">
      <w:pPr>
        <w:spacing w:afterLines="20" w:after="48"/>
        <w:jc w:val="both"/>
        <w:rPr>
          <w:rFonts w:cs="Arial"/>
          <w:szCs w:val="20"/>
        </w:rPr>
      </w:pPr>
    </w:p>
    <w:p w14:paraId="46C74230" w14:textId="77777777" w:rsidR="000966F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38" w:name="_Ref206492906"/>
      <w:r w:rsidRPr="0023027E">
        <w:rPr>
          <w:rFonts w:cs="Arial"/>
          <w:b/>
          <w:bCs/>
          <w:szCs w:val="20"/>
        </w:rPr>
        <w:t>člen</w:t>
      </w:r>
      <w:bookmarkEnd w:id="38"/>
    </w:p>
    <w:p w14:paraId="6543189B" w14:textId="77777777" w:rsidR="000966FE" w:rsidRDefault="000966FE">
      <w:pPr>
        <w:spacing w:afterLines="20" w:after="48"/>
        <w:jc w:val="both"/>
        <w:rPr>
          <w:rFonts w:cs="Arial"/>
          <w:szCs w:val="20"/>
        </w:rPr>
      </w:pPr>
    </w:p>
    <w:p w14:paraId="5A13E519" w14:textId="77777777" w:rsidR="00F52CEB" w:rsidRPr="0023027E" w:rsidRDefault="00F52CEB" w:rsidP="00F52CEB">
      <w:pPr>
        <w:spacing w:line="240" w:lineRule="auto"/>
        <w:jc w:val="both"/>
        <w:rPr>
          <w:rFonts w:cs="Arial"/>
          <w:color w:val="000000" w:themeColor="text1"/>
          <w:szCs w:val="20"/>
        </w:rPr>
      </w:pPr>
      <w:r w:rsidRPr="0023027E">
        <w:rPr>
          <w:rFonts w:cs="Arial"/>
          <w:color w:val="000000" w:themeColor="text1"/>
          <w:szCs w:val="20"/>
        </w:rPr>
        <w:t>Za 458. členom se doda nov</w:t>
      </w:r>
      <w:r w:rsidR="00B921AB">
        <w:rPr>
          <w:rFonts w:cs="Arial"/>
          <w:color w:val="000000" w:themeColor="text1"/>
          <w:szCs w:val="20"/>
        </w:rPr>
        <w:t>,</w:t>
      </w:r>
      <w:r w:rsidRPr="0023027E">
        <w:rPr>
          <w:rFonts w:cs="Arial"/>
          <w:color w:val="000000" w:themeColor="text1"/>
          <w:szCs w:val="20"/>
        </w:rPr>
        <w:t xml:space="preserve"> 458.a člen, ki se glasi:</w:t>
      </w:r>
    </w:p>
    <w:p w14:paraId="4848D469" w14:textId="77777777" w:rsidR="00F52CEB" w:rsidRPr="0023027E" w:rsidRDefault="00F52CEB" w:rsidP="00F52CEB">
      <w:pPr>
        <w:spacing w:line="240" w:lineRule="auto"/>
        <w:jc w:val="both"/>
        <w:rPr>
          <w:rFonts w:cs="Arial"/>
          <w:color w:val="000000" w:themeColor="text1"/>
          <w:szCs w:val="20"/>
        </w:rPr>
      </w:pPr>
    </w:p>
    <w:p w14:paraId="2D09A24D" w14:textId="77777777" w:rsidR="00F52CEB" w:rsidRPr="0023027E" w:rsidRDefault="00F52CEB" w:rsidP="00F52CEB">
      <w:pPr>
        <w:spacing w:line="240" w:lineRule="auto"/>
        <w:jc w:val="center"/>
        <w:rPr>
          <w:rFonts w:cs="Arial"/>
          <w:b/>
          <w:color w:val="000000" w:themeColor="text1"/>
          <w:szCs w:val="20"/>
        </w:rPr>
      </w:pPr>
      <w:r w:rsidRPr="0023027E">
        <w:rPr>
          <w:rFonts w:cs="Arial"/>
          <w:b/>
          <w:color w:val="000000" w:themeColor="text1"/>
          <w:szCs w:val="20"/>
        </w:rPr>
        <w:t>»458.a člen</w:t>
      </w:r>
    </w:p>
    <w:p w14:paraId="65A43BDD" w14:textId="0BA9344B" w:rsidR="00F52CEB" w:rsidRPr="0023027E" w:rsidRDefault="00F52CEB" w:rsidP="00F52CEB">
      <w:pPr>
        <w:spacing w:line="240" w:lineRule="auto"/>
        <w:jc w:val="center"/>
        <w:rPr>
          <w:rFonts w:cs="Arial"/>
          <w:b/>
          <w:color w:val="000000" w:themeColor="text1"/>
          <w:szCs w:val="20"/>
        </w:rPr>
      </w:pPr>
      <w:r w:rsidRPr="0023027E">
        <w:rPr>
          <w:rFonts w:cs="Arial"/>
          <w:b/>
          <w:color w:val="000000" w:themeColor="text1"/>
          <w:szCs w:val="20"/>
        </w:rPr>
        <w:t>(</w:t>
      </w:r>
      <w:r w:rsidR="002179A5" w:rsidRPr="0097040B">
        <w:rPr>
          <w:rFonts w:cs="Arial"/>
          <w:b/>
          <w:bCs/>
          <w:szCs w:val="20"/>
        </w:rPr>
        <w:t>predložitev informacij na evropsko enotno točko dostopa</w:t>
      </w:r>
      <w:r w:rsidRPr="0023027E">
        <w:rPr>
          <w:rFonts w:cs="Arial"/>
          <w:b/>
          <w:color w:val="000000" w:themeColor="text1"/>
          <w:szCs w:val="20"/>
        </w:rPr>
        <w:t>)</w:t>
      </w:r>
    </w:p>
    <w:p w14:paraId="68996998" w14:textId="77777777" w:rsidR="00F52CEB" w:rsidRPr="0023027E" w:rsidRDefault="00F52CEB" w:rsidP="00F52CEB">
      <w:pPr>
        <w:spacing w:line="240" w:lineRule="auto"/>
        <w:jc w:val="both"/>
        <w:rPr>
          <w:rFonts w:cs="Arial"/>
          <w:color w:val="000000" w:themeColor="text1"/>
          <w:szCs w:val="20"/>
        </w:rPr>
      </w:pPr>
    </w:p>
    <w:p w14:paraId="6074E407" w14:textId="3D57A912" w:rsidR="00F52CEB" w:rsidRPr="0023027E" w:rsidRDefault="00F52CEB" w:rsidP="00F52CEB">
      <w:pPr>
        <w:spacing w:line="240" w:lineRule="auto"/>
        <w:jc w:val="both"/>
        <w:rPr>
          <w:rFonts w:cs="Arial"/>
          <w:color w:val="000000" w:themeColor="text1"/>
          <w:szCs w:val="20"/>
        </w:rPr>
      </w:pPr>
      <w:r w:rsidRPr="0023027E">
        <w:rPr>
          <w:rFonts w:cs="Arial"/>
          <w:color w:val="000000" w:themeColor="text1"/>
          <w:szCs w:val="20"/>
        </w:rPr>
        <w:t xml:space="preserve">(1) Agencija je organ za zbiranje podatkov, </w:t>
      </w:r>
      <w:r w:rsidR="00FB0833">
        <w:rPr>
          <w:rFonts w:cs="Arial"/>
          <w:szCs w:val="20"/>
        </w:rPr>
        <w:t>kakor</w:t>
      </w:r>
      <w:r w:rsidRPr="0023027E">
        <w:rPr>
          <w:rFonts w:cs="Arial"/>
          <w:color w:val="000000" w:themeColor="text1"/>
          <w:szCs w:val="20"/>
        </w:rPr>
        <w:t xml:space="preserve"> je opredeljen v 2. točki 2. člena Uredbe 2023/2859/EU</w:t>
      </w:r>
      <w:r w:rsidR="00E61AFF" w:rsidRPr="00E61AFF">
        <w:t xml:space="preserve"> </w:t>
      </w:r>
      <w:r w:rsidR="00E61AFF" w:rsidRPr="00E61AFF">
        <w:rPr>
          <w:rFonts w:cs="Arial"/>
          <w:color w:val="000000" w:themeColor="text1"/>
          <w:szCs w:val="20"/>
        </w:rPr>
        <w:t xml:space="preserve">Evropskega parlamenta in Sveta z dne 13. decembra 2023 o vzpostavitvi evropske enotne točke dostopa, ki zagotavlja centraliziran dostop do javno dostopnih informacij, pomembnih za finančne storitve, kapitalske trge in </w:t>
      </w:r>
      <w:proofErr w:type="spellStart"/>
      <w:r w:rsidR="00E61AFF" w:rsidRPr="00E61AFF">
        <w:rPr>
          <w:rFonts w:cs="Arial"/>
          <w:color w:val="000000" w:themeColor="text1"/>
          <w:szCs w:val="20"/>
        </w:rPr>
        <w:t>trajnostnost</w:t>
      </w:r>
      <w:proofErr w:type="spellEnd"/>
      <w:r w:rsidR="00E61AFF" w:rsidRPr="00E61AFF">
        <w:rPr>
          <w:rFonts w:cs="Arial"/>
          <w:color w:val="000000" w:themeColor="text1"/>
          <w:szCs w:val="20"/>
        </w:rPr>
        <w:t xml:space="preserve"> (UL L št. 2023/2859 z dne 20. 12. 2023), zadnjič spremenjene z Uredbo (EU) 2024/3005 Evropskega parlamenta in Sveta z dne 27. novembra 2024 o preglednosti in celovitosti dejavnosti ocenjevanja </w:t>
      </w:r>
      <w:proofErr w:type="spellStart"/>
      <w:r w:rsidR="00E61AFF" w:rsidRPr="00E61AFF">
        <w:rPr>
          <w:rFonts w:cs="Arial"/>
          <w:color w:val="000000" w:themeColor="text1"/>
          <w:szCs w:val="20"/>
        </w:rPr>
        <w:t>okoljskih</w:t>
      </w:r>
      <w:proofErr w:type="spellEnd"/>
      <w:r w:rsidR="00E61AFF" w:rsidRPr="00E61AFF">
        <w:rPr>
          <w:rFonts w:cs="Arial"/>
          <w:color w:val="000000" w:themeColor="text1"/>
          <w:szCs w:val="20"/>
        </w:rPr>
        <w:t>, socialnih in upravljavskih (ESG) dejavnikov ter spremembi uredb (EU) 2019/2088</w:t>
      </w:r>
      <w:r w:rsidR="00B732CB" w:rsidRPr="00B732CB">
        <w:rPr>
          <w:rFonts w:cs="Arial"/>
          <w:szCs w:val="20"/>
        </w:rPr>
        <w:t xml:space="preserve"> </w:t>
      </w:r>
      <w:r w:rsidR="00B732CB">
        <w:rPr>
          <w:rFonts w:cs="Arial"/>
          <w:szCs w:val="20"/>
        </w:rPr>
        <w:t>in (EU) 2023/2859</w:t>
      </w:r>
      <w:r w:rsidR="00E61AFF" w:rsidRPr="00E61AFF">
        <w:rPr>
          <w:rFonts w:cs="Arial"/>
          <w:color w:val="000000" w:themeColor="text1"/>
          <w:szCs w:val="20"/>
        </w:rPr>
        <w:t xml:space="preserve"> (UL L št. 2024/3005 z dne 12. 12. 2024), (v nadaljnjem besedilu: Uredba 2023/2859/EU)</w:t>
      </w:r>
      <w:r w:rsidRPr="0023027E">
        <w:rPr>
          <w:rFonts w:cs="Arial"/>
          <w:color w:val="000000" w:themeColor="text1"/>
          <w:szCs w:val="20"/>
        </w:rPr>
        <w:t>, za informacije iz prvega odstavka 194. člena tega zakona, informacije o dovoljenjih, izdanih družbam za upravljanje</w:t>
      </w:r>
      <w:r w:rsidR="004F16F3">
        <w:rPr>
          <w:rFonts w:cs="Arial"/>
          <w:color w:val="000000" w:themeColor="text1"/>
          <w:szCs w:val="20"/>
        </w:rPr>
        <w:t>,</w:t>
      </w:r>
      <w:r w:rsidRPr="0023027E">
        <w:rPr>
          <w:rFonts w:cs="Arial"/>
          <w:color w:val="000000" w:themeColor="text1"/>
          <w:szCs w:val="20"/>
        </w:rPr>
        <w:t xml:space="preserve"> ter informacije o izrečenih ukrepih in identiteti kršitelja iz 499.a člena tega zakona.</w:t>
      </w:r>
    </w:p>
    <w:p w14:paraId="7F5CCB63" w14:textId="77777777" w:rsidR="00F52CEB" w:rsidRPr="0023027E" w:rsidRDefault="00F52CEB" w:rsidP="00F52CEB">
      <w:pPr>
        <w:spacing w:line="240" w:lineRule="auto"/>
        <w:jc w:val="both"/>
        <w:rPr>
          <w:rFonts w:cs="Arial"/>
          <w:color w:val="000000" w:themeColor="text1"/>
          <w:szCs w:val="20"/>
        </w:rPr>
      </w:pPr>
    </w:p>
    <w:p w14:paraId="25F395EB" w14:textId="53317F02" w:rsidR="00F52CEB" w:rsidRPr="0023027E" w:rsidRDefault="00F52CEB" w:rsidP="00F52CEB">
      <w:pPr>
        <w:spacing w:line="240" w:lineRule="auto"/>
        <w:jc w:val="both"/>
        <w:rPr>
          <w:rFonts w:cs="Arial"/>
          <w:color w:val="000000" w:themeColor="text1"/>
          <w:szCs w:val="20"/>
        </w:rPr>
      </w:pPr>
      <w:r w:rsidRPr="0023027E">
        <w:rPr>
          <w:rFonts w:cs="Arial"/>
          <w:color w:val="000000" w:themeColor="text1"/>
          <w:szCs w:val="20"/>
        </w:rPr>
        <w:t xml:space="preserve">(2) Agencija zagotavlja, da so informacije iz prejšnjega odstavka dostopne </w:t>
      </w:r>
      <w:bookmarkStart w:id="39" w:name="_Hlk214624442"/>
      <w:r w:rsidR="002179A5">
        <w:rPr>
          <w:rFonts w:cs="Arial"/>
          <w:szCs w:val="20"/>
        </w:rPr>
        <w:t>na</w:t>
      </w:r>
      <w:r w:rsidRPr="0023027E">
        <w:rPr>
          <w:rFonts w:cs="Arial"/>
          <w:color w:val="000000" w:themeColor="text1"/>
          <w:szCs w:val="20"/>
        </w:rPr>
        <w:t xml:space="preserve"> evropski enotni točki dostopa</w:t>
      </w:r>
      <w:r w:rsidR="00E61AFF">
        <w:rPr>
          <w:rFonts w:cs="Arial"/>
          <w:color w:val="000000" w:themeColor="text1"/>
          <w:szCs w:val="20"/>
        </w:rPr>
        <w:t xml:space="preserve">, </w:t>
      </w:r>
      <w:r w:rsidR="00FB0833">
        <w:rPr>
          <w:rFonts w:cs="Arial"/>
          <w:szCs w:val="20"/>
        </w:rPr>
        <w:t>kakor</w:t>
      </w:r>
      <w:r w:rsidR="00E61AFF" w:rsidRPr="0023027E">
        <w:rPr>
          <w:rFonts w:cs="Arial"/>
          <w:szCs w:val="20"/>
        </w:rPr>
        <w:t xml:space="preserve"> je opredeljena v 1. členu Uredbe 2023/2859/EU</w:t>
      </w:r>
      <w:bookmarkEnd w:id="39"/>
      <w:r w:rsidRPr="0023027E">
        <w:rPr>
          <w:rFonts w:cs="Arial"/>
          <w:color w:val="000000" w:themeColor="text1"/>
          <w:szCs w:val="20"/>
        </w:rPr>
        <w:t>.</w:t>
      </w:r>
    </w:p>
    <w:p w14:paraId="0CCB2314" w14:textId="77777777" w:rsidR="00F52CEB" w:rsidRPr="0023027E" w:rsidRDefault="00F52CEB" w:rsidP="00F52CEB">
      <w:pPr>
        <w:spacing w:line="240" w:lineRule="auto"/>
        <w:jc w:val="both"/>
        <w:rPr>
          <w:rFonts w:cs="Arial"/>
          <w:color w:val="000000" w:themeColor="text1"/>
          <w:szCs w:val="20"/>
        </w:rPr>
      </w:pPr>
    </w:p>
    <w:p w14:paraId="680D6D69" w14:textId="3B86B740" w:rsidR="00F52CEB" w:rsidRPr="0023027E" w:rsidRDefault="00F52CEB" w:rsidP="00F52CEB">
      <w:pPr>
        <w:spacing w:line="240" w:lineRule="auto"/>
        <w:jc w:val="both"/>
        <w:rPr>
          <w:rFonts w:cs="Arial"/>
          <w:color w:val="000000" w:themeColor="text1"/>
          <w:szCs w:val="20"/>
        </w:rPr>
      </w:pPr>
      <w:r w:rsidRPr="0023027E">
        <w:rPr>
          <w:rFonts w:cs="Arial"/>
          <w:color w:val="000000" w:themeColor="text1"/>
          <w:szCs w:val="20"/>
        </w:rPr>
        <w:t xml:space="preserve">(3) Informacije iz prvega odstavka 194. člena tega zakona izpolnjujejo </w:t>
      </w:r>
      <w:r w:rsidR="008A55E4">
        <w:rPr>
          <w:rFonts w:cs="Arial"/>
          <w:color w:val="000000" w:themeColor="text1"/>
          <w:szCs w:val="20"/>
        </w:rPr>
        <w:t>te</w:t>
      </w:r>
      <w:r w:rsidR="008A55E4" w:rsidRPr="0023027E">
        <w:rPr>
          <w:rFonts w:cs="Arial"/>
          <w:color w:val="000000" w:themeColor="text1"/>
          <w:szCs w:val="20"/>
        </w:rPr>
        <w:t xml:space="preserve"> </w:t>
      </w:r>
      <w:r w:rsidRPr="0023027E">
        <w:rPr>
          <w:rFonts w:cs="Arial"/>
          <w:color w:val="000000" w:themeColor="text1"/>
          <w:szCs w:val="20"/>
        </w:rPr>
        <w:t>zahteve:</w:t>
      </w:r>
    </w:p>
    <w:p w14:paraId="662B495B" w14:textId="2A22E351" w:rsidR="00F52CEB" w:rsidRPr="0023027E" w:rsidRDefault="00F05550" w:rsidP="00F05550">
      <w:pPr>
        <w:pStyle w:val="Odstavekseznama"/>
        <w:spacing w:line="240" w:lineRule="auto"/>
        <w:ind w:left="357" w:hanging="357"/>
        <w:jc w:val="both"/>
        <w:rPr>
          <w:rFonts w:cs="Arial"/>
          <w:color w:val="000000" w:themeColor="text1"/>
          <w:szCs w:val="20"/>
        </w:rPr>
      </w:pPr>
      <w:r w:rsidRPr="0023027E">
        <w:rPr>
          <w:rFonts w:cs="Arial"/>
          <w:color w:val="000000" w:themeColor="text1"/>
          <w:szCs w:val="20"/>
        </w:rPr>
        <w:t xml:space="preserve">1. </w:t>
      </w:r>
      <w:r w:rsidR="00F52CEB" w:rsidRPr="0023027E">
        <w:rPr>
          <w:rFonts w:cs="Arial"/>
          <w:color w:val="000000" w:themeColor="text1"/>
          <w:szCs w:val="20"/>
        </w:rPr>
        <w:t xml:space="preserve">predložene so v formatu, ki omogoča izvoz podatkov, </w:t>
      </w:r>
      <w:r w:rsidR="00FB0833">
        <w:rPr>
          <w:rFonts w:cs="Arial"/>
          <w:szCs w:val="20"/>
        </w:rPr>
        <w:t>kakor</w:t>
      </w:r>
      <w:r w:rsidR="00F52CEB" w:rsidRPr="0023027E">
        <w:rPr>
          <w:rFonts w:cs="Arial"/>
          <w:color w:val="000000" w:themeColor="text1"/>
          <w:szCs w:val="20"/>
        </w:rPr>
        <w:t xml:space="preserve"> je opredeljen v 3. točki 2. člena </w:t>
      </w:r>
      <w:r w:rsidR="0065550F" w:rsidRPr="0023027E">
        <w:rPr>
          <w:rFonts w:cs="Arial"/>
          <w:szCs w:val="20"/>
        </w:rPr>
        <w:t>Uredbe 2023/2859/E</w:t>
      </w:r>
      <w:r w:rsidR="0065550F" w:rsidRPr="004C3C23">
        <w:rPr>
          <w:rFonts w:cs="Arial"/>
          <w:szCs w:val="20"/>
        </w:rPr>
        <w:t>U, ali</w:t>
      </w:r>
      <w:r w:rsidR="0065550F" w:rsidRPr="0023027E">
        <w:rPr>
          <w:rFonts w:cs="Arial"/>
          <w:szCs w:val="20"/>
        </w:rPr>
        <w:t xml:space="preserve"> kadar to zahtevajo predpisi, v strojno berljiv</w:t>
      </w:r>
      <w:r w:rsidR="0065550F">
        <w:rPr>
          <w:rFonts w:cs="Arial"/>
          <w:szCs w:val="20"/>
        </w:rPr>
        <w:t>i</w:t>
      </w:r>
      <w:r w:rsidR="0065550F" w:rsidRPr="0023027E">
        <w:rPr>
          <w:rFonts w:cs="Arial"/>
          <w:szCs w:val="20"/>
        </w:rPr>
        <w:t xml:space="preserve"> </w:t>
      </w:r>
      <w:r w:rsidR="0065550F">
        <w:rPr>
          <w:rFonts w:cs="Arial"/>
          <w:szCs w:val="20"/>
        </w:rPr>
        <w:t>obliki</w:t>
      </w:r>
      <w:r w:rsidR="0065550F" w:rsidRPr="0023027E">
        <w:rPr>
          <w:rFonts w:cs="Arial"/>
          <w:szCs w:val="20"/>
        </w:rPr>
        <w:t>, kakor je opredeljen</w:t>
      </w:r>
      <w:r w:rsidR="0065550F">
        <w:rPr>
          <w:rFonts w:cs="Arial"/>
          <w:szCs w:val="20"/>
        </w:rPr>
        <w:t>a</w:t>
      </w:r>
      <w:r w:rsidR="0065550F" w:rsidRPr="0023027E">
        <w:rPr>
          <w:rFonts w:cs="Arial"/>
          <w:szCs w:val="20"/>
        </w:rPr>
        <w:t xml:space="preserve"> v 4. točki 2. člena Uredbe 2023/2859/EU</w:t>
      </w:r>
      <w:r w:rsidR="00F52CEB" w:rsidRPr="0023027E">
        <w:rPr>
          <w:rFonts w:cs="Arial"/>
          <w:color w:val="000000" w:themeColor="text1"/>
          <w:szCs w:val="20"/>
        </w:rPr>
        <w:t>;</w:t>
      </w:r>
    </w:p>
    <w:p w14:paraId="25AA1DB3" w14:textId="33569F12" w:rsidR="00F52CEB" w:rsidRPr="0023027E" w:rsidRDefault="00F05550" w:rsidP="00F05550">
      <w:pPr>
        <w:pStyle w:val="Odstavekseznama"/>
        <w:spacing w:line="240" w:lineRule="auto"/>
        <w:ind w:left="357" w:hanging="357"/>
        <w:jc w:val="both"/>
        <w:rPr>
          <w:rFonts w:cs="Arial"/>
          <w:color w:val="000000" w:themeColor="text1"/>
          <w:szCs w:val="20"/>
        </w:rPr>
      </w:pPr>
      <w:r w:rsidRPr="0023027E">
        <w:rPr>
          <w:rFonts w:cs="Arial"/>
          <w:color w:val="000000" w:themeColor="text1"/>
          <w:szCs w:val="20"/>
        </w:rPr>
        <w:t xml:space="preserve">2. </w:t>
      </w:r>
      <w:r w:rsidR="00F52CEB" w:rsidRPr="0023027E">
        <w:rPr>
          <w:rFonts w:cs="Arial"/>
          <w:color w:val="000000" w:themeColor="text1"/>
          <w:szCs w:val="20"/>
        </w:rPr>
        <w:t xml:space="preserve">vsebujejo </w:t>
      </w:r>
      <w:r w:rsidR="00F443AF">
        <w:rPr>
          <w:rFonts w:cs="Arial"/>
          <w:szCs w:val="20"/>
        </w:rPr>
        <w:t>te</w:t>
      </w:r>
      <w:r w:rsidR="00F52CEB" w:rsidRPr="0023027E">
        <w:rPr>
          <w:rFonts w:cs="Arial"/>
          <w:color w:val="000000" w:themeColor="text1"/>
          <w:szCs w:val="20"/>
        </w:rPr>
        <w:t xml:space="preserve"> metapodatke:</w:t>
      </w:r>
    </w:p>
    <w:p w14:paraId="0A421640" w14:textId="77777777"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vsa imena vzajemnega sklada, na katerega se nanašajo informacije;</w:t>
      </w:r>
    </w:p>
    <w:p w14:paraId="245C4DE6" w14:textId="415D0A9F"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identifikator pravnih subjektov vzajemnega sklada</w:t>
      </w:r>
      <w:r w:rsidR="00894346">
        <w:rPr>
          <w:rFonts w:cs="Arial"/>
          <w:color w:val="000000" w:themeColor="text1"/>
          <w:szCs w:val="20"/>
        </w:rPr>
        <w:t>,</w:t>
      </w:r>
      <w:r w:rsidR="00894346" w:rsidRPr="00894346">
        <w:rPr>
          <w:rFonts w:cs="Arial"/>
          <w:szCs w:val="20"/>
        </w:rPr>
        <w:t xml:space="preserve"> </w:t>
      </w:r>
      <w:r w:rsidR="0065550F">
        <w:rPr>
          <w:rFonts w:cs="Arial"/>
          <w:szCs w:val="20"/>
        </w:rPr>
        <w:t>kakor</w:t>
      </w:r>
      <w:r w:rsidR="00894346" w:rsidRPr="0023027E">
        <w:rPr>
          <w:rFonts w:cs="Arial"/>
          <w:szCs w:val="20"/>
        </w:rPr>
        <w:t xml:space="preserve"> je določen na podlagi točke </w:t>
      </w:r>
      <w:r w:rsidR="00894346">
        <w:rPr>
          <w:rFonts w:cs="Arial"/>
          <w:szCs w:val="20"/>
        </w:rPr>
        <w:t>(</w:t>
      </w:r>
      <w:r w:rsidR="00894346" w:rsidRPr="0023027E">
        <w:rPr>
          <w:rFonts w:cs="Arial"/>
          <w:szCs w:val="20"/>
        </w:rPr>
        <w:t>b) četrtega odstavka 7. člena Uredbe 2023/2859/EU</w:t>
      </w:r>
      <w:r w:rsidRPr="0023027E">
        <w:rPr>
          <w:rFonts w:cs="Arial"/>
          <w:color w:val="000000" w:themeColor="text1"/>
          <w:szCs w:val="20"/>
        </w:rPr>
        <w:t>;</w:t>
      </w:r>
    </w:p>
    <w:p w14:paraId="04253053" w14:textId="3974B715"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 xml:space="preserve">velikost vzajemnega sklada glede na kategorije, </w:t>
      </w:r>
      <w:r w:rsidR="0065550F">
        <w:rPr>
          <w:rFonts w:cs="Arial"/>
          <w:szCs w:val="20"/>
        </w:rPr>
        <w:t>kakor</w:t>
      </w:r>
      <w:r w:rsidRPr="0023027E">
        <w:rPr>
          <w:rFonts w:cs="Arial"/>
          <w:color w:val="000000" w:themeColor="text1"/>
          <w:szCs w:val="20"/>
        </w:rPr>
        <w:t xml:space="preserve"> so določene na podlagi točke </w:t>
      </w:r>
      <w:r w:rsidR="00892C49">
        <w:rPr>
          <w:rFonts w:cs="Arial"/>
          <w:color w:val="000000" w:themeColor="text1"/>
          <w:szCs w:val="20"/>
        </w:rPr>
        <w:t>(</w:t>
      </w:r>
      <w:r w:rsidR="0077410A">
        <w:rPr>
          <w:rFonts w:cs="Arial"/>
          <w:color w:val="000000" w:themeColor="text1"/>
          <w:szCs w:val="20"/>
        </w:rPr>
        <w:t xml:space="preserve">d) </w:t>
      </w:r>
      <w:r w:rsidRPr="0023027E">
        <w:rPr>
          <w:rFonts w:cs="Arial"/>
          <w:color w:val="000000" w:themeColor="text1"/>
          <w:szCs w:val="20"/>
        </w:rPr>
        <w:t>četrtega odstavka 7. člena Uredbe 2023/2859/EU;</w:t>
      </w:r>
    </w:p>
    <w:p w14:paraId="21BB835F" w14:textId="67CA70AF"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 xml:space="preserve">vrsto informacij glede na razvrstitev na podlagi točke </w:t>
      </w:r>
      <w:r w:rsidR="00892C49">
        <w:rPr>
          <w:rFonts w:cs="Arial"/>
          <w:color w:val="000000" w:themeColor="text1"/>
          <w:szCs w:val="20"/>
        </w:rPr>
        <w:t>(</w:t>
      </w:r>
      <w:r w:rsidR="0077410A">
        <w:rPr>
          <w:rFonts w:cs="Arial"/>
          <w:color w:val="000000" w:themeColor="text1"/>
          <w:szCs w:val="20"/>
        </w:rPr>
        <w:t xml:space="preserve">c) </w:t>
      </w:r>
      <w:r w:rsidRPr="0023027E">
        <w:rPr>
          <w:rFonts w:cs="Arial"/>
          <w:color w:val="000000" w:themeColor="text1"/>
          <w:szCs w:val="20"/>
        </w:rPr>
        <w:t xml:space="preserve">četrtega odstavka 7. člena Uredbe 2023/2859/EU; </w:t>
      </w:r>
    </w:p>
    <w:p w14:paraId="31AB953A" w14:textId="77777777"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oznako, ali informacije vsebujejo osebne podatke.</w:t>
      </w:r>
    </w:p>
    <w:p w14:paraId="1E889103" w14:textId="77777777" w:rsidR="00F52CEB" w:rsidRPr="0023027E" w:rsidRDefault="00F52CEB" w:rsidP="00F52CEB">
      <w:pPr>
        <w:spacing w:line="240" w:lineRule="auto"/>
        <w:jc w:val="both"/>
        <w:rPr>
          <w:rFonts w:cs="Arial"/>
          <w:color w:val="000000" w:themeColor="text1"/>
          <w:szCs w:val="20"/>
        </w:rPr>
      </w:pPr>
    </w:p>
    <w:p w14:paraId="782FE9BE" w14:textId="043FA9F1" w:rsidR="00F52CEB" w:rsidRPr="0023027E" w:rsidRDefault="00F52CEB" w:rsidP="00F52CEB">
      <w:pPr>
        <w:spacing w:line="240" w:lineRule="auto"/>
        <w:jc w:val="both"/>
        <w:rPr>
          <w:rFonts w:cs="Arial"/>
          <w:color w:val="000000" w:themeColor="text1"/>
          <w:szCs w:val="20"/>
        </w:rPr>
      </w:pPr>
      <w:r w:rsidRPr="0023027E">
        <w:rPr>
          <w:rFonts w:cs="Arial"/>
          <w:color w:val="000000" w:themeColor="text1"/>
          <w:szCs w:val="20"/>
        </w:rPr>
        <w:t>(4) Informacije o dovoljenjih, izdanih družbam za upravljanje</w:t>
      </w:r>
      <w:r w:rsidR="00C44E11">
        <w:rPr>
          <w:rFonts w:cs="Arial"/>
          <w:color w:val="000000" w:themeColor="text1"/>
          <w:szCs w:val="20"/>
        </w:rPr>
        <w:t>,</w:t>
      </w:r>
      <w:r w:rsidRPr="0023027E" w:rsidDel="008F0919">
        <w:rPr>
          <w:rFonts w:cs="Arial"/>
          <w:color w:val="000000" w:themeColor="text1"/>
          <w:szCs w:val="20"/>
        </w:rPr>
        <w:t xml:space="preserve"> </w:t>
      </w:r>
      <w:r w:rsidRPr="0023027E">
        <w:rPr>
          <w:rFonts w:cs="Arial"/>
          <w:color w:val="000000" w:themeColor="text1"/>
          <w:szCs w:val="20"/>
        </w:rPr>
        <w:t xml:space="preserve">izpolnjujejo </w:t>
      </w:r>
      <w:r w:rsidR="008A55E4">
        <w:rPr>
          <w:rFonts w:cs="Arial"/>
          <w:color w:val="000000" w:themeColor="text1"/>
          <w:szCs w:val="20"/>
        </w:rPr>
        <w:t>te</w:t>
      </w:r>
      <w:r w:rsidR="008A55E4" w:rsidRPr="0023027E">
        <w:rPr>
          <w:rFonts w:cs="Arial"/>
          <w:color w:val="000000" w:themeColor="text1"/>
          <w:szCs w:val="20"/>
        </w:rPr>
        <w:t xml:space="preserve"> </w:t>
      </w:r>
      <w:r w:rsidRPr="0023027E">
        <w:rPr>
          <w:rFonts w:cs="Arial"/>
          <w:color w:val="000000" w:themeColor="text1"/>
          <w:szCs w:val="20"/>
        </w:rPr>
        <w:t>zahteve:</w:t>
      </w:r>
    </w:p>
    <w:p w14:paraId="61270D11" w14:textId="3236B25D" w:rsidR="00F52CEB" w:rsidRPr="0023027E" w:rsidRDefault="00F05550" w:rsidP="00F05550">
      <w:pPr>
        <w:pStyle w:val="Odstavekseznama"/>
        <w:spacing w:line="240" w:lineRule="auto"/>
        <w:ind w:left="357" w:hanging="357"/>
        <w:jc w:val="both"/>
        <w:rPr>
          <w:rFonts w:cs="Arial"/>
          <w:color w:val="000000" w:themeColor="text1"/>
          <w:szCs w:val="20"/>
        </w:rPr>
      </w:pPr>
      <w:r w:rsidRPr="0023027E">
        <w:rPr>
          <w:rFonts w:cs="Arial"/>
          <w:color w:val="000000" w:themeColor="text1"/>
          <w:szCs w:val="20"/>
        </w:rPr>
        <w:t xml:space="preserve">1. </w:t>
      </w:r>
      <w:r w:rsidR="00F52CEB" w:rsidRPr="0023027E">
        <w:rPr>
          <w:rFonts w:cs="Arial"/>
          <w:color w:val="000000" w:themeColor="text1"/>
          <w:szCs w:val="20"/>
        </w:rPr>
        <w:t xml:space="preserve">predložene so v formatu, ki omogoča izvoz podatkov, </w:t>
      </w:r>
      <w:r w:rsidR="00FB0833">
        <w:rPr>
          <w:rFonts w:cs="Arial"/>
          <w:szCs w:val="20"/>
        </w:rPr>
        <w:t>kakor</w:t>
      </w:r>
      <w:r w:rsidR="00F52CEB" w:rsidRPr="0023027E">
        <w:rPr>
          <w:rFonts w:cs="Arial"/>
          <w:color w:val="000000" w:themeColor="text1"/>
          <w:szCs w:val="20"/>
        </w:rPr>
        <w:t xml:space="preserve"> je opredeljen v 3. točki 2. člena Uredbe 2023/2859/EU;</w:t>
      </w:r>
    </w:p>
    <w:p w14:paraId="322D2682" w14:textId="61055B42" w:rsidR="00F52CEB" w:rsidRPr="0023027E" w:rsidRDefault="00F05550" w:rsidP="00F05550">
      <w:pPr>
        <w:pStyle w:val="Odstavekseznama"/>
        <w:spacing w:line="240" w:lineRule="auto"/>
        <w:ind w:left="357" w:hanging="357"/>
        <w:jc w:val="both"/>
        <w:rPr>
          <w:rFonts w:cs="Arial"/>
          <w:color w:val="000000" w:themeColor="text1"/>
          <w:szCs w:val="20"/>
        </w:rPr>
      </w:pPr>
      <w:r w:rsidRPr="0023027E">
        <w:rPr>
          <w:rFonts w:cs="Arial"/>
          <w:color w:val="000000" w:themeColor="text1"/>
          <w:szCs w:val="20"/>
        </w:rPr>
        <w:t xml:space="preserve">2. </w:t>
      </w:r>
      <w:r w:rsidR="00F52CEB" w:rsidRPr="0023027E">
        <w:rPr>
          <w:rFonts w:cs="Arial"/>
          <w:color w:val="000000" w:themeColor="text1"/>
          <w:szCs w:val="20"/>
        </w:rPr>
        <w:t xml:space="preserve">vsebujejo </w:t>
      </w:r>
      <w:r w:rsidR="00F443AF">
        <w:rPr>
          <w:rFonts w:cs="Arial"/>
          <w:szCs w:val="20"/>
        </w:rPr>
        <w:t>te</w:t>
      </w:r>
      <w:r w:rsidR="00F52CEB" w:rsidRPr="0023027E">
        <w:rPr>
          <w:rFonts w:cs="Arial"/>
          <w:color w:val="000000" w:themeColor="text1"/>
          <w:szCs w:val="20"/>
        </w:rPr>
        <w:t xml:space="preserve"> metapodatke:</w:t>
      </w:r>
    </w:p>
    <w:p w14:paraId="092B2132" w14:textId="77777777"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vsa imena družbe za upravljanje, na katero se nanašajo informacije;</w:t>
      </w:r>
    </w:p>
    <w:p w14:paraId="56A53814" w14:textId="4565889F"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če obstaja, identifikator pravnih subjektov družbe za upravljanje</w:t>
      </w:r>
      <w:r w:rsidR="00894346">
        <w:rPr>
          <w:rFonts w:cs="Arial"/>
          <w:color w:val="000000" w:themeColor="text1"/>
          <w:szCs w:val="20"/>
        </w:rPr>
        <w:t xml:space="preserve">, </w:t>
      </w:r>
      <w:r w:rsidR="0065550F">
        <w:rPr>
          <w:rFonts w:cs="Arial"/>
          <w:szCs w:val="20"/>
        </w:rPr>
        <w:t>kakor</w:t>
      </w:r>
      <w:r w:rsidR="00894346" w:rsidRPr="0023027E">
        <w:rPr>
          <w:rFonts w:cs="Arial"/>
          <w:szCs w:val="20"/>
        </w:rPr>
        <w:t xml:space="preserve"> je določen na podlagi točke </w:t>
      </w:r>
      <w:r w:rsidR="00894346">
        <w:rPr>
          <w:rFonts w:cs="Arial"/>
          <w:szCs w:val="20"/>
        </w:rPr>
        <w:t>(</w:t>
      </w:r>
      <w:r w:rsidR="00894346" w:rsidRPr="0023027E">
        <w:rPr>
          <w:rFonts w:cs="Arial"/>
          <w:szCs w:val="20"/>
        </w:rPr>
        <w:t>b) četrtega odstavka 7. člena Uredbe 2023/2859/EU</w:t>
      </w:r>
      <w:r w:rsidRPr="0023027E">
        <w:rPr>
          <w:rFonts w:cs="Arial"/>
          <w:color w:val="000000" w:themeColor="text1"/>
          <w:szCs w:val="20"/>
        </w:rPr>
        <w:t>;</w:t>
      </w:r>
    </w:p>
    <w:p w14:paraId="1B654AF5" w14:textId="628048B1"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 xml:space="preserve">vrsto informacij glede na razvrstitev na podlagi točke </w:t>
      </w:r>
      <w:r w:rsidR="00892C49">
        <w:rPr>
          <w:rFonts w:cs="Arial"/>
          <w:color w:val="000000" w:themeColor="text1"/>
          <w:szCs w:val="20"/>
        </w:rPr>
        <w:t>(</w:t>
      </w:r>
      <w:r w:rsidR="0077410A">
        <w:rPr>
          <w:rFonts w:cs="Arial"/>
          <w:color w:val="000000" w:themeColor="text1"/>
          <w:szCs w:val="20"/>
        </w:rPr>
        <w:t xml:space="preserve">c) </w:t>
      </w:r>
      <w:r w:rsidRPr="0023027E">
        <w:rPr>
          <w:rFonts w:cs="Arial"/>
          <w:color w:val="000000" w:themeColor="text1"/>
          <w:szCs w:val="20"/>
        </w:rPr>
        <w:t xml:space="preserve">četrtega odstavka 7. člena Uredbe 2023/2859/EU; </w:t>
      </w:r>
    </w:p>
    <w:p w14:paraId="17F95DDE" w14:textId="77777777"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oznako, ali informacije vsebujejo osebne podatke.</w:t>
      </w:r>
    </w:p>
    <w:p w14:paraId="5492BE5A" w14:textId="77777777" w:rsidR="00F52CEB" w:rsidRPr="0023027E" w:rsidRDefault="00F52CEB" w:rsidP="00F52CEB">
      <w:pPr>
        <w:spacing w:line="240" w:lineRule="auto"/>
        <w:jc w:val="both"/>
        <w:rPr>
          <w:rFonts w:cs="Arial"/>
          <w:color w:val="000000" w:themeColor="text1"/>
          <w:szCs w:val="20"/>
        </w:rPr>
      </w:pPr>
    </w:p>
    <w:p w14:paraId="1C9D5F16" w14:textId="6B249A65" w:rsidR="00F52CEB" w:rsidRPr="0023027E" w:rsidRDefault="00F52CEB" w:rsidP="00F52CEB">
      <w:pPr>
        <w:spacing w:line="240" w:lineRule="auto"/>
        <w:jc w:val="both"/>
        <w:rPr>
          <w:rFonts w:cs="Arial"/>
          <w:color w:val="000000" w:themeColor="text1"/>
          <w:szCs w:val="20"/>
        </w:rPr>
      </w:pPr>
      <w:r w:rsidRPr="0023027E">
        <w:rPr>
          <w:rFonts w:cs="Arial"/>
          <w:color w:val="000000" w:themeColor="text1"/>
          <w:szCs w:val="20"/>
        </w:rPr>
        <w:t>(5) Informacije o izrečenih ukrepih in identiteti kršitelja iz 499.a člena tega zakona</w:t>
      </w:r>
      <w:r w:rsidRPr="0023027E" w:rsidDel="00551337">
        <w:rPr>
          <w:rFonts w:cs="Arial"/>
          <w:color w:val="000000" w:themeColor="text1"/>
          <w:szCs w:val="20"/>
        </w:rPr>
        <w:t xml:space="preserve"> </w:t>
      </w:r>
      <w:r w:rsidRPr="0023027E">
        <w:rPr>
          <w:rFonts w:cs="Arial"/>
          <w:color w:val="000000" w:themeColor="text1"/>
          <w:szCs w:val="20"/>
        </w:rPr>
        <w:t xml:space="preserve">izpolnjujejo </w:t>
      </w:r>
      <w:r w:rsidR="008A55E4">
        <w:rPr>
          <w:rFonts w:cs="Arial"/>
          <w:color w:val="000000" w:themeColor="text1"/>
          <w:szCs w:val="20"/>
        </w:rPr>
        <w:t>te</w:t>
      </w:r>
      <w:r w:rsidR="008A55E4" w:rsidRPr="0023027E">
        <w:rPr>
          <w:rFonts w:cs="Arial"/>
          <w:color w:val="000000" w:themeColor="text1"/>
          <w:szCs w:val="20"/>
        </w:rPr>
        <w:t xml:space="preserve"> </w:t>
      </w:r>
      <w:r w:rsidRPr="0023027E">
        <w:rPr>
          <w:rFonts w:cs="Arial"/>
          <w:color w:val="000000" w:themeColor="text1"/>
          <w:szCs w:val="20"/>
        </w:rPr>
        <w:t>zahteve:</w:t>
      </w:r>
    </w:p>
    <w:p w14:paraId="5C55810B" w14:textId="4B5A3912" w:rsidR="00F52CEB" w:rsidRPr="0023027E" w:rsidRDefault="00F05550" w:rsidP="00F05550">
      <w:pPr>
        <w:pStyle w:val="Odstavekseznama"/>
        <w:spacing w:line="240" w:lineRule="auto"/>
        <w:ind w:left="357" w:hanging="357"/>
        <w:jc w:val="both"/>
        <w:rPr>
          <w:rFonts w:cs="Arial"/>
          <w:color w:val="000000" w:themeColor="text1"/>
          <w:szCs w:val="20"/>
        </w:rPr>
      </w:pPr>
      <w:r w:rsidRPr="0023027E">
        <w:rPr>
          <w:rFonts w:cs="Arial"/>
          <w:color w:val="000000" w:themeColor="text1"/>
          <w:szCs w:val="20"/>
        </w:rPr>
        <w:t xml:space="preserve">1. </w:t>
      </w:r>
      <w:r w:rsidR="00F52CEB" w:rsidRPr="0023027E">
        <w:rPr>
          <w:rFonts w:cs="Arial"/>
          <w:color w:val="000000" w:themeColor="text1"/>
          <w:szCs w:val="20"/>
        </w:rPr>
        <w:t xml:space="preserve">predložene so v formatu, ki omogoča izvoz podatkov, </w:t>
      </w:r>
      <w:r w:rsidR="00FB0833">
        <w:rPr>
          <w:rFonts w:cs="Arial"/>
          <w:szCs w:val="20"/>
        </w:rPr>
        <w:t>kakor</w:t>
      </w:r>
      <w:r w:rsidR="00F52CEB" w:rsidRPr="0023027E">
        <w:rPr>
          <w:rFonts w:cs="Arial"/>
          <w:color w:val="000000" w:themeColor="text1"/>
          <w:szCs w:val="20"/>
        </w:rPr>
        <w:t xml:space="preserve"> je opredeljen v 3. točki 2. člena Uredbe 2023/2859/EU;</w:t>
      </w:r>
    </w:p>
    <w:p w14:paraId="574469B9" w14:textId="5AFF081D" w:rsidR="00F52CEB" w:rsidRPr="0023027E" w:rsidRDefault="00F05550" w:rsidP="00F05550">
      <w:pPr>
        <w:pStyle w:val="Odstavekseznama"/>
        <w:spacing w:line="240" w:lineRule="auto"/>
        <w:ind w:left="357" w:hanging="357"/>
        <w:jc w:val="both"/>
        <w:rPr>
          <w:rFonts w:cs="Arial"/>
          <w:color w:val="000000" w:themeColor="text1"/>
          <w:szCs w:val="20"/>
        </w:rPr>
      </w:pPr>
      <w:r w:rsidRPr="0023027E">
        <w:rPr>
          <w:rFonts w:cs="Arial"/>
          <w:color w:val="000000" w:themeColor="text1"/>
          <w:szCs w:val="20"/>
        </w:rPr>
        <w:lastRenderedPageBreak/>
        <w:t xml:space="preserve">2. </w:t>
      </w:r>
      <w:r w:rsidR="00F52CEB" w:rsidRPr="0023027E">
        <w:rPr>
          <w:rFonts w:cs="Arial"/>
          <w:color w:val="000000" w:themeColor="text1"/>
          <w:szCs w:val="20"/>
        </w:rPr>
        <w:t xml:space="preserve">vsebujejo </w:t>
      </w:r>
      <w:r w:rsidR="00F443AF">
        <w:rPr>
          <w:rFonts w:cs="Arial"/>
          <w:szCs w:val="20"/>
        </w:rPr>
        <w:t>te</w:t>
      </w:r>
      <w:r w:rsidR="00F52CEB" w:rsidRPr="0023027E">
        <w:rPr>
          <w:rFonts w:cs="Arial"/>
          <w:color w:val="000000" w:themeColor="text1"/>
          <w:szCs w:val="20"/>
        </w:rPr>
        <w:t xml:space="preserve"> metapodatke:</w:t>
      </w:r>
    </w:p>
    <w:p w14:paraId="7698B92B" w14:textId="77777777"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vsa imena vzajemnega sklada, na katerega se nanašajo informacije;</w:t>
      </w:r>
    </w:p>
    <w:p w14:paraId="5C049417" w14:textId="7D8A1F25"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identifikator pravnih subjektov vzajemnega sklada</w:t>
      </w:r>
      <w:r w:rsidR="00894346">
        <w:rPr>
          <w:rFonts w:cs="Arial"/>
          <w:color w:val="000000" w:themeColor="text1"/>
          <w:szCs w:val="20"/>
        </w:rPr>
        <w:t xml:space="preserve">, </w:t>
      </w:r>
      <w:r w:rsidR="0065550F">
        <w:rPr>
          <w:rFonts w:cs="Arial"/>
          <w:szCs w:val="20"/>
        </w:rPr>
        <w:t>kakor</w:t>
      </w:r>
      <w:r w:rsidR="00894346" w:rsidRPr="0023027E">
        <w:rPr>
          <w:rFonts w:cs="Arial"/>
          <w:szCs w:val="20"/>
        </w:rPr>
        <w:t xml:space="preserve"> je določen na podlagi točke </w:t>
      </w:r>
      <w:r w:rsidR="00894346">
        <w:rPr>
          <w:rFonts w:cs="Arial"/>
          <w:szCs w:val="20"/>
        </w:rPr>
        <w:t>(</w:t>
      </w:r>
      <w:r w:rsidR="00894346" w:rsidRPr="0023027E">
        <w:rPr>
          <w:rFonts w:cs="Arial"/>
          <w:szCs w:val="20"/>
        </w:rPr>
        <w:t>b) četrtega odstavka 7. člena Uredbe 2023/2859/EU</w:t>
      </w:r>
      <w:r w:rsidRPr="0023027E">
        <w:rPr>
          <w:rFonts w:cs="Arial"/>
          <w:color w:val="000000" w:themeColor="text1"/>
          <w:szCs w:val="20"/>
        </w:rPr>
        <w:t>;</w:t>
      </w:r>
    </w:p>
    <w:p w14:paraId="36B21EBB" w14:textId="2F2187C5"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 xml:space="preserve">vrsto informacij glede na razvrstitev na podlagi točke </w:t>
      </w:r>
      <w:r w:rsidR="00892C49">
        <w:rPr>
          <w:rFonts w:cs="Arial"/>
          <w:color w:val="000000" w:themeColor="text1"/>
          <w:szCs w:val="20"/>
        </w:rPr>
        <w:t>(</w:t>
      </w:r>
      <w:r w:rsidR="00F4447F">
        <w:rPr>
          <w:rFonts w:cs="Arial"/>
          <w:color w:val="000000" w:themeColor="text1"/>
          <w:szCs w:val="20"/>
        </w:rPr>
        <w:t xml:space="preserve">c) </w:t>
      </w:r>
      <w:r w:rsidRPr="0023027E">
        <w:rPr>
          <w:rFonts w:cs="Arial"/>
          <w:color w:val="000000" w:themeColor="text1"/>
          <w:szCs w:val="20"/>
        </w:rPr>
        <w:t>četrtega odstavka 7. člena Uredbe 2023/2859/EU;</w:t>
      </w:r>
    </w:p>
    <w:p w14:paraId="6A51C6BF" w14:textId="77777777"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 xml:space="preserve">oznako, ali informacije vsebujejo osebne podatke. </w:t>
      </w:r>
    </w:p>
    <w:p w14:paraId="5E426CEB" w14:textId="77777777" w:rsidR="00F52CEB" w:rsidRPr="0023027E" w:rsidRDefault="00F52CEB" w:rsidP="00F52CEB">
      <w:pPr>
        <w:spacing w:line="240" w:lineRule="auto"/>
        <w:jc w:val="both"/>
        <w:rPr>
          <w:rFonts w:cs="Arial"/>
          <w:color w:val="000000" w:themeColor="text1"/>
          <w:szCs w:val="20"/>
        </w:rPr>
      </w:pPr>
    </w:p>
    <w:p w14:paraId="355963EA" w14:textId="112AF93E" w:rsidR="00F52CEB" w:rsidRPr="0023027E" w:rsidRDefault="00F52CEB" w:rsidP="00F52CEB">
      <w:pPr>
        <w:spacing w:line="240" w:lineRule="auto"/>
        <w:jc w:val="both"/>
        <w:rPr>
          <w:rFonts w:cs="Arial"/>
          <w:color w:val="000000" w:themeColor="text1"/>
          <w:szCs w:val="20"/>
        </w:rPr>
      </w:pPr>
      <w:r w:rsidRPr="0023027E">
        <w:rPr>
          <w:rFonts w:cs="Arial"/>
          <w:color w:val="000000" w:themeColor="text1"/>
          <w:szCs w:val="20"/>
        </w:rPr>
        <w:t>(6) Družba za upravljanje za vzajemne sklade, ki jih upravlja, pridobi identifikator pravnih subjektov</w:t>
      </w:r>
      <w:r w:rsidR="00894346">
        <w:rPr>
          <w:rFonts w:cs="Arial"/>
          <w:color w:val="000000" w:themeColor="text1"/>
          <w:szCs w:val="20"/>
        </w:rPr>
        <w:t xml:space="preserve">, </w:t>
      </w:r>
      <w:r w:rsidR="0065550F">
        <w:rPr>
          <w:rFonts w:cs="Arial"/>
          <w:szCs w:val="20"/>
        </w:rPr>
        <w:t>kakor</w:t>
      </w:r>
      <w:r w:rsidR="00894346" w:rsidRPr="0023027E">
        <w:rPr>
          <w:rFonts w:cs="Arial"/>
          <w:szCs w:val="20"/>
        </w:rPr>
        <w:t xml:space="preserve"> je določen na podlagi točke </w:t>
      </w:r>
      <w:r w:rsidR="00894346">
        <w:rPr>
          <w:rFonts w:cs="Arial"/>
          <w:szCs w:val="20"/>
        </w:rPr>
        <w:t>(</w:t>
      </w:r>
      <w:r w:rsidR="00894346" w:rsidRPr="0023027E">
        <w:rPr>
          <w:rFonts w:cs="Arial"/>
          <w:szCs w:val="20"/>
        </w:rPr>
        <w:t>b) četrtega odstavka 7. člena Uredbe 2023/2859/EU</w:t>
      </w:r>
      <w:r w:rsidRPr="0023027E">
        <w:rPr>
          <w:rFonts w:cs="Arial"/>
          <w:color w:val="000000" w:themeColor="text1"/>
          <w:szCs w:val="20"/>
        </w:rPr>
        <w:t>.«.</w:t>
      </w:r>
    </w:p>
    <w:p w14:paraId="415ADB1B" w14:textId="77777777" w:rsidR="00F52CEB" w:rsidRPr="0023027E" w:rsidRDefault="00F52CEB" w:rsidP="000966FE">
      <w:pPr>
        <w:pStyle w:val="Odstavekseznama"/>
        <w:spacing w:afterLines="20" w:after="48"/>
        <w:rPr>
          <w:rFonts w:cs="Arial"/>
          <w:b/>
          <w:bCs/>
          <w:szCs w:val="20"/>
        </w:rPr>
      </w:pPr>
    </w:p>
    <w:p w14:paraId="55945F24" w14:textId="77777777" w:rsidR="00F52CEB" w:rsidRPr="0023027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40" w:name="_Ref206503142"/>
      <w:r w:rsidRPr="0023027E">
        <w:rPr>
          <w:rFonts w:cs="Arial"/>
          <w:b/>
          <w:bCs/>
          <w:szCs w:val="20"/>
        </w:rPr>
        <w:t>člen</w:t>
      </w:r>
      <w:bookmarkEnd w:id="40"/>
    </w:p>
    <w:p w14:paraId="3812DB18" w14:textId="77777777" w:rsidR="00F52CEB" w:rsidRPr="0023027E" w:rsidRDefault="00F52CEB">
      <w:pPr>
        <w:spacing w:afterLines="20" w:after="48"/>
        <w:jc w:val="both"/>
        <w:rPr>
          <w:rFonts w:cs="Arial"/>
          <w:szCs w:val="20"/>
        </w:rPr>
      </w:pPr>
    </w:p>
    <w:p w14:paraId="466BFA97" w14:textId="77777777" w:rsidR="00F52CEB" w:rsidRPr="0023027E" w:rsidRDefault="00F52CEB">
      <w:pPr>
        <w:spacing w:afterLines="20" w:after="48"/>
        <w:jc w:val="both"/>
        <w:rPr>
          <w:rFonts w:cs="Arial"/>
          <w:szCs w:val="20"/>
        </w:rPr>
      </w:pPr>
      <w:r w:rsidRPr="0023027E">
        <w:rPr>
          <w:rFonts w:cs="Arial"/>
          <w:szCs w:val="20"/>
        </w:rPr>
        <w:t>V 512. členu se v prvem odstavku za 35. točko dodata novi, 35.a in 35.b točka, ki se glasita:</w:t>
      </w:r>
    </w:p>
    <w:p w14:paraId="377948A6" w14:textId="77777777" w:rsidR="00F52CEB" w:rsidRPr="0023027E" w:rsidRDefault="00F52CEB">
      <w:pPr>
        <w:spacing w:afterLines="20" w:after="48"/>
        <w:jc w:val="both"/>
        <w:rPr>
          <w:rFonts w:cs="Arial"/>
          <w:szCs w:val="20"/>
        </w:rPr>
      </w:pPr>
      <w:r w:rsidRPr="0023027E">
        <w:rPr>
          <w:rFonts w:cs="Arial"/>
          <w:szCs w:val="20"/>
        </w:rPr>
        <w:t xml:space="preserve"> </w:t>
      </w:r>
    </w:p>
    <w:p w14:paraId="42E4E152" w14:textId="52A7AB58" w:rsidR="00F52CEB" w:rsidRPr="0023027E" w:rsidRDefault="00F52CEB">
      <w:pPr>
        <w:spacing w:afterLines="20" w:after="48"/>
        <w:jc w:val="both"/>
        <w:rPr>
          <w:rFonts w:cs="Arial"/>
          <w:szCs w:val="20"/>
        </w:rPr>
      </w:pPr>
      <w:r w:rsidRPr="0023027E">
        <w:rPr>
          <w:rFonts w:cs="Arial"/>
          <w:szCs w:val="20"/>
        </w:rPr>
        <w:t>»</w:t>
      </w:r>
      <w:bookmarkStart w:id="41" w:name="_Hlk202788165"/>
      <w:r w:rsidRPr="0023027E">
        <w:rPr>
          <w:rFonts w:cs="Arial"/>
          <w:szCs w:val="20"/>
        </w:rPr>
        <w:t xml:space="preserve">35.a ne izpolnjuje obveznosti glede predložitve informacij in metapodatkov v skladu </w:t>
      </w:r>
      <w:r w:rsidR="008A55E4">
        <w:rPr>
          <w:rFonts w:cs="Arial"/>
          <w:szCs w:val="20"/>
        </w:rPr>
        <w:t>s</w:t>
      </w:r>
      <w:r w:rsidR="008A55E4" w:rsidRPr="0023027E">
        <w:rPr>
          <w:rFonts w:cs="Arial"/>
          <w:szCs w:val="20"/>
        </w:rPr>
        <w:t xml:space="preserve"> </w:t>
      </w:r>
      <w:r w:rsidRPr="0023027E">
        <w:rPr>
          <w:rFonts w:cs="Arial"/>
          <w:szCs w:val="20"/>
        </w:rPr>
        <w:t>tretjim, četrtim in petim odstavkom 458.a člena tega zakona,</w:t>
      </w:r>
    </w:p>
    <w:p w14:paraId="61A4D889" w14:textId="32AABB38" w:rsidR="000966FE" w:rsidRDefault="00F52CEB">
      <w:pPr>
        <w:spacing w:afterLines="20" w:after="48"/>
        <w:jc w:val="both"/>
        <w:rPr>
          <w:rFonts w:cs="Arial"/>
          <w:szCs w:val="20"/>
        </w:rPr>
      </w:pPr>
      <w:r w:rsidRPr="0023027E">
        <w:rPr>
          <w:rFonts w:cs="Arial"/>
          <w:szCs w:val="20"/>
        </w:rPr>
        <w:t>35.b ne pridobi identifikatorja pravnih subjektov v skladu s šestim odstavkom 458.a člena tega zakona</w:t>
      </w:r>
      <w:r w:rsidR="008A55E4">
        <w:rPr>
          <w:rFonts w:cs="Arial"/>
          <w:szCs w:val="20"/>
        </w:rPr>
        <w:t>.</w:t>
      </w:r>
      <w:bookmarkEnd w:id="41"/>
      <w:r w:rsidRPr="0023027E">
        <w:rPr>
          <w:rFonts w:cs="Arial"/>
          <w:szCs w:val="20"/>
        </w:rPr>
        <w:t>«</w:t>
      </w:r>
      <w:r w:rsidR="00C44E11">
        <w:rPr>
          <w:rFonts w:cs="Arial"/>
          <w:szCs w:val="20"/>
        </w:rPr>
        <w:t>.</w:t>
      </w:r>
    </w:p>
    <w:p w14:paraId="0C13E021" w14:textId="77777777" w:rsidR="000966FE" w:rsidRDefault="000966FE">
      <w:pPr>
        <w:spacing w:afterLines="20" w:after="48"/>
        <w:jc w:val="both"/>
        <w:rPr>
          <w:rFonts w:cs="Arial"/>
          <w:szCs w:val="20"/>
        </w:rPr>
      </w:pPr>
    </w:p>
    <w:p w14:paraId="718A1C17" w14:textId="77777777" w:rsidR="000966FE" w:rsidRDefault="00F52CEB">
      <w:pPr>
        <w:spacing w:afterLines="20" w:after="48"/>
        <w:jc w:val="both"/>
        <w:rPr>
          <w:rFonts w:cs="Arial"/>
          <w:b/>
          <w:bCs/>
          <w:szCs w:val="20"/>
        </w:rPr>
      </w:pPr>
      <w:r w:rsidRPr="0023027E">
        <w:rPr>
          <w:rFonts w:cs="Arial"/>
          <w:b/>
          <w:bCs/>
          <w:szCs w:val="20"/>
        </w:rPr>
        <w:t>6. Zakon o upravljavcih alternativnih investicijskih skladov</w:t>
      </w:r>
    </w:p>
    <w:p w14:paraId="5A6490D8" w14:textId="77777777" w:rsidR="000966FE" w:rsidRDefault="000966FE">
      <w:pPr>
        <w:spacing w:afterLines="20" w:after="48"/>
        <w:jc w:val="both"/>
        <w:rPr>
          <w:rFonts w:cs="Arial"/>
          <w:szCs w:val="20"/>
        </w:rPr>
      </w:pPr>
    </w:p>
    <w:p w14:paraId="5F159D49" w14:textId="77777777" w:rsidR="00942123"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42" w:name="_Ref206503178"/>
      <w:r w:rsidRPr="0023027E">
        <w:rPr>
          <w:rFonts w:cs="Arial"/>
          <w:b/>
          <w:bCs/>
          <w:szCs w:val="20"/>
        </w:rPr>
        <w:t>člen</w:t>
      </w:r>
      <w:bookmarkEnd w:id="42"/>
    </w:p>
    <w:p w14:paraId="5B3FEC29" w14:textId="77777777" w:rsidR="00F52CEB" w:rsidRPr="0023027E" w:rsidRDefault="00F52CEB">
      <w:pPr>
        <w:spacing w:afterLines="20" w:after="48"/>
        <w:jc w:val="both"/>
        <w:rPr>
          <w:rFonts w:cs="Arial"/>
          <w:szCs w:val="20"/>
        </w:rPr>
      </w:pPr>
    </w:p>
    <w:p w14:paraId="3E53B74A" w14:textId="0EDECBDB" w:rsidR="00F52CEB" w:rsidRPr="0023027E" w:rsidRDefault="00F52CEB">
      <w:pPr>
        <w:spacing w:afterLines="20" w:after="48"/>
        <w:jc w:val="both"/>
        <w:rPr>
          <w:rFonts w:cs="Arial"/>
          <w:szCs w:val="20"/>
        </w:rPr>
      </w:pPr>
      <w:r w:rsidRPr="0023027E">
        <w:rPr>
          <w:rFonts w:cs="Arial"/>
          <w:szCs w:val="20"/>
        </w:rPr>
        <w:t>V Zakonu o upravljavcih alternativnih investicijskih skladov (Uradni list RS, št. 32/15, 77/18, 161/21</w:t>
      </w:r>
      <w:r w:rsidR="00F14FAD">
        <w:rPr>
          <w:rFonts w:cs="Arial"/>
          <w:szCs w:val="20"/>
        </w:rPr>
        <w:t>,</w:t>
      </w:r>
      <w:r w:rsidRPr="0023027E">
        <w:rPr>
          <w:rFonts w:cs="Arial"/>
          <w:szCs w:val="20"/>
        </w:rPr>
        <w:t xml:space="preserve"> 101/22 – ZOAIS</w:t>
      </w:r>
      <w:r w:rsidR="00F14FAD">
        <w:rPr>
          <w:rFonts w:cs="Arial"/>
          <w:szCs w:val="20"/>
        </w:rPr>
        <w:t xml:space="preserve"> in 77/25</w:t>
      </w:r>
      <w:r w:rsidRPr="0023027E">
        <w:rPr>
          <w:rFonts w:cs="Arial"/>
          <w:szCs w:val="20"/>
        </w:rPr>
        <w:t>) se v 2. členu v prvem odstavku v 1. točki besedilo »</w:t>
      </w:r>
      <w:r w:rsidR="00000829" w:rsidRPr="00000829">
        <w:rPr>
          <w:rFonts w:cs="Arial"/>
          <w:szCs w:val="20"/>
        </w:rPr>
        <w:t>Direktivo 2022/2556/EU Evropskega parlamenta in Sveta z dne 14. decembra 2022 o spremembi direktiv 2009/65/ES, 2009/138/ES, 2011/61/EU, 2013/36/EU, 2014/59/EU, 2014/65/EU, 2015/2366/EU in 2016/2341/EU glede digitalne operativne odpornosti za finančni sektor (UL L št. 333 z dne 27. 12. 2022, str. 153)</w:t>
      </w:r>
      <w:r w:rsidRPr="0023027E">
        <w:rPr>
          <w:rFonts w:cs="Arial"/>
          <w:szCs w:val="20"/>
        </w:rPr>
        <w:t>« nadomesti z besedilom »</w:t>
      </w:r>
      <w:bookmarkStart w:id="43" w:name="_Hlk202790730"/>
      <w:r w:rsidRPr="0023027E">
        <w:rPr>
          <w:rFonts w:cs="Arial"/>
          <w:szCs w:val="20"/>
        </w:rPr>
        <w:t xml:space="preserve">Direktivo (EU) 2023/2864 Evropskega parlamenta in Sveta </w:t>
      </w:r>
      <w:r w:rsidR="002201C7" w:rsidRPr="004C2B64">
        <w:rPr>
          <w:rFonts w:cs="Arial"/>
          <w:szCs w:val="20"/>
        </w:rPr>
        <w:t xml:space="preserve">z dne 13. decembra 2023 </w:t>
      </w:r>
      <w:r w:rsidRPr="0023027E">
        <w:rPr>
          <w:rFonts w:cs="Arial"/>
          <w:szCs w:val="20"/>
        </w:rPr>
        <w:t>o spremembi nekaterih direktiv glede vzpostavitve in delovanja evropske enotne točke dostopa (UL L št. 2023/2864 z dne 20. 12. 2023)</w:t>
      </w:r>
      <w:bookmarkEnd w:id="43"/>
      <w:r w:rsidRPr="0023027E">
        <w:rPr>
          <w:rFonts w:cs="Arial"/>
          <w:szCs w:val="20"/>
        </w:rPr>
        <w:t>«.</w:t>
      </w:r>
    </w:p>
    <w:p w14:paraId="2CAB55EB" w14:textId="77777777" w:rsidR="00F52CEB" w:rsidRPr="0023027E" w:rsidRDefault="00F52CEB">
      <w:pPr>
        <w:spacing w:afterLines="20" w:after="48"/>
        <w:jc w:val="both"/>
        <w:rPr>
          <w:rFonts w:cs="Arial"/>
          <w:szCs w:val="20"/>
        </w:rPr>
      </w:pPr>
    </w:p>
    <w:p w14:paraId="440BEF83" w14:textId="1CC129C3" w:rsidR="00F52CEB" w:rsidRPr="0023027E" w:rsidRDefault="00F52CEB">
      <w:pPr>
        <w:spacing w:afterLines="20" w:after="48"/>
        <w:jc w:val="both"/>
        <w:rPr>
          <w:rFonts w:cs="Arial"/>
          <w:szCs w:val="20"/>
        </w:rPr>
      </w:pPr>
      <w:r w:rsidRPr="0023027E">
        <w:rPr>
          <w:rFonts w:cs="Arial"/>
          <w:szCs w:val="20"/>
        </w:rPr>
        <w:t xml:space="preserve">V 4. točki se besedilo »popravljena s Popravkom (UL L št. 405 z dne 2. 12. 2020, str. 84)« nadomesti z besedilom »spremenjena z Direktivo (EU) 2023/2864 Evropskega parlamenta in Sveta </w:t>
      </w:r>
      <w:r w:rsidR="002201C7" w:rsidRPr="004C2B64">
        <w:rPr>
          <w:rFonts w:cs="Arial"/>
          <w:szCs w:val="20"/>
        </w:rPr>
        <w:t xml:space="preserve">z dne 13. decembra 2023 </w:t>
      </w:r>
      <w:r w:rsidRPr="0023027E">
        <w:rPr>
          <w:rFonts w:cs="Arial"/>
          <w:szCs w:val="20"/>
        </w:rPr>
        <w:t>o spremembi nekaterih direktiv glede vzpostavitve in delovanja evropske enotne točke dostopa (UL L št. 2023/2864 z dne 20. 12. 2023)«.</w:t>
      </w:r>
    </w:p>
    <w:p w14:paraId="18F057F3" w14:textId="77777777" w:rsidR="00F52CEB" w:rsidRPr="0023027E" w:rsidRDefault="00F52CEB">
      <w:pPr>
        <w:spacing w:afterLines="20" w:after="48"/>
        <w:jc w:val="both"/>
        <w:rPr>
          <w:rFonts w:cs="Arial"/>
          <w:szCs w:val="20"/>
        </w:rPr>
      </w:pPr>
    </w:p>
    <w:p w14:paraId="576AB335" w14:textId="77777777" w:rsidR="000966FE" w:rsidRDefault="00F52CEB">
      <w:pPr>
        <w:spacing w:afterLines="20" w:after="48"/>
        <w:jc w:val="both"/>
        <w:rPr>
          <w:rFonts w:cs="Arial"/>
          <w:szCs w:val="20"/>
        </w:rPr>
      </w:pPr>
      <w:r w:rsidRPr="0023027E">
        <w:rPr>
          <w:rFonts w:cs="Arial"/>
          <w:szCs w:val="20"/>
        </w:rPr>
        <w:t>V drugem odstavku se v 4. točki besedilo »Uredbo (EU) št. 2019/1156 Evropskega parlamenta in Sveta z dne 20. junija 2019 o olajšanju čezmejne distribucije kolektivnih naložbenih podjemov in spremembi uredb (EU) št. 345/2013, (EU) št. 346/2013 in (EU) 1286/2014, (UL L št. 188 z dne 12. 7. 2019, str. 55; v nadaljnjem besedilu: Uredba 345/2013/EU)« nadomesti z besedilom »</w:t>
      </w:r>
      <w:bookmarkStart w:id="44" w:name="_Hlk202873614"/>
      <w:r w:rsidRPr="0023027E">
        <w:rPr>
          <w:rFonts w:cs="Arial"/>
          <w:szCs w:val="20"/>
        </w:rPr>
        <w:t>Uredbo (EU) 2023/2869 Evropskega parlamenta in Sveta z dne 13. decembra 2023 o spremembi nekaterih uredb glede vzpostavitve in delovanja evropske enotne točke dostopa (UL L št. 2023/2869 z dne 20. 12. 2023),</w:t>
      </w:r>
      <w:bookmarkEnd w:id="44"/>
      <w:r w:rsidRPr="0023027E">
        <w:rPr>
          <w:rFonts w:cs="Arial"/>
          <w:szCs w:val="20"/>
        </w:rPr>
        <w:t xml:space="preserve"> (v nadaljnjem besedilu: Uredba 345/2013/EU)«.</w:t>
      </w:r>
    </w:p>
    <w:p w14:paraId="3369DF5B" w14:textId="77777777" w:rsidR="000966FE" w:rsidRDefault="000966FE">
      <w:pPr>
        <w:spacing w:afterLines="20" w:after="48"/>
        <w:jc w:val="both"/>
        <w:rPr>
          <w:rFonts w:cs="Arial"/>
          <w:szCs w:val="20"/>
        </w:rPr>
      </w:pPr>
    </w:p>
    <w:p w14:paraId="7FAA7D7F" w14:textId="77777777" w:rsidR="000966FE" w:rsidRDefault="00F52CEB">
      <w:pPr>
        <w:spacing w:afterLines="20" w:after="48"/>
        <w:jc w:val="both"/>
        <w:rPr>
          <w:rFonts w:cs="Arial"/>
          <w:szCs w:val="20"/>
        </w:rPr>
      </w:pPr>
      <w:r w:rsidRPr="0023027E">
        <w:rPr>
          <w:rFonts w:cs="Arial"/>
          <w:szCs w:val="20"/>
        </w:rPr>
        <w:t xml:space="preserve">V 5. točki se besedilo »Uredbo (EU) št. 2019/1156 Evropskega parlamenta in Sveta z dne 20. junija 2019 o olajšanju čezmejne distribucije kolektivnih naložbenih podjemov in spremembi uredb (EU) št. 345/2013, (EU) št. 346/2013 in (EU) 1286/2014, (UL L št. 188 z dne 12. 7. 2019, str. 55; </w:t>
      </w:r>
      <w:r w:rsidRPr="0023027E">
        <w:rPr>
          <w:rFonts w:cs="Arial"/>
          <w:szCs w:val="20"/>
        </w:rPr>
        <w:lastRenderedPageBreak/>
        <w:t>v nadaljnjem besedilu: Uredba 345/2013/EU)« nadomesti z besedilom »Uredbo (EU) 2023/2869 Evropskega parlamenta in Sveta z dne 13. decembra 2023 o spremembi nekaterih uredb glede vzpostavitve in delovanja evropske enotne točke dostopa (UL L št. 2023/2869 z dne 20. 12. 2023), (v nadaljnjem besedilu: Uredba 346/2013/EU)«.</w:t>
      </w:r>
    </w:p>
    <w:p w14:paraId="4A9D705D" w14:textId="77777777" w:rsidR="000966FE" w:rsidRDefault="000966FE">
      <w:pPr>
        <w:spacing w:afterLines="20" w:after="48"/>
        <w:jc w:val="both"/>
        <w:rPr>
          <w:rFonts w:cs="Arial"/>
          <w:szCs w:val="20"/>
        </w:rPr>
      </w:pPr>
    </w:p>
    <w:p w14:paraId="14EC8A1D" w14:textId="77777777" w:rsidR="000966FE" w:rsidRDefault="00F52CEB">
      <w:pPr>
        <w:spacing w:afterLines="20" w:after="48"/>
        <w:jc w:val="both"/>
        <w:rPr>
          <w:rFonts w:cs="Arial"/>
          <w:szCs w:val="20"/>
        </w:rPr>
      </w:pPr>
      <w:r w:rsidRPr="0023027E">
        <w:rPr>
          <w:rFonts w:cs="Arial"/>
          <w:szCs w:val="20"/>
        </w:rPr>
        <w:t xml:space="preserve">7. točka se spremeni tako, da se glasi: </w:t>
      </w:r>
    </w:p>
    <w:p w14:paraId="517B2458" w14:textId="77777777" w:rsidR="000966FE" w:rsidRDefault="000966FE">
      <w:pPr>
        <w:spacing w:afterLines="20" w:after="48"/>
        <w:jc w:val="both"/>
        <w:rPr>
          <w:rFonts w:cs="Arial"/>
          <w:szCs w:val="20"/>
        </w:rPr>
      </w:pPr>
    </w:p>
    <w:p w14:paraId="7C2E2B71" w14:textId="50AF236F" w:rsidR="000966FE" w:rsidRDefault="00F52CEB">
      <w:pPr>
        <w:spacing w:afterLines="20" w:after="48"/>
        <w:jc w:val="both"/>
        <w:rPr>
          <w:rFonts w:cs="Arial"/>
          <w:szCs w:val="20"/>
        </w:rPr>
      </w:pPr>
      <w:r w:rsidRPr="0023027E">
        <w:rPr>
          <w:rFonts w:cs="Arial"/>
          <w:szCs w:val="20"/>
        </w:rPr>
        <w:t xml:space="preserve">»7. Uredbe 2015/760/EU Evropskega parlamenta in Sveta z dne 29. aprila 2015 o evropskih dolgoročnih investicijskih skladih (UL L št. 123 z dne 19. 5. 2015, str. 98), zadnjič spremenjene z Uredbo 2023/2869/EU Evropskega parlamenta in Sveta z dne 13. decembra 2023 o spremembi nekaterih uredb glede vzpostavitve evropske enotne točke dostopa (UL L št. </w:t>
      </w:r>
      <w:r w:rsidR="00E72F01">
        <w:rPr>
          <w:rFonts w:cs="Arial"/>
          <w:szCs w:val="20"/>
        </w:rPr>
        <w:t>2023/2869</w:t>
      </w:r>
      <w:r w:rsidRPr="0023027E">
        <w:rPr>
          <w:rFonts w:cs="Arial"/>
          <w:szCs w:val="20"/>
        </w:rPr>
        <w:t xml:space="preserve"> z dne 20. 12. 2023), </w:t>
      </w:r>
      <w:r w:rsidR="00E72F01">
        <w:rPr>
          <w:rFonts w:cs="Arial"/>
          <w:szCs w:val="20"/>
        </w:rPr>
        <w:t>(</w:t>
      </w:r>
      <w:r w:rsidRPr="0023027E">
        <w:rPr>
          <w:rFonts w:cs="Arial"/>
          <w:szCs w:val="20"/>
        </w:rPr>
        <w:t>v nadaljnjem besedilu: Uredba 2015/760/EU);«.</w:t>
      </w:r>
    </w:p>
    <w:p w14:paraId="30907078" w14:textId="77777777" w:rsidR="00F52CEB" w:rsidRPr="0023027E" w:rsidRDefault="00F52CEB">
      <w:pPr>
        <w:spacing w:afterLines="20" w:after="48"/>
        <w:jc w:val="both"/>
        <w:rPr>
          <w:rFonts w:cs="Arial"/>
          <w:szCs w:val="20"/>
        </w:rPr>
      </w:pPr>
    </w:p>
    <w:p w14:paraId="30376AAF" w14:textId="77777777" w:rsidR="00F52CEB" w:rsidRPr="0023027E" w:rsidRDefault="00F52CEB">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45" w:name="_Ref206503669"/>
      <w:r w:rsidRPr="0023027E">
        <w:rPr>
          <w:rFonts w:cs="Arial"/>
          <w:b/>
          <w:bCs/>
          <w:szCs w:val="20"/>
        </w:rPr>
        <w:t>člen</w:t>
      </w:r>
      <w:bookmarkEnd w:id="45"/>
    </w:p>
    <w:p w14:paraId="5904932A" w14:textId="77777777" w:rsidR="00F52CEB" w:rsidRPr="0023027E" w:rsidRDefault="00F52CEB">
      <w:pPr>
        <w:spacing w:afterLines="20" w:after="48"/>
        <w:jc w:val="both"/>
        <w:rPr>
          <w:rFonts w:cs="Arial"/>
          <w:szCs w:val="20"/>
        </w:rPr>
      </w:pPr>
    </w:p>
    <w:p w14:paraId="1F8E9910" w14:textId="2D17D230" w:rsidR="00F52CEB" w:rsidRPr="0023027E" w:rsidRDefault="00F52CEB">
      <w:pPr>
        <w:spacing w:afterLines="20" w:after="48"/>
        <w:jc w:val="both"/>
        <w:rPr>
          <w:rFonts w:cs="Arial"/>
          <w:szCs w:val="20"/>
        </w:rPr>
      </w:pPr>
      <w:r w:rsidRPr="0023027E">
        <w:rPr>
          <w:rFonts w:cs="Arial"/>
          <w:szCs w:val="20"/>
        </w:rPr>
        <w:t>V 134. členu se za besedilom člena, ki postane prvi odstavek</w:t>
      </w:r>
      <w:r w:rsidR="00801185">
        <w:rPr>
          <w:rFonts w:cs="Arial"/>
          <w:szCs w:val="20"/>
        </w:rPr>
        <w:t>,</w:t>
      </w:r>
      <w:r w:rsidRPr="0023027E">
        <w:rPr>
          <w:rFonts w:cs="Arial"/>
          <w:szCs w:val="20"/>
        </w:rPr>
        <w:t xml:space="preserve"> doda nov, drugi odstavek, ki se glasi:</w:t>
      </w:r>
    </w:p>
    <w:p w14:paraId="3C92B662" w14:textId="1770FD06" w:rsidR="00F52CEB" w:rsidRPr="004210A7" w:rsidRDefault="00F52CEB" w:rsidP="004210A7">
      <w:pPr>
        <w:spacing w:afterLines="20" w:after="48"/>
        <w:jc w:val="both"/>
        <w:rPr>
          <w:rFonts w:cs="Arial"/>
          <w:szCs w:val="20"/>
        </w:rPr>
      </w:pPr>
      <w:bookmarkStart w:id="46" w:name="_Hlk202875152"/>
      <w:r w:rsidRPr="004210A7">
        <w:rPr>
          <w:rFonts w:cs="Arial"/>
          <w:szCs w:val="20"/>
        </w:rPr>
        <w:t xml:space="preserve">»(2) Agencija informacije iz prejšnjega odstavka predloži ESMA, ki je organ za zbiranje podatkov, </w:t>
      </w:r>
      <w:r w:rsidR="008264E4">
        <w:rPr>
          <w:rFonts w:cs="Arial"/>
          <w:szCs w:val="20"/>
        </w:rPr>
        <w:t>kakor</w:t>
      </w:r>
      <w:r w:rsidRPr="004210A7">
        <w:rPr>
          <w:rFonts w:cs="Arial"/>
          <w:szCs w:val="20"/>
        </w:rPr>
        <w:t xml:space="preserve"> je opredeljen v 2. točki 2. člena Uredbe (EU) 2023/2859 Evropskega parlamenta in Sveta z dne 13. decembra 2023 o vzpostavitvi evropske enotne točke dostopa, ki zagotavlja centraliziran dostop do javno dostopnih informacij, pomembnih za finančne storitve, kapitalske trge in </w:t>
      </w:r>
      <w:proofErr w:type="spellStart"/>
      <w:r w:rsidRPr="004210A7">
        <w:rPr>
          <w:rFonts w:cs="Arial"/>
          <w:szCs w:val="20"/>
        </w:rPr>
        <w:t>trajnostnost</w:t>
      </w:r>
      <w:proofErr w:type="spellEnd"/>
      <w:r w:rsidRPr="004210A7">
        <w:rPr>
          <w:rFonts w:cs="Arial"/>
          <w:szCs w:val="20"/>
        </w:rPr>
        <w:t xml:space="preserve"> (UL L št. 2023/2859 z dne 20. 12. 2023), zadnjič spremenjen</w:t>
      </w:r>
      <w:r w:rsidR="00801185" w:rsidRPr="004210A7">
        <w:rPr>
          <w:rFonts w:cs="Arial"/>
          <w:szCs w:val="20"/>
        </w:rPr>
        <w:t>e</w:t>
      </w:r>
      <w:r w:rsidRPr="004210A7">
        <w:rPr>
          <w:rFonts w:cs="Arial"/>
          <w:szCs w:val="20"/>
        </w:rPr>
        <w:t xml:space="preserve"> z Uredbo (EU) 2024/3005 Evropskega parlamenta in Sveta z dne 27. novembra 2024 o preglednosti in celovitosti dejavnosti ocenjevanja </w:t>
      </w:r>
      <w:proofErr w:type="spellStart"/>
      <w:r w:rsidRPr="004210A7">
        <w:rPr>
          <w:rFonts w:cs="Arial"/>
          <w:szCs w:val="20"/>
        </w:rPr>
        <w:t>okoljskih</w:t>
      </w:r>
      <w:proofErr w:type="spellEnd"/>
      <w:r w:rsidRPr="004210A7">
        <w:rPr>
          <w:rFonts w:cs="Arial"/>
          <w:szCs w:val="20"/>
        </w:rPr>
        <w:t>, socialnih in upravljavskih (ESG) dejavnikov ter spremembi uredb (EU) 2019/2088</w:t>
      </w:r>
      <w:r w:rsidR="00B732CB" w:rsidRPr="004210A7">
        <w:rPr>
          <w:rFonts w:cs="Arial"/>
          <w:szCs w:val="20"/>
        </w:rPr>
        <w:t xml:space="preserve"> in (EU) 2023/2859</w:t>
      </w:r>
      <w:r w:rsidRPr="004210A7">
        <w:rPr>
          <w:rFonts w:cs="Arial"/>
          <w:szCs w:val="20"/>
        </w:rPr>
        <w:t xml:space="preserve"> (UL L št. 2024/3005 z dne 12. 12. 2024), (v nadaljnjem besedilu: Uredba 2023/2859/EU), pri čemer zagotovi, da informacije </w:t>
      </w:r>
      <w:r w:rsidR="002179A5">
        <w:rPr>
          <w:rFonts w:eastAsia="Arial" w:cs="Arial"/>
          <w:szCs w:val="20"/>
        </w:rPr>
        <w:t>izpolnjujejo</w:t>
      </w:r>
      <w:r w:rsidR="002179A5" w:rsidRPr="004473E2">
        <w:rPr>
          <w:rFonts w:eastAsia="Arial" w:cs="Arial"/>
          <w:szCs w:val="20"/>
        </w:rPr>
        <w:t xml:space="preserve"> te zahtev</w:t>
      </w:r>
      <w:r w:rsidR="002179A5">
        <w:rPr>
          <w:rFonts w:eastAsia="Arial" w:cs="Arial"/>
          <w:szCs w:val="20"/>
        </w:rPr>
        <w:t>e</w:t>
      </w:r>
      <w:r w:rsidRPr="004210A7">
        <w:rPr>
          <w:rFonts w:cs="Arial"/>
          <w:szCs w:val="20"/>
        </w:rPr>
        <w:t>:</w:t>
      </w:r>
    </w:p>
    <w:p w14:paraId="636B9096" w14:textId="2DEC9BBF" w:rsidR="00F52CEB" w:rsidRPr="0023027E" w:rsidRDefault="00F05550" w:rsidP="00F05550">
      <w:pPr>
        <w:pStyle w:val="Odstavekseznama"/>
        <w:spacing w:line="240" w:lineRule="auto"/>
        <w:ind w:left="357" w:hanging="357"/>
        <w:jc w:val="both"/>
        <w:rPr>
          <w:rFonts w:cs="Arial"/>
          <w:color w:val="000000" w:themeColor="text1"/>
          <w:szCs w:val="20"/>
        </w:rPr>
      </w:pPr>
      <w:r w:rsidRPr="0023027E">
        <w:rPr>
          <w:rFonts w:cs="Arial"/>
          <w:color w:val="000000" w:themeColor="text1"/>
          <w:szCs w:val="20"/>
        </w:rPr>
        <w:t xml:space="preserve">1. </w:t>
      </w:r>
      <w:r w:rsidR="00F52CEB" w:rsidRPr="0023027E">
        <w:rPr>
          <w:rFonts w:cs="Arial"/>
          <w:color w:val="000000" w:themeColor="text1"/>
          <w:szCs w:val="20"/>
        </w:rPr>
        <w:t xml:space="preserve">predložene so v formatu, ki omogoča izvoz podatkov, </w:t>
      </w:r>
      <w:r w:rsidR="00FB0833">
        <w:rPr>
          <w:rFonts w:cs="Arial"/>
          <w:szCs w:val="20"/>
        </w:rPr>
        <w:t>kakor</w:t>
      </w:r>
      <w:r w:rsidR="00F52CEB" w:rsidRPr="0023027E">
        <w:rPr>
          <w:rFonts w:cs="Arial"/>
          <w:color w:val="000000" w:themeColor="text1"/>
          <w:szCs w:val="20"/>
        </w:rPr>
        <w:t xml:space="preserve"> je opredeljen v 3. točki 2. člena </w:t>
      </w:r>
      <w:r w:rsidR="0065550F" w:rsidRPr="0023027E">
        <w:rPr>
          <w:rFonts w:cs="Arial"/>
          <w:szCs w:val="20"/>
        </w:rPr>
        <w:t>Uredbe 2023/2859/E</w:t>
      </w:r>
      <w:r w:rsidR="0065550F" w:rsidRPr="004C3C23">
        <w:rPr>
          <w:rFonts w:cs="Arial"/>
          <w:szCs w:val="20"/>
        </w:rPr>
        <w:t>U, ali</w:t>
      </w:r>
      <w:r w:rsidR="0065550F" w:rsidRPr="0023027E">
        <w:rPr>
          <w:rFonts w:cs="Arial"/>
          <w:szCs w:val="20"/>
        </w:rPr>
        <w:t xml:space="preserve"> kadar to zahtevajo predpisi, v strojno berljiv</w:t>
      </w:r>
      <w:r w:rsidR="0065550F">
        <w:rPr>
          <w:rFonts w:cs="Arial"/>
          <w:szCs w:val="20"/>
        </w:rPr>
        <w:t>i</w:t>
      </w:r>
      <w:r w:rsidR="0065550F" w:rsidRPr="0023027E">
        <w:rPr>
          <w:rFonts w:cs="Arial"/>
          <w:szCs w:val="20"/>
        </w:rPr>
        <w:t xml:space="preserve"> </w:t>
      </w:r>
      <w:r w:rsidR="0065550F">
        <w:rPr>
          <w:rFonts w:cs="Arial"/>
          <w:szCs w:val="20"/>
        </w:rPr>
        <w:t>obliki</w:t>
      </w:r>
      <w:r w:rsidR="0065550F" w:rsidRPr="0023027E">
        <w:rPr>
          <w:rFonts w:cs="Arial"/>
          <w:szCs w:val="20"/>
        </w:rPr>
        <w:t>, kakor je opredeljen</w:t>
      </w:r>
      <w:r w:rsidR="0065550F">
        <w:rPr>
          <w:rFonts w:cs="Arial"/>
          <w:szCs w:val="20"/>
        </w:rPr>
        <w:t>a</w:t>
      </w:r>
      <w:r w:rsidR="0065550F" w:rsidRPr="0023027E">
        <w:rPr>
          <w:rFonts w:cs="Arial"/>
          <w:szCs w:val="20"/>
        </w:rPr>
        <w:t xml:space="preserve"> v 4. točki 2. člena Uredbe 2023/2859/EU</w:t>
      </w:r>
      <w:r w:rsidR="00F52CEB" w:rsidRPr="0023027E">
        <w:rPr>
          <w:rFonts w:cs="Arial"/>
          <w:color w:val="000000" w:themeColor="text1"/>
          <w:szCs w:val="20"/>
        </w:rPr>
        <w:t>;</w:t>
      </w:r>
    </w:p>
    <w:p w14:paraId="3096B32B" w14:textId="7C16FCF6" w:rsidR="00F52CEB" w:rsidRPr="0023027E" w:rsidRDefault="00F05550" w:rsidP="00F05550">
      <w:pPr>
        <w:pStyle w:val="Odstavekseznama"/>
        <w:spacing w:line="240" w:lineRule="auto"/>
        <w:ind w:left="357" w:hanging="357"/>
        <w:jc w:val="both"/>
        <w:rPr>
          <w:rFonts w:cs="Arial"/>
          <w:color w:val="000000" w:themeColor="text1"/>
          <w:szCs w:val="20"/>
        </w:rPr>
      </w:pPr>
      <w:r w:rsidRPr="0023027E">
        <w:rPr>
          <w:rFonts w:cs="Arial"/>
          <w:color w:val="000000" w:themeColor="text1"/>
          <w:szCs w:val="20"/>
        </w:rPr>
        <w:t xml:space="preserve">2. </w:t>
      </w:r>
      <w:r w:rsidR="00F52CEB" w:rsidRPr="0023027E">
        <w:rPr>
          <w:rFonts w:cs="Arial"/>
          <w:color w:val="000000" w:themeColor="text1"/>
          <w:szCs w:val="20"/>
        </w:rPr>
        <w:t xml:space="preserve">vsebujejo </w:t>
      </w:r>
      <w:r w:rsidR="00F443AF">
        <w:rPr>
          <w:rFonts w:cs="Arial"/>
          <w:szCs w:val="20"/>
        </w:rPr>
        <w:t>te</w:t>
      </w:r>
      <w:r w:rsidR="00F52CEB" w:rsidRPr="0023027E">
        <w:rPr>
          <w:rFonts w:cs="Arial"/>
          <w:color w:val="000000" w:themeColor="text1"/>
          <w:szCs w:val="20"/>
        </w:rPr>
        <w:t xml:space="preserve"> metapodatke:</w:t>
      </w:r>
    </w:p>
    <w:p w14:paraId="206448F2" w14:textId="77777777"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vsa imena upravljavca AIS in seznam AIS, ki jih upravlja ali trži, na katerega se nanašajo informacije;</w:t>
      </w:r>
    </w:p>
    <w:p w14:paraId="424F3AF7" w14:textId="587DA2D6"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če obstaja, identifikator pravnih subjektov</w:t>
      </w:r>
      <w:r w:rsidRPr="0023027E" w:rsidDel="004C3D20">
        <w:rPr>
          <w:rFonts w:cs="Arial"/>
          <w:color w:val="000000" w:themeColor="text1"/>
          <w:szCs w:val="20"/>
        </w:rPr>
        <w:t xml:space="preserve"> </w:t>
      </w:r>
      <w:r w:rsidRPr="0023027E">
        <w:rPr>
          <w:rFonts w:cs="Arial"/>
          <w:color w:val="000000" w:themeColor="text1"/>
          <w:szCs w:val="20"/>
        </w:rPr>
        <w:t>upravljavca AIS</w:t>
      </w:r>
      <w:r w:rsidR="00F91643">
        <w:rPr>
          <w:rFonts w:cs="Arial"/>
          <w:color w:val="000000" w:themeColor="text1"/>
          <w:szCs w:val="20"/>
        </w:rPr>
        <w:t xml:space="preserve">, </w:t>
      </w:r>
      <w:r w:rsidR="0065550F">
        <w:rPr>
          <w:rFonts w:cs="Arial"/>
          <w:szCs w:val="20"/>
        </w:rPr>
        <w:t>kakor</w:t>
      </w:r>
      <w:r w:rsidR="00F91643" w:rsidRPr="0023027E">
        <w:rPr>
          <w:rFonts w:cs="Arial"/>
          <w:szCs w:val="20"/>
        </w:rPr>
        <w:t xml:space="preserve"> je določen na podlagi točke </w:t>
      </w:r>
      <w:r w:rsidR="00F91643">
        <w:rPr>
          <w:rFonts w:cs="Arial"/>
          <w:szCs w:val="20"/>
        </w:rPr>
        <w:t>(</w:t>
      </w:r>
      <w:r w:rsidR="00F91643" w:rsidRPr="0023027E">
        <w:rPr>
          <w:rFonts w:cs="Arial"/>
          <w:szCs w:val="20"/>
        </w:rPr>
        <w:t>b) četrtega odstavka 7. člena Uredbe 2023/2859/EU</w:t>
      </w:r>
      <w:r w:rsidRPr="0023027E">
        <w:rPr>
          <w:rFonts w:cs="Arial"/>
          <w:color w:val="000000" w:themeColor="text1"/>
          <w:szCs w:val="20"/>
        </w:rPr>
        <w:t>;</w:t>
      </w:r>
    </w:p>
    <w:p w14:paraId="7495E168" w14:textId="0B308114"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 xml:space="preserve">vrsto informacij glede na razvrstitev na podlagi točke </w:t>
      </w:r>
      <w:r w:rsidR="00892C49">
        <w:rPr>
          <w:rFonts w:cs="Arial"/>
          <w:color w:val="000000" w:themeColor="text1"/>
          <w:szCs w:val="20"/>
        </w:rPr>
        <w:t>(</w:t>
      </w:r>
      <w:r w:rsidR="00F4447F">
        <w:rPr>
          <w:rFonts w:cs="Arial"/>
          <w:color w:val="000000" w:themeColor="text1"/>
          <w:szCs w:val="20"/>
        </w:rPr>
        <w:t xml:space="preserve">c) </w:t>
      </w:r>
      <w:r w:rsidRPr="0023027E">
        <w:rPr>
          <w:rFonts w:cs="Arial"/>
          <w:color w:val="000000" w:themeColor="text1"/>
          <w:szCs w:val="20"/>
        </w:rPr>
        <w:t xml:space="preserve">četrtega odstavka 7. člena Uredbe 2023/2859/EU; </w:t>
      </w:r>
    </w:p>
    <w:p w14:paraId="34F53E28" w14:textId="77777777" w:rsidR="00F52CEB" w:rsidRPr="0023027E" w:rsidRDefault="00F52CEB" w:rsidP="004A7634">
      <w:pPr>
        <w:pStyle w:val="Odstavekseznama"/>
        <w:numPr>
          <w:ilvl w:val="0"/>
          <w:numId w:val="57"/>
        </w:numPr>
        <w:spacing w:line="240" w:lineRule="auto"/>
        <w:jc w:val="both"/>
        <w:rPr>
          <w:rFonts w:cs="Arial"/>
          <w:color w:val="000000" w:themeColor="text1"/>
          <w:szCs w:val="20"/>
        </w:rPr>
      </w:pPr>
      <w:r w:rsidRPr="0023027E">
        <w:rPr>
          <w:rFonts w:cs="Arial"/>
          <w:color w:val="000000" w:themeColor="text1"/>
          <w:szCs w:val="20"/>
        </w:rPr>
        <w:t>oznako, ali informacije vsebujejo osebne podatke.«.</w:t>
      </w:r>
    </w:p>
    <w:bookmarkEnd w:id="46"/>
    <w:p w14:paraId="3F5E433F" w14:textId="77777777" w:rsidR="00F52CEB" w:rsidRPr="0023027E" w:rsidRDefault="00F52CEB" w:rsidP="00EA7C9A">
      <w:pPr>
        <w:spacing w:afterLines="20" w:after="48"/>
        <w:jc w:val="both"/>
        <w:rPr>
          <w:rFonts w:cs="Arial"/>
          <w:szCs w:val="20"/>
        </w:rPr>
      </w:pPr>
    </w:p>
    <w:p w14:paraId="6656E839" w14:textId="77777777" w:rsidR="000966FE" w:rsidRDefault="000966FE">
      <w:pPr>
        <w:spacing w:afterLines="20" w:after="48"/>
        <w:jc w:val="both"/>
        <w:rPr>
          <w:rFonts w:cs="Arial"/>
          <w:szCs w:val="20"/>
        </w:rPr>
      </w:pPr>
    </w:p>
    <w:p w14:paraId="2F17AEA5" w14:textId="4EC7B968" w:rsidR="000966FE" w:rsidRDefault="00A36045">
      <w:pPr>
        <w:spacing w:afterLines="20" w:after="48"/>
        <w:jc w:val="both"/>
        <w:rPr>
          <w:rFonts w:cs="Arial"/>
          <w:b/>
          <w:bCs/>
          <w:szCs w:val="20"/>
        </w:rPr>
      </w:pPr>
      <w:r>
        <w:rPr>
          <w:rFonts w:cs="Arial"/>
          <w:b/>
          <w:bCs/>
          <w:szCs w:val="20"/>
        </w:rPr>
        <w:t>7</w:t>
      </w:r>
      <w:r w:rsidR="00F52CEB" w:rsidRPr="0023027E">
        <w:rPr>
          <w:rFonts w:cs="Arial"/>
          <w:b/>
          <w:bCs/>
          <w:szCs w:val="20"/>
        </w:rPr>
        <w:t>. Zakon o bonitetnem nadzoru investicijskih podjetij</w:t>
      </w:r>
    </w:p>
    <w:p w14:paraId="1754D3FF" w14:textId="77777777" w:rsidR="00652FE9" w:rsidRPr="0023027E" w:rsidRDefault="00652FE9">
      <w:pPr>
        <w:spacing w:afterLines="20" w:after="48"/>
        <w:jc w:val="both"/>
        <w:rPr>
          <w:rFonts w:cs="Arial"/>
          <w:szCs w:val="20"/>
        </w:rPr>
      </w:pPr>
    </w:p>
    <w:p w14:paraId="2C55A63E" w14:textId="77777777" w:rsidR="00C62D51" w:rsidRDefault="00652FE9">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47" w:name="_Ref206587310"/>
      <w:r w:rsidRPr="0023027E">
        <w:rPr>
          <w:rFonts w:cs="Arial"/>
          <w:b/>
          <w:bCs/>
          <w:szCs w:val="20"/>
        </w:rPr>
        <w:t>člen</w:t>
      </w:r>
      <w:bookmarkEnd w:id="47"/>
    </w:p>
    <w:p w14:paraId="6CD772BC" w14:textId="77777777" w:rsidR="00F52CEB" w:rsidRPr="0023027E" w:rsidRDefault="00F52CEB">
      <w:pPr>
        <w:spacing w:afterLines="20" w:after="48"/>
        <w:jc w:val="both"/>
        <w:rPr>
          <w:rFonts w:cs="Arial"/>
          <w:szCs w:val="20"/>
        </w:rPr>
      </w:pPr>
    </w:p>
    <w:p w14:paraId="13D38B49" w14:textId="3E054C9F" w:rsidR="00845FB1" w:rsidRDefault="00E6247C">
      <w:pPr>
        <w:spacing w:afterLines="20" w:after="48"/>
        <w:jc w:val="both"/>
        <w:rPr>
          <w:rFonts w:cs="Arial"/>
          <w:szCs w:val="20"/>
        </w:rPr>
      </w:pPr>
      <w:r w:rsidRPr="00CB2205">
        <w:rPr>
          <w:rFonts w:cs="Arial"/>
          <w:szCs w:val="20"/>
        </w:rPr>
        <w:t xml:space="preserve">V Zakonu o bonitetnem nadzoru investicijskih podjetij (Uradni list RS, št. 123/21) se </w:t>
      </w:r>
      <w:r w:rsidR="00845FB1" w:rsidRPr="00CB2205">
        <w:rPr>
          <w:rFonts w:cs="Arial"/>
          <w:szCs w:val="20"/>
        </w:rPr>
        <w:t>v 1. členu</w:t>
      </w:r>
      <w:r w:rsidR="00072DF1">
        <w:rPr>
          <w:rFonts w:cs="Arial"/>
          <w:szCs w:val="20"/>
        </w:rPr>
        <w:t xml:space="preserve"> besedilo »</w:t>
      </w:r>
      <w:r w:rsidR="00072DF1" w:rsidRPr="00072DF1">
        <w:rPr>
          <w:rFonts w:cs="Arial"/>
          <w:szCs w:val="20"/>
        </w:rPr>
        <w:t>popravljene s Popravkom (UL L št. 405 z dne 2. 12. 2020, str. 79)</w:t>
      </w:r>
      <w:r w:rsidR="00072DF1">
        <w:rPr>
          <w:rFonts w:cs="Arial"/>
          <w:szCs w:val="20"/>
        </w:rPr>
        <w:t xml:space="preserve">« nadomesti z besedilom »spremenjena z Uredbo </w:t>
      </w:r>
      <w:r w:rsidR="00072DF1" w:rsidRPr="00072DF1">
        <w:rPr>
          <w:rFonts w:cs="Arial"/>
          <w:szCs w:val="20"/>
        </w:rPr>
        <w:t>(EU) 2023/2869 Evropskega parlamenta in Sveta z dne 13. decembra 2023 o spremembi nekaterih uredb glede vzpostavitve in delovanja evropske enotne točke dostopa</w:t>
      </w:r>
      <w:r w:rsidR="00072DF1">
        <w:rPr>
          <w:rFonts w:cs="Arial"/>
          <w:szCs w:val="20"/>
        </w:rPr>
        <w:t xml:space="preserve"> (</w:t>
      </w:r>
      <w:r w:rsidR="00072DF1" w:rsidRPr="00A875AC">
        <w:rPr>
          <w:rFonts w:cs="Arial"/>
          <w:szCs w:val="20"/>
        </w:rPr>
        <w:t>UL L št.</w:t>
      </w:r>
      <w:r w:rsidR="00072DF1">
        <w:rPr>
          <w:rFonts w:cs="Arial"/>
          <w:szCs w:val="20"/>
        </w:rPr>
        <w:t xml:space="preserve"> </w:t>
      </w:r>
      <w:r w:rsidR="00072DF1" w:rsidRPr="00072DF1">
        <w:rPr>
          <w:rFonts w:cs="Arial"/>
          <w:szCs w:val="20"/>
        </w:rPr>
        <w:t>2023/286</w:t>
      </w:r>
      <w:r w:rsidR="00072DF1">
        <w:rPr>
          <w:rFonts w:cs="Arial"/>
          <w:szCs w:val="20"/>
        </w:rPr>
        <w:t xml:space="preserve"> z dne</w:t>
      </w:r>
      <w:r w:rsidR="00072DF1" w:rsidRPr="00072DF1">
        <w:rPr>
          <w:rFonts w:cs="Arial"/>
          <w:szCs w:val="20"/>
        </w:rPr>
        <w:t xml:space="preserve"> 20.</w:t>
      </w:r>
      <w:r w:rsidR="00072DF1">
        <w:rPr>
          <w:rFonts w:cs="Arial"/>
          <w:szCs w:val="20"/>
        </w:rPr>
        <w:t xml:space="preserve"> </w:t>
      </w:r>
      <w:r w:rsidR="00072DF1" w:rsidRPr="00072DF1">
        <w:rPr>
          <w:rFonts w:cs="Arial"/>
          <w:szCs w:val="20"/>
        </w:rPr>
        <w:t>12.</w:t>
      </w:r>
      <w:r w:rsidR="00072DF1">
        <w:rPr>
          <w:rFonts w:cs="Arial"/>
          <w:szCs w:val="20"/>
        </w:rPr>
        <w:t xml:space="preserve"> </w:t>
      </w:r>
      <w:r w:rsidR="00072DF1" w:rsidRPr="00072DF1">
        <w:rPr>
          <w:rFonts w:cs="Arial"/>
          <w:szCs w:val="20"/>
        </w:rPr>
        <w:t>2023</w:t>
      </w:r>
      <w:r w:rsidR="00072DF1">
        <w:rPr>
          <w:rFonts w:cs="Arial"/>
          <w:szCs w:val="20"/>
        </w:rPr>
        <w:t>)«.</w:t>
      </w:r>
    </w:p>
    <w:p w14:paraId="5ABEC2C3" w14:textId="77777777" w:rsidR="00845FB1" w:rsidRDefault="00845FB1">
      <w:pPr>
        <w:spacing w:afterLines="20" w:after="48"/>
        <w:jc w:val="both"/>
        <w:rPr>
          <w:rFonts w:cs="Arial"/>
          <w:szCs w:val="20"/>
        </w:rPr>
      </w:pPr>
    </w:p>
    <w:p w14:paraId="10B9CE8F" w14:textId="77777777" w:rsidR="00845FB1" w:rsidRDefault="00845FB1" w:rsidP="009C2EC4">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48" w:name="_Ref215561453"/>
      <w:r w:rsidRPr="0023027E">
        <w:rPr>
          <w:rFonts w:cs="Arial"/>
          <w:b/>
          <w:bCs/>
          <w:szCs w:val="20"/>
        </w:rPr>
        <w:t>člen</w:t>
      </w:r>
      <w:bookmarkEnd w:id="48"/>
    </w:p>
    <w:p w14:paraId="1773F48A" w14:textId="77777777" w:rsidR="00845FB1" w:rsidRDefault="00845FB1">
      <w:pPr>
        <w:spacing w:afterLines="20" w:after="48"/>
        <w:jc w:val="both"/>
        <w:rPr>
          <w:rFonts w:cs="Arial"/>
          <w:szCs w:val="20"/>
        </w:rPr>
      </w:pPr>
    </w:p>
    <w:p w14:paraId="20598AD0" w14:textId="0A3E255D" w:rsidR="00F52CEB" w:rsidRPr="0023027E" w:rsidRDefault="00845FB1">
      <w:pPr>
        <w:spacing w:afterLines="20" w:after="48"/>
        <w:jc w:val="both"/>
        <w:rPr>
          <w:rFonts w:cs="Arial"/>
          <w:szCs w:val="20"/>
        </w:rPr>
      </w:pPr>
      <w:r>
        <w:rPr>
          <w:rFonts w:cs="Arial"/>
          <w:szCs w:val="20"/>
        </w:rPr>
        <w:t>V</w:t>
      </w:r>
      <w:r w:rsidR="00F52CEB" w:rsidRPr="0023027E">
        <w:rPr>
          <w:rFonts w:cs="Arial"/>
          <w:szCs w:val="20"/>
        </w:rPr>
        <w:t xml:space="preserve"> 3. členu v prvem odstavku se besedilo »popravljena s Popravkom (UL L št. 405 z dne 2. 12. 2020, str. 84)« nadomesti z besedilom »</w:t>
      </w:r>
      <w:bookmarkStart w:id="49" w:name="_Hlk202875897"/>
      <w:r w:rsidR="00F52CEB" w:rsidRPr="0023027E">
        <w:rPr>
          <w:rFonts w:cs="Arial"/>
          <w:szCs w:val="20"/>
        </w:rPr>
        <w:t xml:space="preserve">spremenjena z </w:t>
      </w:r>
      <w:r w:rsidR="00A875AC" w:rsidRPr="00A875AC">
        <w:rPr>
          <w:rFonts w:cs="Arial"/>
          <w:szCs w:val="20"/>
        </w:rPr>
        <w:t>Direktivo 2023/2864/EU Evropskega parlamenta in Sveta z dne 13. decembra 2023 o spremembi nekaterih direktiv glede vzpostavitve in delovanja evropske enotne točke dostopa (</w:t>
      </w:r>
      <w:r w:rsidR="00A22C96" w:rsidRPr="00A875AC">
        <w:rPr>
          <w:rFonts w:cs="Arial"/>
          <w:szCs w:val="20"/>
        </w:rPr>
        <w:t>UL L št.</w:t>
      </w:r>
      <w:r w:rsidR="00A875AC" w:rsidRPr="00A875AC">
        <w:rPr>
          <w:rFonts w:cs="Arial"/>
          <w:szCs w:val="20"/>
        </w:rPr>
        <w:t>2023/2864 z dne 20. 12. 2023)</w:t>
      </w:r>
      <w:bookmarkEnd w:id="49"/>
      <w:r w:rsidR="00F52CEB" w:rsidRPr="0023027E">
        <w:rPr>
          <w:rFonts w:cs="Arial"/>
          <w:szCs w:val="20"/>
        </w:rPr>
        <w:t xml:space="preserve">«. </w:t>
      </w:r>
    </w:p>
    <w:p w14:paraId="262F126C" w14:textId="77777777" w:rsidR="00F52CEB" w:rsidRPr="0023027E" w:rsidRDefault="00F52CEB">
      <w:pPr>
        <w:spacing w:afterLines="20" w:after="48"/>
        <w:jc w:val="both"/>
        <w:rPr>
          <w:rFonts w:cs="Arial"/>
          <w:szCs w:val="20"/>
        </w:rPr>
      </w:pPr>
    </w:p>
    <w:p w14:paraId="76E2904C" w14:textId="77777777" w:rsidR="000966FE" w:rsidRDefault="00F52CEB" w:rsidP="009C2EC4">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50" w:name="_Ref206511774"/>
      <w:r w:rsidRPr="0023027E">
        <w:rPr>
          <w:rFonts w:cs="Arial"/>
          <w:b/>
          <w:bCs/>
          <w:szCs w:val="20"/>
        </w:rPr>
        <w:t>člen</w:t>
      </w:r>
      <w:bookmarkEnd w:id="50"/>
    </w:p>
    <w:p w14:paraId="6CC6B65B" w14:textId="77777777" w:rsidR="000966FE" w:rsidRDefault="000966FE">
      <w:pPr>
        <w:spacing w:afterLines="20" w:after="48"/>
        <w:jc w:val="both"/>
        <w:rPr>
          <w:rFonts w:cs="Arial"/>
          <w:szCs w:val="20"/>
        </w:rPr>
      </w:pPr>
    </w:p>
    <w:p w14:paraId="1E4EBFEA" w14:textId="00C70183" w:rsidR="00F52CEB" w:rsidRPr="0023027E" w:rsidRDefault="00F52CEB" w:rsidP="00EA7C9A">
      <w:pPr>
        <w:spacing w:afterLines="20" w:after="48"/>
        <w:jc w:val="both"/>
        <w:rPr>
          <w:rFonts w:cs="Arial"/>
          <w:szCs w:val="20"/>
        </w:rPr>
      </w:pPr>
      <w:bookmarkStart w:id="51" w:name="_Hlk210385120"/>
      <w:r w:rsidRPr="0023027E">
        <w:rPr>
          <w:rFonts w:cs="Arial"/>
          <w:szCs w:val="20"/>
        </w:rPr>
        <w:t>V 21. členu se za četrtim odstavkom doda nov, peti odstavek, ki se glasi:</w:t>
      </w:r>
    </w:p>
    <w:p w14:paraId="4E253B6A" w14:textId="77777777" w:rsidR="00F52CEB" w:rsidRPr="0023027E" w:rsidRDefault="00F52CEB">
      <w:pPr>
        <w:spacing w:afterLines="20" w:after="48"/>
        <w:jc w:val="both"/>
        <w:rPr>
          <w:rFonts w:cs="Arial"/>
          <w:szCs w:val="20"/>
        </w:rPr>
      </w:pPr>
    </w:p>
    <w:p w14:paraId="05652F52" w14:textId="3439CD3E" w:rsidR="00F52CEB" w:rsidRPr="0023027E" w:rsidRDefault="00F52CEB">
      <w:pPr>
        <w:spacing w:afterLines="20" w:after="48"/>
        <w:jc w:val="both"/>
        <w:rPr>
          <w:rFonts w:cs="Arial"/>
          <w:szCs w:val="20"/>
        </w:rPr>
      </w:pPr>
      <w:r w:rsidRPr="0023027E">
        <w:rPr>
          <w:rFonts w:cs="Arial"/>
          <w:szCs w:val="20"/>
        </w:rPr>
        <w:t xml:space="preserve">»(5) Agencija, ki je organ za zbiranje podatkov, </w:t>
      </w:r>
      <w:r w:rsidR="008264E4">
        <w:rPr>
          <w:rFonts w:cs="Arial"/>
          <w:szCs w:val="20"/>
        </w:rPr>
        <w:t>kakor</w:t>
      </w:r>
      <w:r w:rsidRPr="0023027E">
        <w:rPr>
          <w:rFonts w:cs="Arial"/>
          <w:szCs w:val="20"/>
        </w:rPr>
        <w:t xml:space="preserve"> je opredeljen v 2. točki 2. člena Uredbe (EU) 2023/2859 Evropskega parlamenta in Sveta z dne 13. decembra 2023 o vzpostavitvi evropske enotne točke dostopa, ki zagotavlja centraliziran dostop do javno dostopnih informacij, pomembnih za finančne storitve, kapitalske trge in </w:t>
      </w:r>
      <w:proofErr w:type="spellStart"/>
      <w:r w:rsidRPr="0023027E">
        <w:rPr>
          <w:rFonts w:cs="Arial"/>
          <w:szCs w:val="20"/>
        </w:rPr>
        <w:t>trajnostnost</w:t>
      </w:r>
      <w:proofErr w:type="spellEnd"/>
      <w:r w:rsidRPr="0023027E">
        <w:rPr>
          <w:rFonts w:cs="Arial"/>
          <w:szCs w:val="20"/>
        </w:rPr>
        <w:t xml:space="preserve"> (UL L št. 2023/2859 z dne 20. 12. 2023), zadnjič spremenjen</w:t>
      </w:r>
      <w:r w:rsidR="00EA7C9A">
        <w:rPr>
          <w:rFonts w:cs="Arial"/>
          <w:szCs w:val="20"/>
        </w:rPr>
        <w:t>e</w:t>
      </w:r>
      <w:r w:rsidR="00EA7C9A" w:rsidRPr="00EA7C9A">
        <w:rPr>
          <w:rFonts w:cs="Arial"/>
          <w:szCs w:val="20"/>
        </w:rPr>
        <w:t xml:space="preserve"> </w:t>
      </w:r>
      <w:r w:rsidR="00EA7C9A" w:rsidRPr="007862E4">
        <w:rPr>
          <w:rFonts w:cs="Arial"/>
          <w:szCs w:val="20"/>
        </w:rPr>
        <w:t xml:space="preserve">z Uredbo (EU) 2024/3005 Evropskega parlamenta in Sveta z dne 27. novembra 2024 o preglednosti in celovitosti dejavnosti ocenjevanja </w:t>
      </w:r>
      <w:proofErr w:type="spellStart"/>
      <w:r w:rsidR="00EA7C9A" w:rsidRPr="007862E4">
        <w:rPr>
          <w:rFonts w:cs="Arial"/>
          <w:szCs w:val="20"/>
        </w:rPr>
        <w:t>okoljskih</w:t>
      </w:r>
      <w:proofErr w:type="spellEnd"/>
      <w:r w:rsidR="00EA7C9A" w:rsidRPr="007862E4">
        <w:rPr>
          <w:rFonts w:cs="Arial"/>
          <w:szCs w:val="20"/>
        </w:rPr>
        <w:t>, socialnih in upravljavskih (ESG) dejavnikov ter spremembi uredb (EU) 2019/2088 in (EU) 2023/2859 (UL L št. 2024/3005 z dne 12. 12. 2024</w:t>
      </w:r>
      <w:r w:rsidR="00EA7C9A">
        <w:rPr>
          <w:rFonts w:cs="Arial"/>
          <w:szCs w:val="20"/>
        </w:rPr>
        <w:t>),</w:t>
      </w:r>
      <w:r w:rsidRPr="0023027E">
        <w:rPr>
          <w:rFonts w:cs="Arial"/>
          <w:szCs w:val="20"/>
        </w:rPr>
        <w:t xml:space="preserve"> </w:t>
      </w:r>
      <w:r w:rsidR="00EA7C9A">
        <w:rPr>
          <w:rFonts w:cs="Arial"/>
          <w:szCs w:val="20"/>
        </w:rPr>
        <w:t>(</w:t>
      </w:r>
      <w:r w:rsidRPr="0023027E">
        <w:rPr>
          <w:rFonts w:cs="Arial"/>
          <w:szCs w:val="20"/>
        </w:rPr>
        <w:t>v nadaljnjem besedilu: Uredba 2023/2859/EU)</w:t>
      </w:r>
      <w:r w:rsidR="00EA7C9A">
        <w:rPr>
          <w:rFonts w:cs="Arial"/>
          <w:szCs w:val="20"/>
        </w:rPr>
        <w:t>,</w:t>
      </w:r>
      <w:r w:rsidRPr="0023027E">
        <w:rPr>
          <w:rFonts w:cs="Arial"/>
          <w:szCs w:val="20"/>
        </w:rPr>
        <w:t xml:space="preserve"> hkrati z javno objavo informacij iz tega člena </w:t>
      </w:r>
      <w:r w:rsidR="00231EF3">
        <w:rPr>
          <w:rFonts w:cs="Arial"/>
          <w:szCs w:val="20"/>
        </w:rPr>
        <w:t>te</w:t>
      </w:r>
      <w:r w:rsidR="00231EF3" w:rsidRPr="0023027E">
        <w:rPr>
          <w:rFonts w:cs="Arial"/>
          <w:szCs w:val="20"/>
        </w:rPr>
        <w:t xml:space="preserve"> </w:t>
      </w:r>
      <w:r w:rsidRPr="0023027E">
        <w:rPr>
          <w:rFonts w:cs="Arial"/>
          <w:szCs w:val="20"/>
        </w:rPr>
        <w:t xml:space="preserve">predloži evropski enotni točki dostopa, vzpostavljeni na podlagi Uredbe 2023/2859/EU, pri čemer zagotovi, da informacije </w:t>
      </w:r>
      <w:r w:rsidR="002179A5">
        <w:rPr>
          <w:rFonts w:eastAsia="Arial" w:cs="Arial"/>
          <w:szCs w:val="20"/>
        </w:rPr>
        <w:t>izpolnjujejo</w:t>
      </w:r>
      <w:r w:rsidR="002179A5" w:rsidRPr="004473E2">
        <w:rPr>
          <w:rFonts w:eastAsia="Arial" w:cs="Arial"/>
          <w:szCs w:val="20"/>
        </w:rPr>
        <w:t xml:space="preserve"> te zahtev</w:t>
      </w:r>
      <w:r w:rsidR="002179A5">
        <w:rPr>
          <w:rFonts w:eastAsia="Arial" w:cs="Arial"/>
          <w:szCs w:val="20"/>
        </w:rPr>
        <w:t>e</w:t>
      </w:r>
      <w:r w:rsidRPr="0023027E">
        <w:rPr>
          <w:rFonts w:cs="Arial"/>
          <w:szCs w:val="20"/>
        </w:rPr>
        <w:t>:</w:t>
      </w:r>
    </w:p>
    <w:p w14:paraId="15D52027" w14:textId="77777777" w:rsidR="00F52CEB" w:rsidRPr="0023027E" w:rsidRDefault="00F52CEB">
      <w:pPr>
        <w:spacing w:afterLines="20" w:after="48"/>
        <w:ind w:left="340"/>
        <w:jc w:val="both"/>
        <w:rPr>
          <w:rFonts w:cs="Arial"/>
          <w:szCs w:val="20"/>
        </w:rPr>
      </w:pPr>
      <w:r w:rsidRPr="0023027E">
        <w:rPr>
          <w:rFonts w:cs="Arial"/>
          <w:szCs w:val="20"/>
        </w:rPr>
        <w:t xml:space="preserve">1. so predložene v formatu, ki omogoča izvoz podatkov, kakor je opredeljen v 3. točki 2. člena Uredbe 2023/2859/EU; </w:t>
      </w:r>
    </w:p>
    <w:p w14:paraId="2C3F36F6" w14:textId="714E730E" w:rsidR="000966FE" w:rsidRDefault="00F52CEB">
      <w:pPr>
        <w:spacing w:afterLines="20" w:after="48"/>
        <w:ind w:left="340"/>
        <w:jc w:val="both"/>
        <w:rPr>
          <w:rFonts w:cs="Arial"/>
          <w:szCs w:val="20"/>
        </w:rPr>
      </w:pPr>
      <w:r w:rsidRPr="0023027E">
        <w:rPr>
          <w:rFonts w:cs="Arial"/>
          <w:szCs w:val="20"/>
        </w:rPr>
        <w:t xml:space="preserve">2. vsebujejo </w:t>
      </w:r>
      <w:r w:rsidR="00F443AF">
        <w:rPr>
          <w:rFonts w:cs="Arial"/>
          <w:szCs w:val="20"/>
        </w:rPr>
        <w:t>te</w:t>
      </w:r>
      <w:r w:rsidRPr="0023027E">
        <w:rPr>
          <w:rFonts w:cs="Arial"/>
          <w:szCs w:val="20"/>
        </w:rPr>
        <w:t xml:space="preserve"> metapodatke: </w:t>
      </w:r>
    </w:p>
    <w:p w14:paraId="102C3717" w14:textId="77777777" w:rsidR="000966FE" w:rsidRDefault="00F52CEB">
      <w:pPr>
        <w:pStyle w:val="Odstavekseznama"/>
        <w:numPr>
          <w:ilvl w:val="0"/>
          <w:numId w:val="51"/>
        </w:numPr>
        <w:overflowPunct w:val="0"/>
        <w:autoSpaceDE w:val="0"/>
        <w:autoSpaceDN w:val="0"/>
        <w:adjustRightInd w:val="0"/>
        <w:spacing w:afterLines="20" w:after="48" w:line="240" w:lineRule="auto"/>
        <w:ind w:left="924" w:hanging="357"/>
        <w:contextualSpacing w:val="0"/>
        <w:jc w:val="both"/>
        <w:textAlignment w:val="baseline"/>
        <w:rPr>
          <w:rFonts w:cs="Arial"/>
          <w:szCs w:val="20"/>
        </w:rPr>
      </w:pPr>
      <w:r w:rsidRPr="0023027E">
        <w:rPr>
          <w:rFonts w:cs="Arial"/>
          <w:szCs w:val="20"/>
        </w:rPr>
        <w:t xml:space="preserve">vsa imena investicijskega podjetja, na katero se informacije nanašajo; </w:t>
      </w:r>
    </w:p>
    <w:p w14:paraId="0B4A17EB" w14:textId="40F39FFA" w:rsidR="000966FE" w:rsidRDefault="00F52CEB">
      <w:pPr>
        <w:pStyle w:val="Odstavekseznama"/>
        <w:numPr>
          <w:ilvl w:val="0"/>
          <w:numId w:val="51"/>
        </w:numPr>
        <w:overflowPunct w:val="0"/>
        <w:autoSpaceDE w:val="0"/>
        <w:autoSpaceDN w:val="0"/>
        <w:adjustRightInd w:val="0"/>
        <w:spacing w:afterLines="20" w:after="48" w:line="240" w:lineRule="auto"/>
        <w:ind w:left="924" w:hanging="357"/>
        <w:contextualSpacing w:val="0"/>
        <w:jc w:val="both"/>
        <w:textAlignment w:val="baseline"/>
        <w:rPr>
          <w:rFonts w:cs="Arial"/>
          <w:szCs w:val="20"/>
        </w:rPr>
      </w:pPr>
      <w:r w:rsidRPr="0023027E">
        <w:rPr>
          <w:rFonts w:cs="Arial"/>
          <w:szCs w:val="20"/>
        </w:rPr>
        <w:t>če obstaja, identifikator pravnih subjektov, kakor je določen na podlagi točke</w:t>
      </w:r>
      <w:r w:rsidR="00892C49">
        <w:rPr>
          <w:rFonts w:cs="Arial"/>
          <w:szCs w:val="20"/>
        </w:rPr>
        <w:t xml:space="preserve"> (b)</w:t>
      </w:r>
      <w:r w:rsidRPr="0023027E">
        <w:rPr>
          <w:rFonts w:cs="Arial"/>
          <w:szCs w:val="20"/>
        </w:rPr>
        <w:t xml:space="preserve"> četrtega odstavka 7. člena Uredbe 2023/2859/EU;</w:t>
      </w:r>
    </w:p>
    <w:p w14:paraId="34844C71" w14:textId="0466C8A2" w:rsidR="000966FE" w:rsidRDefault="00F52CEB" w:rsidP="00EA7C9A">
      <w:pPr>
        <w:pStyle w:val="Odstavekseznama"/>
        <w:numPr>
          <w:ilvl w:val="0"/>
          <w:numId w:val="51"/>
        </w:numPr>
        <w:overflowPunct w:val="0"/>
        <w:autoSpaceDE w:val="0"/>
        <w:autoSpaceDN w:val="0"/>
        <w:adjustRightInd w:val="0"/>
        <w:spacing w:afterLines="20" w:after="48" w:line="240" w:lineRule="auto"/>
        <w:ind w:left="924" w:hanging="357"/>
        <w:contextualSpacing w:val="0"/>
        <w:jc w:val="both"/>
        <w:textAlignment w:val="baseline"/>
        <w:rPr>
          <w:rFonts w:cs="Arial"/>
          <w:szCs w:val="20"/>
        </w:rPr>
      </w:pPr>
      <w:r w:rsidRPr="0023027E">
        <w:rPr>
          <w:rFonts w:cs="Arial"/>
          <w:szCs w:val="20"/>
        </w:rPr>
        <w:t xml:space="preserve">vrsto informacij glede na razvrstitev na podlagi točke </w:t>
      </w:r>
      <w:r w:rsidR="00892C49">
        <w:rPr>
          <w:rFonts w:cs="Arial"/>
          <w:szCs w:val="20"/>
        </w:rPr>
        <w:t>(</w:t>
      </w:r>
      <w:r w:rsidR="00EA7C9A">
        <w:rPr>
          <w:rFonts w:cs="Arial"/>
          <w:szCs w:val="20"/>
        </w:rPr>
        <w:t xml:space="preserve">c) </w:t>
      </w:r>
      <w:r w:rsidRPr="0023027E">
        <w:rPr>
          <w:rFonts w:cs="Arial"/>
          <w:szCs w:val="20"/>
        </w:rPr>
        <w:t xml:space="preserve">četrtega odstavka 7. člena Uredbe 2023/2859/EU; </w:t>
      </w:r>
    </w:p>
    <w:p w14:paraId="52755C1F" w14:textId="77777777" w:rsidR="000966FE" w:rsidRDefault="00F52CEB" w:rsidP="00EA7C9A">
      <w:pPr>
        <w:pStyle w:val="Odstavekseznama"/>
        <w:numPr>
          <w:ilvl w:val="0"/>
          <w:numId w:val="51"/>
        </w:numPr>
        <w:overflowPunct w:val="0"/>
        <w:autoSpaceDE w:val="0"/>
        <w:autoSpaceDN w:val="0"/>
        <w:adjustRightInd w:val="0"/>
        <w:spacing w:afterLines="20" w:after="48" w:line="240" w:lineRule="auto"/>
        <w:ind w:left="924" w:hanging="357"/>
        <w:contextualSpacing w:val="0"/>
        <w:jc w:val="both"/>
        <w:textAlignment w:val="baseline"/>
        <w:rPr>
          <w:rFonts w:cs="Arial"/>
          <w:szCs w:val="20"/>
        </w:rPr>
      </w:pPr>
      <w:r w:rsidRPr="0023027E">
        <w:rPr>
          <w:rFonts w:cs="Arial"/>
          <w:szCs w:val="20"/>
        </w:rPr>
        <w:t>oznako, ali informacije vsebujejo osebne podatke.«.</w:t>
      </w:r>
    </w:p>
    <w:p w14:paraId="7B5BFFA1" w14:textId="77777777" w:rsidR="00942123" w:rsidRDefault="00942123" w:rsidP="00EA7C9A">
      <w:pPr>
        <w:spacing w:afterLines="20" w:after="48"/>
        <w:jc w:val="both"/>
        <w:rPr>
          <w:rFonts w:cs="Arial"/>
          <w:szCs w:val="20"/>
        </w:rPr>
      </w:pPr>
    </w:p>
    <w:p w14:paraId="136AB2AF"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52" w:name="_Ref206511789"/>
      <w:r w:rsidRPr="0023027E">
        <w:rPr>
          <w:rFonts w:cs="Arial"/>
          <w:b/>
          <w:bCs/>
          <w:szCs w:val="20"/>
        </w:rPr>
        <w:t>člen</w:t>
      </w:r>
      <w:bookmarkEnd w:id="52"/>
    </w:p>
    <w:p w14:paraId="7F55AC53" w14:textId="77777777" w:rsidR="000966FE" w:rsidRDefault="000966FE" w:rsidP="00EA7C9A">
      <w:pPr>
        <w:spacing w:afterLines="20" w:after="48"/>
        <w:jc w:val="both"/>
        <w:rPr>
          <w:rFonts w:cs="Arial"/>
          <w:szCs w:val="20"/>
          <w:highlight w:val="magenta"/>
        </w:rPr>
      </w:pPr>
    </w:p>
    <w:p w14:paraId="14C0FAAB" w14:textId="4E434F46" w:rsidR="00F52CEB" w:rsidRPr="0023027E" w:rsidRDefault="00F52CEB" w:rsidP="00EA7C9A">
      <w:pPr>
        <w:spacing w:afterLines="20" w:after="48"/>
        <w:jc w:val="both"/>
        <w:rPr>
          <w:rFonts w:cs="Arial"/>
          <w:szCs w:val="20"/>
          <w:highlight w:val="magenta"/>
        </w:rPr>
      </w:pPr>
      <w:r w:rsidRPr="0023027E">
        <w:rPr>
          <w:rFonts w:cs="Arial"/>
          <w:szCs w:val="20"/>
        </w:rPr>
        <w:t>V 60. členu se za besedilom člena, ki postane prvi odstavek</w:t>
      </w:r>
      <w:r w:rsidR="00231EF3">
        <w:rPr>
          <w:rFonts w:cs="Arial"/>
          <w:szCs w:val="20"/>
        </w:rPr>
        <w:t>,</w:t>
      </w:r>
      <w:r w:rsidRPr="0023027E">
        <w:rPr>
          <w:rFonts w:cs="Arial"/>
          <w:szCs w:val="20"/>
        </w:rPr>
        <w:t xml:space="preserve"> dodata nova, drugi in tretji odstavek, ki se glasita:</w:t>
      </w:r>
    </w:p>
    <w:p w14:paraId="4A5D382E" w14:textId="5E719115" w:rsidR="00F52CEB" w:rsidRPr="0023027E" w:rsidRDefault="00F52CEB" w:rsidP="00F52CEB">
      <w:pPr>
        <w:pStyle w:val="zamik"/>
        <w:spacing w:before="210" w:after="210"/>
        <w:jc w:val="both"/>
        <w:rPr>
          <w:rFonts w:ascii="Arial" w:eastAsia="Arial" w:hAnsi="Arial" w:cs="Arial"/>
          <w:sz w:val="20"/>
          <w:szCs w:val="20"/>
        </w:rPr>
      </w:pPr>
      <w:r w:rsidRPr="0023027E">
        <w:rPr>
          <w:rFonts w:ascii="Arial" w:eastAsia="Arial" w:hAnsi="Arial" w:cs="Arial"/>
          <w:sz w:val="20"/>
          <w:szCs w:val="20"/>
        </w:rPr>
        <w:t xml:space="preserve">»(2) Borznoposredniška družba ali obvladujoče podjetje hkrati z javno objavo informacij iz prejšnjega odstavka </w:t>
      </w:r>
      <w:r w:rsidR="00231EF3">
        <w:rPr>
          <w:rFonts w:ascii="Arial" w:eastAsia="Arial" w:hAnsi="Arial" w:cs="Arial"/>
          <w:sz w:val="20"/>
          <w:szCs w:val="20"/>
        </w:rPr>
        <w:t>te</w:t>
      </w:r>
      <w:r w:rsidR="00231EF3" w:rsidRPr="0023027E">
        <w:rPr>
          <w:rFonts w:ascii="Arial" w:eastAsia="Arial" w:hAnsi="Arial" w:cs="Arial"/>
          <w:sz w:val="20"/>
          <w:szCs w:val="20"/>
        </w:rPr>
        <w:t xml:space="preserve"> </w:t>
      </w:r>
      <w:r w:rsidRPr="0023027E">
        <w:rPr>
          <w:rFonts w:ascii="Arial" w:eastAsia="Arial" w:hAnsi="Arial" w:cs="Arial"/>
          <w:sz w:val="20"/>
          <w:szCs w:val="20"/>
        </w:rPr>
        <w:t>predloži agenciji, ki je organ za zbiranje podatkov</w:t>
      </w:r>
      <w:r w:rsidRPr="00F443AF">
        <w:rPr>
          <w:rFonts w:ascii="Arial" w:hAnsi="Arial" w:cs="Arial"/>
          <w:sz w:val="20"/>
          <w:szCs w:val="20"/>
        </w:rPr>
        <w:t xml:space="preserve">, </w:t>
      </w:r>
      <w:r w:rsidR="00FB0833" w:rsidRPr="00F443AF">
        <w:rPr>
          <w:rFonts w:ascii="Arial" w:hAnsi="Arial" w:cs="Arial"/>
          <w:sz w:val="20"/>
          <w:szCs w:val="20"/>
        </w:rPr>
        <w:t>kakor</w:t>
      </w:r>
      <w:r w:rsidRPr="0023027E">
        <w:rPr>
          <w:rFonts w:ascii="Arial" w:eastAsia="Arial" w:hAnsi="Arial" w:cs="Arial"/>
          <w:sz w:val="20"/>
          <w:szCs w:val="20"/>
        </w:rPr>
        <w:t xml:space="preserve"> je opredeljen v 2. točki 2. člena Uredbe 2023/2859/EU</w:t>
      </w:r>
      <w:r w:rsidR="00EA7C9A">
        <w:rPr>
          <w:rFonts w:ascii="Arial" w:eastAsia="Arial" w:hAnsi="Arial" w:cs="Arial"/>
          <w:sz w:val="20"/>
          <w:szCs w:val="20"/>
        </w:rPr>
        <w:t>,</w:t>
      </w:r>
      <w:r w:rsidRPr="0023027E">
        <w:rPr>
          <w:rFonts w:ascii="Arial" w:eastAsia="Arial" w:hAnsi="Arial" w:cs="Arial"/>
          <w:sz w:val="20"/>
          <w:szCs w:val="20"/>
        </w:rPr>
        <w:t xml:space="preserve"> pri čemer zagotovi, da informacije </w:t>
      </w:r>
      <w:r w:rsidR="002179A5">
        <w:rPr>
          <w:rFonts w:ascii="Arial" w:eastAsia="Arial" w:hAnsi="Arial" w:cs="Arial"/>
          <w:sz w:val="20"/>
          <w:szCs w:val="20"/>
        </w:rPr>
        <w:t>izpolnjujejo</w:t>
      </w:r>
      <w:r w:rsidR="002179A5" w:rsidRPr="004473E2">
        <w:rPr>
          <w:rFonts w:ascii="Arial" w:eastAsia="Arial" w:hAnsi="Arial" w:cs="Arial"/>
          <w:sz w:val="20"/>
          <w:szCs w:val="20"/>
        </w:rPr>
        <w:t xml:space="preserve"> te zahtev</w:t>
      </w:r>
      <w:r w:rsidR="002179A5">
        <w:rPr>
          <w:rFonts w:ascii="Arial" w:eastAsia="Arial" w:hAnsi="Arial" w:cs="Arial"/>
          <w:sz w:val="20"/>
          <w:szCs w:val="20"/>
        </w:rPr>
        <w:t>e</w:t>
      </w:r>
      <w:r w:rsidRPr="0023027E">
        <w:rPr>
          <w:rFonts w:ascii="Arial" w:eastAsia="Arial" w:hAnsi="Arial" w:cs="Arial"/>
          <w:sz w:val="20"/>
          <w:szCs w:val="20"/>
        </w:rPr>
        <w:t>:</w:t>
      </w:r>
    </w:p>
    <w:p w14:paraId="7541102E" w14:textId="77777777" w:rsidR="00F52CEB" w:rsidRPr="0023027E" w:rsidRDefault="00F52CEB" w:rsidP="00F52CEB">
      <w:pPr>
        <w:pStyle w:val="zamik"/>
        <w:spacing w:before="210" w:after="210"/>
        <w:jc w:val="both"/>
        <w:rPr>
          <w:rFonts w:ascii="Arial" w:eastAsia="Arial" w:hAnsi="Arial" w:cs="Arial"/>
          <w:sz w:val="20"/>
          <w:szCs w:val="20"/>
        </w:rPr>
      </w:pPr>
      <w:r w:rsidRPr="0023027E">
        <w:rPr>
          <w:rFonts w:ascii="Arial" w:eastAsia="Arial" w:hAnsi="Arial" w:cs="Arial"/>
          <w:sz w:val="20"/>
          <w:szCs w:val="20"/>
        </w:rPr>
        <w:t xml:space="preserve">1. so predložene v formatu, ki omogoča izvoz podatkov, kakor je opredeljen v 3. točki 2. člena Uredbe 2023/2859/EU; </w:t>
      </w:r>
    </w:p>
    <w:p w14:paraId="5C169BE3" w14:textId="36A46593" w:rsidR="00F52CEB" w:rsidRPr="0023027E" w:rsidRDefault="00F52CEB" w:rsidP="00F52CEB">
      <w:pPr>
        <w:pStyle w:val="zamik"/>
        <w:spacing w:before="210" w:after="210"/>
        <w:jc w:val="both"/>
        <w:rPr>
          <w:rFonts w:ascii="Arial" w:eastAsia="Arial" w:hAnsi="Arial" w:cs="Arial"/>
          <w:sz w:val="20"/>
          <w:szCs w:val="20"/>
        </w:rPr>
      </w:pPr>
      <w:r w:rsidRPr="0023027E">
        <w:rPr>
          <w:rFonts w:ascii="Arial" w:eastAsia="Arial" w:hAnsi="Arial" w:cs="Arial"/>
          <w:sz w:val="20"/>
          <w:szCs w:val="20"/>
        </w:rPr>
        <w:t xml:space="preserve">2. vsebujejo </w:t>
      </w:r>
      <w:r w:rsidR="00F443AF" w:rsidRPr="00231EF3">
        <w:rPr>
          <w:rFonts w:ascii="Arial" w:eastAsia="Arial" w:hAnsi="Arial" w:cs="Arial"/>
          <w:sz w:val="20"/>
          <w:szCs w:val="20"/>
        </w:rPr>
        <w:t>te</w:t>
      </w:r>
      <w:r w:rsidRPr="0023027E">
        <w:rPr>
          <w:rFonts w:ascii="Arial" w:eastAsia="Arial" w:hAnsi="Arial" w:cs="Arial"/>
          <w:sz w:val="20"/>
          <w:szCs w:val="20"/>
        </w:rPr>
        <w:t xml:space="preserve"> metapodatke: </w:t>
      </w:r>
    </w:p>
    <w:p w14:paraId="6A6731F2" w14:textId="77777777" w:rsidR="00F52CEB" w:rsidRPr="0023027E" w:rsidRDefault="00F52CEB" w:rsidP="00F52CEB">
      <w:pPr>
        <w:pStyle w:val="zamik"/>
        <w:spacing w:before="210" w:after="210"/>
        <w:jc w:val="both"/>
        <w:rPr>
          <w:rFonts w:ascii="Arial" w:eastAsia="Arial" w:hAnsi="Arial" w:cs="Arial"/>
          <w:sz w:val="20"/>
          <w:szCs w:val="20"/>
        </w:rPr>
      </w:pPr>
      <w:r w:rsidRPr="0023027E">
        <w:rPr>
          <w:rFonts w:ascii="Arial" w:eastAsia="Arial" w:hAnsi="Arial" w:cs="Arial"/>
          <w:sz w:val="20"/>
          <w:szCs w:val="20"/>
        </w:rPr>
        <w:t>–</w:t>
      </w:r>
      <w:r w:rsidRPr="0023027E">
        <w:rPr>
          <w:rFonts w:ascii="Arial" w:eastAsia="Arial" w:hAnsi="Arial" w:cs="Arial"/>
          <w:sz w:val="20"/>
          <w:szCs w:val="20"/>
        </w:rPr>
        <w:tab/>
        <w:t xml:space="preserve">vsa imena borznoposredniške družbe ali obvladujočega podjetja, na katero se informacije nanašajo; </w:t>
      </w:r>
    </w:p>
    <w:p w14:paraId="13F412FE" w14:textId="1BB86A8A" w:rsidR="00F52CEB" w:rsidRPr="0023027E" w:rsidRDefault="00F52CEB" w:rsidP="00F52CEB">
      <w:pPr>
        <w:pStyle w:val="zamik"/>
        <w:spacing w:before="210" w:after="210"/>
        <w:jc w:val="both"/>
        <w:rPr>
          <w:rFonts w:ascii="Arial" w:eastAsia="Arial" w:hAnsi="Arial" w:cs="Arial"/>
          <w:sz w:val="20"/>
          <w:szCs w:val="20"/>
        </w:rPr>
      </w:pPr>
      <w:r w:rsidRPr="0023027E">
        <w:rPr>
          <w:rFonts w:ascii="Arial" w:eastAsia="Arial" w:hAnsi="Arial" w:cs="Arial"/>
          <w:sz w:val="20"/>
          <w:szCs w:val="20"/>
        </w:rPr>
        <w:t>–</w:t>
      </w:r>
      <w:r w:rsidRPr="0023027E">
        <w:rPr>
          <w:rFonts w:ascii="Arial" w:eastAsia="Arial" w:hAnsi="Arial" w:cs="Arial"/>
          <w:sz w:val="20"/>
          <w:szCs w:val="20"/>
        </w:rPr>
        <w:tab/>
        <w:t>identifikator pravnih subjektov borznoposredniške družbe ali obvladujočega podjetja, kakor je določen na podlagi točke</w:t>
      </w:r>
      <w:r w:rsidR="00EA7C9A">
        <w:rPr>
          <w:rFonts w:ascii="Arial" w:eastAsia="Arial" w:hAnsi="Arial" w:cs="Arial"/>
          <w:sz w:val="20"/>
          <w:szCs w:val="20"/>
        </w:rPr>
        <w:t xml:space="preserve"> </w:t>
      </w:r>
      <w:r w:rsidR="00892C49">
        <w:rPr>
          <w:rFonts w:ascii="Arial" w:eastAsia="Arial" w:hAnsi="Arial" w:cs="Arial"/>
          <w:sz w:val="20"/>
          <w:szCs w:val="20"/>
        </w:rPr>
        <w:t>(</w:t>
      </w:r>
      <w:r w:rsidR="00EA7C9A">
        <w:rPr>
          <w:rFonts w:ascii="Arial" w:eastAsia="Arial" w:hAnsi="Arial" w:cs="Arial"/>
          <w:sz w:val="20"/>
          <w:szCs w:val="20"/>
        </w:rPr>
        <w:t>b)</w:t>
      </w:r>
      <w:r w:rsidRPr="0023027E">
        <w:rPr>
          <w:rFonts w:ascii="Arial" w:eastAsia="Arial" w:hAnsi="Arial" w:cs="Arial"/>
          <w:sz w:val="20"/>
          <w:szCs w:val="20"/>
        </w:rPr>
        <w:t xml:space="preserve"> četrtega odstavka 7. člena Uredbe 2023/2859/EU;</w:t>
      </w:r>
    </w:p>
    <w:p w14:paraId="15895A57" w14:textId="5B7256FC" w:rsidR="00F52CEB" w:rsidRPr="0023027E" w:rsidRDefault="00F52CEB" w:rsidP="00F52CEB">
      <w:pPr>
        <w:pStyle w:val="zamik"/>
        <w:spacing w:before="210" w:after="210"/>
        <w:jc w:val="both"/>
        <w:rPr>
          <w:rFonts w:ascii="Arial" w:eastAsia="Arial" w:hAnsi="Arial" w:cs="Arial"/>
          <w:sz w:val="20"/>
          <w:szCs w:val="20"/>
        </w:rPr>
      </w:pPr>
      <w:r w:rsidRPr="0023027E">
        <w:rPr>
          <w:rFonts w:ascii="Arial" w:eastAsia="Arial" w:hAnsi="Arial" w:cs="Arial"/>
          <w:sz w:val="20"/>
          <w:szCs w:val="20"/>
        </w:rPr>
        <w:lastRenderedPageBreak/>
        <w:t>–</w:t>
      </w:r>
      <w:r w:rsidRPr="0023027E">
        <w:rPr>
          <w:rFonts w:ascii="Arial" w:eastAsia="Arial" w:hAnsi="Arial" w:cs="Arial"/>
          <w:sz w:val="20"/>
          <w:szCs w:val="20"/>
        </w:rPr>
        <w:tab/>
        <w:t xml:space="preserve">velikost borznoposredniške družbe ali obvladujočega podjetja po kategorijah, </w:t>
      </w:r>
      <w:r w:rsidR="00FB0833" w:rsidRPr="00F443AF">
        <w:rPr>
          <w:rFonts w:ascii="Arial" w:eastAsia="Arial" w:hAnsi="Arial" w:cs="Arial"/>
          <w:sz w:val="20"/>
          <w:szCs w:val="20"/>
        </w:rPr>
        <w:t>kakor</w:t>
      </w:r>
      <w:r w:rsidRPr="0023027E">
        <w:rPr>
          <w:rFonts w:ascii="Arial" w:eastAsia="Arial" w:hAnsi="Arial" w:cs="Arial"/>
          <w:sz w:val="20"/>
          <w:szCs w:val="20"/>
        </w:rPr>
        <w:t xml:space="preserve"> so določene na podlagi točke </w:t>
      </w:r>
      <w:r w:rsidR="00892C49">
        <w:rPr>
          <w:rFonts w:ascii="Arial" w:eastAsia="Arial" w:hAnsi="Arial" w:cs="Arial"/>
          <w:sz w:val="20"/>
          <w:szCs w:val="20"/>
        </w:rPr>
        <w:t>(</w:t>
      </w:r>
      <w:r w:rsidRPr="0023027E">
        <w:rPr>
          <w:rFonts w:ascii="Arial" w:eastAsia="Arial" w:hAnsi="Arial" w:cs="Arial"/>
          <w:sz w:val="20"/>
          <w:szCs w:val="20"/>
        </w:rPr>
        <w:t>d) četrtega odstavka 7. člena Uredbe 2023/2859/EU</w:t>
      </w:r>
      <w:r w:rsidR="00025A74">
        <w:rPr>
          <w:rFonts w:ascii="Arial" w:eastAsia="Arial" w:hAnsi="Arial" w:cs="Arial"/>
          <w:sz w:val="20"/>
          <w:szCs w:val="20"/>
        </w:rPr>
        <w:t>;</w:t>
      </w:r>
      <w:r w:rsidRPr="0023027E">
        <w:rPr>
          <w:rFonts w:ascii="Arial" w:eastAsia="Arial" w:hAnsi="Arial" w:cs="Arial"/>
          <w:sz w:val="20"/>
          <w:szCs w:val="20"/>
        </w:rPr>
        <w:t xml:space="preserve"> </w:t>
      </w:r>
    </w:p>
    <w:p w14:paraId="515B7AB2" w14:textId="2AA29409" w:rsidR="00F52CEB" w:rsidRPr="0023027E" w:rsidRDefault="00393DF7" w:rsidP="00F52CEB">
      <w:pPr>
        <w:pStyle w:val="zamik"/>
        <w:spacing w:before="210" w:after="210"/>
        <w:jc w:val="both"/>
        <w:rPr>
          <w:rFonts w:ascii="Arial" w:eastAsia="Arial" w:hAnsi="Arial" w:cs="Arial"/>
          <w:sz w:val="20"/>
          <w:szCs w:val="20"/>
        </w:rPr>
      </w:pPr>
      <w:r w:rsidRPr="0023027E">
        <w:rPr>
          <w:rFonts w:ascii="Arial" w:eastAsia="Arial" w:hAnsi="Arial" w:cs="Arial"/>
          <w:sz w:val="20"/>
          <w:szCs w:val="20"/>
        </w:rPr>
        <w:t>–</w:t>
      </w:r>
      <w:r w:rsidRPr="0023027E">
        <w:rPr>
          <w:rFonts w:ascii="Arial" w:eastAsia="Arial" w:hAnsi="Arial" w:cs="Arial"/>
          <w:sz w:val="20"/>
          <w:szCs w:val="20"/>
        </w:rPr>
        <w:tab/>
      </w:r>
      <w:r w:rsidR="00F52CEB" w:rsidRPr="0023027E">
        <w:rPr>
          <w:rFonts w:ascii="Arial" w:eastAsia="Arial" w:hAnsi="Arial" w:cs="Arial"/>
          <w:sz w:val="20"/>
          <w:szCs w:val="20"/>
        </w:rPr>
        <w:t xml:space="preserve">vrsto informacij glede na razvrstitev na podlagi točke </w:t>
      </w:r>
      <w:r w:rsidR="00892C49">
        <w:rPr>
          <w:rFonts w:ascii="Arial" w:eastAsia="Arial" w:hAnsi="Arial" w:cs="Arial"/>
          <w:sz w:val="20"/>
          <w:szCs w:val="20"/>
        </w:rPr>
        <w:t>(</w:t>
      </w:r>
      <w:r w:rsidR="00EA7C9A">
        <w:rPr>
          <w:rFonts w:ascii="Arial" w:eastAsia="Arial" w:hAnsi="Arial" w:cs="Arial"/>
          <w:sz w:val="20"/>
          <w:szCs w:val="20"/>
        </w:rPr>
        <w:t xml:space="preserve">c) </w:t>
      </w:r>
      <w:r w:rsidR="00F52CEB" w:rsidRPr="0023027E">
        <w:rPr>
          <w:rFonts w:ascii="Arial" w:eastAsia="Arial" w:hAnsi="Arial" w:cs="Arial"/>
          <w:sz w:val="20"/>
          <w:szCs w:val="20"/>
        </w:rPr>
        <w:t xml:space="preserve">četrtega odstavka 7. člena Uredbe 2023/2859/EU; </w:t>
      </w:r>
    </w:p>
    <w:p w14:paraId="3D7ED641" w14:textId="77777777" w:rsidR="00F52CEB" w:rsidRPr="0023027E" w:rsidRDefault="00F52CEB" w:rsidP="00F52CEB">
      <w:pPr>
        <w:pStyle w:val="zamik"/>
        <w:spacing w:before="210" w:after="210"/>
        <w:jc w:val="both"/>
        <w:rPr>
          <w:rFonts w:ascii="Arial" w:eastAsia="Arial" w:hAnsi="Arial" w:cs="Arial"/>
          <w:sz w:val="20"/>
          <w:szCs w:val="20"/>
        </w:rPr>
      </w:pPr>
      <w:r w:rsidRPr="0023027E">
        <w:rPr>
          <w:rFonts w:ascii="Arial" w:eastAsia="Arial" w:hAnsi="Arial" w:cs="Arial"/>
          <w:sz w:val="20"/>
          <w:szCs w:val="20"/>
        </w:rPr>
        <w:t>–</w:t>
      </w:r>
      <w:r w:rsidRPr="0023027E">
        <w:rPr>
          <w:rFonts w:ascii="Arial" w:eastAsia="Arial" w:hAnsi="Arial" w:cs="Arial"/>
          <w:sz w:val="20"/>
          <w:szCs w:val="20"/>
        </w:rPr>
        <w:tab/>
        <w:t>oznako, ali informacije vsebujejo osebne podatke.</w:t>
      </w:r>
    </w:p>
    <w:p w14:paraId="45EE626A" w14:textId="669C936B" w:rsidR="00F52CEB" w:rsidRPr="00A8764F" w:rsidRDefault="00F52CEB" w:rsidP="00F52CEB">
      <w:pPr>
        <w:pStyle w:val="zamik"/>
        <w:rPr>
          <w:rFonts w:ascii="Arial" w:hAnsi="Arial" w:cs="Arial"/>
          <w:b/>
          <w:bCs/>
          <w:sz w:val="20"/>
          <w:szCs w:val="20"/>
        </w:rPr>
      </w:pPr>
      <w:r w:rsidRPr="0023027E">
        <w:rPr>
          <w:rFonts w:ascii="Arial" w:eastAsia="Arial" w:hAnsi="Arial" w:cs="Arial"/>
          <w:sz w:val="20"/>
          <w:szCs w:val="20"/>
        </w:rPr>
        <w:t xml:space="preserve">(3) Za namene druge alineje 2. točke prejšnjega odstavka </w:t>
      </w:r>
      <w:r w:rsidR="00703164" w:rsidRPr="0023027E">
        <w:rPr>
          <w:rFonts w:ascii="Arial" w:eastAsia="Arial" w:hAnsi="Arial" w:cs="Arial"/>
          <w:sz w:val="20"/>
          <w:szCs w:val="20"/>
        </w:rPr>
        <w:t xml:space="preserve">borznoposredniška družba </w:t>
      </w:r>
      <w:r w:rsidR="00060869" w:rsidRPr="0023027E">
        <w:rPr>
          <w:rFonts w:ascii="Arial" w:eastAsia="Arial" w:hAnsi="Arial" w:cs="Arial"/>
          <w:sz w:val="20"/>
          <w:szCs w:val="20"/>
        </w:rPr>
        <w:t xml:space="preserve">ali </w:t>
      </w:r>
      <w:r w:rsidR="00060869" w:rsidRPr="00F443AF">
        <w:rPr>
          <w:rFonts w:ascii="Arial" w:hAnsi="Arial" w:cs="Arial"/>
          <w:sz w:val="20"/>
          <w:szCs w:val="20"/>
        </w:rPr>
        <w:t xml:space="preserve">obvladujoče podjetje </w:t>
      </w:r>
      <w:r w:rsidRPr="00F443AF">
        <w:rPr>
          <w:rFonts w:ascii="Arial" w:hAnsi="Arial" w:cs="Arial"/>
          <w:sz w:val="20"/>
          <w:szCs w:val="20"/>
        </w:rPr>
        <w:t xml:space="preserve">pridobi identifikator pravnih subjektov, </w:t>
      </w:r>
      <w:r w:rsidR="0065550F" w:rsidRPr="00F443AF">
        <w:rPr>
          <w:rFonts w:ascii="Arial" w:hAnsi="Arial" w:cs="Arial"/>
          <w:sz w:val="20"/>
          <w:szCs w:val="20"/>
        </w:rPr>
        <w:t>kakor</w:t>
      </w:r>
      <w:r w:rsidRPr="00F443AF">
        <w:rPr>
          <w:rFonts w:ascii="Arial" w:hAnsi="Arial" w:cs="Arial"/>
          <w:sz w:val="20"/>
          <w:szCs w:val="20"/>
        </w:rPr>
        <w:t xml:space="preserve"> je določen na podlagi točke </w:t>
      </w:r>
      <w:r w:rsidR="000B45A0" w:rsidRPr="00F443AF">
        <w:rPr>
          <w:rFonts w:ascii="Arial" w:hAnsi="Arial" w:cs="Arial"/>
          <w:sz w:val="20"/>
          <w:szCs w:val="20"/>
        </w:rPr>
        <w:t>(</w:t>
      </w:r>
      <w:r w:rsidRPr="00F443AF">
        <w:rPr>
          <w:rFonts w:ascii="Arial" w:hAnsi="Arial" w:cs="Arial"/>
          <w:sz w:val="20"/>
          <w:szCs w:val="20"/>
        </w:rPr>
        <w:t xml:space="preserve">b) četrtega odstavka 7. člena Uredbe 2023/2859/EU, če </w:t>
      </w:r>
      <w:r w:rsidR="00F443AF" w:rsidRPr="00F443AF">
        <w:rPr>
          <w:rFonts w:ascii="Arial" w:hAnsi="Arial" w:cs="Arial"/>
          <w:sz w:val="20"/>
          <w:szCs w:val="20"/>
        </w:rPr>
        <w:t>tega identifikatorja še nima</w:t>
      </w:r>
      <w:r w:rsidRPr="00A31BC8">
        <w:rPr>
          <w:rFonts w:ascii="Arial" w:hAnsi="Arial" w:cs="Arial"/>
          <w:sz w:val="20"/>
          <w:szCs w:val="20"/>
        </w:rPr>
        <w:t>.«.</w:t>
      </w:r>
    </w:p>
    <w:bookmarkEnd w:id="51"/>
    <w:p w14:paraId="65425E70" w14:textId="77777777" w:rsidR="000966FE" w:rsidRDefault="000966FE" w:rsidP="00EA7C9A">
      <w:pPr>
        <w:spacing w:afterLines="20" w:after="48"/>
        <w:jc w:val="both"/>
        <w:rPr>
          <w:rFonts w:cs="Arial"/>
          <w:b/>
          <w:bCs/>
          <w:szCs w:val="20"/>
        </w:rPr>
      </w:pPr>
    </w:p>
    <w:p w14:paraId="3E2DD80A"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53" w:name="_Ref206511800"/>
      <w:r w:rsidRPr="0023027E">
        <w:rPr>
          <w:rFonts w:cs="Arial"/>
          <w:b/>
          <w:bCs/>
          <w:szCs w:val="20"/>
        </w:rPr>
        <w:t>člen</w:t>
      </w:r>
      <w:bookmarkEnd w:id="53"/>
    </w:p>
    <w:p w14:paraId="7FC5B9F1" w14:textId="77777777" w:rsidR="000966FE" w:rsidRDefault="000966FE" w:rsidP="00EA7C9A">
      <w:pPr>
        <w:spacing w:afterLines="20" w:after="48"/>
        <w:jc w:val="both"/>
        <w:rPr>
          <w:rFonts w:cs="Arial"/>
          <w:szCs w:val="20"/>
        </w:rPr>
      </w:pPr>
    </w:p>
    <w:p w14:paraId="5F7B493C" w14:textId="77777777" w:rsidR="00F52CEB" w:rsidRPr="0023027E" w:rsidRDefault="00F52CEB" w:rsidP="00EA7C9A">
      <w:pPr>
        <w:spacing w:afterLines="20" w:after="48"/>
        <w:jc w:val="both"/>
        <w:rPr>
          <w:rFonts w:cs="Arial"/>
          <w:szCs w:val="20"/>
        </w:rPr>
      </w:pPr>
      <w:r w:rsidRPr="0023027E">
        <w:rPr>
          <w:rFonts w:cs="Arial"/>
          <w:szCs w:val="20"/>
        </w:rPr>
        <w:t>V 74. členu se v prvem odstavku za 3. točko doda nova, 3.a točka, ki se glasi:</w:t>
      </w:r>
    </w:p>
    <w:p w14:paraId="17B57836" w14:textId="77777777" w:rsidR="00F52CEB" w:rsidRPr="0023027E" w:rsidRDefault="00F52CEB" w:rsidP="00EA7C9A">
      <w:pPr>
        <w:spacing w:afterLines="20" w:after="48"/>
        <w:jc w:val="both"/>
        <w:rPr>
          <w:rFonts w:cs="Arial"/>
          <w:szCs w:val="20"/>
        </w:rPr>
      </w:pPr>
    </w:p>
    <w:p w14:paraId="27D17B4C" w14:textId="77777777" w:rsidR="00F52CEB" w:rsidRPr="0023027E" w:rsidRDefault="00F52CEB" w:rsidP="00EA7C9A">
      <w:pPr>
        <w:spacing w:afterLines="20" w:after="48"/>
        <w:jc w:val="both"/>
        <w:rPr>
          <w:rFonts w:cs="Arial"/>
          <w:szCs w:val="20"/>
        </w:rPr>
      </w:pPr>
      <w:r w:rsidRPr="0023027E">
        <w:rPr>
          <w:rFonts w:cs="Arial"/>
          <w:szCs w:val="20"/>
        </w:rPr>
        <w:t xml:space="preserve">»3.a </w:t>
      </w:r>
      <w:bookmarkStart w:id="54" w:name="_Hlk204772566"/>
      <w:r w:rsidRPr="0023027E">
        <w:rPr>
          <w:rFonts w:cs="Arial"/>
          <w:szCs w:val="20"/>
        </w:rPr>
        <w:t>agenciji ne predloži informacij ali jih ne predloži v predpisani obliki ali ne predloži metapodatkov, kakor je določeno v drugem in tretjem odstavku 60. člena tega zakona</w:t>
      </w:r>
      <w:bookmarkEnd w:id="54"/>
      <w:r w:rsidRPr="0023027E">
        <w:rPr>
          <w:rFonts w:cs="Arial"/>
          <w:szCs w:val="20"/>
        </w:rPr>
        <w:t>;«.</w:t>
      </w:r>
    </w:p>
    <w:p w14:paraId="2A73D79F" w14:textId="77777777" w:rsidR="00F52CEB" w:rsidRPr="0023027E" w:rsidRDefault="00F52CEB" w:rsidP="00EA7C9A">
      <w:pPr>
        <w:spacing w:afterLines="20" w:after="48"/>
        <w:jc w:val="both"/>
        <w:rPr>
          <w:rFonts w:cs="Arial"/>
          <w:szCs w:val="20"/>
        </w:rPr>
      </w:pPr>
    </w:p>
    <w:p w14:paraId="3923AD67" w14:textId="3ED00DEC" w:rsidR="000966FE" w:rsidRDefault="00A36045" w:rsidP="00EA7C9A">
      <w:pPr>
        <w:spacing w:afterLines="20" w:after="48"/>
        <w:jc w:val="both"/>
        <w:rPr>
          <w:rFonts w:cs="Arial"/>
          <w:b/>
          <w:bCs/>
          <w:szCs w:val="20"/>
        </w:rPr>
      </w:pPr>
      <w:r>
        <w:rPr>
          <w:rFonts w:cs="Arial"/>
          <w:b/>
          <w:bCs/>
          <w:szCs w:val="20"/>
        </w:rPr>
        <w:t>8</w:t>
      </w:r>
      <w:r w:rsidR="00F52CEB" w:rsidRPr="0023027E">
        <w:rPr>
          <w:rFonts w:cs="Arial"/>
          <w:b/>
          <w:bCs/>
          <w:szCs w:val="20"/>
        </w:rPr>
        <w:t>. Zakon o hipotekarni in komunalni obveznici</w:t>
      </w:r>
    </w:p>
    <w:p w14:paraId="28C01C90" w14:textId="77777777" w:rsidR="000966FE" w:rsidRDefault="000966FE" w:rsidP="00EA7C9A">
      <w:pPr>
        <w:spacing w:afterLines="20" w:after="48"/>
        <w:jc w:val="both"/>
        <w:rPr>
          <w:rFonts w:cs="Arial"/>
          <w:szCs w:val="20"/>
        </w:rPr>
      </w:pPr>
    </w:p>
    <w:p w14:paraId="6D14997A"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55" w:name="_Ref206511812"/>
      <w:r w:rsidRPr="0023027E">
        <w:rPr>
          <w:rFonts w:cs="Arial"/>
          <w:b/>
          <w:bCs/>
          <w:szCs w:val="20"/>
        </w:rPr>
        <w:t>člen</w:t>
      </w:r>
      <w:bookmarkEnd w:id="55"/>
    </w:p>
    <w:p w14:paraId="4A50BD01" w14:textId="77777777" w:rsidR="00F52CEB" w:rsidRPr="0023027E" w:rsidRDefault="00F52CEB" w:rsidP="00EA7C9A">
      <w:pPr>
        <w:spacing w:afterLines="20" w:after="48"/>
        <w:jc w:val="both"/>
        <w:rPr>
          <w:rFonts w:cs="Arial"/>
          <w:szCs w:val="20"/>
        </w:rPr>
      </w:pPr>
    </w:p>
    <w:p w14:paraId="166FA78F" w14:textId="27F1E0DE" w:rsidR="00F52CEB" w:rsidRPr="0023027E" w:rsidRDefault="00F52CEB" w:rsidP="00EA7C9A">
      <w:pPr>
        <w:spacing w:afterLines="20" w:after="48"/>
        <w:jc w:val="both"/>
        <w:rPr>
          <w:rFonts w:cs="Arial"/>
          <w:szCs w:val="20"/>
        </w:rPr>
      </w:pPr>
      <w:r w:rsidRPr="0023027E">
        <w:rPr>
          <w:rFonts w:cs="Arial"/>
          <w:szCs w:val="20"/>
        </w:rPr>
        <w:t xml:space="preserve">V Zakonu o </w:t>
      </w:r>
      <w:r w:rsidR="005F1FD7" w:rsidRPr="0023027E">
        <w:rPr>
          <w:rFonts w:cs="Arial"/>
          <w:szCs w:val="20"/>
        </w:rPr>
        <w:t>hipotekarni in komunalni obveznici</w:t>
      </w:r>
      <w:r w:rsidR="005F1FD7" w:rsidRPr="0023027E" w:rsidDel="005F1FD7">
        <w:rPr>
          <w:rFonts w:cs="Arial"/>
          <w:szCs w:val="20"/>
        </w:rPr>
        <w:t xml:space="preserve"> </w:t>
      </w:r>
      <w:r w:rsidRPr="0023027E">
        <w:rPr>
          <w:rFonts w:cs="Arial"/>
          <w:szCs w:val="20"/>
        </w:rPr>
        <w:t>(Uradni list RS, št. 123/21) se v 2. členu za besedilom »(UL L št. 328 z dne 18. 12. 2019, str. 29)« doda</w:t>
      </w:r>
      <w:r w:rsidR="000966FE">
        <w:rPr>
          <w:rFonts w:cs="Arial"/>
          <w:szCs w:val="20"/>
        </w:rPr>
        <w:t>ta</w:t>
      </w:r>
      <w:r w:rsidRPr="0023027E">
        <w:rPr>
          <w:rFonts w:cs="Arial"/>
          <w:szCs w:val="20"/>
        </w:rPr>
        <w:t xml:space="preserve"> vejica in besedilo »zadnjič spremenjen</w:t>
      </w:r>
      <w:r w:rsidR="000966FE">
        <w:rPr>
          <w:rFonts w:cs="Arial"/>
          <w:szCs w:val="20"/>
        </w:rPr>
        <w:t>a</w:t>
      </w:r>
      <w:r w:rsidRPr="0023027E">
        <w:rPr>
          <w:rFonts w:cs="Arial"/>
          <w:szCs w:val="20"/>
        </w:rPr>
        <w:t xml:space="preserve"> z Direktivo (EU) 2023/2864 Evropskega parlamenta in Sveta </w:t>
      </w:r>
      <w:r w:rsidR="002201C7" w:rsidRPr="004C2B64">
        <w:rPr>
          <w:rFonts w:cs="Arial"/>
          <w:szCs w:val="20"/>
        </w:rPr>
        <w:t xml:space="preserve">z dne 13. decembra 2023 </w:t>
      </w:r>
      <w:r w:rsidRPr="0023027E">
        <w:rPr>
          <w:rFonts w:cs="Arial"/>
          <w:szCs w:val="20"/>
        </w:rPr>
        <w:t>o spremembi nekaterih direktiv glede vzpostavitve in delovanja evropske enotne točke dostopa (UL L št. 2023/2864 z dne 20. 12. 2023)«.</w:t>
      </w:r>
    </w:p>
    <w:p w14:paraId="547BC468" w14:textId="77777777" w:rsidR="00F52CEB" w:rsidRPr="0023027E" w:rsidRDefault="00F52CEB" w:rsidP="00EA7C9A">
      <w:pPr>
        <w:spacing w:afterLines="20" w:after="48"/>
        <w:jc w:val="both"/>
        <w:rPr>
          <w:rFonts w:cs="Arial"/>
          <w:szCs w:val="20"/>
        </w:rPr>
      </w:pPr>
    </w:p>
    <w:p w14:paraId="2B2AB11C"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56" w:name="_Ref206511825"/>
      <w:r w:rsidRPr="0023027E">
        <w:rPr>
          <w:rFonts w:cs="Arial"/>
          <w:b/>
          <w:bCs/>
          <w:szCs w:val="20"/>
        </w:rPr>
        <w:t>člen</w:t>
      </w:r>
      <w:bookmarkEnd w:id="56"/>
    </w:p>
    <w:p w14:paraId="1FD94528" w14:textId="77777777" w:rsidR="00F52CEB" w:rsidRPr="0023027E" w:rsidRDefault="00F52CEB" w:rsidP="00EA7C9A">
      <w:pPr>
        <w:spacing w:afterLines="20" w:after="48"/>
        <w:jc w:val="both"/>
        <w:rPr>
          <w:rFonts w:cs="Arial"/>
          <w:szCs w:val="20"/>
        </w:rPr>
      </w:pPr>
    </w:p>
    <w:p w14:paraId="6D3EDC08" w14:textId="77777777" w:rsidR="00F52CEB" w:rsidRPr="0023027E" w:rsidRDefault="00F52CEB" w:rsidP="00EA7C9A">
      <w:pPr>
        <w:spacing w:afterLines="20" w:after="48"/>
        <w:jc w:val="both"/>
        <w:rPr>
          <w:rFonts w:cs="Arial"/>
          <w:szCs w:val="20"/>
        </w:rPr>
      </w:pPr>
      <w:r w:rsidRPr="0023027E">
        <w:rPr>
          <w:rFonts w:cs="Arial"/>
          <w:szCs w:val="20"/>
        </w:rPr>
        <w:t>V 37. členu se za četrtim odstavkom dodajo novi, peti, šesti in sedmi odstavek, ki se glasijo:</w:t>
      </w:r>
    </w:p>
    <w:p w14:paraId="1F8C0A35" w14:textId="77777777" w:rsidR="00F52CEB" w:rsidRPr="0023027E" w:rsidRDefault="00F52CEB" w:rsidP="00EA7C9A">
      <w:pPr>
        <w:spacing w:afterLines="20" w:after="48"/>
        <w:jc w:val="both"/>
        <w:rPr>
          <w:rFonts w:cs="Arial"/>
          <w:szCs w:val="20"/>
        </w:rPr>
      </w:pPr>
    </w:p>
    <w:p w14:paraId="5A704AED" w14:textId="3DF12ACB" w:rsidR="000966FE" w:rsidRDefault="00025A74" w:rsidP="00EA7C9A">
      <w:pPr>
        <w:spacing w:afterLines="20" w:after="48"/>
        <w:jc w:val="both"/>
        <w:rPr>
          <w:rFonts w:cs="Arial"/>
          <w:szCs w:val="20"/>
        </w:rPr>
      </w:pPr>
      <w:r>
        <w:rPr>
          <w:rFonts w:cs="Arial"/>
          <w:szCs w:val="20"/>
        </w:rPr>
        <w:t>»</w:t>
      </w:r>
      <w:r w:rsidR="00F52CEB" w:rsidRPr="0023027E">
        <w:rPr>
          <w:rFonts w:cs="Arial"/>
          <w:szCs w:val="20"/>
        </w:rPr>
        <w:t xml:space="preserve">(5) Izdajatelj pri objavi katerih koli informacij iz tega člena te informacije hkrati predloži Banki Slovenije, ki je organ za zbiranje podatkov, </w:t>
      </w:r>
      <w:r w:rsidR="008264E4">
        <w:rPr>
          <w:rFonts w:cs="Arial"/>
          <w:szCs w:val="20"/>
        </w:rPr>
        <w:t>kakor</w:t>
      </w:r>
      <w:r w:rsidR="00F52CEB" w:rsidRPr="0023027E">
        <w:rPr>
          <w:rFonts w:cs="Arial"/>
          <w:szCs w:val="20"/>
        </w:rPr>
        <w:t xml:space="preserve"> je opredeljen v 2. točki 2. člena Uredbe (EU) 2023/2859 Evropskega parlamenta in Sveta z dne 13. decembra 2023 o vzpostavitvi evropske enotne točke dostopa, ki zagotavlja centraliziran dostop do javno dostopnih informacij, pomembnih za finančne storitve, kapitalske trge in </w:t>
      </w:r>
      <w:proofErr w:type="spellStart"/>
      <w:r w:rsidR="00F52CEB" w:rsidRPr="0023027E">
        <w:rPr>
          <w:rFonts w:cs="Arial"/>
          <w:szCs w:val="20"/>
        </w:rPr>
        <w:t>trajnostnost</w:t>
      </w:r>
      <w:proofErr w:type="spellEnd"/>
      <w:r w:rsidR="00F52CEB" w:rsidRPr="0023027E">
        <w:rPr>
          <w:rFonts w:cs="Arial"/>
          <w:szCs w:val="20"/>
        </w:rPr>
        <w:t xml:space="preserve"> (UL L št. 2023/2859 z dne 20. 12. 2023), zadnjič spremenjen</w:t>
      </w:r>
      <w:r w:rsidR="000966FE">
        <w:rPr>
          <w:rFonts w:cs="Arial"/>
          <w:szCs w:val="20"/>
        </w:rPr>
        <w:t>e</w:t>
      </w:r>
      <w:r w:rsidR="00F52CEB" w:rsidRPr="0023027E">
        <w:rPr>
          <w:rFonts w:cs="Arial"/>
          <w:szCs w:val="20"/>
        </w:rPr>
        <w:t xml:space="preserve"> z</w:t>
      </w:r>
      <w:r w:rsidR="000966FE" w:rsidRPr="000966FE">
        <w:rPr>
          <w:rFonts w:eastAsia="Arial" w:cs="Arial"/>
          <w:szCs w:val="20"/>
        </w:rPr>
        <w:t xml:space="preserve"> </w:t>
      </w:r>
      <w:r w:rsidR="000966FE" w:rsidRPr="0023027E">
        <w:rPr>
          <w:rFonts w:eastAsia="Arial" w:cs="Arial"/>
          <w:szCs w:val="20"/>
        </w:rPr>
        <w:t xml:space="preserve">Uredbo (EU) 2024/3005 Evropskega parlamenta in Sveta z dne 27. novembra 2024 o preglednosti in celovitosti dejavnosti ocenjevanja </w:t>
      </w:r>
      <w:proofErr w:type="spellStart"/>
      <w:r w:rsidR="000966FE" w:rsidRPr="0023027E">
        <w:rPr>
          <w:rFonts w:eastAsia="Arial" w:cs="Arial"/>
          <w:szCs w:val="20"/>
        </w:rPr>
        <w:t>okoljskih</w:t>
      </w:r>
      <w:proofErr w:type="spellEnd"/>
      <w:r w:rsidR="000966FE" w:rsidRPr="0023027E">
        <w:rPr>
          <w:rFonts w:eastAsia="Arial" w:cs="Arial"/>
          <w:szCs w:val="20"/>
        </w:rPr>
        <w:t>, socialnih in upravljavskih (ESG) dejavnikov ter spremembi uredb (EU) 2019/2088</w:t>
      </w:r>
      <w:r w:rsidR="00B732CB" w:rsidRPr="00B732CB">
        <w:rPr>
          <w:rFonts w:eastAsia="Arial" w:cs="Arial"/>
          <w:szCs w:val="20"/>
        </w:rPr>
        <w:t xml:space="preserve"> in (EU) 2023/2859</w:t>
      </w:r>
      <w:r w:rsidR="000966FE" w:rsidRPr="0023027E">
        <w:rPr>
          <w:rFonts w:eastAsia="Arial" w:cs="Arial"/>
          <w:szCs w:val="20"/>
        </w:rPr>
        <w:t xml:space="preserve"> (UL L št. 2024/3005 z dne 12. 12. 2024)</w:t>
      </w:r>
      <w:r w:rsidR="009A0DA1">
        <w:rPr>
          <w:rFonts w:cs="Arial"/>
          <w:szCs w:val="20"/>
        </w:rPr>
        <w:t>,</w:t>
      </w:r>
      <w:r w:rsidR="00F52CEB" w:rsidRPr="0023027E">
        <w:rPr>
          <w:rFonts w:cs="Arial"/>
          <w:szCs w:val="20"/>
        </w:rPr>
        <w:t xml:space="preserve"> </w:t>
      </w:r>
      <w:r w:rsidR="000966FE">
        <w:rPr>
          <w:rFonts w:cs="Arial"/>
          <w:szCs w:val="20"/>
        </w:rPr>
        <w:t>(</w:t>
      </w:r>
      <w:r w:rsidR="00F52CEB" w:rsidRPr="0023027E">
        <w:rPr>
          <w:rFonts w:cs="Arial"/>
          <w:szCs w:val="20"/>
        </w:rPr>
        <w:t>v nadaljnjem besedilu: Uredba 2023/2859/EU). Banka Slovenije informacije iz prejšnjega stavka predloži evropski enotni točki dostopa, vzpostavljeni na podlagi Uredbe 2023/2859/EU.</w:t>
      </w:r>
    </w:p>
    <w:p w14:paraId="20F73E5E" w14:textId="77777777" w:rsidR="000966FE" w:rsidRDefault="000966FE" w:rsidP="00EA7C9A">
      <w:pPr>
        <w:spacing w:afterLines="20" w:after="48"/>
        <w:jc w:val="both"/>
        <w:rPr>
          <w:rFonts w:cs="Arial"/>
          <w:szCs w:val="20"/>
        </w:rPr>
      </w:pPr>
    </w:p>
    <w:p w14:paraId="48204E93" w14:textId="07F61373" w:rsidR="000966FE" w:rsidRDefault="00F52CEB" w:rsidP="00EA7C9A">
      <w:pPr>
        <w:spacing w:afterLines="20" w:after="48"/>
        <w:jc w:val="both"/>
        <w:rPr>
          <w:rFonts w:cs="Arial"/>
          <w:szCs w:val="20"/>
        </w:rPr>
      </w:pPr>
      <w:r w:rsidRPr="0023027E">
        <w:rPr>
          <w:rFonts w:cs="Arial"/>
          <w:szCs w:val="20"/>
        </w:rPr>
        <w:t xml:space="preserve">(6) Informacije iz prejšnjega odstavka </w:t>
      </w:r>
      <w:r w:rsidR="006A1FF3" w:rsidRPr="0023027E">
        <w:rPr>
          <w:rFonts w:cs="Arial"/>
          <w:szCs w:val="20"/>
        </w:rPr>
        <w:t xml:space="preserve">so </w:t>
      </w:r>
      <w:r w:rsidR="006A1FF3">
        <w:rPr>
          <w:rFonts w:cs="Arial"/>
          <w:szCs w:val="20"/>
        </w:rPr>
        <w:t xml:space="preserve">v </w:t>
      </w:r>
      <w:r w:rsidR="006A1FF3" w:rsidRPr="0023027E">
        <w:rPr>
          <w:rFonts w:cs="Arial"/>
          <w:szCs w:val="20"/>
        </w:rPr>
        <w:t>sklad</w:t>
      </w:r>
      <w:r w:rsidR="006A1FF3">
        <w:rPr>
          <w:rFonts w:cs="Arial"/>
          <w:szCs w:val="20"/>
        </w:rPr>
        <w:t>u</w:t>
      </w:r>
      <w:r w:rsidR="006A1FF3" w:rsidRPr="0023027E">
        <w:rPr>
          <w:rFonts w:cs="Arial"/>
          <w:szCs w:val="20"/>
        </w:rPr>
        <w:t xml:space="preserve"> </w:t>
      </w:r>
      <w:r w:rsidR="006A1FF3">
        <w:rPr>
          <w:rFonts w:cs="Arial"/>
          <w:szCs w:val="20"/>
        </w:rPr>
        <w:t>s</w:t>
      </w:r>
      <w:r w:rsidR="006A1FF3" w:rsidRPr="0023027E">
        <w:rPr>
          <w:rFonts w:cs="Arial"/>
          <w:szCs w:val="20"/>
        </w:rPr>
        <w:t xml:space="preserve"> </w:t>
      </w:r>
      <w:r w:rsidR="006A1FF3">
        <w:rPr>
          <w:rFonts w:cs="Arial"/>
          <w:szCs w:val="20"/>
        </w:rPr>
        <w:t>t</w:t>
      </w:r>
      <w:r w:rsidR="006A1FF3" w:rsidRPr="0023027E">
        <w:rPr>
          <w:rFonts w:cs="Arial"/>
          <w:szCs w:val="20"/>
        </w:rPr>
        <w:t>emi zahtevami</w:t>
      </w:r>
      <w:r w:rsidRPr="0023027E">
        <w:rPr>
          <w:rFonts w:cs="Arial"/>
          <w:szCs w:val="20"/>
        </w:rPr>
        <w:t>:</w:t>
      </w:r>
    </w:p>
    <w:p w14:paraId="1A73409C" w14:textId="2519F233" w:rsidR="000966FE" w:rsidRDefault="00F52CEB" w:rsidP="00EA7C9A">
      <w:pPr>
        <w:spacing w:afterLines="20" w:after="48"/>
        <w:jc w:val="both"/>
        <w:rPr>
          <w:rFonts w:cs="Arial"/>
          <w:szCs w:val="20"/>
        </w:rPr>
      </w:pPr>
      <w:r w:rsidRPr="0023027E">
        <w:rPr>
          <w:rFonts w:cs="Arial"/>
          <w:szCs w:val="20"/>
        </w:rPr>
        <w:t xml:space="preserve">1. predložene so v formatu, ki omogoča izvoz podatkov, kakor je opredeljen v 3. točki 2. člena </w:t>
      </w:r>
      <w:r w:rsidR="0065550F" w:rsidRPr="0023027E">
        <w:rPr>
          <w:rFonts w:cs="Arial"/>
          <w:szCs w:val="20"/>
        </w:rPr>
        <w:t>Uredbe 2023/2859/E</w:t>
      </w:r>
      <w:r w:rsidR="0065550F" w:rsidRPr="004C3C23">
        <w:rPr>
          <w:rFonts w:cs="Arial"/>
          <w:szCs w:val="20"/>
        </w:rPr>
        <w:t>U, ali</w:t>
      </w:r>
      <w:r w:rsidR="0065550F" w:rsidRPr="0023027E">
        <w:rPr>
          <w:rFonts w:cs="Arial"/>
          <w:szCs w:val="20"/>
        </w:rPr>
        <w:t xml:space="preserve"> kadar to zahtevajo predpisi, v strojno berljiv</w:t>
      </w:r>
      <w:r w:rsidR="0065550F">
        <w:rPr>
          <w:rFonts w:cs="Arial"/>
          <w:szCs w:val="20"/>
        </w:rPr>
        <w:t>i</w:t>
      </w:r>
      <w:r w:rsidR="0065550F" w:rsidRPr="0023027E">
        <w:rPr>
          <w:rFonts w:cs="Arial"/>
          <w:szCs w:val="20"/>
        </w:rPr>
        <w:t xml:space="preserve"> </w:t>
      </w:r>
      <w:r w:rsidR="0065550F">
        <w:rPr>
          <w:rFonts w:cs="Arial"/>
          <w:szCs w:val="20"/>
        </w:rPr>
        <w:t>obliki</w:t>
      </w:r>
      <w:r w:rsidR="0065550F" w:rsidRPr="0023027E">
        <w:rPr>
          <w:rFonts w:cs="Arial"/>
          <w:szCs w:val="20"/>
        </w:rPr>
        <w:t>, kakor je opredeljen</w:t>
      </w:r>
      <w:r w:rsidR="0065550F">
        <w:rPr>
          <w:rFonts w:cs="Arial"/>
          <w:szCs w:val="20"/>
        </w:rPr>
        <w:t>a</w:t>
      </w:r>
      <w:r w:rsidR="0065550F" w:rsidRPr="0023027E">
        <w:rPr>
          <w:rFonts w:cs="Arial"/>
          <w:szCs w:val="20"/>
        </w:rPr>
        <w:t xml:space="preserve"> v 4. točki 2. člena Uredbe 2023/2859/EU</w:t>
      </w:r>
      <w:r w:rsidRPr="0023027E">
        <w:rPr>
          <w:rFonts w:cs="Arial"/>
          <w:szCs w:val="20"/>
        </w:rPr>
        <w:t xml:space="preserve">; </w:t>
      </w:r>
    </w:p>
    <w:p w14:paraId="52826707" w14:textId="2FCBF85F" w:rsidR="000966FE" w:rsidRDefault="00F52CEB" w:rsidP="00EA7C9A">
      <w:pPr>
        <w:spacing w:afterLines="20" w:after="48"/>
        <w:jc w:val="both"/>
        <w:rPr>
          <w:rFonts w:cs="Arial"/>
          <w:szCs w:val="20"/>
        </w:rPr>
      </w:pPr>
      <w:r w:rsidRPr="0023027E">
        <w:rPr>
          <w:rFonts w:cs="Arial"/>
          <w:szCs w:val="20"/>
        </w:rPr>
        <w:lastRenderedPageBreak/>
        <w:t xml:space="preserve">2. vsebujejo </w:t>
      </w:r>
      <w:r w:rsidR="00F443AF">
        <w:rPr>
          <w:rFonts w:cs="Arial"/>
          <w:szCs w:val="20"/>
        </w:rPr>
        <w:t>te</w:t>
      </w:r>
      <w:r w:rsidRPr="0023027E">
        <w:rPr>
          <w:rFonts w:cs="Arial"/>
          <w:szCs w:val="20"/>
        </w:rPr>
        <w:t xml:space="preserve"> metapodatke:</w:t>
      </w:r>
    </w:p>
    <w:p w14:paraId="6FB766E2" w14:textId="3222F5AD" w:rsidR="000966FE" w:rsidRDefault="00F52CEB" w:rsidP="00EA7C9A">
      <w:pPr>
        <w:pStyle w:val="Odstavekseznama"/>
        <w:numPr>
          <w:ilvl w:val="0"/>
          <w:numId w:val="52"/>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vsa imena izdajatelja, na kater</w:t>
      </w:r>
      <w:r w:rsidR="00541CB3">
        <w:rPr>
          <w:rFonts w:cs="Arial"/>
          <w:szCs w:val="20"/>
        </w:rPr>
        <w:t>ega</w:t>
      </w:r>
      <w:r w:rsidRPr="0023027E">
        <w:rPr>
          <w:rFonts w:cs="Arial"/>
          <w:szCs w:val="20"/>
        </w:rPr>
        <w:t xml:space="preserve"> se informacije nanašajo;</w:t>
      </w:r>
    </w:p>
    <w:p w14:paraId="69F2E928" w14:textId="67A83D59" w:rsidR="000966FE" w:rsidRDefault="00F52CEB" w:rsidP="00EA7C9A">
      <w:pPr>
        <w:pStyle w:val="Odstavekseznama"/>
        <w:numPr>
          <w:ilvl w:val="0"/>
          <w:numId w:val="52"/>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identifikator pravnih subjektov izdajatelja, kakor je določen na podlagi točke </w:t>
      </w:r>
      <w:r w:rsidR="000966FE">
        <w:rPr>
          <w:rFonts w:cs="Arial"/>
          <w:szCs w:val="20"/>
        </w:rPr>
        <w:t xml:space="preserve">(b) </w:t>
      </w:r>
      <w:r w:rsidRPr="0023027E">
        <w:rPr>
          <w:rFonts w:cs="Arial"/>
          <w:szCs w:val="20"/>
        </w:rPr>
        <w:t>četrtega odstavka 7. člena Uredbe 2023/2859/EU;</w:t>
      </w:r>
    </w:p>
    <w:p w14:paraId="26E78384" w14:textId="6DA8C091" w:rsidR="000966FE" w:rsidRDefault="00F52CEB" w:rsidP="00EA7C9A">
      <w:pPr>
        <w:pStyle w:val="Odstavekseznama"/>
        <w:numPr>
          <w:ilvl w:val="0"/>
          <w:numId w:val="52"/>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velikost izdajatelja po kategorijah, </w:t>
      </w:r>
      <w:r w:rsidR="00FB0833">
        <w:rPr>
          <w:rFonts w:cs="Arial"/>
          <w:szCs w:val="20"/>
        </w:rPr>
        <w:t>kakor</w:t>
      </w:r>
      <w:r w:rsidRPr="0023027E">
        <w:rPr>
          <w:rFonts w:cs="Arial"/>
          <w:szCs w:val="20"/>
        </w:rPr>
        <w:t xml:space="preserve"> so določene na podlagi točke </w:t>
      </w:r>
      <w:r w:rsidR="000966FE">
        <w:rPr>
          <w:rFonts w:cs="Arial"/>
          <w:szCs w:val="20"/>
        </w:rPr>
        <w:t>(</w:t>
      </w:r>
      <w:r w:rsidRPr="0023027E">
        <w:rPr>
          <w:rFonts w:cs="Arial"/>
          <w:szCs w:val="20"/>
        </w:rPr>
        <w:t>d) četrtega odstavka 7. člena Uredbe 2023/2859/EU;</w:t>
      </w:r>
    </w:p>
    <w:p w14:paraId="1AAD2C95" w14:textId="7DF06033" w:rsidR="000966FE" w:rsidRDefault="00F52CEB" w:rsidP="00EA7C9A">
      <w:pPr>
        <w:pStyle w:val="Odstavekseznama"/>
        <w:numPr>
          <w:ilvl w:val="0"/>
          <w:numId w:val="52"/>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vrst</w:t>
      </w:r>
      <w:r w:rsidR="00541CB3">
        <w:rPr>
          <w:rFonts w:cs="Arial"/>
          <w:szCs w:val="20"/>
        </w:rPr>
        <w:t>o</w:t>
      </w:r>
      <w:r w:rsidRPr="0023027E">
        <w:rPr>
          <w:rFonts w:cs="Arial"/>
          <w:szCs w:val="20"/>
        </w:rPr>
        <w:t xml:space="preserve"> informacij glede na razvrstitev na podlagi točke </w:t>
      </w:r>
      <w:r w:rsidR="000966FE">
        <w:rPr>
          <w:rFonts w:cs="Arial"/>
          <w:szCs w:val="20"/>
        </w:rPr>
        <w:t>(</w:t>
      </w:r>
      <w:r w:rsidRPr="0023027E">
        <w:rPr>
          <w:rFonts w:cs="Arial"/>
          <w:szCs w:val="20"/>
        </w:rPr>
        <w:t xml:space="preserve">c) četrtega odstavka 7. člena Uredbe 2023/2859/EU; </w:t>
      </w:r>
    </w:p>
    <w:p w14:paraId="00940A81" w14:textId="77777777" w:rsidR="000966FE" w:rsidRDefault="00F52CEB" w:rsidP="00EA7C9A">
      <w:pPr>
        <w:pStyle w:val="Odstavekseznama"/>
        <w:numPr>
          <w:ilvl w:val="0"/>
          <w:numId w:val="52"/>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oznako, ali informacije vsebujejo osebne podatke. </w:t>
      </w:r>
    </w:p>
    <w:p w14:paraId="4A639715" w14:textId="77777777" w:rsidR="000966FE" w:rsidRDefault="000966FE" w:rsidP="00EA7C9A">
      <w:pPr>
        <w:spacing w:afterLines="20" w:after="48"/>
        <w:jc w:val="both"/>
        <w:rPr>
          <w:rFonts w:cs="Arial"/>
          <w:szCs w:val="20"/>
        </w:rPr>
      </w:pPr>
    </w:p>
    <w:p w14:paraId="69A7DE83" w14:textId="35C1D17C" w:rsidR="000966FE" w:rsidRDefault="00F52CEB" w:rsidP="00EA7C9A">
      <w:pPr>
        <w:spacing w:afterLines="20" w:after="48"/>
        <w:jc w:val="both"/>
        <w:rPr>
          <w:rFonts w:cs="Arial"/>
          <w:szCs w:val="20"/>
        </w:rPr>
      </w:pPr>
      <w:r w:rsidRPr="0023027E">
        <w:rPr>
          <w:rFonts w:cs="Arial"/>
          <w:szCs w:val="20"/>
        </w:rPr>
        <w:t xml:space="preserve">(7) Za namene druge alineje 2. točke prejšnjega odstavka izdajatelj pridobi identifikator pravnih subjektov, </w:t>
      </w:r>
      <w:r w:rsidR="0065550F">
        <w:rPr>
          <w:rFonts w:cs="Arial"/>
          <w:szCs w:val="20"/>
        </w:rPr>
        <w:t>kakor</w:t>
      </w:r>
      <w:r w:rsidRPr="0023027E">
        <w:rPr>
          <w:rFonts w:cs="Arial"/>
          <w:szCs w:val="20"/>
        </w:rPr>
        <w:t xml:space="preserve"> je določen na podlagi točke </w:t>
      </w:r>
      <w:r w:rsidR="006C65F4">
        <w:rPr>
          <w:rFonts w:cs="Arial"/>
          <w:szCs w:val="20"/>
        </w:rPr>
        <w:t>(</w:t>
      </w:r>
      <w:r w:rsidRPr="0023027E">
        <w:rPr>
          <w:rFonts w:cs="Arial"/>
          <w:szCs w:val="20"/>
        </w:rPr>
        <w:t xml:space="preserve">b) četrtega odstavka 7. člena Uredbe 2023/2859/EU, če </w:t>
      </w:r>
      <w:r w:rsidR="00F443AF" w:rsidRPr="004C3C23">
        <w:rPr>
          <w:rFonts w:cs="Arial"/>
          <w:szCs w:val="20"/>
        </w:rPr>
        <w:t>tega identifikatorja še nima</w:t>
      </w:r>
      <w:r w:rsidR="00025A74">
        <w:rPr>
          <w:rFonts w:cs="Arial"/>
          <w:szCs w:val="20"/>
        </w:rPr>
        <w:t>.«</w:t>
      </w:r>
      <w:r w:rsidRPr="0023027E">
        <w:rPr>
          <w:rFonts w:cs="Arial"/>
          <w:szCs w:val="20"/>
        </w:rPr>
        <w:t>.</w:t>
      </w:r>
    </w:p>
    <w:p w14:paraId="681043BE" w14:textId="77777777" w:rsidR="000966FE" w:rsidRDefault="00F52CEB" w:rsidP="00EA7C9A">
      <w:pPr>
        <w:spacing w:afterLines="20" w:after="48"/>
        <w:jc w:val="both"/>
        <w:rPr>
          <w:rFonts w:cs="Arial"/>
          <w:szCs w:val="20"/>
        </w:rPr>
      </w:pPr>
      <w:r w:rsidRPr="0023027E">
        <w:rPr>
          <w:rFonts w:cs="Arial"/>
          <w:szCs w:val="20"/>
        </w:rPr>
        <w:t xml:space="preserve"> </w:t>
      </w:r>
    </w:p>
    <w:p w14:paraId="5303CF67"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57" w:name="_Ref206511836"/>
      <w:r w:rsidRPr="0023027E">
        <w:rPr>
          <w:rFonts w:cs="Arial"/>
          <w:b/>
          <w:bCs/>
          <w:szCs w:val="20"/>
        </w:rPr>
        <w:t>člen</w:t>
      </w:r>
      <w:bookmarkEnd w:id="57"/>
    </w:p>
    <w:p w14:paraId="5438742A" w14:textId="77777777" w:rsidR="00F52CEB" w:rsidRPr="0023027E" w:rsidRDefault="00F52CEB" w:rsidP="00EA7C9A">
      <w:pPr>
        <w:spacing w:afterLines="20" w:after="48"/>
        <w:jc w:val="both"/>
        <w:rPr>
          <w:rFonts w:cs="Arial"/>
          <w:szCs w:val="20"/>
        </w:rPr>
      </w:pPr>
    </w:p>
    <w:p w14:paraId="14CD4F9E" w14:textId="77777777" w:rsidR="00F52CEB" w:rsidRPr="0023027E" w:rsidRDefault="00F52CEB" w:rsidP="00EA7C9A">
      <w:pPr>
        <w:spacing w:afterLines="20" w:after="48"/>
        <w:jc w:val="both"/>
        <w:rPr>
          <w:rFonts w:cs="Arial"/>
          <w:szCs w:val="20"/>
        </w:rPr>
      </w:pPr>
      <w:r w:rsidRPr="0023027E">
        <w:rPr>
          <w:rFonts w:cs="Arial"/>
          <w:szCs w:val="20"/>
        </w:rPr>
        <w:t>V 42. členu se za četrtim odstavkom doda novi, peti odstavek, ki se glasi:</w:t>
      </w:r>
    </w:p>
    <w:p w14:paraId="23742A81" w14:textId="77777777" w:rsidR="00F52CEB" w:rsidRPr="0023027E" w:rsidRDefault="00F52CEB" w:rsidP="00EA7C9A">
      <w:pPr>
        <w:spacing w:afterLines="20" w:after="48"/>
        <w:jc w:val="both"/>
        <w:rPr>
          <w:rFonts w:cs="Arial"/>
          <w:szCs w:val="20"/>
        </w:rPr>
      </w:pPr>
    </w:p>
    <w:p w14:paraId="3A8F62FE" w14:textId="1BB6E4AC" w:rsidR="00F52CEB" w:rsidRPr="0023027E" w:rsidRDefault="00F52CEB" w:rsidP="00EA7C9A">
      <w:pPr>
        <w:spacing w:afterLines="20" w:after="48"/>
        <w:jc w:val="both"/>
        <w:rPr>
          <w:rFonts w:cs="Arial"/>
          <w:szCs w:val="20"/>
        </w:rPr>
      </w:pPr>
      <w:r w:rsidRPr="0023027E">
        <w:rPr>
          <w:rFonts w:cs="Arial"/>
          <w:szCs w:val="20"/>
        </w:rPr>
        <w:t>»(5) Banka Slovenije informacije iz tega člena predloži evropsk</w:t>
      </w:r>
      <w:r w:rsidR="00025A74">
        <w:rPr>
          <w:rFonts w:cs="Arial"/>
          <w:szCs w:val="20"/>
        </w:rPr>
        <w:t>i</w:t>
      </w:r>
      <w:r w:rsidRPr="0023027E">
        <w:rPr>
          <w:rFonts w:cs="Arial"/>
          <w:szCs w:val="20"/>
        </w:rPr>
        <w:t xml:space="preserve"> enotn</w:t>
      </w:r>
      <w:r w:rsidR="00025A74">
        <w:rPr>
          <w:rFonts w:cs="Arial"/>
          <w:szCs w:val="20"/>
        </w:rPr>
        <w:t>i</w:t>
      </w:r>
      <w:r w:rsidRPr="0023027E">
        <w:rPr>
          <w:rFonts w:cs="Arial"/>
          <w:szCs w:val="20"/>
        </w:rPr>
        <w:t xml:space="preserve"> točk</w:t>
      </w:r>
      <w:r w:rsidR="00025A74">
        <w:rPr>
          <w:rFonts w:cs="Arial"/>
          <w:szCs w:val="20"/>
        </w:rPr>
        <w:t>i</w:t>
      </w:r>
      <w:r w:rsidRPr="0023027E">
        <w:rPr>
          <w:rFonts w:cs="Arial"/>
          <w:szCs w:val="20"/>
        </w:rPr>
        <w:t xml:space="preserve"> dostopa, vzpostavljen</w:t>
      </w:r>
      <w:r w:rsidR="00025A74">
        <w:rPr>
          <w:rFonts w:cs="Arial"/>
          <w:szCs w:val="20"/>
        </w:rPr>
        <w:t>i</w:t>
      </w:r>
      <w:r w:rsidRPr="0023027E">
        <w:rPr>
          <w:rFonts w:cs="Arial"/>
          <w:szCs w:val="20"/>
        </w:rPr>
        <w:t xml:space="preserve"> na podlagi Uredbe 2023/2859/EU, v formatu, ki omogoča izv</w:t>
      </w:r>
      <w:r w:rsidR="00541CB3">
        <w:rPr>
          <w:rFonts w:cs="Arial"/>
          <w:szCs w:val="20"/>
        </w:rPr>
        <w:t>oz</w:t>
      </w:r>
      <w:r w:rsidRPr="0023027E">
        <w:rPr>
          <w:rFonts w:cs="Arial"/>
          <w:szCs w:val="20"/>
        </w:rPr>
        <w:t xml:space="preserve"> podatkov, kakor je opredeljen v 3. točki 2. člena Uredbe 2023/</w:t>
      </w:r>
      <w:r w:rsidR="00541CB3" w:rsidRPr="0023027E">
        <w:rPr>
          <w:rFonts w:cs="Arial"/>
          <w:szCs w:val="20"/>
        </w:rPr>
        <w:t>2859/</w:t>
      </w:r>
      <w:r w:rsidRPr="0023027E">
        <w:rPr>
          <w:rFonts w:cs="Arial"/>
          <w:szCs w:val="20"/>
        </w:rPr>
        <w:t>EU, in z metapodatki, ki vključujejo:</w:t>
      </w:r>
    </w:p>
    <w:p w14:paraId="29D572BB" w14:textId="53606E17" w:rsidR="000966FE" w:rsidRDefault="00F52CEB" w:rsidP="00EA7C9A">
      <w:pPr>
        <w:pStyle w:val="Odstavekseznama"/>
        <w:numPr>
          <w:ilvl w:val="0"/>
          <w:numId w:val="53"/>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vsa imena izdajatelja, na kater</w:t>
      </w:r>
      <w:r w:rsidR="00541CB3">
        <w:rPr>
          <w:rFonts w:cs="Arial"/>
          <w:szCs w:val="20"/>
        </w:rPr>
        <w:t>ega</w:t>
      </w:r>
      <w:r w:rsidRPr="0023027E">
        <w:rPr>
          <w:rFonts w:cs="Arial"/>
          <w:szCs w:val="20"/>
        </w:rPr>
        <w:t xml:space="preserve"> se informacije nanašajo;</w:t>
      </w:r>
    </w:p>
    <w:p w14:paraId="7C9F3C35" w14:textId="0C804B9E" w:rsidR="000966FE" w:rsidRDefault="00F52CEB" w:rsidP="00EA7C9A">
      <w:pPr>
        <w:pStyle w:val="Odstavekseznama"/>
        <w:numPr>
          <w:ilvl w:val="0"/>
          <w:numId w:val="53"/>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 xml:space="preserve">kadar je na voljo, identifikator pravnih subjektov izdajatelja, </w:t>
      </w:r>
      <w:r w:rsidR="0065550F">
        <w:rPr>
          <w:rFonts w:cs="Arial"/>
          <w:szCs w:val="20"/>
        </w:rPr>
        <w:t>kakor</w:t>
      </w:r>
      <w:r w:rsidRPr="0023027E">
        <w:rPr>
          <w:rFonts w:cs="Arial"/>
          <w:szCs w:val="20"/>
        </w:rPr>
        <w:t xml:space="preserve"> je določen na podlagi točke (b) četrtega odstavka 7. člena Uredbe 2023/2859/EU;</w:t>
      </w:r>
    </w:p>
    <w:p w14:paraId="03D5BA03" w14:textId="77777777" w:rsidR="000966FE" w:rsidRDefault="00F52CEB" w:rsidP="00EA7C9A">
      <w:pPr>
        <w:pStyle w:val="Odstavekseznama"/>
        <w:numPr>
          <w:ilvl w:val="0"/>
          <w:numId w:val="53"/>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vrsto informacij glede na razvrstitev na podlagi točke (c) četrtega odstavka 7. člena Uredbe 2023/2859/EU;</w:t>
      </w:r>
    </w:p>
    <w:p w14:paraId="394DC933" w14:textId="77777777" w:rsidR="000966FE" w:rsidRDefault="00F52CEB" w:rsidP="00EA7C9A">
      <w:pPr>
        <w:pStyle w:val="Odstavekseznama"/>
        <w:numPr>
          <w:ilvl w:val="0"/>
          <w:numId w:val="53"/>
        </w:numPr>
        <w:overflowPunct w:val="0"/>
        <w:autoSpaceDE w:val="0"/>
        <w:autoSpaceDN w:val="0"/>
        <w:adjustRightInd w:val="0"/>
        <w:spacing w:afterLines="20" w:after="48" w:line="240" w:lineRule="auto"/>
        <w:contextualSpacing w:val="0"/>
        <w:jc w:val="both"/>
        <w:textAlignment w:val="baseline"/>
        <w:rPr>
          <w:rFonts w:cs="Arial"/>
          <w:szCs w:val="20"/>
        </w:rPr>
      </w:pPr>
      <w:r w:rsidRPr="0023027E">
        <w:rPr>
          <w:rFonts w:cs="Arial"/>
          <w:szCs w:val="20"/>
        </w:rPr>
        <w:t>oznako, iz katere je razvidno, ali te informacije vsebujejo osebne podatke.«</w:t>
      </w:r>
      <w:r w:rsidR="006C65F4">
        <w:rPr>
          <w:rFonts w:cs="Arial"/>
          <w:szCs w:val="20"/>
        </w:rPr>
        <w:t>.</w:t>
      </w:r>
    </w:p>
    <w:p w14:paraId="782C87A2" w14:textId="77777777" w:rsidR="000966FE" w:rsidRDefault="000966FE" w:rsidP="00EA7C9A">
      <w:pPr>
        <w:spacing w:afterLines="20" w:after="48"/>
        <w:jc w:val="both"/>
        <w:rPr>
          <w:rFonts w:cs="Arial"/>
          <w:szCs w:val="20"/>
        </w:rPr>
      </w:pPr>
    </w:p>
    <w:p w14:paraId="5F5C5772"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58" w:name="_Ref206511847"/>
      <w:r w:rsidRPr="0023027E">
        <w:rPr>
          <w:rFonts w:cs="Arial"/>
          <w:b/>
          <w:bCs/>
          <w:szCs w:val="20"/>
        </w:rPr>
        <w:t>člen</w:t>
      </w:r>
      <w:bookmarkEnd w:id="58"/>
    </w:p>
    <w:p w14:paraId="7493AB85" w14:textId="77777777" w:rsidR="00F52CEB" w:rsidRPr="0023027E" w:rsidRDefault="00F52CEB" w:rsidP="00EA7C9A">
      <w:pPr>
        <w:spacing w:afterLines="20" w:after="48"/>
        <w:jc w:val="both"/>
        <w:rPr>
          <w:rFonts w:cs="Arial"/>
          <w:szCs w:val="20"/>
        </w:rPr>
      </w:pPr>
    </w:p>
    <w:p w14:paraId="6027F7DD" w14:textId="77777777" w:rsidR="00F52CEB" w:rsidRPr="0023027E" w:rsidRDefault="00F52CEB" w:rsidP="00EA7C9A">
      <w:pPr>
        <w:spacing w:afterLines="20" w:after="48"/>
        <w:jc w:val="both"/>
        <w:rPr>
          <w:rFonts w:cs="Arial"/>
          <w:szCs w:val="20"/>
        </w:rPr>
      </w:pPr>
      <w:r w:rsidRPr="0023027E">
        <w:rPr>
          <w:rFonts w:cs="Arial"/>
          <w:szCs w:val="20"/>
        </w:rPr>
        <w:t>V 43. členu se za drugim odstavkom doda novi, tretji odstavek, ki se glasi:</w:t>
      </w:r>
    </w:p>
    <w:p w14:paraId="785CBE83" w14:textId="77777777" w:rsidR="00F52CEB" w:rsidRPr="0023027E" w:rsidRDefault="00F52CEB" w:rsidP="00EA7C9A">
      <w:pPr>
        <w:spacing w:afterLines="20" w:after="48"/>
        <w:jc w:val="both"/>
        <w:rPr>
          <w:rFonts w:cs="Arial"/>
          <w:szCs w:val="20"/>
        </w:rPr>
      </w:pPr>
    </w:p>
    <w:p w14:paraId="190590A4" w14:textId="1520571F" w:rsidR="000966FE" w:rsidRDefault="00F52CEB" w:rsidP="00EA7C9A">
      <w:pPr>
        <w:spacing w:afterLines="20" w:after="48"/>
        <w:jc w:val="both"/>
        <w:rPr>
          <w:rFonts w:cs="Arial"/>
          <w:szCs w:val="20"/>
        </w:rPr>
      </w:pPr>
      <w:r w:rsidRPr="0023027E">
        <w:rPr>
          <w:rFonts w:cs="Arial"/>
          <w:szCs w:val="20"/>
        </w:rPr>
        <w:t>»(3) Banka Slovenije informacije iz druge</w:t>
      </w:r>
      <w:r w:rsidR="00280711" w:rsidRPr="0023027E">
        <w:rPr>
          <w:rFonts w:cs="Arial"/>
          <w:szCs w:val="20"/>
        </w:rPr>
        <w:t xml:space="preserve"> in</w:t>
      </w:r>
      <w:r w:rsidR="00280711">
        <w:rPr>
          <w:rFonts w:cs="Arial"/>
          <w:szCs w:val="20"/>
        </w:rPr>
        <w:t xml:space="preserve"> tretje</w:t>
      </w:r>
      <w:r w:rsidR="00280711" w:rsidRPr="0023027E">
        <w:rPr>
          <w:rFonts w:cs="Arial"/>
          <w:szCs w:val="20"/>
        </w:rPr>
        <w:t xml:space="preserve"> </w:t>
      </w:r>
      <w:r w:rsidRPr="0023027E">
        <w:rPr>
          <w:rFonts w:cs="Arial"/>
          <w:szCs w:val="20"/>
        </w:rPr>
        <w:t>alineje prvega odstavka tega člena predloži evropsk</w:t>
      </w:r>
      <w:r w:rsidR="00025A74">
        <w:rPr>
          <w:rFonts w:cs="Arial"/>
          <w:szCs w:val="20"/>
        </w:rPr>
        <w:t>i</w:t>
      </w:r>
      <w:r w:rsidRPr="0023027E">
        <w:rPr>
          <w:rFonts w:cs="Arial"/>
          <w:szCs w:val="20"/>
        </w:rPr>
        <w:t xml:space="preserve"> enotn</w:t>
      </w:r>
      <w:r w:rsidR="00025A74">
        <w:rPr>
          <w:rFonts w:cs="Arial"/>
          <w:szCs w:val="20"/>
        </w:rPr>
        <w:t>i</w:t>
      </w:r>
      <w:r w:rsidRPr="0023027E">
        <w:rPr>
          <w:rFonts w:cs="Arial"/>
          <w:szCs w:val="20"/>
        </w:rPr>
        <w:t xml:space="preserve"> točk</w:t>
      </w:r>
      <w:r w:rsidR="00025A74">
        <w:rPr>
          <w:rFonts w:cs="Arial"/>
          <w:szCs w:val="20"/>
        </w:rPr>
        <w:t>i</w:t>
      </w:r>
      <w:r w:rsidRPr="0023027E">
        <w:rPr>
          <w:rFonts w:cs="Arial"/>
          <w:szCs w:val="20"/>
        </w:rPr>
        <w:t xml:space="preserve"> dostopa, </w:t>
      </w:r>
      <w:r w:rsidR="00025A74" w:rsidRPr="0023027E">
        <w:rPr>
          <w:rFonts w:cs="Arial"/>
          <w:szCs w:val="20"/>
        </w:rPr>
        <w:t>vzpostavljen</w:t>
      </w:r>
      <w:r w:rsidR="00025A74">
        <w:rPr>
          <w:rFonts w:cs="Arial"/>
          <w:szCs w:val="20"/>
        </w:rPr>
        <w:t>i</w:t>
      </w:r>
      <w:r w:rsidR="00025A74" w:rsidRPr="0023027E">
        <w:rPr>
          <w:rFonts w:cs="Arial"/>
          <w:szCs w:val="20"/>
        </w:rPr>
        <w:t xml:space="preserve"> </w:t>
      </w:r>
      <w:r w:rsidRPr="0023027E">
        <w:rPr>
          <w:rFonts w:cs="Arial"/>
          <w:szCs w:val="20"/>
        </w:rPr>
        <w:t>na podlagi Uredbe 2023/2859/EU</w:t>
      </w:r>
      <w:r w:rsidR="006C65F4">
        <w:rPr>
          <w:rFonts w:cs="Arial"/>
          <w:szCs w:val="20"/>
        </w:rPr>
        <w:t>,</w:t>
      </w:r>
      <w:r w:rsidRPr="0023027E">
        <w:rPr>
          <w:rFonts w:cs="Arial"/>
          <w:szCs w:val="20"/>
        </w:rPr>
        <w:t xml:space="preserve"> v formatu in </w:t>
      </w:r>
      <w:r w:rsidR="00025A74">
        <w:rPr>
          <w:rFonts w:cs="Arial"/>
          <w:szCs w:val="20"/>
        </w:rPr>
        <w:t xml:space="preserve">z </w:t>
      </w:r>
      <w:r w:rsidRPr="0023027E">
        <w:rPr>
          <w:rFonts w:cs="Arial"/>
          <w:szCs w:val="20"/>
        </w:rPr>
        <w:t xml:space="preserve">metapodatki, </w:t>
      </w:r>
      <w:r w:rsidR="0065550F">
        <w:rPr>
          <w:rFonts w:cs="Arial"/>
          <w:szCs w:val="20"/>
        </w:rPr>
        <w:t>kakor</w:t>
      </w:r>
      <w:r w:rsidRPr="0023027E">
        <w:rPr>
          <w:rFonts w:cs="Arial"/>
          <w:szCs w:val="20"/>
        </w:rPr>
        <w:t xml:space="preserve"> je določeno v petem odstavku prejšnjega člena.«</w:t>
      </w:r>
      <w:r w:rsidR="006C65F4">
        <w:rPr>
          <w:rFonts w:cs="Arial"/>
          <w:szCs w:val="20"/>
        </w:rPr>
        <w:t>.</w:t>
      </w:r>
    </w:p>
    <w:p w14:paraId="058AB089" w14:textId="77777777" w:rsidR="000966FE" w:rsidRDefault="000966FE" w:rsidP="00EA7C9A">
      <w:pPr>
        <w:spacing w:afterLines="20" w:after="48"/>
        <w:jc w:val="both"/>
        <w:rPr>
          <w:rFonts w:cs="Arial"/>
          <w:szCs w:val="20"/>
        </w:rPr>
      </w:pPr>
    </w:p>
    <w:p w14:paraId="34A319CA" w14:textId="77777777" w:rsidR="000966FE" w:rsidRDefault="002411BF"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59" w:name="_Ref206578389"/>
      <w:r w:rsidRPr="0023027E">
        <w:rPr>
          <w:rFonts w:cs="Arial"/>
          <w:b/>
          <w:bCs/>
          <w:szCs w:val="20"/>
        </w:rPr>
        <w:t>člen</w:t>
      </w:r>
      <w:bookmarkEnd w:id="59"/>
    </w:p>
    <w:p w14:paraId="70211FB0" w14:textId="77777777" w:rsidR="00F52CEB" w:rsidRPr="0023027E" w:rsidRDefault="00F52CEB" w:rsidP="00EA7C9A">
      <w:pPr>
        <w:spacing w:afterLines="20" w:after="48"/>
        <w:jc w:val="both"/>
        <w:rPr>
          <w:rFonts w:cs="Arial"/>
          <w:szCs w:val="20"/>
        </w:rPr>
      </w:pPr>
    </w:p>
    <w:p w14:paraId="41C9A3D0" w14:textId="77777777" w:rsidR="00F52CEB" w:rsidRPr="0023027E" w:rsidRDefault="00F52CEB" w:rsidP="00EA7C9A">
      <w:pPr>
        <w:spacing w:afterLines="20" w:after="48"/>
        <w:jc w:val="both"/>
        <w:rPr>
          <w:rFonts w:cs="Arial"/>
          <w:szCs w:val="20"/>
        </w:rPr>
      </w:pPr>
      <w:r w:rsidRPr="0023027E">
        <w:rPr>
          <w:rFonts w:cs="Arial"/>
          <w:szCs w:val="20"/>
        </w:rPr>
        <w:t>V 49. členu se v prvem odstavku za 17. točko dodata novi, 17.a in 17.b točka, ki se glasita:</w:t>
      </w:r>
    </w:p>
    <w:p w14:paraId="6F9E4C95" w14:textId="77777777" w:rsidR="00F52CEB" w:rsidRPr="0023027E" w:rsidRDefault="00F52CEB" w:rsidP="00EA7C9A">
      <w:pPr>
        <w:spacing w:afterLines="20" w:after="48"/>
        <w:jc w:val="both"/>
        <w:rPr>
          <w:rFonts w:cs="Arial"/>
          <w:szCs w:val="20"/>
        </w:rPr>
      </w:pPr>
    </w:p>
    <w:p w14:paraId="26ECF128" w14:textId="77777777" w:rsidR="000966FE" w:rsidRDefault="00F52CEB" w:rsidP="00EA7C9A">
      <w:pPr>
        <w:spacing w:afterLines="20" w:after="48"/>
        <w:jc w:val="both"/>
        <w:rPr>
          <w:rFonts w:cs="Arial"/>
          <w:szCs w:val="20"/>
        </w:rPr>
      </w:pPr>
      <w:r w:rsidRPr="0023027E">
        <w:rPr>
          <w:rFonts w:cs="Arial"/>
          <w:szCs w:val="20"/>
        </w:rPr>
        <w:t>»17.a Banki Slovenije ne predloži informacij ali jih ne predloži v predpisani obliki ali ne predloži metapodatkov, kakor je določeno v petem in šestem odstavku 37. člena tega zakona;</w:t>
      </w:r>
    </w:p>
    <w:p w14:paraId="6AEC5D47" w14:textId="77777777" w:rsidR="000966FE" w:rsidRDefault="00F52CEB" w:rsidP="00EA7C9A">
      <w:pPr>
        <w:spacing w:afterLines="20" w:after="48"/>
        <w:jc w:val="both"/>
        <w:rPr>
          <w:rFonts w:cs="Arial"/>
          <w:szCs w:val="20"/>
        </w:rPr>
      </w:pPr>
      <w:r w:rsidRPr="0023027E">
        <w:rPr>
          <w:rFonts w:cs="Arial"/>
          <w:szCs w:val="20"/>
        </w:rPr>
        <w:t>17.b ne pridobi identifikatorja pravnih subjektov v skladu s sedmim odstavkom 37. člena tega zakona;«.</w:t>
      </w:r>
    </w:p>
    <w:p w14:paraId="08C34D28" w14:textId="77777777" w:rsidR="000966FE" w:rsidRDefault="000966FE" w:rsidP="00EA7C9A">
      <w:pPr>
        <w:spacing w:afterLines="20" w:after="48"/>
        <w:jc w:val="both"/>
        <w:rPr>
          <w:rFonts w:cs="Arial"/>
          <w:szCs w:val="20"/>
        </w:rPr>
      </w:pPr>
    </w:p>
    <w:p w14:paraId="47739B6C" w14:textId="034E16C4" w:rsidR="000966FE" w:rsidRDefault="00A36045" w:rsidP="00EA7C9A">
      <w:pPr>
        <w:spacing w:afterLines="20" w:after="48"/>
        <w:jc w:val="both"/>
        <w:rPr>
          <w:rFonts w:cs="Arial"/>
          <w:b/>
          <w:bCs/>
          <w:szCs w:val="20"/>
        </w:rPr>
      </w:pPr>
      <w:r>
        <w:rPr>
          <w:rFonts w:cs="Arial"/>
          <w:b/>
          <w:bCs/>
          <w:szCs w:val="20"/>
        </w:rPr>
        <w:t>9</w:t>
      </w:r>
      <w:r w:rsidR="00F52CEB" w:rsidRPr="0023027E">
        <w:rPr>
          <w:rFonts w:cs="Arial"/>
          <w:b/>
          <w:bCs/>
          <w:szCs w:val="20"/>
        </w:rPr>
        <w:t>. Zakon o izvajanju Uredbe (EU) o dokumentih s ključnimi informacijami o paketnih naložbenih produktih za male vlagatelje in zavarovalnih naložbenih produktih</w:t>
      </w:r>
    </w:p>
    <w:p w14:paraId="391E584D" w14:textId="77777777" w:rsidR="000966FE" w:rsidRDefault="000966FE" w:rsidP="00EA7C9A">
      <w:pPr>
        <w:spacing w:afterLines="20" w:after="48"/>
        <w:jc w:val="both"/>
        <w:rPr>
          <w:rFonts w:cs="Arial"/>
          <w:szCs w:val="20"/>
        </w:rPr>
      </w:pPr>
    </w:p>
    <w:p w14:paraId="5C2E422F" w14:textId="77777777" w:rsidR="000966FE" w:rsidRDefault="007738BF"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60" w:name="_Ref206578727"/>
      <w:r w:rsidRPr="0023027E">
        <w:rPr>
          <w:rFonts w:cs="Arial"/>
          <w:b/>
          <w:bCs/>
          <w:szCs w:val="20"/>
        </w:rPr>
        <w:t>člen</w:t>
      </w:r>
      <w:bookmarkEnd w:id="60"/>
    </w:p>
    <w:p w14:paraId="75ADF876" w14:textId="77777777" w:rsidR="007738BF" w:rsidRPr="0023027E" w:rsidRDefault="007738BF" w:rsidP="00EA7C9A">
      <w:pPr>
        <w:spacing w:afterLines="20" w:after="48"/>
        <w:jc w:val="both"/>
        <w:rPr>
          <w:rFonts w:cs="Arial"/>
          <w:szCs w:val="20"/>
        </w:rPr>
      </w:pPr>
    </w:p>
    <w:p w14:paraId="2E21BC95" w14:textId="07F2394F" w:rsidR="00F52CEB" w:rsidRPr="0023027E" w:rsidRDefault="00F52CEB" w:rsidP="00EA7C9A">
      <w:pPr>
        <w:spacing w:afterLines="20" w:after="48"/>
        <w:jc w:val="both"/>
        <w:rPr>
          <w:rFonts w:cs="Arial"/>
          <w:szCs w:val="20"/>
        </w:rPr>
      </w:pPr>
      <w:r w:rsidRPr="0023027E">
        <w:rPr>
          <w:rFonts w:cs="Arial"/>
          <w:szCs w:val="20"/>
        </w:rPr>
        <w:t>V Zakonu o izvajanju Uredbe (EU) o dokumentih s ključnimi informacijami o paketnih naložbenih produktih za male vlagatelje in zavarovalnih naložbenih produktih (Uradni list RS, št. 30/18) se</w:t>
      </w:r>
      <w:r w:rsidR="00541CB3">
        <w:rPr>
          <w:rFonts w:cs="Arial"/>
          <w:szCs w:val="20"/>
        </w:rPr>
        <w:t xml:space="preserve"> v</w:t>
      </w:r>
      <w:r w:rsidRPr="0023027E">
        <w:rPr>
          <w:rFonts w:cs="Arial"/>
          <w:szCs w:val="20"/>
        </w:rPr>
        <w:t xml:space="preserve"> 1. členu besedilo »Delegirano uredbo Komisije (EU) 2017/653 z dne 8. marca 2017 o dopolnitvi Uredbe (EU) št. 1286/2014 Evropskega parlamenta in Sveta o dokumentih s ključnimi informacijami o paketnih naložbenih produktih za male vlagatelje in zavarovalnih naložbenih produktih (PRIIP) z določitvijo regulativnih tehničnih standardov glede prikaza, vsebine, pregleda in revizije dokumentov s ključnimi informacijami ter pogojev za izpolnitev zahteve po posredovanju takih dokumentov (UL L št. 100 z dne 12. aprila 2017, stran 1)« nadomesti z besedilom »</w:t>
      </w:r>
      <w:bookmarkStart w:id="61" w:name="_Hlk203377906"/>
      <w:r w:rsidRPr="0023027E">
        <w:rPr>
          <w:rFonts w:cs="Arial"/>
          <w:szCs w:val="20"/>
        </w:rPr>
        <w:t>Uredbo (EU) 2023/2869 Evropskega parlamenta in Sveta z dne 13. decembra 2023 o spremembi nekaterih uredb glede vzpostavitve in delovanja evropske enotne točke dostopa (UL L št. 2023/2869 z dne 20. 12. 2023)</w:t>
      </w:r>
      <w:bookmarkEnd w:id="61"/>
      <w:r w:rsidR="00B342DE">
        <w:rPr>
          <w:rFonts w:cs="Arial"/>
          <w:szCs w:val="20"/>
        </w:rPr>
        <w:t>,</w:t>
      </w:r>
      <w:r w:rsidRPr="0023027E">
        <w:rPr>
          <w:rFonts w:cs="Arial"/>
          <w:szCs w:val="20"/>
        </w:rPr>
        <w:t>«.</w:t>
      </w:r>
    </w:p>
    <w:p w14:paraId="5F4C6164" w14:textId="77777777" w:rsidR="00F52CEB" w:rsidRPr="0023027E" w:rsidRDefault="00F52CEB" w:rsidP="00EA7C9A">
      <w:pPr>
        <w:spacing w:afterLines="20" w:after="48"/>
        <w:jc w:val="both"/>
        <w:rPr>
          <w:rFonts w:cs="Arial"/>
          <w:szCs w:val="20"/>
        </w:rPr>
      </w:pPr>
    </w:p>
    <w:p w14:paraId="10411B30"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62" w:name="_Ref206511858"/>
      <w:r w:rsidRPr="0023027E">
        <w:rPr>
          <w:rFonts w:cs="Arial"/>
          <w:b/>
          <w:bCs/>
          <w:szCs w:val="20"/>
        </w:rPr>
        <w:t>člen</w:t>
      </w:r>
      <w:bookmarkEnd w:id="62"/>
    </w:p>
    <w:p w14:paraId="2CBCBC75" w14:textId="77777777" w:rsidR="00F52CEB" w:rsidRPr="0023027E" w:rsidRDefault="00F52CEB" w:rsidP="00EA7C9A">
      <w:pPr>
        <w:spacing w:afterLines="20" w:after="48"/>
        <w:jc w:val="both"/>
        <w:rPr>
          <w:rFonts w:cs="Arial"/>
          <w:szCs w:val="20"/>
        </w:rPr>
      </w:pPr>
    </w:p>
    <w:p w14:paraId="171ABDA5" w14:textId="3B2AAA21" w:rsidR="00587167" w:rsidRPr="0023027E" w:rsidRDefault="00587167" w:rsidP="00587167">
      <w:pPr>
        <w:spacing w:afterLines="20" w:after="48"/>
        <w:jc w:val="both"/>
        <w:rPr>
          <w:rFonts w:cs="Arial"/>
          <w:szCs w:val="20"/>
        </w:rPr>
      </w:pPr>
      <w:r w:rsidRPr="0023027E">
        <w:rPr>
          <w:rFonts w:cs="Arial"/>
          <w:szCs w:val="20"/>
        </w:rPr>
        <w:t xml:space="preserve">Za </w:t>
      </w:r>
      <w:r>
        <w:rPr>
          <w:rFonts w:cs="Arial"/>
          <w:szCs w:val="20"/>
        </w:rPr>
        <w:t>2</w:t>
      </w:r>
      <w:r w:rsidRPr="0023027E">
        <w:rPr>
          <w:rFonts w:cs="Arial"/>
          <w:szCs w:val="20"/>
        </w:rPr>
        <w:t xml:space="preserve">. členom se doda nov, </w:t>
      </w:r>
      <w:r>
        <w:rPr>
          <w:rFonts w:cs="Arial"/>
          <w:szCs w:val="20"/>
        </w:rPr>
        <w:t>2</w:t>
      </w:r>
      <w:r w:rsidRPr="0023027E">
        <w:rPr>
          <w:rFonts w:cs="Arial"/>
          <w:szCs w:val="20"/>
        </w:rPr>
        <w:t>.a člen, ki se glasi:</w:t>
      </w:r>
    </w:p>
    <w:p w14:paraId="77EA0E9F" w14:textId="77777777" w:rsidR="00587167" w:rsidRPr="0023027E" w:rsidRDefault="00587167" w:rsidP="00587167">
      <w:pPr>
        <w:spacing w:afterLines="20" w:after="48"/>
        <w:jc w:val="both"/>
        <w:rPr>
          <w:rFonts w:cs="Arial"/>
          <w:szCs w:val="20"/>
        </w:rPr>
      </w:pPr>
    </w:p>
    <w:p w14:paraId="693FE5FE" w14:textId="2AB2236F" w:rsidR="00587167" w:rsidRPr="00025A74" w:rsidRDefault="00587167" w:rsidP="00587167">
      <w:pPr>
        <w:spacing w:afterLines="20" w:after="48"/>
        <w:jc w:val="center"/>
        <w:rPr>
          <w:rFonts w:cs="Arial"/>
          <w:b/>
          <w:bCs/>
          <w:szCs w:val="20"/>
        </w:rPr>
      </w:pPr>
      <w:r w:rsidRPr="0023027E">
        <w:rPr>
          <w:rFonts w:cs="Arial"/>
          <w:szCs w:val="20"/>
        </w:rPr>
        <w:t>»</w:t>
      </w:r>
      <w:r w:rsidRPr="00025A74">
        <w:rPr>
          <w:rFonts w:cs="Arial"/>
          <w:b/>
          <w:bCs/>
          <w:szCs w:val="20"/>
        </w:rPr>
        <w:t>2.a člen</w:t>
      </w:r>
    </w:p>
    <w:p w14:paraId="53672168" w14:textId="77777777" w:rsidR="00587167" w:rsidRPr="00025A74" w:rsidRDefault="00587167" w:rsidP="00587167">
      <w:pPr>
        <w:spacing w:afterLines="20" w:after="48"/>
        <w:jc w:val="center"/>
        <w:rPr>
          <w:rFonts w:cs="Arial"/>
          <w:b/>
          <w:bCs/>
          <w:szCs w:val="20"/>
        </w:rPr>
      </w:pPr>
      <w:r w:rsidRPr="00025A74">
        <w:rPr>
          <w:rFonts w:cs="Arial"/>
          <w:b/>
          <w:bCs/>
          <w:szCs w:val="20"/>
        </w:rPr>
        <w:t>(organ za zbiranje podatkov)</w:t>
      </w:r>
    </w:p>
    <w:p w14:paraId="2FC2B923" w14:textId="77777777" w:rsidR="00F52CEB" w:rsidRPr="0023027E" w:rsidRDefault="00F52CEB" w:rsidP="00EA7C9A">
      <w:pPr>
        <w:spacing w:afterLines="20" w:after="48"/>
        <w:jc w:val="both"/>
        <w:rPr>
          <w:rFonts w:cs="Arial"/>
          <w:szCs w:val="20"/>
        </w:rPr>
      </w:pPr>
    </w:p>
    <w:p w14:paraId="5C454649" w14:textId="3D0E0FB5" w:rsidR="00F52CEB" w:rsidRPr="0023027E" w:rsidRDefault="00F52CEB" w:rsidP="00EA7C9A">
      <w:pPr>
        <w:spacing w:afterLines="20" w:after="48"/>
        <w:jc w:val="both"/>
        <w:rPr>
          <w:rFonts w:cs="Arial"/>
          <w:szCs w:val="20"/>
        </w:rPr>
      </w:pPr>
      <w:r w:rsidRPr="0023027E">
        <w:rPr>
          <w:rFonts w:cs="Arial"/>
          <w:szCs w:val="20"/>
        </w:rPr>
        <w:t>»Pristojni organ</w:t>
      </w:r>
      <w:r w:rsidR="00587167">
        <w:rPr>
          <w:rFonts w:cs="Arial"/>
          <w:szCs w:val="20"/>
        </w:rPr>
        <w:t>i</w:t>
      </w:r>
      <w:r w:rsidRPr="0023027E">
        <w:rPr>
          <w:rFonts w:cs="Arial"/>
          <w:szCs w:val="20"/>
        </w:rPr>
        <w:t xml:space="preserve"> iz </w:t>
      </w:r>
      <w:r w:rsidR="00C92C64">
        <w:rPr>
          <w:rFonts w:cs="Arial"/>
          <w:szCs w:val="20"/>
        </w:rPr>
        <w:t>prejšnjega</w:t>
      </w:r>
      <w:r w:rsidRPr="0023027E">
        <w:rPr>
          <w:rFonts w:cs="Arial"/>
          <w:szCs w:val="20"/>
        </w:rPr>
        <w:t xml:space="preserve"> člena </w:t>
      </w:r>
      <w:r w:rsidR="00C92C64">
        <w:rPr>
          <w:rFonts w:cs="Arial"/>
          <w:szCs w:val="20"/>
        </w:rPr>
        <w:t>so, vsak v okviru svojih pristojnosti,</w:t>
      </w:r>
      <w:r w:rsidRPr="0023027E">
        <w:rPr>
          <w:rFonts w:cs="Arial"/>
          <w:szCs w:val="20"/>
        </w:rPr>
        <w:t xml:space="preserve"> organ za zbiranje podatkov, </w:t>
      </w:r>
      <w:r w:rsidR="008264E4">
        <w:rPr>
          <w:rFonts w:cs="Arial"/>
          <w:szCs w:val="20"/>
        </w:rPr>
        <w:t>kakor</w:t>
      </w:r>
      <w:r w:rsidRPr="0023027E">
        <w:rPr>
          <w:rFonts w:cs="Arial"/>
          <w:szCs w:val="20"/>
        </w:rPr>
        <w:t xml:space="preserve"> je opredeljen v 2. točki 2. člena </w:t>
      </w:r>
      <w:r w:rsidR="00587167" w:rsidRPr="00587167">
        <w:rPr>
          <w:rFonts w:cs="Arial"/>
          <w:szCs w:val="20"/>
        </w:rPr>
        <w:t xml:space="preserve">Uredbe (EU) 2023/2859 Evropskega parlamenta in Sveta z dne 13. decembra 2023 o vzpostavitvi evropske enotne točke dostopa, ki zagotavlja centraliziran dostop do javno dostopnih informacij, pomembnih za finančne storitve, kapitalske trge in </w:t>
      </w:r>
      <w:proofErr w:type="spellStart"/>
      <w:r w:rsidR="00587167" w:rsidRPr="00587167">
        <w:rPr>
          <w:rFonts w:cs="Arial"/>
          <w:szCs w:val="20"/>
        </w:rPr>
        <w:t>trajnostnost</w:t>
      </w:r>
      <w:proofErr w:type="spellEnd"/>
      <w:r w:rsidR="00587167" w:rsidRPr="00587167">
        <w:rPr>
          <w:rFonts w:cs="Arial"/>
          <w:szCs w:val="20"/>
        </w:rPr>
        <w:t xml:space="preserve"> (UL L št. 2023/2859 z dne 20. 12. 2023), zadnjič spremenjene z Uredbo (EU) 2024/3005 Evropskega parlamenta in Sveta z dne 27. novembra 2024 o preglednosti in celovitosti dejavnosti ocenjevanja </w:t>
      </w:r>
      <w:proofErr w:type="spellStart"/>
      <w:r w:rsidR="00587167" w:rsidRPr="00587167">
        <w:rPr>
          <w:rFonts w:cs="Arial"/>
          <w:szCs w:val="20"/>
        </w:rPr>
        <w:t>okoljskih</w:t>
      </w:r>
      <w:proofErr w:type="spellEnd"/>
      <w:r w:rsidR="00587167" w:rsidRPr="00587167">
        <w:rPr>
          <w:rFonts w:cs="Arial"/>
          <w:szCs w:val="20"/>
        </w:rPr>
        <w:t>, socialnih in upravljavskih (ESG) dejavnikov ter spremembi uredb (EU) 2019/2088</w:t>
      </w:r>
      <w:r w:rsidR="00B732CB" w:rsidRPr="00B732CB">
        <w:rPr>
          <w:rFonts w:eastAsia="Arial" w:cs="Arial"/>
          <w:szCs w:val="20"/>
        </w:rPr>
        <w:t xml:space="preserve"> in (EU) 2023/2859</w:t>
      </w:r>
      <w:r w:rsidR="00587167" w:rsidRPr="00587167">
        <w:rPr>
          <w:rFonts w:cs="Arial"/>
          <w:szCs w:val="20"/>
        </w:rPr>
        <w:t xml:space="preserve"> (UL L št. 2024/3005 z dne 12. 12. 2024), (v nadaljnjem besedilu: Uredba 2023/2859/EU)</w:t>
      </w:r>
      <w:r w:rsidRPr="0023027E">
        <w:rPr>
          <w:rFonts w:cs="Arial"/>
          <w:szCs w:val="20"/>
        </w:rPr>
        <w:t xml:space="preserve">, za informacije v zvezi z dokumentom s ključnimi informacijami iz prvega odstavka 5. člena Uredbe 1286/2014/EU ter zagotavlja, da so te informacije dostopne </w:t>
      </w:r>
      <w:r w:rsidR="002179A5">
        <w:rPr>
          <w:rFonts w:cs="Arial"/>
          <w:szCs w:val="20"/>
        </w:rPr>
        <w:t>na</w:t>
      </w:r>
      <w:r w:rsidRPr="0023027E">
        <w:rPr>
          <w:rFonts w:cs="Arial"/>
          <w:szCs w:val="20"/>
        </w:rPr>
        <w:t xml:space="preserve"> evropski enotni točki dostopa, vzpostavljeni na podlagi prvega odstavka 1. člena Uredbe 2023/2859/EU.«.</w:t>
      </w:r>
    </w:p>
    <w:p w14:paraId="68A63ECD" w14:textId="77777777" w:rsidR="000966FE" w:rsidRDefault="000966FE" w:rsidP="00EA7C9A">
      <w:pPr>
        <w:spacing w:afterLines="20" w:after="48"/>
        <w:jc w:val="both"/>
        <w:rPr>
          <w:rFonts w:cs="Arial"/>
          <w:b/>
          <w:bCs/>
          <w:szCs w:val="20"/>
        </w:rPr>
      </w:pPr>
    </w:p>
    <w:p w14:paraId="4CC427F9" w14:textId="47C07EAF" w:rsidR="000966FE" w:rsidRDefault="00A36045" w:rsidP="00EA7C9A">
      <w:pPr>
        <w:spacing w:afterLines="20" w:after="48"/>
        <w:jc w:val="both"/>
        <w:rPr>
          <w:rFonts w:cs="Arial"/>
          <w:b/>
          <w:bCs/>
          <w:szCs w:val="20"/>
        </w:rPr>
      </w:pPr>
      <w:r w:rsidRPr="0023027E">
        <w:rPr>
          <w:rFonts w:cs="Arial"/>
          <w:b/>
          <w:bCs/>
          <w:szCs w:val="20"/>
        </w:rPr>
        <w:t>1</w:t>
      </w:r>
      <w:r>
        <w:rPr>
          <w:rFonts w:cs="Arial"/>
          <w:b/>
          <w:bCs/>
          <w:szCs w:val="20"/>
        </w:rPr>
        <w:t>0</w:t>
      </w:r>
      <w:r w:rsidR="00F52CEB" w:rsidRPr="0023027E">
        <w:rPr>
          <w:rFonts w:cs="Arial"/>
          <w:b/>
          <w:bCs/>
          <w:szCs w:val="20"/>
        </w:rPr>
        <w:t xml:space="preserve">. Zakon o izvajanju </w:t>
      </w:r>
      <w:r w:rsidR="002D523F">
        <w:rPr>
          <w:rFonts w:cs="Arial"/>
          <w:b/>
          <w:bCs/>
          <w:szCs w:val="20"/>
        </w:rPr>
        <w:t>U</w:t>
      </w:r>
      <w:r w:rsidR="00F52CEB" w:rsidRPr="0023027E">
        <w:rPr>
          <w:rFonts w:cs="Arial"/>
          <w:b/>
          <w:bCs/>
          <w:szCs w:val="20"/>
        </w:rPr>
        <w:t>redbe (EU) o vseevropskem osebnem pokojninskem produktu</w:t>
      </w:r>
    </w:p>
    <w:p w14:paraId="1C3E4BB5" w14:textId="77777777" w:rsidR="000966FE" w:rsidRDefault="000966FE" w:rsidP="00EA7C9A">
      <w:pPr>
        <w:spacing w:afterLines="20" w:after="48"/>
        <w:jc w:val="both"/>
        <w:rPr>
          <w:rFonts w:cs="Arial"/>
          <w:szCs w:val="20"/>
        </w:rPr>
      </w:pPr>
    </w:p>
    <w:p w14:paraId="1CEB26D6"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63" w:name="_Ref206578496"/>
      <w:r w:rsidRPr="0023027E">
        <w:rPr>
          <w:rFonts w:cs="Arial"/>
          <w:b/>
          <w:bCs/>
          <w:szCs w:val="20"/>
        </w:rPr>
        <w:t>člen</w:t>
      </w:r>
      <w:bookmarkEnd w:id="63"/>
    </w:p>
    <w:p w14:paraId="043DAF8B" w14:textId="77777777" w:rsidR="00F52CEB" w:rsidRPr="0023027E" w:rsidRDefault="00F52CEB" w:rsidP="00EA7C9A">
      <w:pPr>
        <w:spacing w:afterLines="20" w:after="48"/>
        <w:jc w:val="both"/>
        <w:rPr>
          <w:rFonts w:cs="Arial"/>
          <w:szCs w:val="20"/>
        </w:rPr>
      </w:pPr>
    </w:p>
    <w:p w14:paraId="4D842C21" w14:textId="70B27C7F" w:rsidR="00F52CEB" w:rsidRPr="0023027E" w:rsidRDefault="00F52CEB" w:rsidP="00EA7C9A">
      <w:pPr>
        <w:spacing w:afterLines="20" w:after="48"/>
        <w:jc w:val="both"/>
        <w:rPr>
          <w:rFonts w:cs="Arial"/>
          <w:szCs w:val="20"/>
        </w:rPr>
      </w:pPr>
      <w:r w:rsidRPr="0023027E">
        <w:rPr>
          <w:rFonts w:cs="Arial"/>
          <w:szCs w:val="20"/>
        </w:rPr>
        <w:t xml:space="preserve">V Zakonu o izvajanju </w:t>
      </w:r>
      <w:r w:rsidR="002D523F">
        <w:rPr>
          <w:rFonts w:cs="Arial"/>
          <w:szCs w:val="20"/>
        </w:rPr>
        <w:t>U</w:t>
      </w:r>
      <w:r w:rsidRPr="0023027E">
        <w:rPr>
          <w:rFonts w:cs="Arial"/>
          <w:szCs w:val="20"/>
        </w:rPr>
        <w:t>redbe (EU) o vseevropskem osebnem pokojninskem produktu (Uradni list RS, št. 28/23) se v 1. členu v 1. točki besedilo »Delegirano uredbo Komisije (EU) 2021/896 z dne 24. februarja 2021 o dopolnitvi Uredbe (EU) 2019/1238 Evropskega parlamenta in Sveta v zvezi z dodatnimi informacijami za namene zbliževanja nadzornega poročanja (UL L št. 197 z dne 4. 6. 2021, str. 5; v nadaljnjem besedilu: Uredba 2019/1238/EU)« nadomesti z besedilom »Uredbo (EU) 2023/2869 Evropskega parlamenta in Sveta z dne 13. decembra 2023 o spremembi nekaterih uredb glede vzpostavitve in delovanja evropske enotne točke dostopa (UL L št. 2023/2869 z dne 20. 12. 2023), (v nadaljnjem besedilu: Uredba 2019/1238/EU)«</w:t>
      </w:r>
      <w:r w:rsidR="002271C1">
        <w:rPr>
          <w:rFonts w:cs="Arial"/>
          <w:szCs w:val="20"/>
        </w:rPr>
        <w:t>.</w:t>
      </w:r>
    </w:p>
    <w:p w14:paraId="629DD683" w14:textId="77777777" w:rsidR="00F52CEB" w:rsidRPr="0023027E" w:rsidRDefault="00F52CEB" w:rsidP="00F52CEB">
      <w:pPr>
        <w:rPr>
          <w:rFonts w:cs="Arial"/>
          <w:szCs w:val="20"/>
        </w:rPr>
      </w:pPr>
    </w:p>
    <w:p w14:paraId="5C3B4857"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64" w:name="_Ref206578512"/>
      <w:r w:rsidRPr="0023027E">
        <w:rPr>
          <w:rFonts w:cs="Arial"/>
          <w:b/>
          <w:bCs/>
          <w:szCs w:val="20"/>
        </w:rPr>
        <w:t>člen</w:t>
      </w:r>
      <w:bookmarkEnd w:id="64"/>
    </w:p>
    <w:p w14:paraId="695308E5" w14:textId="77777777" w:rsidR="000966FE" w:rsidRDefault="000966FE" w:rsidP="00892C49">
      <w:pPr>
        <w:spacing w:afterLines="20" w:after="48"/>
        <w:jc w:val="both"/>
        <w:rPr>
          <w:rFonts w:cs="Arial"/>
          <w:b/>
          <w:bCs/>
          <w:szCs w:val="20"/>
        </w:rPr>
      </w:pPr>
    </w:p>
    <w:p w14:paraId="31892A7C" w14:textId="77777777" w:rsidR="00F52CEB" w:rsidRPr="0023027E" w:rsidRDefault="00F52CEB" w:rsidP="00892C49">
      <w:pPr>
        <w:spacing w:afterLines="20" w:after="48"/>
        <w:jc w:val="both"/>
        <w:rPr>
          <w:rFonts w:cs="Arial"/>
          <w:szCs w:val="20"/>
        </w:rPr>
      </w:pPr>
      <w:r w:rsidRPr="0023027E">
        <w:rPr>
          <w:rFonts w:cs="Arial"/>
          <w:szCs w:val="20"/>
        </w:rPr>
        <w:t>Za 6. členom se doda nov, 6.a člen, ki se glasi:</w:t>
      </w:r>
    </w:p>
    <w:p w14:paraId="762FA319" w14:textId="77777777" w:rsidR="00F52CEB" w:rsidRPr="0023027E" w:rsidRDefault="00F52CEB" w:rsidP="00892C49">
      <w:pPr>
        <w:spacing w:afterLines="20" w:after="48"/>
        <w:jc w:val="both"/>
        <w:rPr>
          <w:rFonts w:cs="Arial"/>
          <w:szCs w:val="20"/>
        </w:rPr>
      </w:pPr>
    </w:p>
    <w:p w14:paraId="1C90DDEF" w14:textId="77777777" w:rsidR="00F52CEB" w:rsidRPr="0043294F" w:rsidRDefault="00F52CEB" w:rsidP="00892C49">
      <w:pPr>
        <w:spacing w:afterLines="20" w:after="48"/>
        <w:jc w:val="center"/>
        <w:rPr>
          <w:rFonts w:cs="Arial"/>
          <w:b/>
          <w:bCs/>
          <w:szCs w:val="20"/>
        </w:rPr>
      </w:pPr>
      <w:r w:rsidRPr="0023027E">
        <w:rPr>
          <w:rFonts w:cs="Arial"/>
          <w:szCs w:val="20"/>
        </w:rPr>
        <w:t>»</w:t>
      </w:r>
      <w:r w:rsidRPr="0043294F">
        <w:rPr>
          <w:rFonts w:cs="Arial"/>
          <w:b/>
          <w:bCs/>
          <w:szCs w:val="20"/>
        </w:rPr>
        <w:t>6.a člen</w:t>
      </w:r>
    </w:p>
    <w:p w14:paraId="7C9EEA5E" w14:textId="77777777" w:rsidR="000966FE" w:rsidRPr="0043294F" w:rsidRDefault="00F52CEB" w:rsidP="00892C49">
      <w:pPr>
        <w:spacing w:afterLines="20" w:after="48"/>
        <w:jc w:val="center"/>
        <w:rPr>
          <w:rFonts w:cs="Arial"/>
          <w:b/>
          <w:bCs/>
          <w:szCs w:val="20"/>
        </w:rPr>
      </w:pPr>
      <w:r w:rsidRPr="0043294F">
        <w:rPr>
          <w:rFonts w:cs="Arial"/>
          <w:b/>
          <w:bCs/>
          <w:szCs w:val="20"/>
        </w:rPr>
        <w:t>(organ za zbiranje podatkov)</w:t>
      </w:r>
    </w:p>
    <w:p w14:paraId="77922277" w14:textId="77777777" w:rsidR="000966FE" w:rsidRDefault="000966FE" w:rsidP="00892C49">
      <w:pPr>
        <w:spacing w:afterLines="20" w:after="48"/>
        <w:jc w:val="both"/>
        <w:rPr>
          <w:rFonts w:cs="Arial"/>
          <w:szCs w:val="20"/>
        </w:rPr>
      </w:pPr>
    </w:p>
    <w:p w14:paraId="3C41150F" w14:textId="587A49BA" w:rsidR="000966FE" w:rsidRDefault="00F52CEB" w:rsidP="00892C49">
      <w:pPr>
        <w:spacing w:afterLines="20" w:after="48"/>
        <w:jc w:val="both"/>
        <w:rPr>
          <w:rFonts w:cs="Arial"/>
          <w:szCs w:val="20"/>
        </w:rPr>
      </w:pPr>
      <w:r w:rsidRPr="0023027E">
        <w:rPr>
          <w:rFonts w:cs="Arial"/>
          <w:szCs w:val="20"/>
        </w:rPr>
        <w:t xml:space="preserve">Agencija je organ za zbiranje podatkov, </w:t>
      </w:r>
      <w:r w:rsidR="008264E4">
        <w:rPr>
          <w:rFonts w:cs="Arial"/>
          <w:szCs w:val="20"/>
        </w:rPr>
        <w:t>kakor</w:t>
      </w:r>
      <w:r w:rsidRPr="0023027E">
        <w:rPr>
          <w:rFonts w:cs="Arial"/>
          <w:szCs w:val="20"/>
        </w:rPr>
        <w:t xml:space="preserve"> je opredeljen v 2. točki 2. člena </w:t>
      </w:r>
      <w:r w:rsidR="00360A64" w:rsidRPr="0023027E">
        <w:rPr>
          <w:rFonts w:cs="Arial"/>
          <w:szCs w:val="20"/>
        </w:rPr>
        <w:t xml:space="preserve">Uredbe (EU) 2023/2859 Evropskega parlamenta in Sveta z dne 13. decembra 2023 o vzpostavitvi evropske enotne točke dostopa, ki zagotavlja centraliziran dostop do javno dostopnih informacij, pomembnih za finančne storitve, kapitalske trge in </w:t>
      </w:r>
      <w:proofErr w:type="spellStart"/>
      <w:r w:rsidR="00360A64" w:rsidRPr="0023027E">
        <w:rPr>
          <w:rFonts w:cs="Arial"/>
          <w:szCs w:val="20"/>
        </w:rPr>
        <w:t>trajnostnost</w:t>
      </w:r>
      <w:proofErr w:type="spellEnd"/>
      <w:r w:rsidR="00360A64" w:rsidRPr="0023027E">
        <w:rPr>
          <w:rFonts w:cs="Arial"/>
          <w:szCs w:val="20"/>
        </w:rPr>
        <w:t xml:space="preserve"> (UL L št. 2023/2859 z dne 20. 12. 2023), zadnjič spremenjen</w:t>
      </w:r>
      <w:r w:rsidR="00360A64">
        <w:rPr>
          <w:rFonts w:cs="Arial"/>
          <w:szCs w:val="20"/>
        </w:rPr>
        <w:t>e</w:t>
      </w:r>
      <w:r w:rsidR="00360A64" w:rsidRPr="0023027E">
        <w:rPr>
          <w:rFonts w:cs="Arial"/>
          <w:szCs w:val="20"/>
        </w:rPr>
        <w:t xml:space="preserve"> z</w:t>
      </w:r>
      <w:r w:rsidR="00360A64" w:rsidRPr="000966FE">
        <w:rPr>
          <w:rFonts w:eastAsia="Arial" w:cs="Arial"/>
          <w:szCs w:val="20"/>
        </w:rPr>
        <w:t xml:space="preserve"> </w:t>
      </w:r>
      <w:r w:rsidR="00360A64" w:rsidRPr="0023027E">
        <w:rPr>
          <w:rFonts w:eastAsia="Arial" w:cs="Arial"/>
          <w:szCs w:val="20"/>
        </w:rPr>
        <w:t xml:space="preserve">Uredbo (EU) 2024/3005 Evropskega parlamenta in Sveta z dne 27. novembra 2024 o preglednosti in celovitosti dejavnosti ocenjevanja </w:t>
      </w:r>
      <w:proofErr w:type="spellStart"/>
      <w:r w:rsidR="00360A64" w:rsidRPr="0023027E">
        <w:rPr>
          <w:rFonts w:eastAsia="Arial" w:cs="Arial"/>
          <w:szCs w:val="20"/>
        </w:rPr>
        <w:t>okoljskih</w:t>
      </w:r>
      <w:proofErr w:type="spellEnd"/>
      <w:r w:rsidR="00360A64" w:rsidRPr="0023027E">
        <w:rPr>
          <w:rFonts w:eastAsia="Arial" w:cs="Arial"/>
          <w:szCs w:val="20"/>
        </w:rPr>
        <w:t>, socialnih in upravljavskih (ESG) dejavnikov ter spremembi uredb (EU) 2019/2088</w:t>
      </w:r>
      <w:r w:rsidR="00B732CB" w:rsidRPr="00B732CB">
        <w:rPr>
          <w:rFonts w:eastAsia="Arial" w:cs="Arial"/>
          <w:szCs w:val="20"/>
        </w:rPr>
        <w:t xml:space="preserve"> in (EU) 2023/2859</w:t>
      </w:r>
      <w:r w:rsidR="00360A64" w:rsidRPr="0023027E">
        <w:rPr>
          <w:rFonts w:eastAsia="Arial" w:cs="Arial"/>
          <w:szCs w:val="20"/>
        </w:rPr>
        <w:t xml:space="preserve"> (UL L št. 2024/3005 z dne 12. 12. 2024)</w:t>
      </w:r>
      <w:r w:rsidR="00360A64">
        <w:rPr>
          <w:rFonts w:cs="Arial"/>
          <w:szCs w:val="20"/>
        </w:rPr>
        <w:t>,</w:t>
      </w:r>
      <w:r w:rsidR="00360A64" w:rsidRPr="0023027E">
        <w:rPr>
          <w:rFonts w:cs="Arial"/>
          <w:szCs w:val="20"/>
        </w:rPr>
        <w:t xml:space="preserve"> </w:t>
      </w:r>
      <w:r w:rsidR="00360A64">
        <w:rPr>
          <w:rFonts w:cs="Arial"/>
          <w:szCs w:val="20"/>
        </w:rPr>
        <w:t>(</w:t>
      </w:r>
      <w:r w:rsidR="00360A64" w:rsidRPr="0023027E">
        <w:rPr>
          <w:rFonts w:cs="Arial"/>
          <w:szCs w:val="20"/>
        </w:rPr>
        <w:t>v nadaljnjem besedilu: Uredba 2023/2859/EU)</w:t>
      </w:r>
      <w:r w:rsidRPr="0023027E">
        <w:rPr>
          <w:rFonts w:cs="Arial"/>
          <w:szCs w:val="20"/>
        </w:rPr>
        <w:t xml:space="preserve">, za informacije iz prvega odstavka 26. člena Uredbe 2019/1238/EU ter zagotavlja, da so te informacije dostopne </w:t>
      </w:r>
      <w:r w:rsidR="002179A5">
        <w:rPr>
          <w:rFonts w:cs="Arial"/>
          <w:szCs w:val="20"/>
        </w:rPr>
        <w:t>na</w:t>
      </w:r>
      <w:r w:rsidRPr="0023027E">
        <w:rPr>
          <w:rFonts w:cs="Arial"/>
          <w:szCs w:val="20"/>
        </w:rPr>
        <w:t xml:space="preserve"> evropski enotni točki dostopa, vzpostavljeni na podlagi prvega odstavka 1. člena Uredbe 2023/2859/EU.«.</w:t>
      </w:r>
    </w:p>
    <w:p w14:paraId="27D1B498" w14:textId="77777777" w:rsidR="000966FE" w:rsidRDefault="000966FE" w:rsidP="00892C49">
      <w:pPr>
        <w:spacing w:afterLines="20" w:after="48"/>
        <w:jc w:val="both"/>
        <w:rPr>
          <w:rFonts w:cs="Arial"/>
          <w:b/>
          <w:bCs/>
          <w:szCs w:val="20"/>
        </w:rPr>
      </w:pPr>
    </w:p>
    <w:p w14:paraId="330A0462" w14:textId="6F13A384" w:rsidR="000966FE" w:rsidRDefault="00A36045" w:rsidP="00892C49">
      <w:pPr>
        <w:spacing w:afterLines="20" w:after="48"/>
        <w:jc w:val="both"/>
        <w:rPr>
          <w:rFonts w:cs="Arial"/>
          <w:b/>
          <w:bCs/>
          <w:szCs w:val="20"/>
        </w:rPr>
      </w:pPr>
      <w:r>
        <w:rPr>
          <w:rFonts w:cs="Arial"/>
          <w:b/>
          <w:bCs/>
          <w:szCs w:val="20"/>
        </w:rPr>
        <w:t>11</w:t>
      </w:r>
      <w:r w:rsidR="00F52CEB" w:rsidRPr="0023027E">
        <w:rPr>
          <w:rFonts w:cs="Arial"/>
          <w:b/>
          <w:bCs/>
          <w:szCs w:val="20"/>
        </w:rPr>
        <w:t xml:space="preserve">. Zakon o izvajanju Uredbe (EU) o trgih </w:t>
      </w:r>
      <w:proofErr w:type="spellStart"/>
      <w:r w:rsidR="00F52CEB" w:rsidRPr="0023027E">
        <w:rPr>
          <w:rFonts w:cs="Arial"/>
          <w:b/>
          <w:bCs/>
          <w:szCs w:val="20"/>
        </w:rPr>
        <w:t>kriptosredstev</w:t>
      </w:r>
      <w:proofErr w:type="spellEnd"/>
    </w:p>
    <w:p w14:paraId="2257034A" w14:textId="77777777" w:rsidR="000966FE" w:rsidRDefault="000966FE" w:rsidP="00892C49">
      <w:pPr>
        <w:spacing w:afterLines="20" w:after="48"/>
        <w:jc w:val="both"/>
        <w:rPr>
          <w:rFonts w:cs="Arial"/>
          <w:b/>
          <w:bCs/>
          <w:szCs w:val="20"/>
        </w:rPr>
      </w:pPr>
    </w:p>
    <w:p w14:paraId="7F25DFA2"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65" w:name="_Ref206578540"/>
      <w:r w:rsidRPr="0023027E">
        <w:rPr>
          <w:rFonts w:cs="Arial"/>
          <w:b/>
          <w:bCs/>
          <w:szCs w:val="20"/>
        </w:rPr>
        <w:t>člen</w:t>
      </w:r>
      <w:bookmarkEnd w:id="65"/>
    </w:p>
    <w:p w14:paraId="6B013B11" w14:textId="77777777" w:rsidR="00F52CEB" w:rsidRPr="0023027E" w:rsidRDefault="00F52CEB" w:rsidP="00892C49">
      <w:pPr>
        <w:spacing w:afterLines="20" w:after="48"/>
        <w:jc w:val="both"/>
        <w:rPr>
          <w:rFonts w:cs="Arial"/>
          <w:szCs w:val="20"/>
        </w:rPr>
      </w:pPr>
    </w:p>
    <w:p w14:paraId="2943E6B3" w14:textId="073821D6" w:rsidR="00F52CEB" w:rsidRPr="0023027E" w:rsidRDefault="00F52CEB" w:rsidP="00892C49">
      <w:pPr>
        <w:spacing w:afterLines="20" w:after="48"/>
        <w:jc w:val="both"/>
        <w:rPr>
          <w:rFonts w:cs="Arial"/>
          <w:szCs w:val="20"/>
        </w:rPr>
      </w:pPr>
      <w:r w:rsidRPr="0023027E">
        <w:rPr>
          <w:rFonts w:cs="Arial"/>
          <w:szCs w:val="20"/>
        </w:rPr>
        <w:t xml:space="preserve">V Zakonu o izvajanju Uredbe (EU) o trgih </w:t>
      </w:r>
      <w:proofErr w:type="spellStart"/>
      <w:r w:rsidRPr="0023027E">
        <w:rPr>
          <w:rFonts w:cs="Arial"/>
          <w:szCs w:val="20"/>
        </w:rPr>
        <w:t>kriptosredstev</w:t>
      </w:r>
      <w:proofErr w:type="spellEnd"/>
      <w:r w:rsidRPr="0023027E">
        <w:rPr>
          <w:rFonts w:cs="Arial"/>
          <w:szCs w:val="20"/>
        </w:rPr>
        <w:t xml:space="preserve"> (Uradni list RS, št. 95/24) se v 1. členu besedilo »Delegirano uredbo Komisije (EU) 2024/1507 z dne 22. februarja 2024 o dopolnitvi Uredbe (EU) 2023/1114 Evropskega parlamenta in Sveta z določitvijo meril in dejavnikov, ki jih morajo Evropski organ za vrednostne papirje in trge, Evropski bančni organ in pristojni organi upoštevati v zvezi s svojimi pristojnostmi za poseganje (UL L št. 2024/1507 z dne 30. 5. 2024)« nadomesti z besedilom »</w:t>
      </w:r>
      <w:bookmarkStart w:id="66" w:name="_Hlk203383393"/>
      <w:r w:rsidR="00F15FAC" w:rsidRPr="00F15FAC">
        <w:rPr>
          <w:rFonts w:cs="Arial"/>
          <w:szCs w:val="20"/>
        </w:rPr>
        <w:t>Uredb</w:t>
      </w:r>
      <w:r w:rsidR="00CD0DAD">
        <w:rPr>
          <w:rFonts w:cs="Arial"/>
          <w:szCs w:val="20"/>
        </w:rPr>
        <w:t>o</w:t>
      </w:r>
      <w:r w:rsidR="00F15FAC" w:rsidRPr="00F15FAC">
        <w:rPr>
          <w:rFonts w:cs="Arial"/>
          <w:szCs w:val="20"/>
        </w:rPr>
        <w:t xml:space="preserve"> (EU) 2023/2869 Evropskega parlamenta in Sveta z dne 13. decembra 2023 o spremembi nekaterih uredb glede vzpostavitve in delovanja evropske enotne točke dostopa</w:t>
      </w:r>
      <w:r w:rsidR="00F15FAC" w:rsidRPr="00F15FAC" w:rsidDel="00F15FAC">
        <w:rPr>
          <w:rFonts w:cs="Arial"/>
          <w:szCs w:val="20"/>
        </w:rPr>
        <w:t xml:space="preserve"> </w:t>
      </w:r>
      <w:r w:rsidRPr="0023027E">
        <w:rPr>
          <w:rFonts w:cs="Arial"/>
          <w:szCs w:val="20"/>
        </w:rPr>
        <w:t xml:space="preserve">(UL L št. </w:t>
      </w:r>
      <w:r w:rsidR="00F15FAC" w:rsidRPr="00F15FAC">
        <w:rPr>
          <w:rFonts w:cs="Arial"/>
          <w:szCs w:val="20"/>
        </w:rPr>
        <w:t>2023/2869</w:t>
      </w:r>
      <w:r w:rsidRPr="0023027E">
        <w:rPr>
          <w:rFonts w:cs="Arial"/>
          <w:szCs w:val="20"/>
        </w:rPr>
        <w:t xml:space="preserve"> z dne </w:t>
      </w:r>
      <w:r w:rsidR="00F15FAC">
        <w:rPr>
          <w:rFonts w:cs="Arial"/>
          <w:szCs w:val="20"/>
        </w:rPr>
        <w:t>20</w:t>
      </w:r>
      <w:r w:rsidRPr="0023027E">
        <w:rPr>
          <w:rFonts w:cs="Arial"/>
          <w:szCs w:val="20"/>
        </w:rPr>
        <w:t xml:space="preserve">. </w:t>
      </w:r>
      <w:r w:rsidR="00F15FAC">
        <w:rPr>
          <w:rFonts w:cs="Arial"/>
          <w:szCs w:val="20"/>
        </w:rPr>
        <w:t>12</w:t>
      </w:r>
      <w:r w:rsidRPr="0023027E">
        <w:rPr>
          <w:rFonts w:cs="Arial"/>
          <w:szCs w:val="20"/>
        </w:rPr>
        <w:t xml:space="preserve">. </w:t>
      </w:r>
      <w:r w:rsidR="007E4CF3" w:rsidRPr="0023027E">
        <w:rPr>
          <w:rFonts w:cs="Arial"/>
          <w:szCs w:val="20"/>
        </w:rPr>
        <w:t>202</w:t>
      </w:r>
      <w:r w:rsidR="007E4CF3">
        <w:rPr>
          <w:rFonts w:cs="Arial"/>
          <w:szCs w:val="20"/>
        </w:rPr>
        <w:t>3</w:t>
      </w:r>
      <w:r w:rsidRPr="0023027E">
        <w:rPr>
          <w:rFonts w:cs="Arial"/>
          <w:szCs w:val="20"/>
        </w:rPr>
        <w:t>)</w:t>
      </w:r>
      <w:bookmarkEnd w:id="66"/>
      <w:r w:rsidRPr="0023027E">
        <w:rPr>
          <w:rFonts w:cs="Arial"/>
          <w:szCs w:val="20"/>
        </w:rPr>
        <w:t>«.</w:t>
      </w:r>
    </w:p>
    <w:p w14:paraId="2CF62DAE" w14:textId="77777777" w:rsidR="00F52CEB" w:rsidRPr="0023027E" w:rsidRDefault="00F52CEB" w:rsidP="00892C49">
      <w:pPr>
        <w:spacing w:afterLines="20" w:after="48"/>
        <w:jc w:val="both"/>
        <w:rPr>
          <w:rFonts w:cs="Arial"/>
          <w:szCs w:val="20"/>
        </w:rPr>
      </w:pPr>
    </w:p>
    <w:p w14:paraId="7B433F14"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67" w:name="_Ref206578553"/>
      <w:r w:rsidRPr="0023027E">
        <w:rPr>
          <w:rFonts w:cs="Arial"/>
          <w:b/>
          <w:bCs/>
          <w:szCs w:val="20"/>
        </w:rPr>
        <w:t>člen</w:t>
      </w:r>
      <w:bookmarkEnd w:id="67"/>
    </w:p>
    <w:p w14:paraId="5DD7DE6C" w14:textId="77777777" w:rsidR="000966FE" w:rsidRDefault="000966FE" w:rsidP="00892C49">
      <w:pPr>
        <w:spacing w:afterLines="20" w:after="48"/>
        <w:jc w:val="both"/>
        <w:rPr>
          <w:rFonts w:cs="Arial"/>
          <w:szCs w:val="20"/>
        </w:rPr>
      </w:pPr>
    </w:p>
    <w:p w14:paraId="3D7CAE53" w14:textId="798D9E65" w:rsidR="000966FE" w:rsidRDefault="00F52CEB" w:rsidP="00892C49">
      <w:pPr>
        <w:spacing w:afterLines="20" w:after="48"/>
        <w:jc w:val="both"/>
        <w:rPr>
          <w:rFonts w:cs="Arial"/>
          <w:szCs w:val="20"/>
        </w:rPr>
      </w:pPr>
      <w:r w:rsidRPr="0023027E">
        <w:rPr>
          <w:rFonts w:cs="Arial"/>
          <w:szCs w:val="20"/>
        </w:rPr>
        <w:t xml:space="preserve">Za </w:t>
      </w:r>
      <w:r w:rsidR="00750F24">
        <w:rPr>
          <w:rFonts w:cs="Arial"/>
          <w:szCs w:val="20"/>
        </w:rPr>
        <w:t>4</w:t>
      </w:r>
      <w:r w:rsidRPr="0023027E">
        <w:rPr>
          <w:rFonts w:cs="Arial"/>
          <w:szCs w:val="20"/>
        </w:rPr>
        <w:t xml:space="preserve">. členom se doda nov, </w:t>
      </w:r>
      <w:r w:rsidR="00750F24">
        <w:rPr>
          <w:rFonts w:cs="Arial"/>
          <w:szCs w:val="20"/>
        </w:rPr>
        <w:t>4</w:t>
      </w:r>
      <w:r w:rsidRPr="0023027E">
        <w:rPr>
          <w:rFonts w:cs="Arial"/>
          <w:szCs w:val="20"/>
        </w:rPr>
        <w:t>.a člen, ki se glasi:</w:t>
      </w:r>
    </w:p>
    <w:p w14:paraId="73387EDD" w14:textId="77777777" w:rsidR="00F52CEB" w:rsidRPr="0023027E" w:rsidRDefault="00F52CEB" w:rsidP="00892C49">
      <w:pPr>
        <w:spacing w:afterLines="20" w:after="48"/>
        <w:jc w:val="both"/>
        <w:rPr>
          <w:rFonts w:cs="Arial"/>
          <w:szCs w:val="20"/>
        </w:rPr>
      </w:pPr>
    </w:p>
    <w:p w14:paraId="5967E6E2" w14:textId="697986C1" w:rsidR="00F52CEB" w:rsidRPr="00CD0DAD" w:rsidRDefault="00F52CEB" w:rsidP="00892C49">
      <w:pPr>
        <w:spacing w:afterLines="20" w:after="48"/>
        <w:jc w:val="center"/>
        <w:rPr>
          <w:rFonts w:cs="Arial"/>
          <w:b/>
          <w:bCs/>
          <w:szCs w:val="20"/>
        </w:rPr>
      </w:pPr>
      <w:r w:rsidRPr="0023027E">
        <w:rPr>
          <w:rFonts w:cs="Arial"/>
          <w:szCs w:val="20"/>
        </w:rPr>
        <w:t>»</w:t>
      </w:r>
      <w:bookmarkStart w:id="68" w:name="_Hlk203383864"/>
      <w:r w:rsidR="00750F24" w:rsidRPr="00CD0DAD">
        <w:rPr>
          <w:rFonts w:cs="Arial"/>
          <w:b/>
          <w:bCs/>
          <w:szCs w:val="20"/>
        </w:rPr>
        <w:t>4</w:t>
      </w:r>
      <w:r w:rsidRPr="00CD0DAD">
        <w:rPr>
          <w:rFonts w:cs="Arial"/>
          <w:b/>
          <w:bCs/>
          <w:szCs w:val="20"/>
        </w:rPr>
        <w:t>.a člen</w:t>
      </w:r>
    </w:p>
    <w:p w14:paraId="02115D06" w14:textId="180BB21A" w:rsidR="000966FE" w:rsidRPr="00CD0DAD" w:rsidRDefault="00F52CEB" w:rsidP="007C0CDF">
      <w:pPr>
        <w:spacing w:afterLines="20" w:after="48"/>
        <w:jc w:val="center"/>
        <w:rPr>
          <w:rFonts w:cs="Arial"/>
          <w:b/>
          <w:bCs/>
          <w:szCs w:val="20"/>
        </w:rPr>
      </w:pPr>
      <w:r w:rsidRPr="00CD0DAD">
        <w:rPr>
          <w:rFonts w:cs="Arial"/>
          <w:b/>
          <w:bCs/>
          <w:szCs w:val="20"/>
        </w:rPr>
        <w:t>(</w:t>
      </w:r>
      <w:r w:rsidR="00750F24" w:rsidRPr="00CD0DAD">
        <w:rPr>
          <w:rFonts w:cs="Arial"/>
          <w:b/>
          <w:bCs/>
          <w:szCs w:val="20"/>
        </w:rPr>
        <w:t xml:space="preserve">pristojna </w:t>
      </w:r>
      <w:r w:rsidRPr="00CD0DAD">
        <w:rPr>
          <w:rFonts w:cs="Arial"/>
          <w:b/>
          <w:bCs/>
          <w:szCs w:val="20"/>
        </w:rPr>
        <w:t>organ</w:t>
      </w:r>
      <w:r w:rsidR="00750F24" w:rsidRPr="00CD0DAD">
        <w:rPr>
          <w:rFonts w:cs="Arial"/>
          <w:b/>
          <w:bCs/>
          <w:szCs w:val="20"/>
        </w:rPr>
        <w:t>a</w:t>
      </w:r>
      <w:r w:rsidRPr="00CD0DAD">
        <w:rPr>
          <w:rFonts w:cs="Arial"/>
          <w:b/>
          <w:bCs/>
          <w:szCs w:val="20"/>
        </w:rPr>
        <w:t xml:space="preserve"> za zbiranje podatkov)</w:t>
      </w:r>
    </w:p>
    <w:p w14:paraId="6F2A5863" w14:textId="77777777" w:rsidR="000966FE" w:rsidRDefault="000966FE" w:rsidP="007C0CDF">
      <w:pPr>
        <w:spacing w:afterLines="20" w:after="48"/>
        <w:jc w:val="both"/>
        <w:rPr>
          <w:rFonts w:cs="Arial"/>
          <w:szCs w:val="20"/>
        </w:rPr>
      </w:pPr>
    </w:p>
    <w:p w14:paraId="468DCA6C" w14:textId="6B231B77" w:rsidR="000966FE" w:rsidRDefault="00F52CEB" w:rsidP="007C0CDF">
      <w:pPr>
        <w:spacing w:afterLines="20" w:after="48"/>
        <w:jc w:val="both"/>
        <w:rPr>
          <w:rFonts w:cs="Arial"/>
          <w:szCs w:val="20"/>
        </w:rPr>
      </w:pPr>
      <w:bookmarkStart w:id="69" w:name="_Hlk203384092"/>
      <w:r w:rsidRPr="0023027E">
        <w:rPr>
          <w:rFonts w:cs="Arial"/>
          <w:szCs w:val="20"/>
        </w:rPr>
        <w:t xml:space="preserve">Agencija in Banka Slovenije sta organ za zbiranje podatkov, </w:t>
      </w:r>
      <w:r w:rsidR="00FB0833">
        <w:rPr>
          <w:rFonts w:cs="Arial"/>
          <w:szCs w:val="20"/>
        </w:rPr>
        <w:t>kakor</w:t>
      </w:r>
      <w:r w:rsidRPr="0023027E">
        <w:rPr>
          <w:rFonts w:cs="Arial"/>
          <w:szCs w:val="20"/>
        </w:rPr>
        <w:t xml:space="preserve"> je opredeljen v 2. točki 2. člena </w:t>
      </w:r>
      <w:r w:rsidR="00360A64" w:rsidRPr="0023027E">
        <w:rPr>
          <w:rFonts w:cs="Arial"/>
          <w:szCs w:val="20"/>
        </w:rPr>
        <w:t xml:space="preserve">Uredbe (EU) 2023/2859 Evropskega parlamenta in Sveta z dne 13. decembra 2023 o vzpostavitvi evropske enotne točke dostopa, ki zagotavlja centraliziran dostop do javno dostopnih informacij, pomembnih za finančne storitve, kapitalske trge in </w:t>
      </w:r>
      <w:proofErr w:type="spellStart"/>
      <w:r w:rsidR="00360A64" w:rsidRPr="0023027E">
        <w:rPr>
          <w:rFonts w:cs="Arial"/>
          <w:szCs w:val="20"/>
        </w:rPr>
        <w:t>trajnostnost</w:t>
      </w:r>
      <w:proofErr w:type="spellEnd"/>
      <w:r w:rsidR="00360A64" w:rsidRPr="0023027E">
        <w:rPr>
          <w:rFonts w:cs="Arial"/>
          <w:szCs w:val="20"/>
        </w:rPr>
        <w:t xml:space="preserve"> (UL L št. 2023/2859 z dne 20. 12. 2023), zadnjič spremenjen</w:t>
      </w:r>
      <w:r w:rsidR="00360A64">
        <w:rPr>
          <w:rFonts w:cs="Arial"/>
          <w:szCs w:val="20"/>
        </w:rPr>
        <w:t>e</w:t>
      </w:r>
      <w:r w:rsidR="00360A64" w:rsidRPr="0023027E">
        <w:rPr>
          <w:rFonts w:cs="Arial"/>
          <w:szCs w:val="20"/>
        </w:rPr>
        <w:t xml:space="preserve"> z</w:t>
      </w:r>
      <w:r w:rsidR="00360A64" w:rsidRPr="000966FE">
        <w:rPr>
          <w:rFonts w:eastAsia="Arial" w:cs="Arial"/>
          <w:szCs w:val="20"/>
        </w:rPr>
        <w:t xml:space="preserve"> </w:t>
      </w:r>
      <w:r w:rsidR="00360A64" w:rsidRPr="0023027E">
        <w:rPr>
          <w:rFonts w:eastAsia="Arial" w:cs="Arial"/>
          <w:szCs w:val="20"/>
        </w:rPr>
        <w:t xml:space="preserve">Uredbo (EU) 2024/3005 Evropskega parlamenta in Sveta z dne 27. novembra 2024 o preglednosti in celovitosti dejavnosti ocenjevanja </w:t>
      </w:r>
      <w:proofErr w:type="spellStart"/>
      <w:r w:rsidR="00360A64" w:rsidRPr="0023027E">
        <w:rPr>
          <w:rFonts w:eastAsia="Arial" w:cs="Arial"/>
          <w:szCs w:val="20"/>
        </w:rPr>
        <w:t>okoljskih</w:t>
      </w:r>
      <w:proofErr w:type="spellEnd"/>
      <w:r w:rsidR="00360A64" w:rsidRPr="0023027E">
        <w:rPr>
          <w:rFonts w:eastAsia="Arial" w:cs="Arial"/>
          <w:szCs w:val="20"/>
        </w:rPr>
        <w:t>, socialnih in upravljavskih (ESG) dejavnikov ter spremembi uredb (EU) 2019/2088</w:t>
      </w:r>
      <w:r w:rsidR="00B732CB" w:rsidRPr="00B732CB">
        <w:rPr>
          <w:rFonts w:eastAsia="Arial" w:cs="Arial"/>
          <w:szCs w:val="20"/>
        </w:rPr>
        <w:t xml:space="preserve"> in (EU) 2023/2859</w:t>
      </w:r>
      <w:r w:rsidR="00360A64" w:rsidRPr="0023027E">
        <w:rPr>
          <w:rFonts w:eastAsia="Arial" w:cs="Arial"/>
          <w:szCs w:val="20"/>
        </w:rPr>
        <w:t xml:space="preserve"> (UL L št. 2024/3005 z dne 12. 12. 2024)</w:t>
      </w:r>
      <w:r w:rsidR="00360A64">
        <w:rPr>
          <w:rFonts w:cs="Arial"/>
          <w:szCs w:val="20"/>
        </w:rPr>
        <w:t>,</w:t>
      </w:r>
      <w:r w:rsidR="00360A64" w:rsidRPr="0023027E">
        <w:rPr>
          <w:rFonts w:cs="Arial"/>
          <w:szCs w:val="20"/>
        </w:rPr>
        <w:t xml:space="preserve"> </w:t>
      </w:r>
      <w:r w:rsidR="00360A64">
        <w:rPr>
          <w:rFonts w:cs="Arial"/>
          <w:szCs w:val="20"/>
        </w:rPr>
        <w:t>(</w:t>
      </w:r>
      <w:r w:rsidR="00360A64" w:rsidRPr="0023027E">
        <w:rPr>
          <w:rFonts w:cs="Arial"/>
          <w:szCs w:val="20"/>
        </w:rPr>
        <w:t>v nadaljnjem besedilu: Uredba 2023/2859/EU)</w:t>
      </w:r>
      <w:r w:rsidRPr="0023027E">
        <w:rPr>
          <w:rFonts w:cs="Arial"/>
          <w:szCs w:val="20"/>
        </w:rPr>
        <w:t xml:space="preserve">, za informacije iz prvega odstavka 88. člena Uredbe 2023/1114/EU ter zagotavljata, da so te informacije </w:t>
      </w:r>
      <w:r w:rsidRPr="0023027E">
        <w:rPr>
          <w:rFonts w:cs="Arial"/>
          <w:szCs w:val="20"/>
        </w:rPr>
        <w:lastRenderedPageBreak/>
        <w:t xml:space="preserve">dostopne </w:t>
      </w:r>
      <w:r w:rsidR="002179A5">
        <w:rPr>
          <w:rFonts w:cs="Arial"/>
          <w:szCs w:val="20"/>
        </w:rPr>
        <w:t>na</w:t>
      </w:r>
      <w:r w:rsidRPr="0023027E">
        <w:rPr>
          <w:rFonts w:cs="Arial"/>
          <w:szCs w:val="20"/>
        </w:rPr>
        <w:t xml:space="preserve"> evropski enotni točki dostopa, vzpostavljeni na podlagi prvega odstavka 1. člena Uredbe 2023/2859/EU.</w:t>
      </w:r>
      <w:bookmarkEnd w:id="69"/>
      <w:r w:rsidRPr="0023027E">
        <w:rPr>
          <w:rFonts w:cs="Arial"/>
          <w:szCs w:val="20"/>
        </w:rPr>
        <w:t>«.</w:t>
      </w:r>
      <w:bookmarkEnd w:id="68"/>
    </w:p>
    <w:p w14:paraId="489B76C3" w14:textId="77777777" w:rsidR="000966FE" w:rsidRDefault="000966FE" w:rsidP="00892C49">
      <w:pPr>
        <w:spacing w:afterLines="20" w:after="48"/>
        <w:jc w:val="both"/>
        <w:rPr>
          <w:rFonts w:cs="Arial"/>
          <w:b/>
          <w:bCs/>
          <w:szCs w:val="20"/>
        </w:rPr>
      </w:pPr>
    </w:p>
    <w:p w14:paraId="0F27F567" w14:textId="51F65587" w:rsidR="000966FE" w:rsidRDefault="00A36045" w:rsidP="00892C49">
      <w:pPr>
        <w:spacing w:afterLines="20" w:after="48"/>
        <w:jc w:val="both"/>
        <w:rPr>
          <w:rFonts w:cs="Arial"/>
          <w:b/>
          <w:bCs/>
          <w:szCs w:val="20"/>
        </w:rPr>
      </w:pPr>
      <w:r>
        <w:rPr>
          <w:rFonts w:cs="Arial"/>
          <w:b/>
          <w:bCs/>
          <w:szCs w:val="20"/>
        </w:rPr>
        <w:t>12</w:t>
      </w:r>
      <w:r w:rsidR="00F52CEB" w:rsidRPr="0023027E">
        <w:rPr>
          <w:rFonts w:cs="Arial"/>
          <w:b/>
          <w:bCs/>
          <w:szCs w:val="20"/>
        </w:rPr>
        <w:t xml:space="preserve">. Zakon o izvajanju Uredbe (EU) o evropskih zelenih obveznicah in neobveznih razkritjih za obveznice, ki se tržijo kot </w:t>
      </w:r>
      <w:proofErr w:type="spellStart"/>
      <w:r w:rsidR="00F52CEB" w:rsidRPr="0023027E">
        <w:rPr>
          <w:rFonts w:cs="Arial"/>
          <w:b/>
          <w:bCs/>
          <w:szCs w:val="20"/>
        </w:rPr>
        <w:t>okoljsko</w:t>
      </w:r>
      <w:proofErr w:type="spellEnd"/>
      <w:r w:rsidR="00F52CEB" w:rsidRPr="0023027E">
        <w:rPr>
          <w:rFonts w:cs="Arial"/>
          <w:b/>
          <w:bCs/>
          <w:szCs w:val="20"/>
        </w:rPr>
        <w:t xml:space="preserve"> trajnostne obveznice, in za obveznice, povezane s </w:t>
      </w:r>
      <w:proofErr w:type="spellStart"/>
      <w:r w:rsidR="00F52CEB" w:rsidRPr="0023027E">
        <w:rPr>
          <w:rFonts w:cs="Arial"/>
          <w:b/>
          <w:bCs/>
          <w:szCs w:val="20"/>
        </w:rPr>
        <w:t>trajnostnostjo</w:t>
      </w:r>
      <w:proofErr w:type="spellEnd"/>
    </w:p>
    <w:p w14:paraId="0AFE2CBD" w14:textId="77777777" w:rsidR="000966FE" w:rsidRDefault="000966FE" w:rsidP="00892C49">
      <w:pPr>
        <w:spacing w:afterLines="20" w:after="48"/>
        <w:jc w:val="both"/>
        <w:rPr>
          <w:rFonts w:cs="Arial"/>
          <w:szCs w:val="20"/>
        </w:rPr>
      </w:pPr>
    </w:p>
    <w:p w14:paraId="54070A9A" w14:textId="77777777" w:rsidR="000966FE" w:rsidRDefault="007738BF"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70" w:name="_Ref206578748"/>
      <w:r w:rsidRPr="0023027E">
        <w:rPr>
          <w:rFonts w:cs="Arial"/>
          <w:b/>
          <w:bCs/>
          <w:szCs w:val="20"/>
        </w:rPr>
        <w:t>člen</w:t>
      </w:r>
      <w:bookmarkEnd w:id="70"/>
    </w:p>
    <w:p w14:paraId="2D2E9BC6" w14:textId="77777777" w:rsidR="007738BF" w:rsidRPr="0023027E" w:rsidRDefault="007738BF" w:rsidP="00892C49">
      <w:pPr>
        <w:spacing w:afterLines="20" w:after="48"/>
        <w:jc w:val="both"/>
        <w:rPr>
          <w:rFonts w:cs="Arial"/>
          <w:szCs w:val="20"/>
        </w:rPr>
      </w:pPr>
    </w:p>
    <w:p w14:paraId="701ACEFF" w14:textId="77777777" w:rsidR="00F52CEB" w:rsidRPr="0023027E" w:rsidRDefault="00F52CEB" w:rsidP="00892C49">
      <w:pPr>
        <w:spacing w:afterLines="20" w:after="48"/>
        <w:jc w:val="both"/>
        <w:rPr>
          <w:rFonts w:cs="Arial"/>
          <w:szCs w:val="20"/>
        </w:rPr>
      </w:pPr>
      <w:r w:rsidRPr="0023027E">
        <w:rPr>
          <w:rFonts w:cs="Arial"/>
          <w:szCs w:val="20"/>
        </w:rPr>
        <w:t xml:space="preserve">V Zakonu o izvajanju Uredbe (EU) o evropskih zelenih obveznicah in neobveznih razkritjih za obveznice, ki se tržijo kot </w:t>
      </w:r>
      <w:proofErr w:type="spellStart"/>
      <w:r w:rsidRPr="0023027E">
        <w:rPr>
          <w:rFonts w:cs="Arial"/>
          <w:szCs w:val="20"/>
        </w:rPr>
        <w:t>okoljsko</w:t>
      </w:r>
      <w:proofErr w:type="spellEnd"/>
      <w:r w:rsidRPr="0023027E">
        <w:rPr>
          <w:rFonts w:cs="Arial"/>
          <w:szCs w:val="20"/>
        </w:rPr>
        <w:t xml:space="preserve"> trajnostne obveznice, in za obveznice, povezane s </w:t>
      </w:r>
      <w:proofErr w:type="spellStart"/>
      <w:r w:rsidRPr="0023027E">
        <w:rPr>
          <w:rFonts w:cs="Arial"/>
          <w:szCs w:val="20"/>
        </w:rPr>
        <w:t>trajnostnostjo</w:t>
      </w:r>
      <w:proofErr w:type="spellEnd"/>
      <w:r w:rsidRPr="0023027E">
        <w:rPr>
          <w:rFonts w:cs="Arial"/>
          <w:szCs w:val="20"/>
        </w:rPr>
        <w:t xml:space="preserve"> (Uradni list RS, št. 24/25) se za 4. členom doda nov, 4.a člen, ki se glasi:</w:t>
      </w:r>
    </w:p>
    <w:p w14:paraId="4F840532" w14:textId="77777777" w:rsidR="000966FE" w:rsidRDefault="000966FE" w:rsidP="00892C49">
      <w:pPr>
        <w:spacing w:afterLines="20" w:after="48"/>
        <w:jc w:val="both"/>
        <w:rPr>
          <w:rFonts w:cs="Arial"/>
          <w:szCs w:val="20"/>
        </w:rPr>
      </w:pPr>
    </w:p>
    <w:p w14:paraId="16C8330C" w14:textId="77777777" w:rsidR="000966FE" w:rsidRPr="00CD0DAD" w:rsidRDefault="00F52CEB" w:rsidP="00892C49">
      <w:pPr>
        <w:spacing w:afterLines="20" w:after="48"/>
        <w:jc w:val="center"/>
        <w:rPr>
          <w:rFonts w:cs="Arial"/>
          <w:b/>
          <w:bCs/>
          <w:szCs w:val="20"/>
        </w:rPr>
      </w:pPr>
      <w:r w:rsidRPr="0023027E">
        <w:rPr>
          <w:rFonts w:cs="Arial"/>
          <w:szCs w:val="20"/>
        </w:rPr>
        <w:t>»</w:t>
      </w:r>
      <w:r w:rsidRPr="00CD0DAD">
        <w:rPr>
          <w:rFonts w:cs="Arial"/>
          <w:b/>
          <w:bCs/>
          <w:szCs w:val="20"/>
        </w:rPr>
        <w:t>4.a člen</w:t>
      </w:r>
    </w:p>
    <w:p w14:paraId="195B0BB5" w14:textId="3CE1A2A3" w:rsidR="000966FE" w:rsidRPr="00CD0DAD" w:rsidRDefault="00F52CEB" w:rsidP="00892C49">
      <w:pPr>
        <w:spacing w:afterLines="20" w:after="48"/>
        <w:jc w:val="center"/>
        <w:rPr>
          <w:rFonts w:cs="Arial"/>
          <w:b/>
          <w:bCs/>
          <w:szCs w:val="20"/>
        </w:rPr>
      </w:pPr>
      <w:r w:rsidRPr="00CD0DAD">
        <w:rPr>
          <w:rFonts w:cs="Arial"/>
          <w:b/>
          <w:bCs/>
          <w:szCs w:val="20"/>
        </w:rPr>
        <w:t>(</w:t>
      </w:r>
      <w:r w:rsidR="001A0F1B" w:rsidRPr="00CD0DAD">
        <w:rPr>
          <w:rFonts w:cs="Arial"/>
          <w:b/>
          <w:bCs/>
          <w:szCs w:val="20"/>
        </w:rPr>
        <w:t xml:space="preserve">pristojni </w:t>
      </w:r>
      <w:r w:rsidRPr="00CD0DAD">
        <w:rPr>
          <w:rFonts w:cs="Arial"/>
          <w:b/>
          <w:bCs/>
          <w:szCs w:val="20"/>
        </w:rPr>
        <w:t>organ za zbiranje podatkov)</w:t>
      </w:r>
    </w:p>
    <w:p w14:paraId="54DCE902" w14:textId="77777777" w:rsidR="000966FE" w:rsidRPr="001A0F1B" w:rsidRDefault="000966FE" w:rsidP="00892C49">
      <w:pPr>
        <w:spacing w:afterLines="20" w:after="48"/>
        <w:jc w:val="both"/>
        <w:rPr>
          <w:rFonts w:cs="Arial"/>
          <w:szCs w:val="20"/>
        </w:rPr>
      </w:pPr>
    </w:p>
    <w:p w14:paraId="39E3CBCB" w14:textId="7615B40E" w:rsidR="000966FE" w:rsidRDefault="00F52CEB" w:rsidP="00892C49">
      <w:pPr>
        <w:spacing w:afterLines="20" w:after="48"/>
        <w:jc w:val="both"/>
        <w:rPr>
          <w:rFonts w:cs="Arial"/>
          <w:szCs w:val="20"/>
        </w:rPr>
      </w:pPr>
      <w:r w:rsidRPr="001A0F1B">
        <w:rPr>
          <w:rFonts w:cs="Arial"/>
          <w:szCs w:val="20"/>
        </w:rPr>
        <w:t xml:space="preserve">Pristojni organ iz 3. člena tega zakona je organ za zbiranje podatkov, </w:t>
      </w:r>
      <w:r w:rsidR="008264E4">
        <w:rPr>
          <w:rFonts w:cs="Arial"/>
          <w:szCs w:val="20"/>
        </w:rPr>
        <w:t>kakor</w:t>
      </w:r>
      <w:r w:rsidRPr="001A0F1B">
        <w:rPr>
          <w:rFonts w:cs="Arial"/>
          <w:szCs w:val="20"/>
        </w:rPr>
        <w:t xml:space="preserve"> je opredeljen v 2. točki 2. člena </w:t>
      </w:r>
      <w:r w:rsidR="00360A64" w:rsidRPr="001A0F1B">
        <w:rPr>
          <w:rFonts w:cs="Arial"/>
          <w:szCs w:val="20"/>
        </w:rPr>
        <w:t xml:space="preserve">Uredbe (EU) 2023/2859 Evropskega parlamenta in Sveta z dne 13. decembra 2023 o vzpostavitvi evropske enotne točke dostopa, ki zagotavlja centraliziran dostop do javno dostopnih informacij, pomembnih za finančne storitve, kapitalske trge in </w:t>
      </w:r>
      <w:proofErr w:type="spellStart"/>
      <w:r w:rsidR="00360A64" w:rsidRPr="001A0F1B">
        <w:rPr>
          <w:rFonts w:cs="Arial"/>
          <w:szCs w:val="20"/>
        </w:rPr>
        <w:t>trajnostnost</w:t>
      </w:r>
      <w:proofErr w:type="spellEnd"/>
      <w:r w:rsidR="00360A64" w:rsidRPr="001A0F1B">
        <w:rPr>
          <w:rFonts w:cs="Arial"/>
          <w:szCs w:val="20"/>
        </w:rPr>
        <w:t xml:space="preserve"> (UL L št. 2023/2859 z dne 20. 12. 2023), zadnjič spremenjene z</w:t>
      </w:r>
      <w:r w:rsidR="00360A64" w:rsidRPr="001A0F1B">
        <w:rPr>
          <w:rFonts w:eastAsia="Arial" w:cs="Arial"/>
          <w:szCs w:val="20"/>
        </w:rPr>
        <w:t xml:space="preserve"> Uredbo (EU) 2024/3005 Evropskega parlamenta in Sveta z dne 27. novembra 2024 o preglednosti in celovitosti dejavnosti ocenjevanja </w:t>
      </w:r>
      <w:proofErr w:type="spellStart"/>
      <w:r w:rsidR="00360A64" w:rsidRPr="001A0F1B">
        <w:rPr>
          <w:rFonts w:eastAsia="Arial" w:cs="Arial"/>
          <w:szCs w:val="20"/>
        </w:rPr>
        <w:t>okoljskih</w:t>
      </w:r>
      <w:proofErr w:type="spellEnd"/>
      <w:r w:rsidR="00360A64" w:rsidRPr="001A0F1B">
        <w:rPr>
          <w:rFonts w:eastAsia="Arial" w:cs="Arial"/>
          <w:szCs w:val="20"/>
        </w:rPr>
        <w:t>, socialnih in upravljavskih (ESG) dejavnikov ter spremembi uredb (EU) 2019/2088</w:t>
      </w:r>
      <w:r w:rsidR="004210A7" w:rsidRPr="004210A7">
        <w:rPr>
          <w:rFonts w:eastAsia="Arial" w:cs="Arial"/>
          <w:szCs w:val="20"/>
        </w:rPr>
        <w:t xml:space="preserve"> </w:t>
      </w:r>
      <w:r w:rsidR="004210A7" w:rsidRPr="00B732CB">
        <w:rPr>
          <w:rFonts w:eastAsia="Arial" w:cs="Arial"/>
          <w:szCs w:val="20"/>
        </w:rPr>
        <w:t>in (EU) 2023/2859</w:t>
      </w:r>
      <w:r w:rsidR="00360A64" w:rsidRPr="001A0F1B">
        <w:rPr>
          <w:rFonts w:eastAsia="Arial" w:cs="Arial"/>
          <w:szCs w:val="20"/>
        </w:rPr>
        <w:t xml:space="preserve"> (UL L št. 2024/3005 z dne 12. 12. 2024)</w:t>
      </w:r>
      <w:r w:rsidR="00360A64" w:rsidRPr="001A0F1B">
        <w:rPr>
          <w:rFonts w:cs="Arial"/>
          <w:szCs w:val="20"/>
        </w:rPr>
        <w:t>, (v nadaljnjem besedilu: Uredba 2023/2859/EU)</w:t>
      </w:r>
      <w:r w:rsidRPr="001A0F1B">
        <w:rPr>
          <w:rFonts w:cs="Arial"/>
          <w:szCs w:val="20"/>
        </w:rPr>
        <w:t xml:space="preserve">, za informacije iz 20. in 21. člena Uredbe 2023/2631/EU ter zagotavlja, da so te informacije dostopne </w:t>
      </w:r>
      <w:r w:rsidR="002179A5">
        <w:rPr>
          <w:rFonts w:cs="Arial"/>
          <w:szCs w:val="20"/>
        </w:rPr>
        <w:t>na</w:t>
      </w:r>
      <w:r w:rsidRPr="001A0F1B">
        <w:rPr>
          <w:rFonts w:cs="Arial"/>
          <w:szCs w:val="20"/>
        </w:rPr>
        <w:t xml:space="preserve"> evropski enotni točki dostopa, vzpostavljeni na podlagi prvega odstavka 1. člena Uredbe 2023/2859/EU.«.</w:t>
      </w:r>
    </w:p>
    <w:p w14:paraId="730DEAF5" w14:textId="77777777" w:rsidR="000966FE" w:rsidRDefault="000966FE" w:rsidP="00892C49">
      <w:pPr>
        <w:spacing w:afterLines="20" w:after="48"/>
        <w:jc w:val="both"/>
        <w:rPr>
          <w:rFonts w:cs="Arial"/>
          <w:szCs w:val="20"/>
        </w:rPr>
      </w:pPr>
    </w:p>
    <w:p w14:paraId="77FBAC64" w14:textId="77777777" w:rsidR="000966FE" w:rsidRDefault="00F52CEB" w:rsidP="00892C49">
      <w:pPr>
        <w:spacing w:afterLines="20" w:after="48"/>
        <w:jc w:val="center"/>
        <w:rPr>
          <w:rFonts w:cs="Arial"/>
          <w:b/>
          <w:bCs/>
          <w:szCs w:val="20"/>
        </w:rPr>
      </w:pPr>
      <w:r w:rsidRPr="0023027E">
        <w:rPr>
          <w:rFonts w:cs="Arial"/>
          <w:b/>
          <w:bCs/>
          <w:szCs w:val="20"/>
        </w:rPr>
        <w:t>TRETJI DEL</w:t>
      </w:r>
    </w:p>
    <w:p w14:paraId="0D116E0B" w14:textId="77777777" w:rsidR="000966FE" w:rsidRDefault="00F52CEB" w:rsidP="00892C49">
      <w:pPr>
        <w:spacing w:afterLines="20" w:after="48"/>
        <w:jc w:val="center"/>
        <w:rPr>
          <w:rFonts w:cs="Arial"/>
          <w:b/>
          <w:bCs/>
          <w:szCs w:val="20"/>
        </w:rPr>
      </w:pPr>
      <w:r w:rsidRPr="0023027E">
        <w:rPr>
          <w:rFonts w:cs="Arial"/>
          <w:b/>
          <w:bCs/>
          <w:szCs w:val="20"/>
        </w:rPr>
        <w:t>KONČNI DOLOČBI</w:t>
      </w:r>
    </w:p>
    <w:p w14:paraId="70B75D42" w14:textId="77777777" w:rsidR="000966FE" w:rsidRDefault="000966FE" w:rsidP="00892C49">
      <w:pPr>
        <w:spacing w:afterLines="20" w:after="48"/>
        <w:jc w:val="both"/>
        <w:rPr>
          <w:rFonts w:cs="Arial"/>
          <w:szCs w:val="20"/>
        </w:rPr>
      </w:pPr>
    </w:p>
    <w:p w14:paraId="45818ED5"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71" w:name="_Ref206511916"/>
      <w:r w:rsidRPr="0023027E">
        <w:rPr>
          <w:rFonts w:cs="Arial"/>
          <w:b/>
          <w:bCs/>
          <w:szCs w:val="20"/>
        </w:rPr>
        <w:t>člen</w:t>
      </w:r>
      <w:bookmarkEnd w:id="71"/>
    </w:p>
    <w:p w14:paraId="165163EA" w14:textId="77777777" w:rsidR="00F52CEB" w:rsidRPr="0023027E" w:rsidRDefault="00F52CEB" w:rsidP="00892C49">
      <w:pPr>
        <w:spacing w:afterLines="20" w:after="48"/>
        <w:jc w:val="center"/>
        <w:rPr>
          <w:rFonts w:cs="Arial"/>
          <w:b/>
          <w:bCs/>
          <w:szCs w:val="20"/>
        </w:rPr>
      </w:pPr>
      <w:r w:rsidRPr="0023027E">
        <w:rPr>
          <w:rFonts w:cs="Arial"/>
          <w:b/>
          <w:bCs/>
          <w:szCs w:val="20"/>
        </w:rPr>
        <w:t>(začetek uporabe posameznih določb)</w:t>
      </w:r>
    </w:p>
    <w:p w14:paraId="0B58BBE6" w14:textId="71FD2BCF" w:rsidR="003A2807" w:rsidRDefault="00D11A21" w:rsidP="00D11A21">
      <w:pPr>
        <w:pStyle w:val="Odstavekseznama"/>
        <w:spacing w:before="240" w:after="240" w:line="259" w:lineRule="auto"/>
        <w:ind w:left="0"/>
        <w:jc w:val="both"/>
        <w:outlineLvl w:val="0"/>
        <w:rPr>
          <w:rFonts w:eastAsiaTheme="majorEastAsia" w:cs="Arial"/>
          <w:bCs/>
          <w:szCs w:val="20"/>
        </w:rPr>
      </w:pPr>
      <w:r w:rsidRPr="0023027E">
        <w:rPr>
          <w:rFonts w:eastAsiaTheme="majorEastAsia" w:cs="Arial"/>
          <w:bCs/>
          <w:szCs w:val="20"/>
        </w:rPr>
        <w:t xml:space="preserve">(1) </w:t>
      </w:r>
      <w:r w:rsidR="003A2807" w:rsidRPr="0023027E">
        <w:rPr>
          <w:rFonts w:eastAsiaTheme="majorEastAsia" w:cs="Arial"/>
          <w:bCs/>
          <w:szCs w:val="20"/>
        </w:rPr>
        <w:t>10. januarja 2028</w:t>
      </w:r>
      <w:r w:rsidR="003A2807">
        <w:rPr>
          <w:rFonts w:eastAsiaTheme="majorEastAsia" w:cs="Arial"/>
          <w:bCs/>
          <w:szCs w:val="20"/>
        </w:rPr>
        <w:t xml:space="preserve"> </w:t>
      </w:r>
      <w:r w:rsidR="003A2807" w:rsidRPr="0023027E">
        <w:rPr>
          <w:rFonts w:eastAsiaTheme="majorEastAsia" w:cs="Arial"/>
          <w:bCs/>
          <w:szCs w:val="20"/>
        </w:rPr>
        <w:t>se začnejo uporabljati</w:t>
      </w:r>
      <w:r w:rsidR="003A2807">
        <w:rPr>
          <w:rFonts w:eastAsiaTheme="majorEastAsia" w:cs="Arial"/>
          <w:bCs/>
          <w:szCs w:val="20"/>
        </w:rPr>
        <w:t>:</w:t>
      </w:r>
      <w:r w:rsidR="003A2807" w:rsidRPr="0023027E">
        <w:rPr>
          <w:rFonts w:eastAsiaTheme="majorEastAsia" w:cs="Arial"/>
          <w:bCs/>
          <w:szCs w:val="20"/>
        </w:rPr>
        <w:t xml:space="preserve"> </w:t>
      </w:r>
    </w:p>
    <w:p w14:paraId="720F860C" w14:textId="39A9871B" w:rsidR="003A2807" w:rsidRDefault="003A2807" w:rsidP="003A2807">
      <w:pPr>
        <w:pStyle w:val="Odstavekseznama"/>
        <w:numPr>
          <w:ilvl w:val="0"/>
          <w:numId w:val="85"/>
        </w:numPr>
        <w:spacing w:before="240" w:after="240" w:line="259" w:lineRule="auto"/>
        <w:jc w:val="both"/>
        <w:outlineLvl w:val="0"/>
        <w:rPr>
          <w:rFonts w:eastAsiaTheme="majorEastAsia" w:cs="Arial"/>
          <w:bCs/>
          <w:szCs w:val="20"/>
        </w:rPr>
      </w:pPr>
      <w:r>
        <w:rPr>
          <w:rFonts w:eastAsiaTheme="majorEastAsia" w:cs="Arial"/>
          <w:bCs/>
          <w:szCs w:val="20"/>
        </w:rPr>
        <w:t>n</w:t>
      </w:r>
      <w:r w:rsidR="00F52CEB" w:rsidRPr="0023027E">
        <w:rPr>
          <w:rFonts w:eastAsiaTheme="majorEastAsia" w:cs="Arial"/>
          <w:bCs/>
          <w:szCs w:val="20"/>
        </w:rPr>
        <w:t xml:space="preserve">ovi 458.a člen ter </w:t>
      </w:r>
      <w:r w:rsidR="00F52CEB" w:rsidRPr="0023027E">
        <w:rPr>
          <w:rFonts w:cs="Arial"/>
          <w:szCs w:val="20"/>
        </w:rPr>
        <w:t>35.a in 35.b točka</w:t>
      </w:r>
      <w:r w:rsidR="00F52CEB" w:rsidRPr="0023027E">
        <w:rPr>
          <w:rFonts w:eastAsiaTheme="majorEastAsia" w:cs="Arial"/>
          <w:bCs/>
          <w:szCs w:val="20"/>
        </w:rPr>
        <w:t xml:space="preserve"> prvega odstavka 512. člena Zakona o investicijskih skladih in družbah za upravljanje ter </w:t>
      </w:r>
    </w:p>
    <w:p w14:paraId="4B72B603" w14:textId="37B0E0C3" w:rsidR="00F52CEB" w:rsidRPr="0023027E" w:rsidRDefault="00F52CEB" w:rsidP="003A2807">
      <w:pPr>
        <w:pStyle w:val="Odstavekseznama"/>
        <w:numPr>
          <w:ilvl w:val="0"/>
          <w:numId w:val="85"/>
        </w:numPr>
        <w:spacing w:before="240" w:after="240" w:line="259" w:lineRule="auto"/>
        <w:jc w:val="both"/>
        <w:outlineLvl w:val="0"/>
        <w:rPr>
          <w:rFonts w:eastAsiaTheme="majorEastAsia" w:cs="Arial"/>
          <w:bCs/>
          <w:szCs w:val="20"/>
        </w:rPr>
      </w:pPr>
      <w:r w:rsidRPr="0023027E">
        <w:rPr>
          <w:rFonts w:eastAsiaTheme="majorEastAsia" w:cs="Arial"/>
          <w:bCs/>
          <w:szCs w:val="20"/>
        </w:rPr>
        <w:t>novi 70.</w:t>
      </w:r>
      <w:r w:rsidR="00434F81">
        <w:rPr>
          <w:rFonts w:eastAsiaTheme="majorEastAsia" w:cs="Arial"/>
          <w:bCs/>
          <w:szCs w:val="20"/>
        </w:rPr>
        <w:t>da</w:t>
      </w:r>
      <w:r w:rsidR="00434F81" w:rsidRPr="0023027E">
        <w:rPr>
          <w:rFonts w:eastAsiaTheme="majorEastAsia" w:cs="Arial"/>
          <w:bCs/>
          <w:szCs w:val="20"/>
        </w:rPr>
        <w:t xml:space="preserve"> </w:t>
      </w:r>
      <w:r w:rsidRPr="0023027E">
        <w:rPr>
          <w:rFonts w:eastAsiaTheme="majorEastAsia" w:cs="Arial"/>
          <w:bCs/>
          <w:szCs w:val="20"/>
        </w:rPr>
        <w:t>člen in nova 12.a točka prvega odstavka 686. člena Zakona o gospodarskih družbah.</w:t>
      </w:r>
    </w:p>
    <w:p w14:paraId="0ABD7F2A" w14:textId="77777777" w:rsidR="00F52CEB" w:rsidRPr="0023027E" w:rsidRDefault="00F52CEB" w:rsidP="00D11A21">
      <w:pPr>
        <w:pStyle w:val="Odstavekseznama"/>
        <w:spacing w:before="240" w:after="240" w:line="259" w:lineRule="auto"/>
        <w:ind w:left="0"/>
        <w:outlineLvl w:val="0"/>
        <w:rPr>
          <w:rFonts w:eastAsiaTheme="majorEastAsia" w:cs="Arial"/>
          <w:bCs/>
          <w:szCs w:val="20"/>
        </w:rPr>
      </w:pPr>
    </w:p>
    <w:p w14:paraId="404774DD" w14:textId="3944B865" w:rsidR="003A2807" w:rsidRDefault="00D11A21" w:rsidP="00D11A21">
      <w:pPr>
        <w:pStyle w:val="Odstavekseznama"/>
        <w:spacing w:before="240" w:after="240" w:line="259" w:lineRule="auto"/>
        <w:ind w:left="0"/>
        <w:jc w:val="both"/>
        <w:outlineLvl w:val="0"/>
        <w:rPr>
          <w:rFonts w:eastAsiaTheme="majorEastAsia" w:cs="Arial"/>
          <w:bCs/>
          <w:szCs w:val="20"/>
          <w:lang w:eastAsia="sl-SI"/>
        </w:rPr>
      </w:pPr>
      <w:r w:rsidRPr="0023027E">
        <w:rPr>
          <w:rFonts w:eastAsiaTheme="majorEastAsia" w:cs="Arial"/>
          <w:bCs/>
          <w:szCs w:val="20"/>
          <w:lang w:eastAsia="sl-SI"/>
        </w:rPr>
        <w:t xml:space="preserve">(2) </w:t>
      </w:r>
      <w:r w:rsidR="003A2807" w:rsidRPr="0023027E">
        <w:rPr>
          <w:rFonts w:eastAsiaTheme="majorEastAsia" w:cs="Arial"/>
          <w:bCs/>
          <w:szCs w:val="20"/>
          <w:lang w:eastAsia="sl-SI"/>
        </w:rPr>
        <w:t>10. januarja 2030</w:t>
      </w:r>
      <w:r w:rsidR="003A2807">
        <w:rPr>
          <w:rFonts w:eastAsiaTheme="majorEastAsia" w:cs="Arial"/>
          <w:bCs/>
          <w:szCs w:val="20"/>
          <w:lang w:eastAsia="sl-SI"/>
        </w:rPr>
        <w:t xml:space="preserve"> </w:t>
      </w:r>
      <w:r w:rsidR="003A2807" w:rsidRPr="0023027E">
        <w:rPr>
          <w:rFonts w:eastAsiaTheme="majorEastAsia" w:cs="Arial"/>
          <w:bCs/>
          <w:szCs w:val="20"/>
          <w:lang w:eastAsia="sl-SI"/>
        </w:rPr>
        <w:t>se začne</w:t>
      </w:r>
      <w:r w:rsidR="003A2807" w:rsidRPr="0023027E">
        <w:rPr>
          <w:rFonts w:eastAsiaTheme="majorEastAsia" w:cs="Arial"/>
          <w:bCs/>
          <w:szCs w:val="20"/>
        </w:rPr>
        <w:t>jo</w:t>
      </w:r>
      <w:r w:rsidR="003A2807" w:rsidRPr="0023027E">
        <w:rPr>
          <w:rFonts w:eastAsiaTheme="majorEastAsia" w:cs="Arial"/>
          <w:bCs/>
          <w:szCs w:val="20"/>
          <w:lang w:eastAsia="sl-SI"/>
        </w:rPr>
        <w:t xml:space="preserve"> uporabljati</w:t>
      </w:r>
      <w:r w:rsidR="003A2807">
        <w:rPr>
          <w:rFonts w:eastAsiaTheme="majorEastAsia" w:cs="Arial"/>
          <w:bCs/>
          <w:szCs w:val="20"/>
          <w:lang w:eastAsia="sl-SI"/>
        </w:rPr>
        <w:t>:</w:t>
      </w:r>
      <w:r w:rsidR="003A2807" w:rsidRPr="0023027E">
        <w:rPr>
          <w:rFonts w:eastAsiaTheme="majorEastAsia" w:cs="Arial"/>
          <w:bCs/>
          <w:szCs w:val="20"/>
          <w:lang w:eastAsia="sl-SI"/>
        </w:rPr>
        <w:t xml:space="preserve"> </w:t>
      </w:r>
    </w:p>
    <w:p w14:paraId="1D61E9D2" w14:textId="7C59F00E" w:rsidR="003A2807" w:rsidRDefault="00F52CEB" w:rsidP="00C77534">
      <w:pPr>
        <w:pStyle w:val="Odstavekseznama"/>
        <w:numPr>
          <w:ilvl w:val="0"/>
          <w:numId w:val="86"/>
        </w:numPr>
        <w:spacing w:before="240" w:after="240" w:line="259" w:lineRule="auto"/>
        <w:jc w:val="both"/>
        <w:outlineLvl w:val="0"/>
        <w:rPr>
          <w:rFonts w:eastAsiaTheme="majorEastAsia" w:cs="Arial"/>
          <w:bCs/>
          <w:szCs w:val="20"/>
          <w:lang w:eastAsia="sl-SI"/>
        </w:rPr>
      </w:pPr>
      <w:r w:rsidRPr="0023027E">
        <w:rPr>
          <w:rFonts w:eastAsiaTheme="majorEastAsia" w:cs="Arial"/>
          <w:bCs/>
          <w:szCs w:val="20"/>
          <w:lang w:eastAsia="sl-SI"/>
        </w:rPr>
        <w:t>2. člen tega zakona</w:t>
      </w:r>
      <w:r w:rsidR="003A2807">
        <w:rPr>
          <w:rFonts w:eastAsiaTheme="majorEastAsia" w:cs="Arial"/>
          <w:bCs/>
          <w:szCs w:val="20"/>
          <w:lang w:eastAsia="sl-SI"/>
        </w:rPr>
        <w:t>;</w:t>
      </w:r>
      <w:r w:rsidRPr="0023027E">
        <w:rPr>
          <w:rFonts w:eastAsiaTheme="majorEastAsia" w:cs="Arial"/>
          <w:bCs/>
          <w:szCs w:val="20"/>
          <w:lang w:eastAsia="sl-SI"/>
        </w:rPr>
        <w:t xml:space="preserve"> </w:t>
      </w:r>
    </w:p>
    <w:p w14:paraId="46583D81" w14:textId="35F8E505" w:rsidR="003A2807" w:rsidRDefault="00F52CEB" w:rsidP="00C77534">
      <w:pPr>
        <w:pStyle w:val="Odstavekseznama"/>
        <w:numPr>
          <w:ilvl w:val="0"/>
          <w:numId w:val="86"/>
        </w:numPr>
        <w:spacing w:before="240" w:after="240" w:line="259" w:lineRule="auto"/>
        <w:jc w:val="both"/>
        <w:outlineLvl w:val="0"/>
        <w:rPr>
          <w:rFonts w:eastAsiaTheme="majorEastAsia" w:cs="Arial"/>
          <w:bCs/>
          <w:szCs w:val="20"/>
          <w:lang w:eastAsia="sl-SI"/>
        </w:rPr>
      </w:pPr>
      <w:r w:rsidRPr="0023027E">
        <w:rPr>
          <w:rFonts w:eastAsiaTheme="majorEastAsia" w:cs="Arial"/>
          <w:bCs/>
          <w:szCs w:val="20"/>
          <w:lang w:eastAsia="sl-SI"/>
        </w:rPr>
        <w:t>novi 34.a člen ter novi 4. in 5. točka prvega odstavka 55. člena Zakona o finančnih konglomeratih</w:t>
      </w:r>
      <w:r w:rsidR="003A2807">
        <w:rPr>
          <w:rFonts w:eastAsiaTheme="majorEastAsia" w:cs="Arial"/>
          <w:bCs/>
          <w:szCs w:val="20"/>
          <w:lang w:eastAsia="sl-SI"/>
        </w:rPr>
        <w:t>;</w:t>
      </w:r>
      <w:r w:rsidRPr="0023027E">
        <w:rPr>
          <w:rFonts w:eastAsiaTheme="majorEastAsia" w:cs="Arial"/>
          <w:bCs/>
          <w:szCs w:val="20"/>
          <w:lang w:eastAsia="sl-SI"/>
        </w:rPr>
        <w:t xml:space="preserve"> </w:t>
      </w:r>
    </w:p>
    <w:p w14:paraId="359D8671" w14:textId="203D7360" w:rsidR="003A2807" w:rsidRDefault="00F52CEB" w:rsidP="00C77534">
      <w:pPr>
        <w:pStyle w:val="Odstavekseznama"/>
        <w:numPr>
          <w:ilvl w:val="0"/>
          <w:numId w:val="86"/>
        </w:numPr>
        <w:spacing w:before="240" w:after="240" w:line="259" w:lineRule="auto"/>
        <w:jc w:val="both"/>
        <w:outlineLvl w:val="0"/>
        <w:rPr>
          <w:rFonts w:eastAsiaTheme="majorEastAsia" w:cs="Arial"/>
          <w:bCs/>
          <w:szCs w:val="20"/>
          <w:lang w:eastAsia="sl-SI"/>
        </w:rPr>
      </w:pPr>
      <w:r w:rsidRPr="0023027E">
        <w:rPr>
          <w:rFonts w:eastAsiaTheme="majorEastAsia" w:cs="Arial"/>
          <w:bCs/>
          <w:szCs w:val="20"/>
          <w:lang w:eastAsia="sl-SI"/>
        </w:rPr>
        <w:t>novi 9.a člen</w:t>
      </w:r>
      <w:r w:rsidR="00557C4D">
        <w:rPr>
          <w:rFonts w:eastAsiaTheme="majorEastAsia" w:cs="Arial"/>
          <w:bCs/>
          <w:szCs w:val="20"/>
          <w:lang w:eastAsia="sl-SI"/>
        </w:rPr>
        <w:t>, novi peti odstavek 17. člena</w:t>
      </w:r>
      <w:r w:rsidRPr="0023027E">
        <w:rPr>
          <w:rFonts w:eastAsiaTheme="majorEastAsia" w:cs="Arial"/>
          <w:bCs/>
          <w:szCs w:val="20"/>
          <w:lang w:eastAsia="sl-SI"/>
        </w:rPr>
        <w:t xml:space="preserve"> ter novi 3. in 4. alineja prvega odstavka 72. člena Zakona o prevzemih</w:t>
      </w:r>
      <w:r w:rsidR="003A2807">
        <w:rPr>
          <w:rFonts w:eastAsiaTheme="majorEastAsia" w:cs="Arial"/>
          <w:bCs/>
          <w:szCs w:val="20"/>
          <w:lang w:eastAsia="sl-SI"/>
        </w:rPr>
        <w:t>;</w:t>
      </w:r>
      <w:r w:rsidRPr="0023027E">
        <w:rPr>
          <w:rFonts w:eastAsiaTheme="majorEastAsia" w:cs="Arial"/>
          <w:bCs/>
          <w:szCs w:val="20"/>
          <w:lang w:eastAsia="sl-SI"/>
        </w:rPr>
        <w:t xml:space="preserve"> </w:t>
      </w:r>
    </w:p>
    <w:p w14:paraId="0EDB37DF" w14:textId="207D74FB" w:rsidR="003A2807" w:rsidRDefault="00F52CEB" w:rsidP="00C77534">
      <w:pPr>
        <w:pStyle w:val="Odstavekseznama"/>
        <w:numPr>
          <w:ilvl w:val="0"/>
          <w:numId w:val="86"/>
        </w:numPr>
        <w:spacing w:before="240" w:after="240" w:line="259" w:lineRule="auto"/>
        <w:jc w:val="both"/>
        <w:outlineLvl w:val="0"/>
        <w:rPr>
          <w:rFonts w:eastAsiaTheme="majorEastAsia" w:cs="Arial"/>
          <w:bCs/>
          <w:szCs w:val="20"/>
          <w:lang w:eastAsia="sl-SI"/>
        </w:rPr>
      </w:pPr>
      <w:r w:rsidRPr="0023027E">
        <w:rPr>
          <w:rFonts w:eastAsiaTheme="majorEastAsia" w:cs="Arial"/>
          <w:bCs/>
          <w:szCs w:val="20"/>
          <w:lang w:eastAsia="sl-SI"/>
        </w:rPr>
        <w:t>novi 36.a člen in dopolnitev 79. člena Zakona o revidiranju</w:t>
      </w:r>
      <w:r w:rsidR="003A2807">
        <w:rPr>
          <w:rFonts w:eastAsiaTheme="majorEastAsia" w:cs="Arial"/>
          <w:bCs/>
          <w:szCs w:val="20"/>
          <w:lang w:eastAsia="sl-SI"/>
        </w:rPr>
        <w:t>;</w:t>
      </w:r>
      <w:r w:rsidRPr="0023027E">
        <w:rPr>
          <w:rFonts w:eastAsiaTheme="majorEastAsia" w:cs="Arial"/>
          <w:bCs/>
          <w:szCs w:val="20"/>
          <w:lang w:eastAsia="sl-SI"/>
        </w:rPr>
        <w:t xml:space="preserve"> </w:t>
      </w:r>
    </w:p>
    <w:p w14:paraId="27566266" w14:textId="1A1C81BF" w:rsidR="003A2807" w:rsidRDefault="00F52CEB" w:rsidP="00C77534">
      <w:pPr>
        <w:pStyle w:val="Odstavekseznama"/>
        <w:numPr>
          <w:ilvl w:val="0"/>
          <w:numId w:val="86"/>
        </w:numPr>
        <w:spacing w:before="240" w:after="240" w:line="259" w:lineRule="auto"/>
        <w:jc w:val="both"/>
        <w:outlineLvl w:val="0"/>
        <w:rPr>
          <w:rFonts w:eastAsiaTheme="majorEastAsia" w:cs="Arial"/>
          <w:bCs/>
          <w:szCs w:val="20"/>
          <w:lang w:eastAsia="sl-SI"/>
        </w:rPr>
      </w:pPr>
      <w:r w:rsidRPr="0023027E">
        <w:rPr>
          <w:rFonts w:eastAsiaTheme="majorEastAsia" w:cs="Arial"/>
          <w:bCs/>
          <w:szCs w:val="20"/>
          <w:lang w:eastAsia="sl-SI"/>
        </w:rPr>
        <w:t>novi 317.d člen in nova 33.a točka prvega odstavka 686. člena Zakona o gospodarskih družbah</w:t>
      </w:r>
      <w:r w:rsidR="003A2807">
        <w:rPr>
          <w:rFonts w:eastAsiaTheme="majorEastAsia" w:cs="Arial"/>
          <w:bCs/>
          <w:szCs w:val="20"/>
          <w:lang w:eastAsia="sl-SI"/>
        </w:rPr>
        <w:t>;</w:t>
      </w:r>
    </w:p>
    <w:p w14:paraId="132CD1BF" w14:textId="1117A80A" w:rsidR="003A2807" w:rsidRDefault="00F52CEB" w:rsidP="00C77534">
      <w:pPr>
        <w:pStyle w:val="Odstavekseznama"/>
        <w:numPr>
          <w:ilvl w:val="0"/>
          <w:numId w:val="86"/>
        </w:numPr>
        <w:spacing w:before="240" w:after="240" w:line="259" w:lineRule="auto"/>
        <w:jc w:val="both"/>
        <w:outlineLvl w:val="0"/>
        <w:rPr>
          <w:rFonts w:eastAsiaTheme="majorEastAsia" w:cs="Arial"/>
          <w:bCs/>
          <w:szCs w:val="20"/>
          <w:lang w:eastAsia="sl-SI"/>
        </w:rPr>
      </w:pPr>
      <w:r w:rsidRPr="0023027E">
        <w:rPr>
          <w:rFonts w:eastAsiaTheme="majorEastAsia" w:cs="Arial"/>
          <w:bCs/>
          <w:szCs w:val="20"/>
          <w:lang w:eastAsia="sl-SI"/>
        </w:rPr>
        <w:t>novi drugi odstavek 134. člena Zakona o upravljavcih alternativnih investicijskih skladov</w:t>
      </w:r>
      <w:r w:rsidR="003A2807">
        <w:rPr>
          <w:rFonts w:eastAsiaTheme="majorEastAsia" w:cs="Arial"/>
          <w:bCs/>
          <w:szCs w:val="20"/>
          <w:lang w:eastAsia="sl-SI"/>
        </w:rPr>
        <w:t>;</w:t>
      </w:r>
      <w:r w:rsidRPr="0023027E">
        <w:rPr>
          <w:rFonts w:eastAsiaTheme="majorEastAsia" w:cs="Arial"/>
          <w:bCs/>
          <w:szCs w:val="20"/>
          <w:lang w:eastAsia="sl-SI"/>
        </w:rPr>
        <w:t xml:space="preserve"> </w:t>
      </w:r>
    </w:p>
    <w:p w14:paraId="3D47F57A" w14:textId="62F93380" w:rsidR="003A2807" w:rsidRDefault="00F52CEB" w:rsidP="00C77534">
      <w:pPr>
        <w:pStyle w:val="Odstavekseznama"/>
        <w:numPr>
          <w:ilvl w:val="0"/>
          <w:numId w:val="86"/>
        </w:numPr>
        <w:spacing w:before="240" w:after="240" w:line="259" w:lineRule="auto"/>
        <w:jc w:val="both"/>
        <w:outlineLvl w:val="0"/>
        <w:rPr>
          <w:rFonts w:eastAsiaTheme="majorEastAsia" w:cs="Arial"/>
          <w:bCs/>
          <w:szCs w:val="20"/>
          <w:lang w:eastAsia="sl-SI"/>
        </w:rPr>
      </w:pPr>
      <w:r w:rsidRPr="0023027E">
        <w:rPr>
          <w:rFonts w:eastAsiaTheme="majorEastAsia" w:cs="Arial"/>
          <w:bCs/>
          <w:szCs w:val="20"/>
          <w:lang w:eastAsia="sl-SI"/>
        </w:rPr>
        <w:lastRenderedPageBreak/>
        <w:t xml:space="preserve">novi peti odstavek 21. člena, nova drugi in tretji odstavek 60. člena </w:t>
      </w:r>
      <w:r w:rsidR="00CD0DAD">
        <w:rPr>
          <w:rFonts w:eastAsiaTheme="majorEastAsia" w:cs="Arial"/>
          <w:bCs/>
          <w:szCs w:val="20"/>
          <w:lang w:eastAsia="sl-SI"/>
        </w:rPr>
        <w:t>ter</w:t>
      </w:r>
      <w:r w:rsidR="00CD0DAD" w:rsidRPr="0023027E">
        <w:rPr>
          <w:rFonts w:eastAsiaTheme="majorEastAsia" w:cs="Arial"/>
          <w:bCs/>
          <w:szCs w:val="20"/>
          <w:lang w:eastAsia="sl-SI"/>
        </w:rPr>
        <w:t xml:space="preserve"> </w:t>
      </w:r>
      <w:r w:rsidRPr="0023027E">
        <w:rPr>
          <w:rFonts w:eastAsiaTheme="majorEastAsia" w:cs="Arial"/>
          <w:bCs/>
          <w:szCs w:val="20"/>
          <w:lang w:eastAsia="sl-SI"/>
        </w:rPr>
        <w:t>nova 3.a točka prvega odstavka 74. člena Zakona o bonitetnem nadzoru investicijskih podjetij</w:t>
      </w:r>
      <w:r w:rsidR="003A2807">
        <w:rPr>
          <w:rFonts w:eastAsiaTheme="majorEastAsia" w:cs="Arial"/>
          <w:bCs/>
          <w:szCs w:val="20"/>
          <w:lang w:eastAsia="sl-SI"/>
        </w:rPr>
        <w:t>;</w:t>
      </w:r>
      <w:r w:rsidRPr="0023027E">
        <w:rPr>
          <w:rFonts w:eastAsiaTheme="majorEastAsia" w:cs="Arial"/>
          <w:bCs/>
          <w:szCs w:val="20"/>
          <w:lang w:eastAsia="sl-SI"/>
        </w:rPr>
        <w:t xml:space="preserve"> </w:t>
      </w:r>
      <w:r w:rsidR="00CD0DAD">
        <w:rPr>
          <w:rFonts w:eastAsiaTheme="majorEastAsia" w:cs="Arial"/>
          <w:bCs/>
          <w:szCs w:val="20"/>
          <w:lang w:eastAsia="sl-SI"/>
        </w:rPr>
        <w:t>ter</w:t>
      </w:r>
    </w:p>
    <w:p w14:paraId="22C41B38" w14:textId="583569EC" w:rsidR="00F52CEB" w:rsidRPr="00434F81" w:rsidRDefault="00F52CEB" w:rsidP="00434F81">
      <w:pPr>
        <w:pStyle w:val="Odstavekseznama"/>
        <w:numPr>
          <w:ilvl w:val="0"/>
          <w:numId w:val="86"/>
        </w:numPr>
        <w:spacing w:before="240" w:after="240" w:line="259" w:lineRule="auto"/>
        <w:jc w:val="both"/>
        <w:outlineLvl w:val="0"/>
        <w:rPr>
          <w:rFonts w:eastAsiaTheme="majorEastAsia" w:cs="Arial"/>
          <w:bCs/>
          <w:szCs w:val="20"/>
          <w:lang w:eastAsia="sl-SI"/>
        </w:rPr>
      </w:pPr>
      <w:r w:rsidRPr="00434F81">
        <w:rPr>
          <w:rFonts w:eastAsiaTheme="majorEastAsia" w:cs="Arial"/>
          <w:bCs/>
          <w:szCs w:val="20"/>
          <w:lang w:eastAsia="sl-SI"/>
        </w:rPr>
        <w:t>novi peti, šesti in sedmi odstavek 37. člena, novi peti odstavek 42. člena, novi tretji odstavek 43. člena ter novi 17.a in 17.b točki prvega odstavka 49. člena Zakona o hipotekarni in komunalni obveznici.</w:t>
      </w:r>
    </w:p>
    <w:p w14:paraId="5854E638" w14:textId="77777777" w:rsidR="000966FE" w:rsidRDefault="000966FE" w:rsidP="002D523F">
      <w:pPr>
        <w:spacing w:afterLines="20" w:after="48"/>
        <w:jc w:val="both"/>
        <w:rPr>
          <w:rFonts w:cs="Arial"/>
          <w:szCs w:val="20"/>
        </w:rPr>
      </w:pPr>
    </w:p>
    <w:p w14:paraId="4C10D8FF" w14:textId="77777777" w:rsidR="000966FE" w:rsidRDefault="00F52CEB" w:rsidP="008C0371">
      <w:pPr>
        <w:pStyle w:val="Odstavekseznama"/>
        <w:numPr>
          <w:ilvl w:val="0"/>
          <w:numId w:val="49"/>
        </w:numPr>
        <w:overflowPunct w:val="0"/>
        <w:autoSpaceDE w:val="0"/>
        <w:autoSpaceDN w:val="0"/>
        <w:adjustRightInd w:val="0"/>
        <w:spacing w:afterLines="20" w:after="48" w:line="240" w:lineRule="auto"/>
        <w:contextualSpacing w:val="0"/>
        <w:jc w:val="center"/>
        <w:textAlignment w:val="baseline"/>
        <w:rPr>
          <w:rFonts w:cs="Arial"/>
          <w:b/>
          <w:bCs/>
          <w:szCs w:val="20"/>
        </w:rPr>
      </w:pPr>
      <w:bookmarkStart w:id="72" w:name="_Ref206511932"/>
      <w:r w:rsidRPr="0023027E">
        <w:rPr>
          <w:rFonts w:cs="Arial"/>
          <w:b/>
          <w:bCs/>
          <w:szCs w:val="20"/>
        </w:rPr>
        <w:t>člen</w:t>
      </w:r>
      <w:bookmarkEnd w:id="72"/>
    </w:p>
    <w:p w14:paraId="3D6182A2" w14:textId="77777777" w:rsidR="00F52CEB" w:rsidRPr="0023027E" w:rsidRDefault="00F52CEB" w:rsidP="00EA7C9A">
      <w:pPr>
        <w:spacing w:afterLines="20" w:after="48"/>
        <w:jc w:val="center"/>
        <w:rPr>
          <w:rFonts w:cs="Arial"/>
          <w:b/>
          <w:bCs/>
          <w:szCs w:val="20"/>
        </w:rPr>
      </w:pPr>
      <w:r w:rsidRPr="0023027E">
        <w:rPr>
          <w:rFonts w:cs="Arial"/>
          <w:b/>
          <w:bCs/>
          <w:szCs w:val="20"/>
        </w:rPr>
        <w:t>(začetek veljavnosti)</w:t>
      </w:r>
    </w:p>
    <w:p w14:paraId="60DD4C14" w14:textId="77777777" w:rsidR="00F52CEB" w:rsidRPr="0023027E" w:rsidRDefault="00F52CEB" w:rsidP="00EA7C9A">
      <w:pPr>
        <w:spacing w:afterLines="20" w:after="48"/>
        <w:jc w:val="both"/>
        <w:rPr>
          <w:rFonts w:cs="Arial"/>
          <w:szCs w:val="20"/>
        </w:rPr>
      </w:pPr>
    </w:p>
    <w:p w14:paraId="24BC8331" w14:textId="77777777" w:rsidR="000966FE" w:rsidRDefault="00F52CEB" w:rsidP="000966FE">
      <w:pPr>
        <w:spacing w:afterLines="20" w:after="48"/>
        <w:jc w:val="both"/>
        <w:rPr>
          <w:rFonts w:cs="Arial"/>
          <w:szCs w:val="20"/>
        </w:rPr>
      </w:pPr>
      <w:r w:rsidRPr="0023027E">
        <w:rPr>
          <w:rFonts w:cs="Arial"/>
          <w:szCs w:val="20"/>
        </w:rPr>
        <w:t>Ta zakon začne veljati petnajsti dan po objavi v Uradnem listu Republike Slovenije.</w:t>
      </w:r>
    </w:p>
    <w:p w14:paraId="6F01C62A" w14:textId="77777777" w:rsidR="001E1871" w:rsidRPr="0023027E" w:rsidRDefault="001E1871" w:rsidP="00BA786D">
      <w:pPr>
        <w:spacing w:line="240" w:lineRule="auto"/>
        <w:rPr>
          <w:rFonts w:cs="Arial"/>
          <w:b/>
          <w:szCs w:val="20"/>
        </w:rPr>
      </w:pPr>
      <w:r w:rsidRPr="0023027E">
        <w:rPr>
          <w:rFonts w:cs="Arial"/>
          <w:b/>
          <w:szCs w:val="20"/>
        </w:rPr>
        <w:br w:type="page"/>
      </w:r>
    </w:p>
    <w:bookmarkEnd w:id="10"/>
    <w:p w14:paraId="321C3185" w14:textId="77777777" w:rsidR="000258C6" w:rsidRPr="0023027E" w:rsidRDefault="007C0AB6" w:rsidP="001E1871">
      <w:pPr>
        <w:spacing w:after="160" w:line="259" w:lineRule="auto"/>
        <w:jc w:val="both"/>
        <w:rPr>
          <w:rFonts w:cs="Arial"/>
          <w:b/>
          <w:bCs/>
          <w:szCs w:val="20"/>
        </w:rPr>
      </w:pPr>
      <w:r w:rsidRPr="0023027E">
        <w:rPr>
          <w:rFonts w:cs="Arial"/>
          <w:b/>
          <w:bCs/>
          <w:szCs w:val="20"/>
        </w:rPr>
        <w:lastRenderedPageBreak/>
        <w:t xml:space="preserve">III. </w:t>
      </w:r>
      <w:r w:rsidR="000258C6" w:rsidRPr="0023027E">
        <w:rPr>
          <w:rFonts w:cs="Arial"/>
          <w:b/>
          <w:bCs/>
          <w:szCs w:val="20"/>
        </w:rPr>
        <w:t>OBRAZLOŽITEV</w:t>
      </w:r>
    </w:p>
    <w:p w14:paraId="7EA48352" w14:textId="6B66E7F0" w:rsidR="009C32B7" w:rsidRPr="00E479E3" w:rsidRDefault="00E610BA" w:rsidP="00C64B3F">
      <w:pPr>
        <w:spacing w:line="276" w:lineRule="auto"/>
        <w:jc w:val="both"/>
        <w:rPr>
          <w:rFonts w:cs="Arial"/>
          <w:b/>
          <w:bCs/>
          <w:szCs w:val="20"/>
        </w:rPr>
      </w:pPr>
      <w:r w:rsidRPr="00E479E3">
        <w:rPr>
          <w:rFonts w:cs="Arial"/>
          <w:b/>
          <w:bCs/>
          <w:szCs w:val="20"/>
        </w:rPr>
        <w:t xml:space="preserve">K </w:t>
      </w:r>
      <w:r w:rsidR="00B403C3">
        <w:rPr>
          <w:b/>
          <w:bCs/>
        </w:rPr>
        <w:t>1</w:t>
      </w:r>
      <w:r w:rsidR="001819FC" w:rsidRPr="00E479E3">
        <w:rPr>
          <w:rFonts w:cs="Arial"/>
          <w:b/>
          <w:bCs/>
          <w:szCs w:val="20"/>
        </w:rPr>
        <w:t xml:space="preserve">. </w:t>
      </w:r>
      <w:r w:rsidRPr="00E479E3">
        <w:rPr>
          <w:rFonts w:cs="Arial"/>
          <w:b/>
          <w:bCs/>
          <w:szCs w:val="20"/>
        </w:rPr>
        <w:t>členu</w:t>
      </w:r>
    </w:p>
    <w:p w14:paraId="084ECFFD" w14:textId="142D6831" w:rsidR="009213B0" w:rsidRPr="0023027E" w:rsidRDefault="009213B0" w:rsidP="009213B0">
      <w:pPr>
        <w:spacing w:line="276" w:lineRule="auto"/>
        <w:jc w:val="both"/>
        <w:rPr>
          <w:rFonts w:cs="Arial"/>
          <w:szCs w:val="20"/>
        </w:rPr>
      </w:pPr>
      <w:r w:rsidRPr="0023027E">
        <w:rPr>
          <w:rFonts w:cs="Arial"/>
          <w:szCs w:val="20"/>
        </w:rPr>
        <w:t>Evropski parlament in Svet sta 13. decembra 2023 sprejela tri povezane pravne akte za vzpostavitev evropske enotne točke dostopa (v nadaljnjem besedilu: ESAP):</w:t>
      </w:r>
    </w:p>
    <w:p w14:paraId="528DBF4D" w14:textId="2F19C4A9" w:rsidR="009213B0" w:rsidRPr="0023027E" w:rsidRDefault="009213B0" w:rsidP="009213B0">
      <w:pPr>
        <w:pStyle w:val="Odstavekseznama"/>
        <w:numPr>
          <w:ilvl w:val="0"/>
          <w:numId w:val="61"/>
        </w:numPr>
        <w:spacing w:line="276" w:lineRule="auto"/>
        <w:jc w:val="both"/>
        <w:rPr>
          <w:rFonts w:cs="Arial"/>
          <w:szCs w:val="20"/>
        </w:rPr>
      </w:pPr>
      <w:r w:rsidRPr="0023027E">
        <w:rPr>
          <w:rFonts w:cs="Arial"/>
          <w:szCs w:val="20"/>
        </w:rPr>
        <w:t xml:space="preserve">Direktivo (EU) 2023/2864 Evropskega parlamenta in Sveta z dne 13. decembra 2023 o spremembi nekaterih direktiv glede vzpostavitve in delovanja evropske enotne točke dostopa </w:t>
      </w:r>
      <w:r w:rsidR="00254AE5" w:rsidRPr="00254AE5">
        <w:rPr>
          <w:rFonts w:cs="Arial"/>
          <w:szCs w:val="20"/>
        </w:rPr>
        <w:t>(UL L št. 2023/2864 z dne 20. 12. 2023), zadnjič popravljeno s Popravkom (UL L št. 2024/90411 z dne 15. 7. 2024), (v nadaljnjem besedilu: Direktiva 2023/2864/EU)</w:t>
      </w:r>
      <w:r w:rsidRPr="0023027E">
        <w:rPr>
          <w:rFonts w:cs="Arial"/>
          <w:szCs w:val="20"/>
        </w:rPr>
        <w:t>;</w:t>
      </w:r>
    </w:p>
    <w:p w14:paraId="22F0D520" w14:textId="4837E116" w:rsidR="009213B0" w:rsidRPr="0023027E" w:rsidRDefault="009213B0" w:rsidP="009213B0">
      <w:pPr>
        <w:pStyle w:val="Odstavekseznama"/>
        <w:numPr>
          <w:ilvl w:val="0"/>
          <w:numId w:val="61"/>
        </w:numPr>
        <w:spacing w:line="276" w:lineRule="auto"/>
        <w:jc w:val="both"/>
        <w:rPr>
          <w:rFonts w:cs="Arial"/>
          <w:szCs w:val="20"/>
        </w:rPr>
      </w:pPr>
      <w:r w:rsidRPr="0023027E">
        <w:rPr>
          <w:rFonts w:cs="Arial"/>
          <w:szCs w:val="20"/>
        </w:rPr>
        <w:t xml:space="preserve">Uredbo (EU) 2023/2859 Evropskega parlamenta in Sveta z dne 13. decembra 2023 o vzpostavitvi evropske enotne točke dostopa, ki zagotavlja centraliziran dostop do javno dostopnih informacij, pomembnih za finančne storitve, kapitalske trge in </w:t>
      </w:r>
      <w:proofErr w:type="spellStart"/>
      <w:r w:rsidRPr="0023027E">
        <w:rPr>
          <w:rFonts w:cs="Arial"/>
          <w:szCs w:val="20"/>
        </w:rPr>
        <w:t>trajnostnost</w:t>
      </w:r>
      <w:proofErr w:type="spellEnd"/>
      <w:r w:rsidRPr="0023027E">
        <w:rPr>
          <w:rFonts w:cs="Arial"/>
          <w:szCs w:val="20"/>
        </w:rPr>
        <w:t xml:space="preserve"> (UL L št. </w:t>
      </w:r>
      <w:r w:rsidR="009A0DA1">
        <w:rPr>
          <w:rFonts w:cs="Arial"/>
          <w:szCs w:val="20"/>
        </w:rPr>
        <w:t>2023/2859</w:t>
      </w:r>
      <w:r w:rsidRPr="0023027E">
        <w:rPr>
          <w:rFonts w:cs="Arial"/>
          <w:szCs w:val="20"/>
        </w:rPr>
        <w:t xml:space="preserve"> z dne 20. 12. 2023)</w:t>
      </w:r>
      <w:r w:rsidR="00E479E3">
        <w:rPr>
          <w:rFonts w:cs="Arial"/>
          <w:szCs w:val="20"/>
        </w:rPr>
        <w:t>,</w:t>
      </w:r>
      <w:r w:rsidRPr="0023027E">
        <w:rPr>
          <w:rFonts w:cs="Arial"/>
          <w:szCs w:val="20"/>
        </w:rPr>
        <w:t xml:space="preserve"> zadnjič spremenjen</w:t>
      </w:r>
      <w:r w:rsidR="00E479E3">
        <w:rPr>
          <w:rFonts w:cs="Arial"/>
          <w:szCs w:val="20"/>
        </w:rPr>
        <w:t>o</w:t>
      </w:r>
      <w:r w:rsidRPr="0023027E">
        <w:rPr>
          <w:rFonts w:cs="Arial"/>
          <w:szCs w:val="20"/>
        </w:rPr>
        <w:t xml:space="preserve"> z Uredbo (EU) 2024/3005 Evropskega parlamenta in Sveta z dne 27. novembra 2024 o preglednosti in celovitosti dejavnosti ocenjevanja </w:t>
      </w:r>
      <w:proofErr w:type="spellStart"/>
      <w:r w:rsidRPr="0023027E">
        <w:rPr>
          <w:rFonts w:cs="Arial"/>
          <w:szCs w:val="20"/>
        </w:rPr>
        <w:t>okoljskih</w:t>
      </w:r>
      <w:proofErr w:type="spellEnd"/>
      <w:r w:rsidRPr="0023027E">
        <w:rPr>
          <w:rFonts w:cs="Arial"/>
          <w:szCs w:val="20"/>
        </w:rPr>
        <w:t>, socialnih in upravljavskih (ESG) dejavnikov ter spremembi uredb (EU) 2019/2088 in (EU) 2023/2859 (UL L št. 2024/3005 z dne 12. 12. 2024</w:t>
      </w:r>
      <w:r w:rsidR="009A0DA1">
        <w:rPr>
          <w:rFonts w:cs="Arial"/>
          <w:szCs w:val="20"/>
        </w:rPr>
        <w:t>),</w:t>
      </w:r>
      <w:r w:rsidRPr="0023027E">
        <w:rPr>
          <w:rFonts w:cs="Arial"/>
          <w:szCs w:val="20"/>
        </w:rPr>
        <w:t xml:space="preserve"> </w:t>
      </w:r>
      <w:r w:rsidR="009A0DA1">
        <w:rPr>
          <w:rFonts w:cs="Arial"/>
          <w:szCs w:val="20"/>
        </w:rPr>
        <w:t>(</w:t>
      </w:r>
      <w:r w:rsidRPr="0023027E">
        <w:rPr>
          <w:rFonts w:cs="Arial"/>
          <w:szCs w:val="20"/>
        </w:rPr>
        <w:t>v nadaljnjem besedilu: Uredba 2023/2859/EU); in</w:t>
      </w:r>
    </w:p>
    <w:p w14:paraId="0C2CF289" w14:textId="5736BE34" w:rsidR="009213B0" w:rsidRPr="0023027E" w:rsidRDefault="009213B0" w:rsidP="009213B0">
      <w:pPr>
        <w:pStyle w:val="Odstavekseznama"/>
        <w:numPr>
          <w:ilvl w:val="0"/>
          <w:numId w:val="61"/>
        </w:numPr>
        <w:spacing w:line="276" w:lineRule="auto"/>
        <w:jc w:val="both"/>
        <w:rPr>
          <w:rFonts w:cs="Arial"/>
          <w:szCs w:val="20"/>
        </w:rPr>
      </w:pPr>
      <w:r w:rsidRPr="0023027E">
        <w:rPr>
          <w:rFonts w:cs="Arial"/>
          <w:szCs w:val="20"/>
        </w:rPr>
        <w:t>Uredbo (EU) 2023/2869 Evropskega parlamenta in Sveta z dne 13. decembra 2023 o spremembi nekaterih uredb glede vzpostavitve in delovanja evropske enotne točke dostopa (UL L št. 2023/2869 z dne 20. 12. 2023; v nadaljnjem besedilu: Uredba 2023/2869/EU) (t.</w:t>
      </w:r>
      <w:r w:rsidR="00E479E3">
        <w:rPr>
          <w:rFonts w:cs="Arial"/>
          <w:szCs w:val="20"/>
        </w:rPr>
        <w:t xml:space="preserve"> </w:t>
      </w:r>
      <w:r w:rsidRPr="0023027E">
        <w:rPr>
          <w:rFonts w:cs="Arial"/>
          <w:szCs w:val="20"/>
        </w:rPr>
        <w:t>i. omnibus uredba).</w:t>
      </w:r>
    </w:p>
    <w:p w14:paraId="3361374E" w14:textId="77777777" w:rsidR="009213B0" w:rsidRPr="0023027E" w:rsidRDefault="009213B0" w:rsidP="00C64B3F">
      <w:pPr>
        <w:spacing w:line="276" w:lineRule="auto"/>
        <w:jc w:val="both"/>
        <w:rPr>
          <w:rFonts w:cs="Arial"/>
          <w:szCs w:val="20"/>
        </w:rPr>
      </w:pPr>
    </w:p>
    <w:p w14:paraId="33937464" w14:textId="086ACE44" w:rsidR="009213B0" w:rsidRPr="0023027E" w:rsidRDefault="00657582" w:rsidP="00C64B3F">
      <w:pPr>
        <w:spacing w:line="276" w:lineRule="auto"/>
        <w:jc w:val="both"/>
        <w:rPr>
          <w:rFonts w:cs="Arial"/>
          <w:szCs w:val="20"/>
        </w:rPr>
      </w:pPr>
      <w:r w:rsidRPr="0023027E">
        <w:rPr>
          <w:rFonts w:cs="Arial"/>
          <w:szCs w:val="20"/>
        </w:rPr>
        <w:t>V tem členu se povzema vsebina predloga zakona, saj se z njim v pravn</w:t>
      </w:r>
      <w:r w:rsidR="000E6D44" w:rsidRPr="0023027E">
        <w:rPr>
          <w:rFonts w:cs="Arial"/>
          <w:szCs w:val="20"/>
        </w:rPr>
        <w:t>i</w:t>
      </w:r>
      <w:r w:rsidRPr="0023027E">
        <w:rPr>
          <w:rFonts w:cs="Arial"/>
          <w:szCs w:val="20"/>
        </w:rPr>
        <w:t xml:space="preserve"> red Republike Slovenije prenaša večina določb Direktive 2023/2864/EU </w:t>
      </w:r>
      <w:r w:rsidR="00E479E3">
        <w:rPr>
          <w:rFonts w:cs="Arial"/>
          <w:szCs w:val="20"/>
        </w:rPr>
        <w:t>ter</w:t>
      </w:r>
      <w:r w:rsidR="00E479E3" w:rsidRPr="0023027E">
        <w:rPr>
          <w:rFonts w:cs="Arial"/>
          <w:szCs w:val="20"/>
        </w:rPr>
        <w:t xml:space="preserve"> </w:t>
      </w:r>
      <w:r w:rsidRPr="0023027E">
        <w:rPr>
          <w:rFonts w:cs="Arial"/>
          <w:szCs w:val="20"/>
        </w:rPr>
        <w:t>ureja izvajanje Uredbe 2023/2859/EU in Uredbe 2023/2869/EU.</w:t>
      </w:r>
      <w:r w:rsidR="002363E3" w:rsidRPr="0023027E">
        <w:rPr>
          <w:rFonts w:cs="Arial"/>
          <w:szCs w:val="20"/>
        </w:rPr>
        <w:t xml:space="preserve"> Zaradi tega </w:t>
      </w:r>
      <w:r w:rsidR="00372A6B" w:rsidRPr="0023027E">
        <w:rPr>
          <w:rFonts w:cs="Arial"/>
          <w:szCs w:val="20"/>
        </w:rPr>
        <w:t>so</w:t>
      </w:r>
      <w:r w:rsidR="002363E3" w:rsidRPr="0023027E">
        <w:rPr>
          <w:rFonts w:cs="Arial"/>
          <w:szCs w:val="20"/>
        </w:rPr>
        <w:t xml:space="preserve"> v tretjem od</w:t>
      </w:r>
      <w:r w:rsidR="00372A6B" w:rsidRPr="0023027E">
        <w:rPr>
          <w:rFonts w:cs="Arial"/>
          <w:szCs w:val="20"/>
        </w:rPr>
        <w:t xml:space="preserve">stavku </w:t>
      </w:r>
      <w:r w:rsidR="00E479E3">
        <w:rPr>
          <w:rFonts w:cs="Arial"/>
          <w:szCs w:val="20"/>
        </w:rPr>
        <w:t>navedeni</w:t>
      </w:r>
      <w:r w:rsidR="00E479E3" w:rsidRPr="0023027E">
        <w:rPr>
          <w:rFonts w:cs="Arial"/>
          <w:szCs w:val="20"/>
        </w:rPr>
        <w:t xml:space="preserve"> </w:t>
      </w:r>
      <w:r w:rsidR="00372A6B" w:rsidRPr="0023027E">
        <w:rPr>
          <w:rFonts w:cs="Arial"/>
          <w:szCs w:val="20"/>
        </w:rPr>
        <w:t>zakoni, ki se spreminjajo in dopolnjujejo</w:t>
      </w:r>
      <w:r w:rsidR="00E479E3">
        <w:rPr>
          <w:rFonts w:cs="Arial"/>
          <w:szCs w:val="20"/>
        </w:rPr>
        <w:t>.</w:t>
      </w:r>
      <w:r w:rsidR="00572CE1" w:rsidRPr="0023027E">
        <w:rPr>
          <w:rFonts w:cs="Arial"/>
          <w:szCs w:val="20"/>
        </w:rPr>
        <w:t xml:space="preserve"> </w:t>
      </w:r>
      <w:r w:rsidR="00E479E3">
        <w:rPr>
          <w:rFonts w:cs="Arial"/>
          <w:szCs w:val="20"/>
        </w:rPr>
        <w:t>P</w:t>
      </w:r>
      <w:r w:rsidR="00E479E3" w:rsidRPr="0023027E">
        <w:rPr>
          <w:rFonts w:cs="Arial"/>
          <w:szCs w:val="20"/>
        </w:rPr>
        <w:t xml:space="preserve">rikazani </w:t>
      </w:r>
      <w:r w:rsidR="00E479E3">
        <w:rPr>
          <w:rFonts w:cs="Arial"/>
          <w:szCs w:val="20"/>
        </w:rPr>
        <w:t xml:space="preserve">so tudi </w:t>
      </w:r>
      <w:r w:rsidR="00E479E3" w:rsidRPr="0023027E">
        <w:rPr>
          <w:rFonts w:cs="Arial"/>
          <w:szCs w:val="20"/>
        </w:rPr>
        <w:t xml:space="preserve">v spodnji </w:t>
      </w:r>
      <w:r w:rsidR="00E479E3">
        <w:rPr>
          <w:rFonts w:cs="Arial"/>
          <w:szCs w:val="20"/>
        </w:rPr>
        <w:t>pregl</w:t>
      </w:r>
      <w:r w:rsidR="00E479E3" w:rsidRPr="0023027E">
        <w:rPr>
          <w:rFonts w:cs="Arial"/>
          <w:szCs w:val="20"/>
        </w:rPr>
        <w:t>e</w:t>
      </w:r>
      <w:r w:rsidR="00E479E3">
        <w:rPr>
          <w:rFonts w:cs="Arial"/>
          <w:szCs w:val="20"/>
        </w:rPr>
        <w:t>dnic</w:t>
      </w:r>
      <w:r w:rsidR="00E479E3" w:rsidRPr="0023027E">
        <w:rPr>
          <w:rFonts w:cs="Arial"/>
          <w:szCs w:val="20"/>
        </w:rPr>
        <w:t>i.</w:t>
      </w:r>
      <w:r w:rsidR="00372A6B" w:rsidRPr="0023027E">
        <w:rPr>
          <w:rFonts w:cs="Arial"/>
          <w:szCs w:val="20"/>
        </w:rPr>
        <w:t xml:space="preserve">. </w:t>
      </w:r>
    </w:p>
    <w:p w14:paraId="3AE4FDFD" w14:textId="77777777" w:rsidR="002363E3" w:rsidRPr="0023027E" w:rsidRDefault="002363E3" w:rsidP="00C64B3F">
      <w:pPr>
        <w:spacing w:line="276" w:lineRule="auto"/>
        <w:jc w:val="both"/>
        <w:rPr>
          <w:rFonts w:cs="Arial"/>
          <w:szCs w:val="20"/>
        </w:rPr>
      </w:pPr>
    </w:p>
    <w:tbl>
      <w:tblPr>
        <w:tblStyle w:val="Tabelamrea"/>
        <w:tblW w:w="8926" w:type="dxa"/>
        <w:tblLook w:val="04A0" w:firstRow="1" w:lastRow="0" w:firstColumn="1" w:lastColumn="0" w:noHBand="0" w:noVBand="1"/>
      </w:tblPr>
      <w:tblGrid>
        <w:gridCol w:w="4383"/>
        <w:gridCol w:w="1553"/>
        <w:gridCol w:w="1495"/>
        <w:gridCol w:w="1495"/>
      </w:tblGrid>
      <w:tr w:rsidR="00572CE1" w:rsidRPr="0023027E" w14:paraId="6BA8770A" w14:textId="77777777" w:rsidTr="002F66F3">
        <w:trPr>
          <w:trHeight w:val="462"/>
        </w:trPr>
        <w:tc>
          <w:tcPr>
            <w:tcW w:w="4383" w:type="dxa"/>
          </w:tcPr>
          <w:p w14:paraId="7DF0AEB2" w14:textId="77777777" w:rsidR="00572CE1" w:rsidRPr="0023027E" w:rsidRDefault="00572CE1" w:rsidP="00F96770">
            <w:pPr>
              <w:rPr>
                <w:rFonts w:cs="Arial"/>
                <w:b/>
                <w:bCs/>
                <w:szCs w:val="20"/>
              </w:rPr>
            </w:pPr>
            <w:r w:rsidRPr="0023027E">
              <w:rPr>
                <w:rFonts w:cs="Arial"/>
                <w:b/>
                <w:bCs/>
                <w:szCs w:val="20"/>
              </w:rPr>
              <w:t>Zakon</w:t>
            </w:r>
          </w:p>
        </w:tc>
        <w:tc>
          <w:tcPr>
            <w:tcW w:w="1553" w:type="dxa"/>
          </w:tcPr>
          <w:p w14:paraId="156AD010" w14:textId="77777777" w:rsidR="00572CE1" w:rsidRPr="0023027E" w:rsidRDefault="00572CE1" w:rsidP="00F96770">
            <w:pPr>
              <w:rPr>
                <w:rFonts w:cs="Arial"/>
                <w:b/>
                <w:bCs/>
                <w:szCs w:val="20"/>
              </w:rPr>
            </w:pPr>
            <w:r w:rsidRPr="0023027E">
              <w:rPr>
                <w:rFonts w:cs="Arial"/>
                <w:b/>
                <w:bCs/>
                <w:szCs w:val="20"/>
              </w:rPr>
              <w:t>Člen Direktive 2023/2864/EU</w:t>
            </w:r>
          </w:p>
        </w:tc>
        <w:tc>
          <w:tcPr>
            <w:tcW w:w="1495" w:type="dxa"/>
          </w:tcPr>
          <w:p w14:paraId="3DBCB0C8" w14:textId="77777777" w:rsidR="00572CE1" w:rsidRPr="0023027E" w:rsidRDefault="00572CE1" w:rsidP="00F96770">
            <w:pPr>
              <w:rPr>
                <w:rFonts w:cs="Arial"/>
                <w:b/>
                <w:bCs/>
                <w:szCs w:val="20"/>
              </w:rPr>
            </w:pPr>
            <w:r w:rsidRPr="0023027E">
              <w:rPr>
                <w:rFonts w:cs="Arial"/>
                <w:b/>
                <w:bCs/>
                <w:szCs w:val="20"/>
              </w:rPr>
              <w:t>Člen Uredbe 2023/2869/EU</w:t>
            </w:r>
          </w:p>
        </w:tc>
        <w:tc>
          <w:tcPr>
            <w:tcW w:w="1495" w:type="dxa"/>
          </w:tcPr>
          <w:p w14:paraId="0AD6C0A0" w14:textId="77777777" w:rsidR="00572CE1" w:rsidRPr="0023027E" w:rsidRDefault="00572CE1" w:rsidP="00F96770">
            <w:pPr>
              <w:rPr>
                <w:rFonts w:cs="Arial"/>
                <w:b/>
                <w:bCs/>
                <w:szCs w:val="20"/>
              </w:rPr>
            </w:pPr>
            <w:r w:rsidRPr="0023027E">
              <w:rPr>
                <w:rFonts w:cs="Arial"/>
                <w:b/>
                <w:bCs/>
                <w:szCs w:val="20"/>
              </w:rPr>
              <w:t>Člen Uredbe 2023/2859/EU</w:t>
            </w:r>
          </w:p>
        </w:tc>
      </w:tr>
      <w:tr w:rsidR="00572CE1" w:rsidRPr="0023027E" w14:paraId="73C772C9" w14:textId="77777777" w:rsidTr="002F66F3">
        <w:trPr>
          <w:trHeight w:val="462"/>
        </w:trPr>
        <w:tc>
          <w:tcPr>
            <w:tcW w:w="4383" w:type="dxa"/>
          </w:tcPr>
          <w:p w14:paraId="38EBAE53" w14:textId="77777777" w:rsidR="00572CE1" w:rsidRPr="0023027E" w:rsidRDefault="00572CE1" w:rsidP="00F96770">
            <w:pPr>
              <w:rPr>
                <w:rFonts w:cs="Arial"/>
                <w:szCs w:val="20"/>
              </w:rPr>
            </w:pPr>
            <w:r w:rsidRPr="0023027E">
              <w:rPr>
                <w:rFonts w:cs="Arial"/>
                <w:szCs w:val="20"/>
              </w:rPr>
              <w:t>Zakon o finančnih konglomeratih (ZFK)</w:t>
            </w:r>
          </w:p>
        </w:tc>
        <w:tc>
          <w:tcPr>
            <w:tcW w:w="1553" w:type="dxa"/>
          </w:tcPr>
          <w:p w14:paraId="448B6B03" w14:textId="77777777" w:rsidR="00572CE1" w:rsidRPr="0023027E" w:rsidRDefault="00572CE1" w:rsidP="00F96770">
            <w:pPr>
              <w:rPr>
                <w:rFonts w:cs="Arial"/>
                <w:szCs w:val="20"/>
              </w:rPr>
            </w:pPr>
            <w:r w:rsidRPr="0023027E">
              <w:rPr>
                <w:rFonts w:cs="Arial"/>
                <w:szCs w:val="20"/>
              </w:rPr>
              <w:t xml:space="preserve">1. člen </w:t>
            </w:r>
          </w:p>
        </w:tc>
        <w:tc>
          <w:tcPr>
            <w:tcW w:w="1495" w:type="dxa"/>
          </w:tcPr>
          <w:p w14:paraId="33952928" w14:textId="77777777" w:rsidR="00572CE1" w:rsidRPr="0023027E" w:rsidRDefault="00572CE1" w:rsidP="00F96770">
            <w:pPr>
              <w:rPr>
                <w:rFonts w:cs="Arial"/>
                <w:szCs w:val="20"/>
              </w:rPr>
            </w:pPr>
          </w:p>
        </w:tc>
        <w:tc>
          <w:tcPr>
            <w:tcW w:w="1495" w:type="dxa"/>
          </w:tcPr>
          <w:p w14:paraId="7C58BFEA" w14:textId="77777777" w:rsidR="00572CE1" w:rsidRPr="0023027E" w:rsidRDefault="00572CE1" w:rsidP="00F96770">
            <w:pPr>
              <w:rPr>
                <w:rFonts w:cs="Arial"/>
                <w:szCs w:val="20"/>
              </w:rPr>
            </w:pPr>
          </w:p>
        </w:tc>
      </w:tr>
      <w:tr w:rsidR="00572CE1" w:rsidRPr="0023027E" w14:paraId="5CC38C0D" w14:textId="77777777" w:rsidTr="002F66F3">
        <w:trPr>
          <w:trHeight w:val="462"/>
        </w:trPr>
        <w:tc>
          <w:tcPr>
            <w:tcW w:w="4383" w:type="dxa"/>
          </w:tcPr>
          <w:p w14:paraId="458B6FBF" w14:textId="77777777" w:rsidR="00572CE1" w:rsidRPr="0023027E" w:rsidRDefault="00572CE1" w:rsidP="00F96770">
            <w:pPr>
              <w:rPr>
                <w:rFonts w:cs="Arial"/>
                <w:szCs w:val="20"/>
              </w:rPr>
            </w:pPr>
            <w:r w:rsidRPr="0023027E">
              <w:rPr>
                <w:rFonts w:cs="Arial"/>
                <w:szCs w:val="20"/>
              </w:rPr>
              <w:t>Zakon o prevzemih (ZPre-1)</w:t>
            </w:r>
          </w:p>
        </w:tc>
        <w:tc>
          <w:tcPr>
            <w:tcW w:w="1553" w:type="dxa"/>
          </w:tcPr>
          <w:p w14:paraId="114ACD6E" w14:textId="77777777" w:rsidR="00572CE1" w:rsidRPr="0023027E" w:rsidRDefault="00572CE1" w:rsidP="00F96770">
            <w:pPr>
              <w:rPr>
                <w:rFonts w:cs="Arial"/>
                <w:szCs w:val="20"/>
              </w:rPr>
            </w:pPr>
            <w:r w:rsidRPr="0023027E">
              <w:rPr>
                <w:rFonts w:cs="Arial"/>
                <w:szCs w:val="20"/>
              </w:rPr>
              <w:t>2. člen</w:t>
            </w:r>
          </w:p>
        </w:tc>
        <w:tc>
          <w:tcPr>
            <w:tcW w:w="1495" w:type="dxa"/>
          </w:tcPr>
          <w:p w14:paraId="7DB79CAB" w14:textId="77777777" w:rsidR="00572CE1" w:rsidRPr="0023027E" w:rsidRDefault="00572CE1" w:rsidP="00F96770">
            <w:pPr>
              <w:rPr>
                <w:rFonts w:cs="Arial"/>
                <w:szCs w:val="20"/>
              </w:rPr>
            </w:pPr>
          </w:p>
        </w:tc>
        <w:tc>
          <w:tcPr>
            <w:tcW w:w="1495" w:type="dxa"/>
          </w:tcPr>
          <w:p w14:paraId="080256AB" w14:textId="77777777" w:rsidR="00572CE1" w:rsidRPr="0023027E" w:rsidRDefault="00572CE1" w:rsidP="00F96770">
            <w:pPr>
              <w:rPr>
                <w:rFonts w:cs="Arial"/>
                <w:szCs w:val="20"/>
              </w:rPr>
            </w:pPr>
          </w:p>
        </w:tc>
      </w:tr>
      <w:tr w:rsidR="00572CE1" w:rsidRPr="0023027E" w14:paraId="3EC4C493" w14:textId="77777777" w:rsidTr="002F66F3">
        <w:trPr>
          <w:trHeight w:val="462"/>
        </w:trPr>
        <w:tc>
          <w:tcPr>
            <w:tcW w:w="4383" w:type="dxa"/>
          </w:tcPr>
          <w:p w14:paraId="54E0B5D3" w14:textId="77777777" w:rsidR="00572CE1" w:rsidRPr="0023027E" w:rsidRDefault="00572CE1" w:rsidP="00F96770">
            <w:pPr>
              <w:rPr>
                <w:rFonts w:cs="Arial"/>
                <w:szCs w:val="20"/>
              </w:rPr>
            </w:pPr>
            <w:r w:rsidRPr="0023027E">
              <w:rPr>
                <w:rFonts w:cs="Arial"/>
                <w:szCs w:val="20"/>
              </w:rPr>
              <w:t>Zakon o revidiranju (ZRev-2)</w:t>
            </w:r>
          </w:p>
        </w:tc>
        <w:tc>
          <w:tcPr>
            <w:tcW w:w="1553" w:type="dxa"/>
          </w:tcPr>
          <w:p w14:paraId="4BAC3718" w14:textId="77777777" w:rsidR="00572CE1" w:rsidRPr="0023027E" w:rsidRDefault="00572CE1" w:rsidP="00F96770">
            <w:pPr>
              <w:rPr>
                <w:rFonts w:cs="Arial"/>
                <w:szCs w:val="20"/>
              </w:rPr>
            </w:pPr>
            <w:r w:rsidRPr="0023027E">
              <w:rPr>
                <w:rFonts w:cs="Arial"/>
                <w:szCs w:val="20"/>
              </w:rPr>
              <w:t>4. člen</w:t>
            </w:r>
          </w:p>
        </w:tc>
        <w:tc>
          <w:tcPr>
            <w:tcW w:w="1495" w:type="dxa"/>
          </w:tcPr>
          <w:p w14:paraId="28CA6C96" w14:textId="77777777" w:rsidR="00572CE1" w:rsidRPr="0023027E" w:rsidRDefault="00572CE1" w:rsidP="00F96770">
            <w:pPr>
              <w:rPr>
                <w:rFonts w:cs="Arial"/>
                <w:szCs w:val="20"/>
              </w:rPr>
            </w:pPr>
            <w:r w:rsidRPr="0023027E">
              <w:rPr>
                <w:rFonts w:cs="Arial"/>
                <w:szCs w:val="20"/>
              </w:rPr>
              <w:t>6. člen</w:t>
            </w:r>
          </w:p>
        </w:tc>
        <w:tc>
          <w:tcPr>
            <w:tcW w:w="1495" w:type="dxa"/>
          </w:tcPr>
          <w:p w14:paraId="78B47A4D" w14:textId="77777777" w:rsidR="00572CE1" w:rsidRPr="0023027E" w:rsidRDefault="00572CE1" w:rsidP="00F96770">
            <w:pPr>
              <w:rPr>
                <w:rFonts w:cs="Arial"/>
                <w:szCs w:val="20"/>
              </w:rPr>
            </w:pPr>
          </w:p>
        </w:tc>
      </w:tr>
      <w:tr w:rsidR="00572CE1" w:rsidRPr="0023027E" w14:paraId="09116303" w14:textId="77777777" w:rsidTr="002F66F3">
        <w:trPr>
          <w:trHeight w:val="473"/>
        </w:trPr>
        <w:tc>
          <w:tcPr>
            <w:tcW w:w="4383" w:type="dxa"/>
          </w:tcPr>
          <w:p w14:paraId="1DB604C2" w14:textId="77777777" w:rsidR="00572CE1" w:rsidRPr="0023027E" w:rsidRDefault="00572CE1" w:rsidP="00F96770">
            <w:pPr>
              <w:rPr>
                <w:rFonts w:cs="Arial"/>
                <w:szCs w:val="20"/>
              </w:rPr>
            </w:pPr>
            <w:r w:rsidRPr="0023027E">
              <w:rPr>
                <w:rFonts w:cs="Arial"/>
                <w:szCs w:val="20"/>
              </w:rPr>
              <w:t>Zakon o gospodarskih družbah (ZGD-1)</w:t>
            </w:r>
          </w:p>
        </w:tc>
        <w:tc>
          <w:tcPr>
            <w:tcW w:w="1553" w:type="dxa"/>
          </w:tcPr>
          <w:p w14:paraId="6AE159A5" w14:textId="77777777" w:rsidR="00572CE1" w:rsidRPr="0023027E" w:rsidRDefault="00572CE1" w:rsidP="00F96770">
            <w:pPr>
              <w:rPr>
                <w:rFonts w:cs="Arial"/>
                <w:szCs w:val="20"/>
              </w:rPr>
            </w:pPr>
            <w:r w:rsidRPr="0023027E">
              <w:rPr>
                <w:rFonts w:cs="Arial"/>
                <w:szCs w:val="20"/>
              </w:rPr>
              <w:t>5. in 9. člen</w:t>
            </w:r>
          </w:p>
        </w:tc>
        <w:tc>
          <w:tcPr>
            <w:tcW w:w="1495" w:type="dxa"/>
          </w:tcPr>
          <w:p w14:paraId="6239009B" w14:textId="77777777" w:rsidR="00572CE1" w:rsidRPr="0023027E" w:rsidRDefault="00572CE1" w:rsidP="00F96770">
            <w:pPr>
              <w:rPr>
                <w:rFonts w:cs="Arial"/>
                <w:szCs w:val="20"/>
              </w:rPr>
            </w:pPr>
          </w:p>
        </w:tc>
        <w:tc>
          <w:tcPr>
            <w:tcW w:w="1495" w:type="dxa"/>
          </w:tcPr>
          <w:p w14:paraId="3FD92947" w14:textId="77777777" w:rsidR="00572CE1" w:rsidRPr="0023027E" w:rsidRDefault="00572CE1" w:rsidP="00F96770">
            <w:pPr>
              <w:rPr>
                <w:rFonts w:cs="Arial"/>
                <w:szCs w:val="20"/>
              </w:rPr>
            </w:pPr>
          </w:p>
        </w:tc>
      </w:tr>
      <w:tr w:rsidR="00572CE1" w:rsidRPr="0023027E" w14:paraId="798B5F4B" w14:textId="77777777" w:rsidTr="002F66F3">
        <w:trPr>
          <w:trHeight w:val="314"/>
        </w:trPr>
        <w:tc>
          <w:tcPr>
            <w:tcW w:w="4383" w:type="dxa"/>
          </w:tcPr>
          <w:p w14:paraId="7B1011E0" w14:textId="77777777" w:rsidR="00572CE1" w:rsidRPr="0023027E" w:rsidRDefault="00572CE1" w:rsidP="00F96770">
            <w:pPr>
              <w:rPr>
                <w:rFonts w:cs="Arial"/>
                <w:szCs w:val="20"/>
              </w:rPr>
            </w:pPr>
            <w:r w:rsidRPr="0023027E">
              <w:rPr>
                <w:rFonts w:cs="Arial"/>
                <w:szCs w:val="20"/>
              </w:rPr>
              <w:t>Zakon o investicijskih skladih in družbah za upravljanje (ZISDU-3)</w:t>
            </w:r>
          </w:p>
        </w:tc>
        <w:tc>
          <w:tcPr>
            <w:tcW w:w="1553" w:type="dxa"/>
          </w:tcPr>
          <w:p w14:paraId="328AA986" w14:textId="77777777" w:rsidR="00572CE1" w:rsidRPr="0023027E" w:rsidRDefault="00572CE1" w:rsidP="00F96770">
            <w:pPr>
              <w:rPr>
                <w:rFonts w:cs="Arial"/>
                <w:szCs w:val="20"/>
              </w:rPr>
            </w:pPr>
            <w:r w:rsidRPr="0023027E">
              <w:rPr>
                <w:rFonts w:cs="Arial"/>
                <w:szCs w:val="20"/>
              </w:rPr>
              <w:t>6. člen</w:t>
            </w:r>
          </w:p>
        </w:tc>
        <w:tc>
          <w:tcPr>
            <w:tcW w:w="1495" w:type="dxa"/>
          </w:tcPr>
          <w:p w14:paraId="0C9649EE" w14:textId="77777777" w:rsidR="00572CE1" w:rsidRPr="0023027E" w:rsidRDefault="00572CE1" w:rsidP="00F96770">
            <w:pPr>
              <w:rPr>
                <w:rFonts w:cs="Arial"/>
                <w:szCs w:val="20"/>
              </w:rPr>
            </w:pPr>
          </w:p>
        </w:tc>
        <w:tc>
          <w:tcPr>
            <w:tcW w:w="1495" w:type="dxa"/>
          </w:tcPr>
          <w:p w14:paraId="7C9EF78A" w14:textId="77777777" w:rsidR="00572CE1" w:rsidRPr="0023027E" w:rsidRDefault="00572CE1" w:rsidP="00F96770">
            <w:pPr>
              <w:rPr>
                <w:rFonts w:cs="Arial"/>
                <w:szCs w:val="20"/>
              </w:rPr>
            </w:pPr>
          </w:p>
        </w:tc>
      </w:tr>
      <w:tr w:rsidR="00572CE1" w:rsidRPr="0023027E" w14:paraId="45E82D9F" w14:textId="77777777" w:rsidTr="002F66F3">
        <w:trPr>
          <w:trHeight w:val="564"/>
        </w:trPr>
        <w:tc>
          <w:tcPr>
            <w:tcW w:w="4383" w:type="dxa"/>
          </w:tcPr>
          <w:p w14:paraId="72D3AB51" w14:textId="77777777" w:rsidR="00572CE1" w:rsidRPr="0023027E" w:rsidRDefault="00572CE1" w:rsidP="00F96770">
            <w:pPr>
              <w:rPr>
                <w:rFonts w:cs="Arial"/>
                <w:szCs w:val="20"/>
              </w:rPr>
            </w:pPr>
            <w:r w:rsidRPr="0023027E">
              <w:rPr>
                <w:rFonts w:cs="Arial"/>
                <w:szCs w:val="20"/>
              </w:rPr>
              <w:t>Zakon o upravljavcih alternativnih investicijskih skladov (ZUAIS)</w:t>
            </w:r>
          </w:p>
        </w:tc>
        <w:tc>
          <w:tcPr>
            <w:tcW w:w="1553" w:type="dxa"/>
          </w:tcPr>
          <w:p w14:paraId="3D6031FF" w14:textId="77777777" w:rsidR="00572CE1" w:rsidRPr="0023027E" w:rsidRDefault="00572CE1" w:rsidP="00F96770">
            <w:pPr>
              <w:rPr>
                <w:rFonts w:cs="Arial"/>
                <w:szCs w:val="20"/>
              </w:rPr>
            </w:pPr>
            <w:r w:rsidRPr="0023027E">
              <w:rPr>
                <w:rFonts w:cs="Arial"/>
                <w:szCs w:val="20"/>
              </w:rPr>
              <w:t>8. člen</w:t>
            </w:r>
          </w:p>
        </w:tc>
        <w:tc>
          <w:tcPr>
            <w:tcW w:w="1495" w:type="dxa"/>
          </w:tcPr>
          <w:p w14:paraId="2E6AC8F2" w14:textId="77777777" w:rsidR="00572CE1" w:rsidRPr="0023027E" w:rsidRDefault="00572CE1" w:rsidP="00F96770">
            <w:pPr>
              <w:rPr>
                <w:rFonts w:cs="Arial"/>
                <w:szCs w:val="20"/>
              </w:rPr>
            </w:pPr>
          </w:p>
        </w:tc>
        <w:tc>
          <w:tcPr>
            <w:tcW w:w="1495" w:type="dxa"/>
          </w:tcPr>
          <w:p w14:paraId="51ABC66D" w14:textId="77777777" w:rsidR="00572CE1" w:rsidRPr="0023027E" w:rsidRDefault="00572CE1" w:rsidP="00F96770">
            <w:pPr>
              <w:rPr>
                <w:rFonts w:cs="Arial"/>
                <w:szCs w:val="20"/>
              </w:rPr>
            </w:pPr>
          </w:p>
        </w:tc>
      </w:tr>
      <w:tr w:rsidR="00572CE1" w:rsidRPr="0023027E" w14:paraId="0A4D9115" w14:textId="77777777" w:rsidTr="002F66F3">
        <w:trPr>
          <w:trHeight w:val="409"/>
        </w:trPr>
        <w:tc>
          <w:tcPr>
            <w:tcW w:w="4383" w:type="dxa"/>
          </w:tcPr>
          <w:p w14:paraId="7F6759BF" w14:textId="77777777" w:rsidR="00572CE1" w:rsidRPr="0023027E" w:rsidRDefault="00572CE1" w:rsidP="00F96770">
            <w:pPr>
              <w:rPr>
                <w:rFonts w:cs="Arial"/>
                <w:szCs w:val="20"/>
              </w:rPr>
            </w:pPr>
            <w:r w:rsidRPr="0023027E">
              <w:rPr>
                <w:rFonts w:cs="Arial"/>
                <w:szCs w:val="20"/>
              </w:rPr>
              <w:t>Zakon o bonitetnem nadzoru investicijskih podjetij (ZBNIP)</w:t>
            </w:r>
          </w:p>
        </w:tc>
        <w:tc>
          <w:tcPr>
            <w:tcW w:w="1553" w:type="dxa"/>
          </w:tcPr>
          <w:p w14:paraId="3AEAE65B" w14:textId="77777777" w:rsidR="00572CE1" w:rsidRPr="0023027E" w:rsidRDefault="00572CE1" w:rsidP="00F96770">
            <w:pPr>
              <w:rPr>
                <w:rFonts w:cs="Arial"/>
                <w:szCs w:val="20"/>
              </w:rPr>
            </w:pPr>
            <w:r w:rsidRPr="0023027E">
              <w:rPr>
                <w:rFonts w:cs="Arial"/>
                <w:szCs w:val="20"/>
              </w:rPr>
              <w:t>15. člen</w:t>
            </w:r>
          </w:p>
        </w:tc>
        <w:tc>
          <w:tcPr>
            <w:tcW w:w="1495" w:type="dxa"/>
          </w:tcPr>
          <w:p w14:paraId="6093FAB6" w14:textId="77777777" w:rsidR="00572CE1" w:rsidRPr="0023027E" w:rsidRDefault="00572CE1" w:rsidP="00F96770">
            <w:pPr>
              <w:rPr>
                <w:rFonts w:cs="Arial"/>
                <w:szCs w:val="20"/>
              </w:rPr>
            </w:pPr>
          </w:p>
        </w:tc>
        <w:tc>
          <w:tcPr>
            <w:tcW w:w="1495" w:type="dxa"/>
          </w:tcPr>
          <w:p w14:paraId="2806072A" w14:textId="77777777" w:rsidR="00572CE1" w:rsidRPr="0023027E" w:rsidRDefault="00572CE1" w:rsidP="00F96770">
            <w:pPr>
              <w:rPr>
                <w:rFonts w:cs="Arial"/>
                <w:szCs w:val="20"/>
              </w:rPr>
            </w:pPr>
          </w:p>
        </w:tc>
      </w:tr>
      <w:tr w:rsidR="00572CE1" w:rsidRPr="0023027E" w14:paraId="693824E1" w14:textId="77777777" w:rsidTr="002F66F3">
        <w:trPr>
          <w:trHeight w:val="274"/>
        </w:trPr>
        <w:tc>
          <w:tcPr>
            <w:tcW w:w="4383" w:type="dxa"/>
          </w:tcPr>
          <w:p w14:paraId="5CC3764B" w14:textId="77777777" w:rsidR="00572CE1" w:rsidRPr="0023027E" w:rsidRDefault="00572CE1" w:rsidP="00F96770">
            <w:pPr>
              <w:rPr>
                <w:rFonts w:cs="Arial"/>
                <w:szCs w:val="20"/>
              </w:rPr>
            </w:pPr>
            <w:r w:rsidRPr="0023027E">
              <w:rPr>
                <w:rFonts w:cs="Arial"/>
                <w:szCs w:val="20"/>
              </w:rPr>
              <w:t>Zakona o hipotekarni in komunalni obveznici</w:t>
            </w:r>
          </w:p>
        </w:tc>
        <w:tc>
          <w:tcPr>
            <w:tcW w:w="1553" w:type="dxa"/>
          </w:tcPr>
          <w:p w14:paraId="519E06C4" w14:textId="77777777" w:rsidR="00572CE1" w:rsidRPr="0023027E" w:rsidRDefault="00572CE1" w:rsidP="00F96770">
            <w:pPr>
              <w:rPr>
                <w:rFonts w:cs="Arial"/>
                <w:szCs w:val="20"/>
              </w:rPr>
            </w:pPr>
            <w:r w:rsidRPr="0023027E">
              <w:rPr>
                <w:rFonts w:cs="Arial"/>
                <w:szCs w:val="20"/>
              </w:rPr>
              <w:t>16. člen</w:t>
            </w:r>
          </w:p>
        </w:tc>
        <w:tc>
          <w:tcPr>
            <w:tcW w:w="1495" w:type="dxa"/>
          </w:tcPr>
          <w:p w14:paraId="36768025" w14:textId="77777777" w:rsidR="00572CE1" w:rsidRPr="0023027E" w:rsidRDefault="00572CE1" w:rsidP="00F96770">
            <w:pPr>
              <w:rPr>
                <w:rFonts w:cs="Arial"/>
                <w:szCs w:val="20"/>
              </w:rPr>
            </w:pPr>
          </w:p>
        </w:tc>
        <w:tc>
          <w:tcPr>
            <w:tcW w:w="1495" w:type="dxa"/>
          </w:tcPr>
          <w:p w14:paraId="7B1ED757" w14:textId="77777777" w:rsidR="00572CE1" w:rsidRPr="0023027E" w:rsidRDefault="00572CE1" w:rsidP="00F96770">
            <w:pPr>
              <w:rPr>
                <w:rFonts w:cs="Arial"/>
                <w:szCs w:val="20"/>
              </w:rPr>
            </w:pPr>
          </w:p>
        </w:tc>
      </w:tr>
      <w:tr w:rsidR="00572CE1" w:rsidRPr="0023027E" w14:paraId="5D764F8C" w14:textId="77777777" w:rsidTr="002F66F3">
        <w:trPr>
          <w:trHeight w:val="462"/>
        </w:trPr>
        <w:tc>
          <w:tcPr>
            <w:tcW w:w="4383" w:type="dxa"/>
          </w:tcPr>
          <w:p w14:paraId="29EBCABE" w14:textId="77777777" w:rsidR="00572CE1" w:rsidRPr="0023027E" w:rsidRDefault="00572CE1" w:rsidP="00F96770">
            <w:pPr>
              <w:rPr>
                <w:rFonts w:cs="Arial"/>
                <w:szCs w:val="20"/>
              </w:rPr>
            </w:pPr>
            <w:r w:rsidRPr="0023027E">
              <w:rPr>
                <w:rFonts w:cs="Arial"/>
                <w:szCs w:val="20"/>
              </w:rPr>
              <w:t>Zakona o izvajanju Uredbe (EU) o dokumentih s ključnimi informacijami o paketnih naložbenih produktih za male vlagatelje in zavarovalnih naložbenih produktih</w:t>
            </w:r>
          </w:p>
        </w:tc>
        <w:tc>
          <w:tcPr>
            <w:tcW w:w="1553" w:type="dxa"/>
          </w:tcPr>
          <w:p w14:paraId="55CDB04A" w14:textId="77777777" w:rsidR="00572CE1" w:rsidRPr="0023027E" w:rsidRDefault="00572CE1" w:rsidP="00F96770">
            <w:pPr>
              <w:rPr>
                <w:rFonts w:cs="Arial"/>
                <w:szCs w:val="20"/>
              </w:rPr>
            </w:pPr>
          </w:p>
        </w:tc>
        <w:tc>
          <w:tcPr>
            <w:tcW w:w="1495" w:type="dxa"/>
          </w:tcPr>
          <w:p w14:paraId="4EF0FBD8" w14:textId="77777777" w:rsidR="00572CE1" w:rsidRPr="0023027E" w:rsidRDefault="00572CE1" w:rsidP="00F96770">
            <w:pPr>
              <w:rPr>
                <w:rFonts w:cs="Arial"/>
                <w:szCs w:val="20"/>
              </w:rPr>
            </w:pPr>
            <w:r w:rsidRPr="0023027E">
              <w:rPr>
                <w:rFonts w:cs="Arial"/>
                <w:szCs w:val="20"/>
              </w:rPr>
              <w:t>9. člen</w:t>
            </w:r>
          </w:p>
        </w:tc>
        <w:tc>
          <w:tcPr>
            <w:tcW w:w="1495" w:type="dxa"/>
          </w:tcPr>
          <w:p w14:paraId="0DFA7C11" w14:textId="77777777" w:rsidR="00572CE1" w:rsidRPr="0023027E" w:rsidRDefault="00572CE1" w:rsidP="00F96770">
            <w:pPr>
              <w:rPr>
                <w:rFonts w:cs="Arial"/>
                <w:szCs w:val="20"/>
              </w:rPr>
            </w:pPr>
          </w:p>
        </w:tc>
      </w:tr>
      <w:tr w:rsidR="00572CE1" w:rsidRPr="0023027E" w14:paraId="4AB639D2" w14:textId="77777777" w:rsidTr="002F66F3">
        <w:trPr>
          <w:trHeight w:val="462"/>
        </w:trPr>
        <w:tc>
          <w:tcPr>
            <w:tcW w:w="4383" w:type="dxa"/>
          </w:tcPr>
          <w:p w14:paraId="1ED6909E" w14:textId="77777777" w:rsidR="00572CE1" w:rsidRPr="0023027E" w:rsidRDefault="00572CE1" w:rsidP="00F96770">
            <w:pPr>
              <w:rPr>
                <w:rFonts w:cs="Arial"/>
                <w:szCs w:val="20"/>
              </w:rPr>
            </w:pPr>
            <w:r w:rsidRPr="0023027E">
              <w:rPr>
                <w:rFonts w:cs="Arial"/>
                <w:szCs w:val="20"/>
              </w:rPr>
              <w:t>Zakon o izvajanju Uredbe (EU) o vseevropskem osebnem pokojninskem produktu (ZIUVOPP)</w:t>
            </w:r>
          </w:p>
        </w:tc>
        <w:tc>
          <w:tcPr>
            <w:tcW w:w="1553" w:type="dxa"/>
          </w:tcPr>
          <w:p w14:paraId="2876C050" w14:textId="77777777" w:rsidR="00572CE1" w:rsidRPr="0023027E" w:rsidRDefault="00572CE1" w:rsidP="00F96770">
            <w:pPr>
              <w:rPr>
                <w:rFonts w:cs="Arial"/>
                <w:szCs w:val="20"/>
              </w:rPr>
            </w:pPr>
          </w:p>
        </w:tc>
        <w:tc>
          <w:tcPr>
            <w:tcW w:w="1495" w:type="dxa"/>
          </w:tcPr>
          <w:p w14:paraId="6EBC7867" w14:textId="77777777" w:rsidR="00572CE1" w:rsidRPr="0023027E" w:rsidRDefault="00572CE1" w:rsidP="00F96770">
            <w:pPr>
              <w:rPr>
                <w:rFonts w:cs="Arial"/>
                <w:szCs w:val="20"/>
              </w:rPr>
            </w:pPr>
            <w:r w:rsidRPr="0023027E">
              <w:rPr>
                <w:rFonts w:cs="Arial"/>
                <w:szCs w:val="20"/>
              </w:rPr>
              <w:t>15. člen</w:t>
            </w:r>
          </w:p>
        </w:tc>
        <w:tc>
          <w:tcPr>
            <w:tcW w:w="1495" w:type="dxa"/>
          </w:tcPr>
          <w:p w14:paraId="4F64023A" w14:textId="77777777" w:rsidR="00572CE1" w:rsidRPr="0023027E" w:rsidRDefault="00572CE1" w:rsidP="00F96770">
            <w:pPr>
              <w:rPr>
                <w:rFonts w:cs="Arial"/>
                <w:szCs w:val="20"/>
              </w:rPr>
            </w:pPr>
          </w:p>
        </w:tc>
      </w:tr>
      <w:tr w:rsidR="00572CE1" w:rsidRPr="0023027E" w14:paraId="06F42E90" w14:textId="77777777" w:rsidTr="002F66F3">
        <w:trPr>
          <w:trHeight w:val="375"/>
        </w:trPr>
        <w:tc>
          <w:tcPr>
            <w:tcW w:w="4383" w:type="dxa"/>
          </w:tcPr>
          <w:p w14:paraId="4BD50375" w14:textId="77777777" w:rsidR="00572CE1" w:rsidRPr="0023027E" w:rsidRDefault="00572CE1" w:rsidP="00F96770">
            <w:pPr>
              <w:rPr>
                <w:rFonts w:cs="Arial"/>
                <w:szCs w:val="20"/>
              </w:rPr>
            </w:pPr>
            <w:r w:rsidRPr="0023027E">
              <w:rPr>
                <w:rFonts w:cs="Arial"/>
                <w:szCs w:val="20"/>
              </w:rPr>
              <w:lastRenderedPageBreak/>
              <w:t xml:space="preserve">Zakon o izvajanju Uredbe (EU) o trgih </w:t>
            </w:r>
            <w:proofErr w:type="spellStart"/>
            <w:r w:rsidRPr="0023027E">
              <w:rPr>
                <w:rFonts w:cs="Arial"/>
                <w:szCs w:val="20"/>
              </w:rPr>
              <w:t>kriptosredstev</w:t>
            </w:r>
            <w:proofErr w:type="spellEnd"/>
            <w:r w:rsidRPr="0023027E">
              <w:rPr>
                <w:rFonts w:cs="Arial"/>
                <w:szCs w:val="20"/>
              </w:rPr>
              <w:t xml:space="preserve"> (ZIUTK)</w:t>
            </w:r>
          </w:p>
        </w:tc>
        <w:tc>
          <w:tcPr>
            <w:tcW w:w="1553" w:type="dxa"/>
          </w:tcPr>
          <w:p w14:paraId="45F274FF" w14:textId="77777777" w:rsidR="00572CE1" w:rsidRPr="0023027E" w:rsidRDefault="00572CE1" w:rsidP="00F96770">
            <w:pPr>
              <w:rPr>
                <w:rFonts w:cs="Arial"/>
                <w:szCs w:val="20"/>
              </w:rPr>
            </w:pPr>
          </w:p>
        </w:tc>
        <w:tc>
          <w:tcPr>
            <w:tcW w:w="1495" w:type="dxa"/>
          </w:tcPr>
          <w:p w14:paraId="017F3E25" w14:textId="77777777" w:rsidR="00572CE1" w:rsidRPr="0023027E" w:rsidRDefault="00572CE1" w:rsidP="00F96770">
            <w:pPr>
              <w:rPr>
                <w:rFonts w:cs="Arial"/>
                <w:szCs w:val="20"/>
              </w:rPr>
            </w:pPr>
            <w:r w:rsidRPr="0023027E">
              <w:rPr>
                <w:rFonts w:cs="Arial"/>
                <w:szCs w:val="20"/>
              </w:rPr>
              <w:t>18. člen</w:t>
            </w:r>
          </w:p>
        </w:tc>
        <w:tc>
          <w:tcPr>
            <w:tcW w:w="1495" w:type="dxa"/>
          </w:tcPr>
          <w:p w14:paraId="097FCD50" w14:textId="77777777" w:rsidR="00572CE1" w:rsidRPr="0023027E" w:rsidRDefault="00572CE1" w:rsidP="00F96770">
            <w:pPr>
              <w:rPr>
                <w:rFonts w:cs="Arial"/>
                <w:szCs w:val="20"/>
              </w:rPr>
            </w:pPr>
          </w:p>
        </w:tc>
      </w:tr>
      <w:tr w:rsidR="00572CE1" w:rsidRPr="0023027E" w14:paraId="16C532B1" w14:textId="77777777" w:rsidTr="002F66F3">
        <w:trPr>
          <w:trHeight w:val="462"/>
        </w:trPr>
        <w:tc>
          <w:tcPr>
            <w:tcW w:w="4383" w:type="dxa"/>
          </w:tcPr>
          <w:p w14:paraId="60AB07A4" w14:textId="77777777" w:rsidR="00572CE1" w:rsidRPr="0023027E" w:rsidRDefault="00572CE1" w:rsidP="00F96770">
            <w:pPr>
              <w:rPr>
                <w:rFonts w:cs="Arial"/>
                <w:szCs w:val="20"/>
              </w:rPr>
            </w:pPr>
            <w:r w:rsidRPr="0023027E">
              <w:rPr>
                <w:rFonts w:cs="Arial"/>
                <w:szCs w:val="20"/>
              </w:rPr>
              <w:t xml:space="preserve">Zakon o izvajanju Uredbe (EU) o evropskih zelenih obveznicah in neobveznih razkritjih za obveznice, ki se tržijo kot </w:t>
            </w:r>
            <w:proofErr w:type="spellStart"/>
            <w:r w:rsidRPr="0023027E">
              <w:rPr>
                <w:rFonts w:cs="Arial"/>
                <w:szCs w:val="20"/>
              </w:rPr>
              <w:t>okoljsko</w:t>
            </w:r>
            <w:proofErr w:type="spellEnd"/>
            <w:r w:rsidRPr="0023027E">
              <w:rPr>
                <w:rFonts w:cs="Arial"/>
                <w:szCs w:val="20"/>
              </w:rPr>
              <w:t xml:space="preserve"> trajnostne obveznice, in za obveznice, povezane s </w:t>
            </w:r>
            <w:proofErr w:type="spellStart"/>
            <w:r w:rsidRPr="0023027E">
              <w:rPr>
                <w:rFonts w:cs="Arial"/>
                <w:szCs w:val="20"/>
              </w:rPr>
              <w:t>trajnostnostjo</w:t>
            </w:r>
            <w:proofErr w:type="spellEnd"/>
            <w:r w:rsidRPr="0023027E">
              <w:rPr>
                <w:rFonts w:cs="Arial"/>
                <w:szCs w:val="20"/>
              </w:rPr>
              <w:t xml:space="preserve"> (ZIUEZO)</w:t>
            </w:r>
          </w:p>
        </w:tc>
        <w:tc>
          <w:tcPr>
            <w:tcW w:w="1553" w:type="dxa"/>
          </w:tcPr>
          <w:p w14:paraId="1C50FF0D" w14:textId="77777777" w:rsidR="00572CE1" w:rsidRPr="0023027E" w:rsidRDefault="00572CE1" w:rsidP="00F96770">
            <w:pPr>
              <w:rPr>
                <w:rFonts w:cs="Arial"/>
                <w:szCs w:val="20"/>
              </w:rPr>
            </w:pPr>
          </w:p>
        </w:tc>
        <w:tc>
          <w:tcPr>
            <w:tcW w:w="1495" w:type="dxa"/>
          </w:tcPr>
          <w:p w14:paraId="6A55570F" w14:textId="77777777" w:rsidR="00572CE1" w:rsidRPr="0023027E" w:rsidRDefault="00572CE1" w:rsidP="00F96770">
            <w:pPr>
              <w:rPr>
                <w:rFonts w:cs="Arial"/>
                <w:szCs w:val="20"/>
              </w:rPr>
            </w:pPr>
            <w:r w:rsidRPr="0023027E">
              <w:rPr>
                <w:rFonts w:cs="Arial"/>
                <w:szCs w:val="20"/>
              </w:rPr>
              <w:t>19. člen</w:t>
            </w:r>
          </w:p>
        </w:tc>
        <w:tc>
          <w:tcPr>
            <w:tcW w:w="1495" w:type="dxa"/>
          </w:tcPr>
          <w:p w14:paraId="66F9C346" w14:textId="77777777" w:rsidR="00572CE1" w:rsidRPr="0023027E" w:rsidRDefault="00572CE1" w:rsidP="00F96770">
            <w:pPr>
              <w:rPr>
                <w:rFonts w:cs="Arial"/>
                <w:szCs w:val="20"/>
              </w:rPr>
            </w:pPr>
          </w:p>
        </w:tc>
      </w:tr>
      <w:tr w:rsidR="00572CE1" w:rsidRPr="0023027E" w14:paraId="6759E283" w14:textId="77777777" w:rsidTr="002F66F3">
        <w:trPr>
          <w:trHeight w:val="462"/>
        </w:trPr>
        <w:tc>
          <w:tcPr>
            <w:tcW w:w="4383" w:type="dxa"/>
          </w:tcPr>
          <w:p w14:paraId="2636771C" w14:textId="77777777" w:rsidR="00572CE1" w:rsidRPr="0023027E" w:rsidRDefault="00572CE1" w:rsidP="00F96770">
            <w:pPr>
              <w:rPr>
                <w:rFonts w:cs="Arial"/>
                <w:szCs w:val="20"/>
              </w:rPr>
            </w:pPr>
          </w:p>
        </w:tc>
        <w:tc>
          <w:tcPr>
            <w:tcW w:w="1553" w:type="dxa"/>
          </w:tcPr>
          <w:p w14:paraId="1284399A" w14:textId="77777777" w:rsidR="00572CE1" w:rsidRPr="0023027E" w:rsidRDefault="00572CE1" w:rsidP="00F96770">
            <w:pPr>
              <w:rPr>
                <w:rFonts w:cs="Arial"/>
                <w:szCs w:val="20"/>
              </w:rPr>
            </w:pPr>
          </w:p>
        </w:tc>
        <w:tc>
          <w:tcPr>
            <w:tcW w:w="1495" w:type="dxa"/>
          </w:tcPr>
          <w:p w14:paraId="75A286E8" w14:textId="77777777" w:rsidR="00572CE1" w:rsidRPr="0023027E" w:rsidRDefault="00572CE1" w:rsidP="00F96770">
            <w:pPr>
              <w:rPr>
                <w:rFonts w:cs="Arial"/>
                <w:szCs w:val="20"/>
              </w:rPr>
            </w:pPr>
          </w:p>
        </w:tc>
        <w:tc>
          <w:tcPr>
            <w:tcW w:w="1495" w:type="dxa"/>
          </w:tcPr>
          <w:p w14:paraId="771E7ACC" w14:textId="77777777" w:rsidR="00572CE1" w:rsidRPr="0023027E" w:rsidRDefault="00572CE1" w:rsidP="00F96770">
            <w:pPr>
              <w:rPr>
                <w:rFonts w:cs="Arial"/>
                <w:szCs w:val="20"/>
              </w:rPr>
            </w:pPr>
            <w:r w:rsidRPr="0023027E">
              <w:rPr>
                <w:rFonts w:cs="Arial"/>
                <w:szCs w:val="20"/>
              </w:rPr>
              <w:t>3. člen</w:t>
            </w:r>
          </w:p>
        </w:tc>
      </w:tr>
      <w:tr w:rsidR="00572CE1" w:rsidRPr="0023027E" w14:paraId="27367877" w14:textId="77777777" w:rsidTr="002F66F3">
        <w:trPr>
          <w:trHeight w:val="462"/>
        </w:trPr>
        <w:tc>
          <w:tcPr>
            <w:tcW w:w="4383" w:type="dxa"/>
          </w:tcPr>
          <w:p w14:paraId="7E53A5E9" w14:textId="77777777" w:rsidR="00572CE1" w:rsidRPr="0023027E" w:rsidRDefault="00572CE1" w:rsidP="00F96770">
            <w:pPr>
              <w:rPr>
                <w:rFonts w:cs="Arial"/>
                <w:szCs w:val="20"/>
              </w:rPr>
            </w:pPr>
          </w:p>
        </w:tc>
        <w:tc>
          <w:tcPr>
            <w:tcW w:w="1553" w:type="dxa"/>
          </w:tcPr>
          <w:p w14:paraId="6A10D22E" w14:textId="77777777" w:rsidR="00572CE1" w:rsidRPr="0023027E" w:rsidRDefault="00572CE1" w:rsidP="00F96770">
            <w:pPr>
              <w:rPr>
                <w:rFonts w:cs="Arial"/>
                <w:szCs w:val="20"/>
              </w:rPr>
            </w:pPr>
          </w:p>
        </w:tc>
        <w:tc>
          <w:tcPr>
            <w:tcW w:w="1495" w:type="dxa"/>
          </w:tcPr>
          <w:p w14:paraId="225C1657" w14:textId="77777777" w:rsidR="00572CE1" w:rsidRPr="0023027E" w:rsidRDefault="00572CE1" w:rsidP="00F96770">
            <w:pPr>
              <w:rPr>
                <w:rFonts w:cs="Arial"/>
                <w:szCs w:val="20"/>
              </w:rPr>
            </w:pPr>
          </w:p>
        </w:tc>
        <w:tc>
          <w:tcPr>
            <w:tcW w:w="1495" w:type="dxa"/>
          </w:tcPr>
          <w:p w14:paraId="41D1C319" w14:textId="77777777" w:rsidR="00572CE1" w:rsidRPr="0023027E" w:rsidRDefault="00572CE1" w:rsidP="00F96770">
            <w:pPr>
              <w:rPr>
                <w:rFonts w:cs="Arial"/>
                <w:szCs w:val="20"/>
              </w:rPr>
            </w:pPr>
            <w:r w:rsidRPr="0023027E">
              <w:rPr>
                <w:rFonts w:cs="Arial"/>
                <w:szCs w:val="20"/>
              </w:rPr>
              <w:t>5. člen</w:t>
            </w:r>
          </w:p>
        </w:tc>
      </w:tr>
    </w:tbl>
    <w:p w14:paraId="6FB833A9" w14:textId="77777777" w:rsidR="00572CE1" w:rsidRPr="0023027E" w:rsidRDefault="00572CE1" w:rsidP="00C64B3F">
      <w:pPr>
        <w:spacing w:line="276" w:lineRule="auto"/>
        <w:jc w:val="both"/>
        <w:rPr>
          <w:rFonts w:cs="Arial"/>
          <w:szCs w:val="20"/>
        </w:rPr>
      </w:pPr>
    </w:p>
    <w:p w14:paraId="08A2D0B6" w14:textId="29C849DE" w:rsidR="00DA3183" w:rsidRDefault="00DA3183" w:rsidP="00C64B3F">
      <w:pPr>
        <w:spacing w:line="276" w:lineRule="auto"/>
        <w:jc w:val="both"/>
        <w:rPr>
          <w:rFonts w:cs="Arial"/>
          <w:szCs w:val="20"/>
        </w:rPr>
      </w:pPr>
      <w:r w:rsidRPr="00DA3183">
        <w:rPr>
          <w:rFonts w:cs="Arial"/>
          <w:szCs w:val="20"/>
        </w:rPr>
        <w:t>Poleg sprememb prej navedenih zakonov je treb</w:t>
      </w:r>
      <w:r w:rsidR="00053381">
        <w:rPr>
          <w:rFonts w:cs="Arial"/>
          <w:szCs w:val="20"/>
        </w:rPr>
        <w:t>a</w:t>
      </w:r>
      <w:r w:rsidRPr="00DA3183">
        <w:rPr>
          <w:rFonts w:cs="Arial"/>
          <w:szCs w:val="20"/>
        </w:rPr>
        <w:t xml:space="preserve"> za uredit</w:t>
      </w:r>
      <w:r w:rsidR="00053381">
        <w:rPr>
          <w:rFonts w:cs="Arial"/>
          <w:szCs w:val="20"/>
        </w:rPr>
        <w:t>e</w:t>
      </w:r>
      <w:r w:rsidRPr="00DA3183">
        <w:rPr>
          <w:rFonts w:cs="Arial"/>
          <w:szCs w:val="20"/>
        </w:rPr>
        <w:t xml:space="preserve">v izvajanja 17. člena Uredbe 2023/2869/EU dopolniti Uredbo o izvajanju Uredbe (EU) o razkritjih, povezanih s </w:t>
      </w:r>
      <w:proofErr w:type="spellStart"/>
      <w:r w:rsidRPr="00DA3183">
        <w:rPr>
          <w:rFonts w:cs="Arial"/>
          <w:szCs w:val="20"/>
        </w:rPr>
        <w:t>trajnostnostjo</w:t>
      </w:r>
      <w:proofErr w:type="spellEnd"/>
      <w:r w:rsidRPr="00DA3183">
        <w:rPr>
          <w:rFonts w:cs="Arial"/>
          <w:szCs w:val="20"/>
        </w:rPr>
        <w:t>, v sektorju finančnih storitev (Uradni list RS, št. 17/23), kar ni del tega predloga zakona.</w:t>
      </w:r>
    </w:p>
    <w:p w14:paraId="692D8266" w14:textId="77777777" w:rsidR="00DA3183" w:rsidRDefault="00DA3183" w:rsidP="00C64B3F">
      <w:pPr>
        <w:spacing w:line="276" w:lineRule="auto"/>
        <w:jc w:val="both"/>
        <w:rPr>
          <w:rFonts w:cs="Arial"/>
          <w:szCs w:val="20"/>
        </w:rPr>
      </w:pPr>
    </w:p>
    <w:p w14:paraId="11F06A4F" w14:textId="354E37D0" w:rsidR="00572CE1" w:rsidRPr="0023027E" w:rsidRDefault="00B04E09" w:rsidP="00C64B3F">
      <w:pPr>
        <w:spacing w:line="276" w:lineRule="auto"/>
        <w:jc w:val="both"/>
        <w:rPr>
          <w:rFonts w:cs="Arial"/>
          <w:szCs w:val="20"/>
        </w:rPr>
      </w:pPr>
      <w:r w:rsidRPr="0023027E">
        <w:rPr>
          <w:rFonts w:cs="Arial"/>
          <w:szCs w:val="20"/>
        </w:rPr>
        <w:t xml:space="preserve">Hkrati so bile že </w:t>
      </w:r>
      <w:r w:rsidR="000E6D44" w:rsidRPr="0023027E">
        <w:rPr>
          <w:rFonts w:cs="Arial"/>
          <w:szCs w:val="20"/>
        </w:rPr>
        <w:t>prenesene</w:t>
      </w:r>
      <w:r w:rsidRPr="0023027E">
        <w:rPr>
          <w:rFonts w:cs="Arial"/>
          <w:szCs w:val="20"/>
        </w:rPr>
        <w:t xml:space="preserve"> nekatere določbe Direktive 2023/2864/EU in </w:t>
      </w:r>
      <w:r w:rsidR="000E6D44" w:rsidRPr="0023027E">
        <w:rPr>
          <w:rFonts w:cs="Arial"/>
          <w:szCs w:val="20"/>
        </w:rPr>
        <w:t>ur</w:t>
      </w:r>
      <w:r w:rsidR="00053381">
        <w:rPr>
          <w:rFonts w:cs="Arial"/>
          <w:szCs w:val="20"/>
        </w:rPr>
        <w:t>e</w:t>
      </w:r>
      <w:r w:rsidR="000E6D44" w:rsidRPr="0023027E">
        <w:rPr>
          <w:rFonts w:cs="Arial"/>
          <w:szCs w:val="20"/>
        </w:rPr>
        <w:t>jeno</w:t>
      </w:r>
      <w:r w:rsidRPr="0023027E">
        <w:rPr>
          <w:rFonts w:cs="Arial"/>
          <w:szCs w:val="20"/>
        </w:rPr>
        <w:t xml:space="preserve"> izvajanje Uredbe 2023/2859/EU z novelami zakonov, navedeni</w:t>
      </w:r>
      <w:r w:rsidR="00053381">
        <w:rPr>
          <w:rFonts w:cs="Arial"/>
          <w:szCs w:val="20"/>
        </w:rPr>
        <w:t>h</w:t>
      </w:r>
      <w:r w:rsidRPr="0023027E">
        <w:rPr>
          <w:rFonts w:cs="Arial"/>
          <w:szCs w:val="20"/>
        </w:rPr>
        <w:t xml:space="preserve"> v spodnji </w:t>
      </w:r>
      <w:r w:rsidR="00053381">
        <w:rPr>
          <w:rFonts w:cs="Arial"/>
          <w:szCs w:val="20"/>
        </w:rPr>
        <w:t>preglednici</w:t>
      </w:r>
      <w:r w:rsidRPr="0023027E">
        <w:rPr>
          <w:rFonts w:cs="Arial"/>
          <w:szCs w:val="20"/>
        </w:rPr>
        <w:t>.</w:t>
      </w:r>
    </w:p>
    <w:p w14:paraId="4F2B17B7" w14:textId="77777777" w:rsidR="00B04E09" w:rsidRPr="0023027E" w:rsidRDefault="00B04E09" w:rsidP="00C64B3F">
      <w:pPr>
        <w:spacing w:line="276" w:lineRule="auto"/>
        <w:jc w:val="both"/>
        <w:rPr>
          <w:rFonts w:cs="Arial"/>
          <w:szCs w:val="20"/>
        </w:rPr>
      </w:pPr>
    </w:p>
    <w:tbl>
      <w:tblPr>
        <w:tblStyle w:val="Tabelamrea"/>
        <w:tblW w:w="8642" w:type="dxa"/>
        <w:tblLook w:val="04A0" w:firstRow="1" w:lastRow="0" w:firstColumn="1" w:lastColumn="0" w:noHBand="0" w:noVBand="1"/>
      </w:tblPr>
      <w:tblGrid>
        <w:gridCol w:w="5171"/>
        <w:gridCol w:w="1976"/>
        <w:gridCol w:w="1495"/>
      </w:tblGrid>
      <w:tr w:rsidR="00B04E09" w:rsidRPr="0023027E" w14:paraId="6540E942" w14:textId="77777777" w:rsidTr="00F96770">
        <w:trPr>
          <w:trHeight w:val="462"/>
        </w:trPr>
        <w:tc>
          <w:tcPr>
            <w:tcW w:w="5240" w:type="dxa"/>
          </w:tcPr>
          <w:p w14:paraId="4339981A" w14:textId="77777777" w:rsidR="00B04E09" w:rsidRPr="0023027E" w:rsidRDefault="00B04E09" w:rsidP="00F96770">
            <w:pPr>
              <w:rPr>
                <w:rFonts w:cs="Arial"/>
                <w:b/>
                <w:bCs/>
                <w:szCs w:val="20"/>
              </w:rPr>
            </w:pPr>
            <w:r w:rsidRPr="0023027E">
              <w:rPr>
                <w:rFonts w:cs="Arial"/>
                <w:b/>
                <w:bCs/>
                <w:szCs w:val="20"/>
              </w:rPr>
              <w:t>Zakon</w:t>
            </w:r>
          </w:p>
        </w:tc>
        <w:tc>
          <w:tcPr>
            <w:tcW w:w="1985" w:type="dxa"/>
          </w:tcPr>
          <w:p w14:paraId="138D085F" w14:textId="77777777" w:rsidR="00B04E09" w:rsidRPr="0023027E" w:rsidRDefault="00B04E09" w:rsidP="00F96770">
            <w:pPr>
              <w:rPr>
                <w:rFonts w:cs="Arial"/>
                <w:b/>
                <w:bCs/>
                <w:szCs w:val="20"/>
              </w:rPr>
            </w:pPr>
            <w:r w:rsidRPr="0023027E">
              <w:rPr>
                <w:rFonts w:cs="Arial"/>
                <w:b/>
                <w:bCs/>
                <w:szCs w:val="20"/>
              </w:rPr>
              <w:t>Člen Direktive 2023/2864/EU</w:t>
            </w:r>
          </w:p>
        </w:tc>
        <w:tc>
          <w:tcPr>
            <w:tcW w:w="1417" w:type="dxa"/>
          </w:tcPr>
          <w:p w14:paraId="2486DFB5" w14:textId="77777777" w:rsidR="00B04E09" w:rsidRPr="0023027E" w:rsidRDefault="00B04E09" w:rsidP="00F96770">
            <w:pPr>
              <w:rPr>
                <w:rFonts w:cs="Arial"/>
                <w:b/>
                <w:bCs/>
                <w:szCs w:val="20"/>
              </w:rPr>
            </w:pPr>
            <w:r w:rsidRPr="0023027E">
              <w:rPr>
                <w:rFonts w:cs="Arial"/>
                <w:b/>
                <w:bCs/>
                <w:szCs w:val="20"/>
              </w:rPr>
              <w:t>Člen Uredbe 2023/2869/EU</w:t>
            </w:r>
          </w:p>
        </w:tc>
      </w:tr>
      <w:tr w:rsidR="00B04E09" w:rsidRPr="0023027E" w14:paraId="60EAA197" w14:textId="77777777" w:rsidTr="00F96770">
        <w:trPr>
          <w:trHeight w:val="435"/>
        </w:trPr>
        <w:tc>
          <w:tcPr>
            <w:tcW w:w="5240" w:type="dxa"/>
          </w:tcPr>
          <w:p w14:paraId="06418643" w14:textId="77777777" w:rsidR="00B04E09" w:rsidRPr="0023027E" w:rsidRDefault="00B04E09" w:rsidP="00F96770">
            <w:pPr>
              <w:rPr>
                <w:rFonts w:cs="Arial"/>
                <w:szCs w:val="20"/>
              </w:rPr>
            </w:pPr>
            <w:r w:rsidRPr="0023027E">
              <w:rPr>
                <w:rFonts w:cs="Arial"/>
                <w:szCs w:val="20"/>
              </w:rPr>
              <w:t>Novela Zakona o trgu finančnih instrumentov (ZTFI-1)</w:t>
            </w:r>
          </w:p>
        </w:tc>
        <w:tc>
          <w:tcPr>
            <w:tcW w:w="1985" w:type="dxa"/>
          </w:tcPr>
          <w:p w14:paraId="1AC8606E" w14:textId="77777777" w:rsidR="00B04E09" w:rsidRPr="0023027E" w:rsidRDefault="00B04E09" w:rsidP="00F96770">
            <w:pPr>
              <w:rPr>
                <w:rFonts w:cs="Arial"/>
                <w:szCs w:val="20"/>
              </w:rPr>
            </w:pPr>
            <w:r w:rsidRPr="0023027E">
              <w:rPr>
                <w:rFonts w:cs="Arial"/>
                <w:szCs w:val="20"/>
              </w:rPr>
              <w:t>3. in 12. člen</w:t>
            </w:r>
          </w:p>
        </w:tc>
        <w:tc>
          <w:tcPr>
            <w:tcW w:w="1417" w:type="dxa"/>
          </w:tcPr>
          <w:p w14:paraId="14281642" w14:textId="77777777" w:rsidR="00B04E09" w:rsidRPr="0023027E" w:rsidRDefault="00B04E09" w:rsidP="00F96770">
            <w:pPr>
              <w:rPr>
                <w:rFonts w:cs="Arial"/>
                <w:szCs w:val="20"/>
              </w:rPr>
            </w:pPr>
            <w:r w:rsidRPr="0023027E">
              <w:rPr>
                <w:rFonts w:cs="Arial"/>
                <w:szCs w:val="20"/>
              </w:rPr>
              <w:t>7. člen</w:t>
            </w:r>
          </w:p>
        </w:tc>
      </w:tr>
      <w:tr w:rsidR="00B04E09" w:rsidRPr="0023027E" w14:paraId="1C42482E" w14:textId="77777777" w:rsidTr="00F96770">
        <w:trPr>
          <w:trHeight w:val="276"/>
        </w:trPr>
        <w:tc>
          <w:tcPr>
            <w:tcW w:w="5240" w:type="dxa"/>
          </w:tcPr>
          <w:p w14:paraId="2445FFDD" w14:textId="77777777" w:rsidR="00B04E09" w:rsidRPr="0023027E" w:rsidRDefault="00B04E09" w:rsidP="00F96770">
            <w:pPr>
              <w:rPr>
                <w:rFonts w:cs="Arial"/>
                <w:szCs w:val="20"/>
              </w:rPr>
            </w:pPr>
            <w:r w:rsidRPr="0023027E">
              <w:rPr>
                <w:rFonts w:cs="Arial"/>
                <w:szCs w:val="20"/>
              </w:rPr>
              <w:t>Novela Zakona o zavarovalništvu (ZZavar-1)</w:t>
            </w:r>
          </w:p>
        </w:tc>
        <w:tc>
          <w:tcPr>
            <w:tcW w:w="1985" w:type="dxa"/>
          </w:tcPr>
          <w:p w14:paraId="2C758B3E" w14:textId="77777777" w:rsidR="00B04E09" w:rsidRPr="0023027E" w:rsidRDefault="00B04E09" w:rsidP="00F96770">
            <w:pPr>
              <w:rPr>
                <w:rFonts w:cs="Arial"/>
                <w:szCs w:val="20"/>
              </w:rPr>
            </w:pPr>
            <w:r w:rsidRPr="0023027E">
              <w:rPr>
                <w:rFonts w:cs="Arial"/>
                <w:szCs w:val="20"/>
              </w:rPr>
              <w:t>7. in 13. člen</w:t>
            </w:r>
          </w:p>
        </w:tc>
        <w:tc>
          <w:tcPr>
            <w:tcW w:w="1417" w:type="dxa"/>
          </w:tcPr>
          <w:p w14:paraId="346B87B7" w14:textId="77777777" w:rsidR="00B04E09" w:rsidRPr="0023027E" w:rsidRDefault="00B04E09" w:rsidP="00F96770">
            <w:pPr>
              <w:rPr>
                <w:rFonts w:cs="Arial"/>
                <w:szCs w:val="20"/>
              </w:rPr>
            </w:pPr>
          </w:p>
        </w:tc>
      </w:tr>
      <w:tr w:rsidR="00B04E09" w:rsidRPr="0023027E" w14:paraId="3BCA0DA0" w14:textId="77777777" w:rsidTr="00F96770">
        <w:trPr>
          <w:trHeight w:val="494"/>
        </w:trPr>
        <w:tc>
          <w:tcPr>
            <w:tcW w:w="5240" w:type="dxa"/>
          </w:tcPr>
          <w:p w14:paraId="35D7D83D" w14:textId="77777777" w:rsidR="00B04E09" w:rsidRPr="0023027E" w:rsidRDefault="00B04E09" w:rsidP="00F96770">
            <w:pPr>
              <w:rPr>
                <w:rFonts w:cs="Arial"/>
                <w:szCs w:val="20"/>
              </w:rPr>
            </w:pPr>
            <w:r w:rsidRPr="0023027E">
              <w:rPr>
                <w:rFonts w:cs="Arial"/>
                <w:szCs w:val="20"/>
              </w:rPr>
              <w:t>Novela Zakona o bančništvu</w:t>
            </w:r>
          </w:p>
        </w:tc>
        <w:tc>
          <w:tcPr>
            <w:tcW w:w="1985" w:type="dxa"/>
          </w:tcPr>
          <w:p w14:paraId="348F7999" w14:textId="77777777" w:rsidR="00B04E09" w:rsidRPr="0023027E" w:rsidRDefault="00B04E09" w:rsidP="00F96770">
            <w:pPr>
              <w:rPr>
                <w:rFonts w:cs="Arial"/>
                <w:szCs w:val="20"/>
              </w:rPr>
            </w:pPr>
            <w:r w:rsidRPr="0023027E">
              <w:rPr>
                <w:rFonts w:cs="Arial"/>
                <w:szCs w:val="20"/>
              </w:rPr>
              <w:t>10. in 11. člen</w:t>
            </w:r>
          </w:p>
        </w:tc>
        <w:tc>
          <w:tcPr>
            <w:tcW w:w="1417" w:type="dxa"/>
          </w:tcPr>
          <w:p w14:paraId="7F38A976" w14:textId="77777777" w:rsidR="00B04E09" w:rsidRPr="0023027E" w:rsidRDefault="00B04E09" w:rsidP="00F96770">
            <w:pPr>
              <w:rPr>
                <w:rFonts w:cs="Arial"/>
                <w:szCs w:val="20"/>
              </w:rPr>
            </w:pPr>
          </w:p>
        </w:tc>
      </w:tr>
    </w:tbl>
    <w:p w14:paraId="51799368" w14:textId="77777777" w:rsidR="00B04E09" w:rsidRPr="0023027E" w:rsidRDefault="00B04E09" w:rsidP="00C64B3F">
      <w:pPr>
        <w:spacing w:line="276" w:lineRule="auto"/>
        <w:jc w:val="both"/>
        <w:rPr>
          <w:rFonts w:cs="Arial"/>
          <w:szCs w:val="20"/>
        </w:rPr>
      </w:pPr>
    </w:p>
    <w:p w14:paraId="7504DE6E" w14:textId="76E9FD4B" w:rsidR="006026E4" w:rsidRPr="0023027E" w:rsidRDefault="006026E4" w:rsidP="006026E4">
      <w:pPr>
        <w:spacing w:line="276" w:lineRule="auto"/>
        <w:jc w:val="both"/>
        <w:rPr>
          <w:rFonts w:cs="Arial"/>
          <w:szCs w:val="20"/>
        </w:rPr>
      </w:pPr>
      <w:r w:rsidRPr="0023027E">
        <w:rPr>
          <w:rFonts w:cs="Arial"/>
          <w:szCs w:val="20"/>
        </w:rPr>
        <w:t>Predlog zakona je pripravljen kot t.</w:t>
      </w:r>
      <w:r>
        <w:rPr>
          <w:rFonts w:cs="Arial"/>
          <w:szCs w:val="20"/>
        </w:rPr>
        <w:t xml:space="preserve"> </w:t>
      </w:r>
      <w:r w:rsidRPr="0023027E">
        <w:rPr>
          <w:rFonts w:cs="Arial"/>
          <w:szCs w:val="20"/>
        </w:rPr>
        <w:t xml:space="preserve">i. </w:t>
      </w:r>
      <w:r w:rsidRPr="00A607FE">
        <w:rPr>
          <w:rFonts w:cs="Arial"/>
          <w:szCs w:val="20"/>
        </w:rPr>
        <w:t>omnibus</w:t>
      </w:r>
      <w:r w:rsidR="005E4250">
        <w:rPr>
          <w:rFonts w:cs="Arial"/>
          <w:szCs w:val="20"/>
        </w:rPr>
        <w:t xml:space="preserve"> zakon</w:t>
      </w:r>
      <w:r w:rsidRPr="0023027E">
        <w:rPr>
          <w:rFonts w:cs="Arial"/>
          <w:szCs w:val="20"/>
        </w:rPr>
        <w:t xml:space="preserve">. </w:t>
      </w:r>
      <w:r>
        <w:rPr>
          <w:rFonts w:cs="Arial"/>
          <w:szCs w:val="20"/>
        </w:rPr>
        <w:t>Ta</w:t>
      </w:r>
      <w:r w:rsidRPr="0023027E">
        <w:rPr>
          <w:rFonts w:cs="Arial"/>
          <w:szCs w:val="20"/>
        </w:rPr>
        <w:t xml:space="preserve"> navadno pomeni </w:t>
      </w:r>
      <w:r>
        <w:rPr>
          <w:rFonts w:cs="Arial"/>
          <w:szCs w:val="20"/>
        </w:rPr>
        <w:t>več</w:t>
      </w:r>
      <w:r w:rsidRPr="0023027E">
        <w:rPr>
          <w:rFonts w:cs="Arial"/>
          <w:szCs w:val="20"/>
        </w:rPr>
        <w:t xml:space="preserve"> ukrepov, zajeti</w:t>
      </w:r>
      <w:r>
        <w:rPr>
          <w:rFonts w:cs="Arial"/>
          <w:szCs w:val="20"/>
        </w:rPr>
        <w:t>h</w:t>
      </w:r>
      <w:r w:rsidRPr="0023027E">
        <w:rPr>
          <w:rFonts w:cs="Arial"/>
          <w:szCs w:val="20"/>
        </w:rPr>
        <w:t xml:space="preserve"> v različnih zakonih, ki jih tak zakon novelira, povezani pa so s skupnim namenom, opredeljen</w:t>
      </w:r>
      <w:r>
        <w:rPr>
          <w:rFonts w:cs="Arial"/>
          <w:szCs w:val="20"/>
        </w:rPr>
        <w:t>im</w:t>
      </w:r>
      <w:r w:rsidRPr="0023027E">
        <w:rPr>
          <w:rFonts w:cs="Arial"/>
          <w:szCs w:val="20"/>
        </w:rPr>
        <w:t xml:space="preserve"> v </w:t>
      </w:r>
      <w:r w:rsidR="00B403C3">
        <w:t>1</w:t>
      </w:r>
      <w:r w:rsidRPr="0023027E">
        <w:rPr>
          <w:rFonts w:cs="Arial"/>
          <w:szCs w:val="20"/>
        </w:rPr>
        <w:t xml:space="preserve">. členu predloga zakona, ki tudi sicer določi vsebino in namen zakonskega urejanja. Omnibus tehnika je </w:t>
      </w:r>
      <w:r>
        <w:rPr>
          <w:rFonts w:cs="Arial"/>
          <w:szCs w:val="20"/>
        </w:rPr>
        <w:t>ob</w:t>
      </w:r>
      <w:r w:rsidRPr="0023027E">
        <w:rPr>
          <w:rFonts w:cs="Arial"/>
          <w:szCs w:val="20"/>
        </w:rPr>
        <w:t xml:space="preserve"> vsebinsk</w:t>
      </w:r>
      <w:r>
        <w:rPr>
          <w:rFonts w:cs="Arial"/>
          <w:szCs w:val="20"/>
        </w:rPr>
        <w:t>i</w:t>
      </w:r>
      <w:r w:rsidRPr="0023027E">
        <w:rPr>
          <w:rFonts w:cs="Arial"/>
          <w:szCs w:val="20"/>
        </w:rPr>
        <w:t xml:space="preserve"> povezanosti novel in zahtevanega sočasnega pravnega učinka teh novel mo</w:t>
      </w:r>
      <w:r>
        <w:rPr>
          <w:rFonts w:cs="Arial"/>
          <w:szCs w:val="20"/>
        </w:rPr>
        <w:t>goč</w:t>
      </w:r>
      <w:r w:rsidRPr="0023027E">
        <w:rPr>
          <w:rFonts w:cs="Arial"/>
          <w:szCs w:val="20"/>
        </w:rPr>
        <w:t xml:space="preserve">a in dopustna tehnika noveliranja. Gre za </w:t>
      </w:r>
      <w:proofErr w:type="spellStart"/>
      <w:r w:rsidRPr="0023027E">
        <w:rPr>
          <w:rFonts w:cs="Arial"/>
          <w:szCs w:val="20"/>
        </w:rPr>
        <w:t>nomotehnično</w:t>
      </w:r>
      <w:proofErr w:type="spellEnd"/>
      <w:r w:rsidRPr="0023027E">
        <w:rPr>
          <w:rFonts w:cs="Arial"/>
          <w:szCs w:val="20"/>
        </w:rPr>
        <w:t xml:space="preserve"> </w:t>
      </w:r>
      <w:r>
        <w:rPr>
          <w:rFonts w:cs="Arial"/>
          <w:szCs w:val="20"/>
        </w:rPr>
        <w:t>svojevrst</w:t>
      </w:r>
      <w:r w:rsidRPr="0023027E">
        <w:rPr>
          <w:rFonts w:cs="Arial"/>
          <w:szCs w:val="20"/>
        </w:rPr>
        <w:t xml:space="preserve">ni način zakonodajnega urejanja v </w:t>
      </w:r>
      <w:r>
        <w:rPr>
          <w:rFonts w:cs="Arial"/>
          <w:szCs w:val="20"/>
        </w:rPr>
        <w:t>obliki</w:t>
      </w:r>
      <w:r w:rsidRPr="0023027E">
        <w:rPr>
          <w:rFonts w:cs="Arial"/>
          <w:szCs w:val="20"/>
        </w:rPr>
        <w:t xml:space="preserve"> zbirke novel različnih zakonov a</w:t>
      </w:r>
      <w:r>
        <w:rPr>
          <w:rFonts w:cs="Arial"/>
          <w:szCs w:val="20"/>
        </w:rPr>
        <w:t>li</w:t>
      </w:r>
      <w:r w:rsidRPr="0023027E">
        <w:rPr>
          <w:rFonts w:cs="Arial"/>
          <w:szCs w:val="20"/>
        </w:rPr>
        <w:t xml:space="preserve"> zbirke posegov v druge zakone v okviru enega zakona. Hkrati se spreminja drug zakon ali več zakonov ali se posega vanje z enim, omnibus zakonom. Omnibus tehnika noveliranja je bila v do</w:t>
      </w:r>
      <w:r>
        <w:rPr>
          <w:rFonts w:cs="Arial"/>
          <w:szCs w:val="20"/>
        </w:rPr>
        <w:t>z</w:t>
      </w:r>
      <w:r w:rsidRPr="0023027E">
        <w:rPr>
          <w:rFonts w:cs="Arial"/>
          <w:szCs w:val="20"/>
        </w:rPr>
        <w:t>da</w:t>
      </w:r>
      <w:r>
        <w:rPr>
          <w:rFonts w:cs="Arial"/>
          <w:szCs w:val="20"/>
        </w:rPr>
        <w:t>jš</w:t>
      </w:r>
      <w:r w:rsidRPr="0023027E">
        <w:rPr>
          <w:rFonts w:cs="Arial"/>
          <w:szCs w:val="20"/>
        </w:rPr>
        <w:t>nji zakonodajni praksi večkrat uporabljena tako pri interventnih zakonih kot tudi pri zakonih, ki niso interventne narave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Zakon o debirokratizaciji (Ur</w:t>
      </w:r>
      <w:r>
        <w:rPr>
          <w:rFonts w:cs="Arial"/>
          <w:szCs w:val="20"/>
        </w:rPr>
        <w:t>adni</w:t>
      </w:r>
      <w:r w:rsidRPr="0023027E">
        <w:rPr>
          <w:rFonts w:cs="Arial"/>
          <w:szCs w:val="20"/>
        </w:rPr>
        <w:t xml:space="preserve"> l</w:t>
      </w:r>
      <w:r>
        <w:rPr>
          <w:rFonts w:cs="Arial"/>
          <w:szCs w:val="20"/>
        </w:rPr>
        <w:t>ist</w:t>
      </w:r>
      <w:r w:rsidRPr="0023027E">
        <w:rPr>
          <w:rFonts w:cs="Arial"/>
          <w:szCs w:val="20"/>
        </w:rPr>
        <w:t xml:space="preserve"> RS, št. 3/22) </w:t>
      </w:r>
      <w:r>
        <w:rPr>
          <w:rFonts w:cs="Arial"/>
          <w:szCs w:val="20"/>
        </w:rPr>
        <w:t>ter</w:t>
      </w:r>
      <w:r w:rsidRPr="0023027E">
        <w:rPr>
          <w:rFonts w:cs="Arial"/>
          <w:szCs w:val="20"/>
        </w:rPr>
        <w:t xml:space="preserve"> Zakon za zmanjšanje neenakosti in škodljivih posegov politike ter zagotavljanje spoštovanja pravne države (Ur</w:t>
      </w:r>
      <w:r>
        <w:rPr>
          <w:rFonts w:cs="Arial"/>
          <w:szCs w:val="20"/>
        </w:rPr>
        <w:t>adni</w:t>
      </w:r>
      <w:r w:rsidRPr="0023027E">
        <w:rPr>
          <w:rFonts w:cs="Arial"/>
          <w:szCs w:val="20"/>
        </w:rPr>
        <w:t xml:space="preserve"> l</w:t>
      </w:r>
      <w:r>
        <w:rPr>
          <w:rFonts w:cs="Arial"/>
          <w:szCs w:val="20"/>
        </w:rPr>
        <w:t>ist</w:t>
      </w:r>
      <w:r w:rsidRPr="0023027E">
        <w:rPr>
          <w:rFonts w:cs="Arial"/>
          <w:szCs w:val="20"/>
        </w:rPr>
        <w:t xml:space="preserve"> RS, št. 105/22))</w:t>
      </w:r>
      <w:r>
        <w:rPr>
          <w:rFonts w:cs="Arial"/>
          <w:szCs w:val="20"/>
        </w:rPr>
        <w:t>.</w:t>
      </w:r>
      <w:r w:rsidRPr="0023027E">
        <w:rPr>
          <w:rStyle w:val="Sprotnaopomba-sklic"/>
          <w:rFonts w:cs="Arial"/>
          <w:szCs w:val="20"/>
        </w:rPr>
        <w:footnoteReference w:id="3"/>
      </w:r>
    </w:p>
    <w:p w14:paraId="56D62263" w14:textId="77777777" w:rsidR="006026E4" w:rsidRPr="0023027E" w:rsidRDefault="006026E4" w:rsidP="006026E4">
      <w:pPr>
        <w:spacing w:line="276" w:lineRule="auto"/>
        <w:jc w:val="both"/>
        <w:rPr>
          <w:rFonts w:cs="Arial"/>
          <w:szCs w:val="20"/>
        </w:rPr>
      </w:pPr>
    </w:p>
    <w:p w14:paraId="6FF216B0" w14:textId="77777777" w:rsidR="006026E4" w:rsidRPr="0023027E" w:rsidRDefault="006026E4" w:rsidP="006026E4">
      <w:pPr>
        <w:spacing w:line="276" w:lineRule="auto"/>
        <w:jc w:val="both"/>
        <w:rPr>
          <w:rFonts w:cs="Arial"/>
          <w:szCs w:val="20"/>
        </w:rPr>
      </w:pPr>
      <w:r w:rsidRPr="0023027E">
        <w:rPr>
          <w:rFonts w:cs="Arial"/>
          <w:szCs w:val="20"/>
        </w:rPr>
        <w:t>Omnibus tehnika normiranja je v konkretnem primeru primerna za prenos določb aktov EU, ki so tudi sami oblikovani v omnibus tehniki in z manjšimi posegi zadevajo več zakonov, saj združuje ekonomičnost, vsebinsko povezanost in hitrost postopka.</w:t>
      </w:r>
    </w:p>
    <w:p w14:paraId="355D5F44" w14:textId="77777777" w:rsidR="006026E4" w:rsidRPr="0023027E" w:rsidRDefault="006026E4" w:rsidP="006026E4">
      <w:pPr>
        <w:spacing w:line="276" w:lineRule="auto"/>
        <w:jc w:val="both"/>
        <w:rPr>
          <w:rFonts w:cs="Arial"/>
          <w:szCs w:val="20"/>
        </w:rPr>
      </w:pPr>
    </w:p>
    <w:p w14:paraId="5A1C7AF5" w14:textId="77777777" w:rsidR="006026E4" w:rsidRPr="0023027E" w:rsidRDefault="006026E4" w:rsidP="006026E4">
      <w:pPr>
        <w:spacing w:line="276" w:lineRule="auto"/>
        <w:jc w:val="both"/>
        <w:rPr>
          <w:rFonts w:cs="Arial"/>
          <w:szCs w:val="20"/>
        </w:rPr>
      </w:pPr>
      <w:r w:rsidRPr="0023027E">
        <w:rPr>
          <w:rFonts w:cs="Arial"/>
          <w:szCs w:val="20"/>
        </w:rPr>
        <w:t xml:space="preserve">Z vidika ekonomičnosti omnibus tehnika omogoča hkratno spreminjanje več zakonov z enim zakonodajnim aktom, kar znatno zmanjša administrativne stroške in </w:t>
      </w:r>
      <w:r>
        <w:rPr>
          <w:rFonts w:cs="Arial"/>
          <w:szCs w:val="20"/>
        </w:rPr>
        <w:t xml:space="preserve">skrajša </w:t>
      </w:r>
      <w:r w:rsidRPr="0023027E">
        <w:rPr>
          <w:rFonts w:cs="Arial"/>
          <w:szCs w:val="20"/>
        </w:rPr>
        <w:t xml:space="preserve">čas, potreben za prenos določb ESAP v </w:t>
      </w:r>
      <w:r>
        <w:rPr>
          <w:rFonts w:cs="Arial"/>
          <w:szCs w:val="20"/>
        </w:rPr>
        <w:t>d</w:t>
      </w:r>
      <w:r w:rsidRPr="0023027E">
        <w:rPr>
          <w:rFonts w:cs="Arial"/>
          <w:szCs w:val="20"/>
        </w:rPr>
        <w:t>o</w:t>
      </w:r>
      <w:r>
        <w:rPr>
          <w:rFonts w:cs="Arial"/>
          <w:szCs w:val="20"/>
        </w:rPr>
        <w:t>m</w:t>
      </w:r>
      <w:r w:rsidRPr="0023027E">
        <w:rPr>
          <w:rFonts w:cs="Arial"/>
          <w:szCs w:val="20"/>
        </w:rPr>
        <w:t>a</w:t>
      </w:r>
      <w:r>
        <w:rPr>
          <w:rFonts w:cs="Arial"/>
          <w:szCs w:val="20"/>
        </w:rPr>
        <w:t>č</w:t>
      </w:r>
      <w:r w:rsidRPr="0023027E">
        <w:rPr>
          <w:rFonts w:cs="Arial"/>
          <w:szCs w:val="20"/>
        </w:rPr>
        <w:t xml:space="preserve">o zakonodajo. Namesto več ločenih postopkov, ki bi lahko podaljšali </w:t>
      </w:r>
      <w:r>
        <w:rPr>
          <w:rFonts w:cs="Arial"/>
          <w:szCs w:val="20"/>
        </w:rPr>
        <w:t>uveljavitev</w:t>
      </w:r>
      <w:r w:rsidRPr="0023027E">
        <w:rPr>
          <w:rFonts w:cs="Arial"/>
          <w:szCs w:val="20"/>
        </w:rPr>
        <w:t xml:space="preserve"> in nesorazmerno obremenili delo pristojnih organov (vlade, državnega zbora in državnega sveta), ta </w:t>
      </w:r>
      <w:r>
        <w:rPr>
          <w:rFonts w:cs="Arial"/>
          <w:szCs w:val="20"/>
        </w:rPr>
        <w:t>me</w:t>
      </w:r>
      <w:r w:rsidRPr="0023027E">
        <w:rPr>
          <w:rFonts w:cs="Arial"/>
          <w:szCs w:val="20"/>
        </w:rPr>
        <w:t>to</w:t>
      </w:r>
      <w:r>
        <w:rPr>
          <w:rFonts w:cs="Arial"/>
          <w:szCs w:val="20"/>
        </w:rPr>
        <w:t>da</w:t>
      </w:r>
      <w:r w:rsidRPr="0023027E">
        <w:rPr>
          <w:rFonts w:cs="Arial"/>
          <w:szCs w:val="20"/>
        </w:rPr>
        <w:t xml:space="preserve"> združuje manj obsežne, a povezane posege v enotn</w:t>
      </w:r>
      <w:r>
        <w:rPr>
          <w:rFonts w:cs="Arial"/>
          <w:szCs w:val="20"/>
        </w:rPr>
        <w:t>i</w:t>
      </w:r>
      <w:r w:rsidRPr="0023027E">
        <w:rPr>
          <w:rFonts w:cs="Arial"/>
          <w:szCs w:val="20"/>
        </w:rPr>
        <w:t xml:space="preserve"> zakonodajni akt, s čimer se poenostavi in pospeši zakonodajni proces. ESAP </w:t>
      </w:r>
      <w:r>
        <w:rPr>
          <w:rFonts w:cs="Arial"/>
          <w:szCs w:val="20"/>
        </w:rPr>
        <w:t>obravnava</w:t>
      </w:r>
      <w:r w:rsidRPr="0023027E">
        <w:rPr>
          <w:rFonts w:cs="Arial"/>
          <w:szCs w:val="20"/>
        </w:rPr>
        <w:t xml:space="preserve"> isto tematiko v </w:t>
      </w:r>
      <w:r w:rsidRPr="0023027E">
        <w:rPr>
          <w:rFonts w:cs="Arial"/>
          <w:szCs w:val="20"/>
        </w:rPr>
        <w:lastRenderedPageBreak/>
        <w:t>različnih zakonih, kar zahteva enotno izhodišče in neločljivo povezanost zakonskih rešitev. Omnibus tehnika normiranja ohranja to vsebinsko enotnost, saj omogoča celovit</w:t>
      </w:r>
      <w:r>
        <w:rPr>
          <w:rFonts w:cs="Arial"/>
          <w:szCs w:val="20"/>
        </w:rPr>
        <w:t>i način dela pri</w:t>
      </w:r>
      <w:r w:rsidRPr="0023027E">
        <w:rPr>
          <w:rFonts w:cs="Arial"/>
          <w:szCs w:val="20"/>
        </w:rPr>
        <w:t xml:space="preserve"> implementaciji, ki zagotavlja skladnost nacionalne zakonodaje z evropskimi zahtevami. </w:t>
      </w:r>
    </w:p>
    <w:p w14:paraId="11A5FF3E" w14:textId="77777777" w:rsidR="006026E4" w:rsidRPr="0023027E" w:rsidRDefault="006026E4" w:rsidP="006026E4">
      <w:pPr>
        <w:spacing w:line="276" w:lineRule="auto"/>
        <w:jc w:val="both"/>
        <w:rPr>
          <w:rFonts w:cs="Arial"/>
          <w:szCs w:val="20"/>
        </w:rPr>
      </w:pPr>
    </w:p>
    <w:p w14:paraId="283DB921" w14:textId="77777777" w:rsidR="006026E4" w:rsidRPr="0023027E" w:rsidRDefault="006026E4" w:rsidP="006026E4">
      <w:pPr>
        <w:spacing w:line="276" w:lineRule="auto"/>
        <w:jc w:val="both"/>
        <w:rPr>
          <w:rFonts w:cs="Arial"/>
          <w:szCs w:val="20"/>
        </w:rPr>
      </w:pPr>
      <w:r w:rsidRPr="0023027E">
        <w:rPr>
          <w:rFonts w:cs="Arial"/>
          <w:szCs w:val="20"/>
        </w:rPr>
        <w:t xml:space="preserve">V predlogu zakona uporabljena omnibus tehnika ne nasprotuje načelom jasnosti, določnosti predpisov in pravni varnosti, ki izhajajo iz 2. člena Ustave Republike Slovenije. </w:t>
      </w:r>
    </w:p>
    <w:p w14:paraId="62F3E507" w14:textId="77777777" w:rsidR="006026E4" w:rsidRPr="0023027E" w:rsidRDefault="006026E4" w:rsidP="006026E4">
      <w:pPr>
        <w:spacing w:line="276" w:lineRule="auto"/>
        <w:jc w:val="both"/>
        <w:rPr>
          <w:rFonts w:cs="Arial"/>
          <w:szCs w:val="20"/>
        </w:rPr>
      </w:pPr>
    </w:p>
    <w:p w14:paraId="41A626AB" w14:textId="77777777" w:rsidR="006026E4" w:rsidRPr="0023027E" w:rsidRDefault="006026E4" w:rsidP="006026E4">
      <w:pPr>
        <w:spacing w:line="276" w:lineRule="auto"/>
        <w:jc w:val="both"/>
        <w:rPr>
          <w:rFonts w:cs="Arial"/>
          <w:szCs w:val="20"/>
        </w:rPr>
      </w:pPr>
      <w:r w:rsidRPr="0023027E">
        <w:rPr>
          <w:rFonts w:cs="Arial"/>
          <w:szCs w:val="20"/>
        </w:rPr>
        <w:t xml:space="preserve">Jasnost in določnost predpisov sta zagotovljeni, saj so spremembe vsebinsko povezane in </w:t>
      </w:r>
      <w:r>
        <w:rPr>
          <w:rFonts w:cs="Arial"/>
          <w:szCs w:val="20"/>
        </w:rPr>
        <w:t>upošt</w:t>
      </w:r>
      <w:r w:rsidRPr="0023027E">
        <w:rPr>
          <w:rFonts w:cs="Arial"/>
          <w:szCs w:val="20"/>
        </w:rPr>
        <w:t>e</w:t>
      </w:r>
      <w:r>
        <w:rPr>
          <w:rFonts w:cs="Arial"/>
          <w:szCs w:val="20"/>
        </w:rPr>
        <w:t>va</w:t>
      </w:r>
      <w:r w:rsidRPr="0023027E">
        <w:rPr>
          <w:rFonts w:cs="Arial"/>
          <w:szCs w:val="20"/>
        </w:rPr>
        <w:t>jo enotn</w:t>
      </w:r>
      <w:r>
        <w:rPr>
          <w:rFonts w:cs="Arial"/>
          <w:szCs w:val="20"/>
        </w:rPr>
        <w:t>i</w:t>
      </w:r>
      <w:r w:rsidRPr="0023027E">
        <w:rPr>
          <w:rFonts w:cs="Arial"/>
          <w:szCs w:val="20"/>
        </w:rPr>
        <w:t xml:space="preserve"> cilj, tj. prenos ESAP. Obseg in namen sprememb </w:t>
      </w:r>
      <w:r>
        <w:rPr>
          <w:rFonts w:cs="Arial"/>
          <w:szCs w:val="20"/>
        </w:rPr>
        <w:t>sta</w:t>
      </w:r>
      <w:r w:rsidRPr="0023027E">
        <w:rPr>
          <w:rFonts w:cs="Arial"/>
          <w:szCs w:val="20"/>
        </w:rPr>
        <w:t xml:space="preserve"> jasno opredeljen</w:t>
      </w:r>
      <w:r>
        <w:rPr>
          <w:rFonts w:cs="Arial"/>
          <w:szCs w:val="20"/>
        </w:rPr>
        <w:t>a</w:t>
      </w:r>
      <w:r w:rsidRPr="0023027E">
        <w:rPr>
          <w:rFonts w:cs="Arial"/>
          <w:szCs w:val="20"/>
        </w:rPr>
        <w:t xml:space="preserve">, kar omogoča razumljivost in predvidljivost pravnih pravil za naslovnike. </w:t>
      </w:r>
      <w:r>
        <w:rPr>
          <w:rFonts w:cs="Arial"/>
          <w:szCs w:val="20"/>
        </w:rPr>
        <w:t>Tudi p</w:t>
      </w:r>
      <w:r w:rsidRPr="0023027E">
        <w:rPr>
          <w:rFonts w:cs="Arial"/>
          <w:szCs w:val="20"/>
        </w:rPr>
        <w:t xml:space="preserve">ravna varnost </w:t>
      </w:r>
      <w:r>
        <w:rPr>
          <w:rFonts w:cs="Arial"/>
          <w:szCs w:val="20"/>
        </w:rPr>
        <w:t>s</w:t>
      </w:r>
      <w:r w:rsidRPr="0023027E">
        <w:rPr>
          <w:rFonts w:cs="Arial"/>
          <w:szCs w:val="20"/>
        </w:rPr>
        <w:t>e ohran</w:t>
      </w:r>
      <w:r>
        <w:rPr>
          <w:rFonts w:cs="Arial"/>
          <w:szCs w:val="20"/>
        </w:rPr>
        <w:t>i</w:t>
      </w:r>
      <w:r w:rsidRPr="0023027E">
        <w:rPr>
          <w:rFonts w:cs="Arial"/>
          <w:szCs w:val="20"/>
        </w:rPr>
        <w:t xml:space="preserve">, saj hkratna uveljavitev povezanih zakonskih rešitev preprečuje pravne vrzeli ali neskladja, ki bi lahko nastala ob ločenih postopkih z različno </w:t>
      </w:r>
      <w:proofErr w:type="spellStart"/>
      <w:r w:rsidRPr="0023027E">
        <w:rPr>
          <w:rFonts w:cs="Arial"/>
          <w:szCs w:val="20"/>
        </w:rPr>
        <w:t>časovnico</w:t>
      </w:r>
      <w:proofErr w:type="spellEnd"/>
      <w:r w:rsidRPr="0023027E">
        <w:rPr>
          <w:rFonts w:cs="Arial"/>
          <w:szCs w:val="20"/>
        </w:rPr>
        <w:t xml:space="preserve"> uveljavitve. </w:t>
      </w:r>
    </w:p>
    <w:p w14:paraId="173477AD" w14:textId="77777777" w:rsidR="001819FC" w:rsidRPr="0023027E" w:rsidRDefault="001819FC" w:rsidP="00C64B3F">
      <w:pPr>
        <w:spacing w:line="276" w:lineRule="auto"/>
        <w:jc w:val="both"/>
        <w:rPr>
          <w:rFonts w:cs="Arial"/>
          <w:szCs w:val="20"/>
        </w:rPr>
      </w:pPr>
    </w:p>
    <w:p w14:paraId="52DFE969" w14:textId="64AF4D4B" w:rsidR="00FE0F83" w:rsidRPr="006026E4" w:rsidRDefault="00FE0F83" w:rsidP="00FE0F83">
      <w:pPr>
        <w:spacing w:line="276" w:lineRule="auto"/>
        <w:jc w:val="both"/>
        <w:rPr>
          <w:rFonts w:cs="Arial"/>
          <w:b/>
          <w:bCs/>
          <w:szCs w:val="20"/>
        </w:rPr>
      </w:pPr>
      <w:r w:rsidRPr="006026E4">
        <w:rPr>
          <w:rFonts w:cs="Arial"/>
          <w:b/>
          <w:bCs/>
          <w:szCs w:val="20"/>
        </w:rPr>
        <w:t xml:space="preserve">K </w:t>
      </w:r>
      <w:r w:rsidR="00B403C3">
        <w:rPr>
          <w:b/>
          <w:bCs/>
        </w:rPr>
        <w:t>2</w:t>
      </w:r>
      <w:r w:rsidR="006950E1" w:rsidRPr="006026E4">
        <w:rPr>
          <w:rFonts w:cs="Arial"/>
          <w:b/>
          <w:bCs/>
          <w:szCs w:val="20"/>
        </w:rPr>
        <w:t xml:space="preserve">. </w:t>
      </w:r>
      <w:r w:rsidRPr="006026E4">
        <w:rPr>
          <w:rFonts w:cs="Arial"/>
          <w:b/>
          <w:bCs/>
          <w:szCs w:val="20"/>
        </w:rPr>
        <w:t>členu</w:t>
      </w:r>
    </w:p>
    <w:p w14:paraId="0753EFAD" w14:textId="77777777" w:rsidR="009A7500" w:rsidRPr="0023027E" w:rsidRDefault="009A7500" w:rsidP="009A7500">
      <w:pPr>
        <w:spacing w:line="276" w:lineRule="auto"/>
        <w:jc w:val="both"/>
        <w:rPr>
          <w:rFonts w:cs="Arial"/>
          <w:szCs w:val="20"/>
        </w:rPr>
      </w:pPr>
      <w:r w:rsidRPr="0023027E">
        <w:rPr>
          <w:rFonts w:cs="Arial"/>
          <w:szCs w:val="20"/>
        </w:rPr>
        <w:t>Prostovoljna predložitev podatkov v okviru ESAP omogoča subjektom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podjetjem, zlasti malim in srednje velikim, ter drugim organizacijam), da po lastni izbiri pred</w:t>
      </w:r>
      <w:r>
        <w:rPr>
          <w:rFonts w:cs="Arial"/>
          <w:szCs w:val="20"/>
        </w:rPr>
        <w:t>loži</w:t>
      </w:r>
      <w:r w:rsidRPr="0023027E">
        <w:rPr>
          <w:rFonts w:cs="Arial"/>
          <w:szCs w:val="20"/>
        </w:rPr>
        <w:t>jo dodatne informacije, ki niso zakonsko obvezne, a so pomembne za finančne storitve, kapitalske trge, trajnost ali raznolikost. Namen je povečati dostopnost in vidnost teh podatkov na centralizirani platformi, kar olajša njihovo uporabo zainteresiranim stranem, kot so vlagatelji, raziskovalci in organi EU.</w:t>
      </w:r>
    </w:p>
    <w:p w14:paraId="3A1E8036" w14:textId="77777777" w:rsidR="009A7500" w:rsidRPr="0023027E" w:rsidRDefault="009A7500" w:rsidP="009A7500">
      <w:pPr>
        <w:pStyle w:val="Pripombabesedilo"/>
        <w:rPr>
          <w:rFonts w:cs="Arial"/>
          <w:lang w:val="sl-SI"/>
        </w:rPr>
      </w:pPr>
    </w:p>
    <w:p w14:paraId="3F297295" w14:textId="77777777" w:rsidR="009A7500" w:rsidRPr="0086225E" w:rsidRDefault="009A7500" w:rsidP="009A7500">
      <w:pPr>
        <w:spacing w:line="276" w:lineRule="auto"/>
        <w:jc w:val="both"/>
        <w:rPr>
          <w:rFonts w:cs="Arial"/>
          <w:szCs w:val="20"/>
        </w:rPr>
      </w:pPr>
      <w:r w:rsidRPr="0023027E">
        <w:rPr>
          <w:rFonts w:cs="Arial"/>
          <w:szCs w:val="20"/>
        </w:rPr>
        <w:t xml:space="preserve">S predlaganim členom se določajo organi za zbiranje podatkov za informacije, ki se predložijo prostovoljno v skladu z Uredbo 2023/2859/EU. Tako so v okvir že </w:t>
      </w:r>
      <w:r>
        <w:rPr>
          <w:rFonts w:cs="Arial"/>
          <w:szCs w:val="20"/>
        </w:rPr>
        <w:t>vel</w:t>
      </w:r>
      <w:r w:rsidRPr="0023027E">
        <w:rPr>
          <w:rFonts w:cs="Arial"/>
          <w:szCs w:val="20"/>
        </w:rPr>
        <w:t>j</w:t>
      </w:r>
      <w:r>
        <w:rPr>
          <w:rFonts w:cs="Arial"/>
          <w:szCs w:val="20"/>
        </w:rPr>
        <w:t>avn</w:t>
      </w:r>
      <w:r w:rsidRPr="0023027E">
        <w:rPr>
          <w:rFonts w:cs="Arial"/>
          <w:szCs w:val="20"/>
        </w:rPr>
        <w:t>ih pristojnosti kot organi za zbiranje podatkov za informacije, ki se predložijo prostovoljno</w:t>
      </w:r>
      <w:r>
        <w:rPr>
          <w:rFonts w:cs="Arial"/>
          <w:szCs w:val="20"/>
        </w:rPr>
        <w:t>,</w:t>
      </w:r>
      <w:r w:rsidRPr="0023027E">
        <w:rPr>
          <w:rFonts w:cs="Arial"/>
          <w:szCs w:val="20"/>
        </w:rPr>
        <w:t xml:space="preserve"> določeni Agencija za zavarovalni nadzor (v nadaljnjem besedilu: AZN), Banka Slovenije, Agencija za trg vrednostnih papirjev (v nadaljnjem besedilu: ATVP)</w:t>
      </w:r>
      <w:r>
        <w:rPr>
          <w:rFonts w:cs="Arial"/>
          <w:szCs w:val="20"/>
        </w:rPr>
        <w:t xml:space="preserve"> in</w:t>
      </w:r>
      <w:r w:rsidRPr="0023027E">
        <w:rPr>
          <w:rFonts w:cs="Arial"/>
          <w:szCs w:val="20"/>
        </w:rPr>
        <w:t xml:space="preserve"> Agencija za javni nadzor nad revidiranjem (v nadaljnjem besedilu: AJNR)</w:t>
      </w:r>
      <w:r>
        <w:rPr>
          <w:rFonts w:cs="Arial"/>
          <w:szCs w:val="20"/>
        </w:rPr>
        <w:t>.</w:t>
      </w:r>
      <w:r w:rsidRPr="0023027E">
        <w:rPr>
          <w:rFonts w:cs="Arial"/>
          <w:szCs w:val="20"/>
        </w:rPr>
        <w:t xml:space="preserve"> </w:t>
      </w:r>
      <w:r>
        <w:rPr>
          <w:rFonts w:cs="Arial"/>
          <w:szCs w:val="20"/>
        </w:rPr>
        <w:t>N</w:t>
      </w:r>
      <w:r w:rsidRPr="0023027E">
        <w:rPr>
          <w:rFonts w:cs="Arial"/>
          <w:szCs w:val="20"/>
        </w:rPr>
        <w:t xml:space="preserve">avedeni organi so določeni glede na že </w:t>
      </w:r>
      <w:r>
        <w:rPr>
          <w:rFonts w:cs="Arial"/>
          <w:szCs w:val="20"/>
        </w:rPr>
        <w:t>uveljavljeni</w:t>
      </w:r>
      <w:r w:rsidRPr="0023027E">
        <w:rPr>
          <w:rFonts w:cs="Arial"/>
          <w:szCs w:val="20"/>
        </w:rPr>
        <w:t xml:space="preserve"> sistem nadzora. Agencija Republike Slovenije za javnopravne evidence</w:t>
      </w:r>
      <w:r>
        <w:rPr>
          <w:rFonts w:cs="Arial"/>
          <w:szCs w:val="20"/>
        </w:rPr>
        <w:t xml:space="preserve"> in storitve</w:t>
      </w:r>
      <w:r w:rsidRPr="0023027E">
        <w:rPr>
          <w:rFonts w:cs="Arial"/>
          <w:szCs w:val="20"/>
        </w:rPr>
        <w:t xml:space="preserve"> (v nadaljnjem besedilu: AJPES)</w:t>
      </w:r>
      <w:r w:rsidRPr="0086225E">
        <w:rPr>
          <w:rFonts w:cs="Arial"/>
          <w:szCs w:val="20"/>
        </w:rPr>
        <w:t xml:space="preserve"> je edini organ v državi, ki že ima univerzalno, obvezno, varno in vsem znano platformo za zbiranje podatkov celotnega gospodarstva. Hkrati je javnopravna agencija brez </w:t>
      </w:r>
      <w:r>
        <w:rPr>
          <w:rFonts w:cs="Arial"/>
          <w:szCs w:val="20"/>
        </w:rPr>
        <w:t>regulatornih</w:t>
      </w:r>
      <w:r w:rsidRPr="0086225E">
        <w:rPr>
          <w:rFonts w:cs="Arial"/>
          <w:szCs w:val="20"/>
        </w:rPr>
        <w:t xml:space="preserve"> pooblastil, kar je pri prostovoljnem predlaganju podatkov ključno za zaupanje podjetij. Rešitev je stroškovno najugodnejša in najhitreje izvedljiva.</w:t>
      </w:r>
    </w:p>
    <w:p w14:paraId="341D853D" w14:textId="77777777" w:rsidR="009A7500" w:rsidRPr="0023027E" w:rsidRDefault="009A7500" w:rsidP="009A7500">
      <w:pPr>
        <w:spacing w:line="276" w:lineRule="auto"/>
        <w:jc w:val="both"/>
        <w:rPr>
          <w:rFonts w:cs="Arial"/>
          <w:szCs w:val="20"/>
        </w:rPr>
      </w:pPr>
    </w:p>
    <w:p w14:paraId="3A748126" w14:textId="68C00EDB" w:rsidR="00A2207F" w:rsidRPr="0023027E" w:rsidRDefault="009A7500" w:rsidP="00845044">
      <w:pPr>
        <w:spacing w:line="276" w:lineRule="auto"/>
        <w:jc w:val="both"/>
        <w:rPr>
          <w:rFonts w:cs="Arial"/>
          <w:szCs w:val="20"/>
        </w:rPr>
      </w:pPr>
      <w:r w:rsidRPr="0023027E">
        <w:rPr>
          <w:rFonts w:cs="Arial"/>
          <w:szCs w:val="20"/>
        </w:rPr>
        <w:t>S tem členom se ureja izvajanje drugega odstavka 3. člena Uredbe 2023/2859/EU.</w:t>
      </w:r>
    </w:p>
    <w:p w14:paraId="228B5098" w14:textId="77777777" w:rsidR="00FE0F83" w:rsidRPr="0023027E" w:rsidRDefault="00FE0F83" w:rsidP="00C64B3F">
      <w:pPr>
        <w:spacing w:line="276" w:lineRule="auto"/>
        <w:jc w:val="both"/>
        <w:rPr>
          <w:rFonts w:cs="Arial"/>
          <w:szCs w:val="20"/>
        </w:rPr>
      </w:pPr>
    </w:p>
    <w:p w14:paraId="559F9D20" w14:textId="2110F950" w:rsidR="00FE0F83" w:rsidRPr="009A7500" w:rsidRDefault="00FE0F83" w:rsidP="00FE0F83">
      <w:pPr>
        <w:spacing w:line="276" w:lineRule="auto"/>
        <w:jc w:val="both"/>
        <w:rPr>
          <w:rFonts w:cs="Arial"/>
          <w:b/>
          <w:bCs/>
          <w:szCs w:val="20"/>
        </w:rPr>
      </w:pPr>
      <w:r w:rsidRPr="009A7500">
        <w:rPr>
          <w:rFonts w:cs="Arial"/>
          <w:b/>
          <w:bCs/>
          <w:szCs w:val="20"/>
        </w:rPr>
        <w:t xml:space="preserve">K </w:t>
      </w:r>
      <w:r w:rsidR="00B403C3">
        <w:rPr>
          <w:b/>
          <w:bCs/>
        </w:rPr>
        <w:t>3</w:t>
      </w:r>
      <w:r w:rsidR="00D16D8E" w:rsidRPr="009A7500">
        <w:rPr>
          <w:rFonts w:cs="Arial"/>
          <w:b/>
          <w:bCs/>
          <w:szCs w:val="20"/>
        </w:rPr>
        <w:t xml:space="preserve">. </w:t>
      </w:r>
      <w:r w:rsidRPr="009A7500">
        <w:rPr>
          <w:rFonts w:cs="Arial"/>
          <w:b/>
          <w:bCs/>
          <w:szCs w:val="20"/>
        </w:rPr>
        <w:t>členu</w:t>
      </w:r>
    </w:p>
    <w:p w14:paraId="675BC085" w14:textId="5BCA82BC" w:rsidR="006327B8" w:rsidRPr="0023027E" w:rsidRDefault="00B10D60" w:rsidP="00C64B3F">
      <w:pPr>
        <w:spacing w:line="276" w:lineRule="auto"/>
        <w:jc w:val="both"/>
        <w:rPr>
          <w:rFonts w:cs="Arial"/>
          <w:szCs w:val="20"/>
        </w:rPr>
      </w:pPr>
      <w:r w:rsidRPr="0023027E">
        <w:rPr>
          <w:rFonts w:cs="Arial"/>
          <w:szCs w:val="20"/>
        </w:rPr>
        <w:t xml:space="preserve">Organi za zbiranje podatkov iz </w:t>
      </w:r>
      <w:r w:rsidR="00B403C3">
        <w:t>2</w:t>
      </w:r>
      <w:r w:rsidRPr="0023027E">
        <w:rPr>
          <w:rFonts w:cs="Arial"/>
          <w:szCs w:val="20"/>
        </w:rPr>
        <w:t>. člena predloga zakona morajo zagotoviti ustrezno raven avtentičnosti, razpoložljivosti</w:t>
      </w:r>
      <w:r w:rsidR="00984731">
        <w:rPr>
          <w:rFonts w:cs="Arial"/>
          <w:szCs w:val="20"/>
        </w:rPr>
        <w:t xml:space="preserve"> in</w:t>
      </w:r>
      <w:r w:rsidRPr="0023027E">
        <w:rPr>
          <w:rFonts w:cs="Arial"/>
          <w:szCs w:val="20"/>
        </w:rPr>
        <w:t xml:space="preserve"> integritete informacij, ki jih subjekti predložijo, da bodo dostopne na ESAP. </w:t>
      </w:r>
    </w:p>
    <w:p w14:paraId="45F59DBC" w14:textId="77777777" w:rsidR="00B10D60" w:rsidRPr="0023027E" w:rsidRDefault="00B10D60" w:rsidP="00845044">
      <w:pPr>
        <w:spacing w:line="276" w:lineRule="auto"/>
        <w:jc w:val="both"/>
        <w:rPr>
          <w:rFonts w:cs="Arial"/>
          <w:szCs w:val="20"/>
        </w:rPr>
      </w:pPr>
    </w:p>
    <w:p w14:paraId="7AB112F4" w14:textId="3DB18AB4" w:rsidR="00845044" w:rsidRPr="0023027E" w:rsidRDefault="00B10D60" w:rsidP="00B10D60">
      <w:pPr>
        <w:spacing w:line="276" w:lineRule="auto"/>
        <w:jc w:val="both"/>
        <w:rPr>
          <w:rFonts w:cs="Arial"/>
          <w:szCs w:val="20"/>
        </w:rPr>
      </w:pPr>
      <w:r w:rsidRPr="0023027E">
        <w:rPr>
          <w:rFonts w:cs="Arial"/>
          <w:szCs w:val="20"/>
        </w:rPr>
        <w:t>Zato se s predlaganim členom d</w:t>
      </w:r>
      <w:r w:rsidR="00845044" w:rsidRPr="0023027E">
        <w:rPr>
          <w:rFonts w:cs="Arial"/>
          <w:szCs w:val="20"/>
        </w:rPr>
        <w:t xml:space="preserve">oloča, da lahko </w:t>
      </w:r>
      <w:r w:rsidRPr="0023027E">
        <w:rPr>
          <w:rFonts w:cs="Arial"/>
          <w:szCs w:val="20"/>
        </w:rPr>
        <w:t xml:space="preserve">(ne pa nujno) </w:t>
      </w:r>
      <w:r w:rsidR="00845044" w:rsidRPr="0023027E">
        <w:rPr>
          <w:rFonts w:cs="Arial"/>
          <w:szCs w:val="20"/>
        </w:rPr>
        <w:t xml:space="preserve">organi, navedeni v </w:t>
      </w:r>
      <w:r w:rsidR="00B403C3">
        <w:t>2</w:t>
      </w:r>
      <w:r w:rsidRPr="0023027E">
        <w:rPr>
          <w:rFonts w:cs="Arial"/>
          <w:szCs w:val="20"/>
        </w:rPr>
        <w:t>.</w:t>
      </w:r>
      <w:r w:rsidR="00845044" w:rsidRPr="0023027E">
        <w:rPr>
          <w:rFonts w:cs="Arial"/>
          <w:szCs w:val="20"/>
        </w:rPr>
        <w:t xml:space="preserve"> členu</w:t>
      </w:r>
      <w:r w:rsidRPr="0023027E">
        <w:rPr>
          <w:rFonts w:cs="Arial"/>
          <w:szCs w:val="20"/>
        </w:rPr>
        <w:t xml:space="preserve"> predloga zakona</w:t>
      </w:r>
      <w:r w:rsidR="00845044" w:rsidRPr="0023027E">
        <w:rPr>
          <w:rFonts w:cs="Arial"/>
          <w:szCs w:val="20"/>
        </w:rPr>
        <w:t>, zahtevajo, da informacije, ki jih subjekti predložijo za objavo na evropski enotni točki dostopa</w:t>
      </w:r>
      <w:r w:rsidRPr="0023027E">
        <w:rPr>
          <w:rFonts w:cs="Arial"/>
          <w:szCs w:val="20"/>
        </w:rPr>
        <w:t>,</w:t>
      </w:r>
      <w:r w:rsidR="00845044" w:rsidRPr="0023027E">
        <w:rPr>
          <w:rFonts w:cs="Arial"/>
          <w:szCs w:val="20"/>
        </w:rPr>
        <w:t xml:space="preserve"> spremlja kvalificirani elektronski žig. Ta zahteva izhaja iz potrebe po zagotavljanju celovitosti podatkov in verodostojnosti vira informacij, kar je ključni cilj ESAP. Elektronski žig zagotavlja, da so podatki nespremenjeni in izvirajo iz zaupanja vrednega vira, pri čemer je identifikator pravne osebe obvezn</w:t>
      </w:r>
      <w:r w:rsidR="009A7500">
        <w:rPr>
          <w:rFonts w:cs="Arial"/>
          <w:szCs w:val="20"/>
        </w:rPr>
        <w:t>i del</w:t>
      </w:r>
      <w:r w:rsidR="00845044" w:rsidRPr="0023027E">
        <w:rPr>
          <w:rFonts w:cs="Arial"/>
          <w:szCs w:val="20"/>
        </w:rPr>
        <w:t xml:space="preserve"> potrdila. Uporaba elektronskih žigov omogoča preverjanje pristnosti in nespremenjenosti informacij, kar povečuje zaupanje deležnikov v zanesljivost podatkov na ESAP. </w:t>
      </w:r>
    </w:p>
    <w:p w14:paraId="76311CCA" w14:textId="77777777" w:rsidR="00D16D8E" w:rsidRPr="0023027E" w:rsidRDefault="00D16D8E" w:rsidP="00C64B3F">
      <w:pPr>
        <w:spacing w:line="276" w:lineRule="auto"/>
        <w:jc w:val="both"/>
        <w:rPr>
          <w:rFonts w:cs="Arial"/>
          <w:b/>
          <w:bCs/>
          <w:szCs w:val="20"/>
        </w:rPr>
      </w:pPr>
    </w:p>
    <w:p w14:paraId="552A5EDA" w14:textId="176C8F1F" w:rsidR="006327B8" w:rsidRPr="009A7500" w:rsidRDefault="006327B8" w:rsidP="00B00E7D">
      <w:pPr>
        <w:keepNext/>
        <w:keepLines/>
        <w:widowControl w:val="0"/>
        <w:spacing w:line="276" w:lineRule="auto"/>
        <w:jc w:val="both"/>
        <w:rPr>
          <w:rFonts w:cs="Arial"/>
          <w:b/>
          <w:bCs/>
          <w:szCs w:val="20"/>
        </w:rPr>
      </w:pPr>
      <w:r w:rsidRPr="009A7500">
        <w:rPr>
          <w:rFonts w:cs="Arial"/>
          <w:b/>
          <w:bCs/>
          <w:szCs w:val="20"/>
        </w:rPr>
        <w:lastRenderedPageBreak/>
        <w:t xml:space="preserve">K </w:t>
      </w:r>
      <w:r w:rsidR="00B403C3">
        <w:rPr>
          <w:b/>
          <w:bCs/>
        </w:rPr>
        <w:t>4</w:t>
      </w:r>
      <w:r w:rsidR="00FD1235" w:rsidRPr="009A7500">
        <w:rPr>
          <w:rFonts w:cs="Arial"/>
          <w:b/>
          <w:bCs/>
          <w:szCs w:val="20"/>
        </w:rPr>
        <w:t xml:space="preserve">. </w:t>
      </w:r>
      <w:r w:rsidRPr="009A7500">
        <w:rPr>
          <w:rFonts w:cs="Arial"/>
          <w:b/>
          <w:bCs/>
          <w:szCs w:val="20"/>
        </w:rPr>
        <w:t>členu</w:t>
      </w:r>
    </w:p>
    <w:p w14:paraId="5585B992" w14:textId="7FD83736" w:rsidR="00B22B32" w:rsidRPr="0023027E" w:rsidRDefault="00B22B32" w:rsidP="006A2DE8">
      <w:pPr>
        <w:keepNext/>
        <w:keepLines/>
        <w:widowControl w:val="0"/>
        <w:spacing w:line="276" w:lineRule="auto"/>
        <w:jc w:val="both"/>
        <w:rPr>
          <w:rFonts w:cs="Arial"/>
          <w:szCs w:val="20"/>
        </w:rPr>
      </w:pPr>
      <w:r w:rsidRPr="0023027E">
        <w:rPr>
          <w:rFonts w:cs="Arial"/>
          <w:szCs w:val="20"/>
        </w:rPr>
        <w:t>Predlaga se sprememba prvega odstavka 1. člena Zakona o finančnih konglomeratih (Uradni list RS, št. 43/06, 87/11 in 56/13</w:t>
      </w:r>
      <w:r w:rsidR="000B399D" w:rsidRPr="0023027E">
        <w:rPr>
          <w:rFonts w:cs="Arial"/>
          <w:szCs w:val="20"/>
        </w:rPr>
        <w:t>; v nadaljnjem besedilu: ZFK</w:t>
      </w:r>
      <w:r w:rsidRPr="0023027E">
        <w:rPr>
          <w:rFonts w:cs="Arial"/>
          <w:szCs w:val="20"/>
        </w:rPr>
        <w:t>), kjer se besedilo »Direktivo 2011/89/EU Evropskega parlamenta in Sveta z dne 16. novembra 2011 o spremembah direktiv 98/78/ES, 2002/87/ES, 2006/48/ES in 2009/138/ES glede dopolnilnega nadzora finančnih subjektov v finančnem konglomeratu (UL L št. 326 z dne 8. 12. 2011, str. 113)« nadomesti z besedilom »</w:t>
      </w:r>
      <w:r w:rsidR="00A90CC7" w:rsidRPr="00A90CC7">
        <w:rPr>
          <w:rFonts w:cs="Arial"/>
          <w:szCs w:val="20"/>
        </w:rPr>
        <w:t xml:space="preserve">(UL L št. 35 z dne 11. 2. 2003, str. 1), zadnjič spremenjene z Direktivo (EU) 2023/2864 Evropskega parlamenta in Sveta </w:t>
      </w:r>
      <w:r w:rsidR="002201C7" w:rsidRPr="002201C7">
        <w:rPr>
          <w:rFonts w:cs="Arial"/>
          <w:szCs w:val="20"/>
        </w:rPr>
        <w:t xml:space="preserve">z dne 13. decembra 2023 </w:t>
      </w:r>
      <w:r w:rsidR="00A90CC7" w:rsidRPr="00A90CC7">
        <w:rPr>
          <w:rFonts w:cs="Arial"/>
          <w:szCs w:val="20"/>
        </w:rPr>
        <w:t>o spremembi nekaterih direktiv glede vzpostavitve in delovanja evropske enotne točke dostopa (UL L št. 2023/2864 z dne 20. 12. 2023); (v nadaljnjem besedilu: Direktiva 2002/87/ES)«.</w:t>
      </w:r>
    </w:p>
    <w:p w14:paraId="062CF0DB" w14:textId="77777777" w:rsidR="00B22B32" w:rsidRPr="0023027E" w:rsidRDefault="00B22B32" w:rsidP="00C64B3F">
      <w:pPr>
        <w:spacing w:line="276" w:lineRule="auto"/>
        <w:jc w:val="both"/>
        <w:rPr>
          <w:rFonts w:cs="Arial"/>
          <w:szCs w:val="20"/>
        </w:rPr>
      </w:pPr>
    </w:p>
    <w:p w14:paraId="0520BABC" w14:textId="19EEB689" w:rsidR="00FD1235" w:rsidRPr="0023027E" w:rsidRDefault="008973B9" w:rsidP="00C64B3F">
      <w:pPr>
        <w:spacing w:line="276" w:lineRule="auto"/>
        <w:jc w:val="both"/>
        <w:rPr>
          <w:rFonts w:cs="Arial"/>
          <w:szCs w:val="20"/>
        </w:rPr>
      </w:pPr>
      <w:r w:rsidRPr="0023027E">
        <w:rPr>
          <w:rFonts w:cs="Arial"/>
          <w:szCs w:val="20"/>
        </w:rPr>
        <w:t>Sprememba je potrebna</w:t>
      </w:r>
      <w:r>
        <w:rPr>
          <w:rFonts w:cs="Arial"/>
          <w:szCs w:val="20"/>
        </w:rPr>
        <w:t xml:space="preserve"> za</w:t>
      </w:r>
      <w:r w:rsidRPr="0023027E">
        <w:rPr>
          <w:rFonts w:cs="Arial"/>
          <w:szCs w:val="20"/>
        </w:rPr>
        <w:t xml:space="preserve"> zagotovi</w:t>
      </w:r>
      <w:r>
        <w:rPr>
          <w:rFonts w:cs="Arial"/>
          <w:szCs w:val="20"/>
        </w:rPr>
        <w:t>tev</w:t>
      </w:r>
      <w:r w:rsidRPr="0023027E">
        <w:rPr>
          <w:rFonts w:cs="Arial"/>
          <w:szCs w:val="20"/>
        </w:rPr>
        <w:t xml:space="preserve"> skladnost</w:t>
      </w:r>
      <w:r>
        <w:rPr>
          <w:rFonts w:cs="Arial"/>
          <w:szCs w:val="20"/>
        </w:rPr>
        <w:t>i</w:t>
      </w:r>
      <w:r w:rsidRPr="0023027E">
        <w:rPr>
          <w:rFonts w:cs="Arial"/>
          <w:szCs w:val="20"/>
        </w:rPr>
        <w:t xml:space="preserve"> z veljavnimi pravnimi akti EU, ki so bili spremenjeni, s čimer se ohranjata pravna pravilnost in usklajenost </w:t>
      </w:r>
      <w:r>
        <w:rPr>
          <w:rFonts w:cs="Arial"/>
          <w:szCs w:val="20"/>
        </w:rPr>
        <w:t>domače</w:t>
      </w:r>
      <w:r w:rsidRPr="0023027E">
        <w:rPr>
          <w:rFonts w:cs="Arial"/>
          <w:szCs w:val="20"/>
        </w:rPr>
        <w:t xml:space="preserve"> zakonodaje </w:t>
      </w:r>
      <w:r>
        <w:rPr>
          <w:rFonts w:cs="Arial"/>
          <w:szCs w:val="20"/>
        </w:rPr>
        <w:t xml:space="preserve">s </w:t>
      </w:r>
      <w:r w:rsidRPr="0023027E">
        <w:rPr>
          <w:rFonts w:cs="Arial"/>
          <w:szCs w:val="20"/>
        </w:rPr>
        <w:t xml:space="preserve">predpisi EU. Namen uskladitve je zagotoviti jasnost, natančnost in doslednost pri sklicevanju na akte EU ter preprečiti morebitne neskladnosti pri izvajanju predpisa. </w:t>
      </w:r>
      <w:r w:rsidR="00573F84" w:rsidRPr="0023027E">
        <w:rPr>
          <w:rFonts w:cs="Arial"/>
          <w:szCs w:val="20"/>
        </w:rPr>
        <w:t xml:space="preserve"> </w:t>
      </w:r>
    </w:p>
    <w:p w14:paraId="53A8621D" w14:textId="77777777" w:rsidR="00FD1235" w:rsidRPr="0023027E" w:rsidRDefault="00FD1235" w:rsidP="00C64B3F">
      <w:pPr>
        <w:spacing w:line="276" w:lineRule="auto"/>
        <w:jc w:val="both"/>
        <w:rPr>
          <w:rFonts w:cs="Arial"/>
          <w:szCs w:val="20"/>
        </w:rPr>
      </w:pPr>
    </w:p>
    <w:p w14:paraId="7DC8C5A1" w14:textId="65525E90" w:rsidR="00FE0F83" w:rsidRPr="008973B9" w:rsidRDefault="00FE0F83" w:rsidP="00FE0F83">
      <w:pPr>
        <w:spacing w:line="276" w:lineRule="auto"/>
        <w:jc w:val="both"/>
        <w:rPr>
          <w:rFonts w:cs="Arial"/>
          <w:b/>
          <w:bCs/>
          <w:szCs w:val="20"/>
        </w:rPr>
      </w:pPr>
      <w:r w:rsidRPr="008973B9">
        <w:rPr>
          <w:rFonts w:cs="Arial"/>
          <w:b/>
          <w:bCs/>
          <w:szCs w:val="20"/>
        </w:rPr>
        <w:t xml:space="preserve">K </w:t>
      </w:r>
      <w:r w:rsidR="00B403C3">
        <w:rPr>
          <w:b/>
          <w:bCs/>
        </w:rPr>
        <w:t>5</w:t>
      </w:r>
      <w:r w:rsidR="00A36F0D" w:rsidRPr="008973B9">
        <w:rPr>
          <w:rFonts w:cs="Arial"/>
          <w:b/>
          <w:bCs/>
          <w:szCs w:val="20"/>
        </w:rPr>
        <w:t xml:space="preserve">. </w:t>
      </w:r>
      <w:r w:rsidRPr="008973B9">
        <w:rPr>
          <w:rFonts w:cs="Arial"/>
          <w:b/>
          <w:bCs/>
          <w:szCs w:val="20"/>
        </w:rPr>
        <w:t>členu</w:t>
      </w:r>
    </w:p>
    <w:p w14:paraId="1A529C30" w14:textId="17865E64" w:rsidR="00EB3ECA" w:rsidRPr="0023027E" w:rsidRDefault="000B399D" w:rsidP="00C64B3F">
      <w:pPr>
        <w:spacing w:line="276" w:lineRule="auto"/>
        <w:jc w:val="both"/>
        <w:rPr>
          <w:rFonts w:cs="Arial"/>
          <w:szCs w:val="20"/>
        </w:rPr>
      </w:pPr>
      <w:r w:rsidRPr="0023027E">
        <w:rPr>
          <w:rFonts w:cs="Arial"/>
          <w:szCs w:val="20"/>
        </w:rPr>
        <w:t>S tem členom se dodaja nov 34.a člen ZFK, ki prenaša 1. člen Direkt</w:t>
      </w:r>
      <w:r w:rsidR="00D269A1" w:rsidRPr="0023027E">
        <w:rPr>
          <w:rFonts w:cs="Arial"/>
          <w:szCs w:val="20"/>
        </w:rPr>
        <w:t>i</w:t>
      </w:r>
      <w:r w:rsidRPr="0023027E">
        <w:rPr>
          <w:rFonts w:cs="Arial"/>
          <w:szCs w:val="20"/>
        </w:rPr>
        <w:t>ve 2023/2864/EU</w:t>
      </w:r>
      <w:r w:rsidR="00EB3ECA" w:rsidRPr="0023027E">
        <w:rPr>
          <w:rFonts w:cs="Arial"/>
          <w:szCs w:val="20"/>
        </w:rPr>
        <w:t xml:space="preserve"> oziroma novi 30.b člen Direktive 2002/87/ES Evropskega parlamenta in Sveta z dne 16. decembra 2002 o dopolnilnem nadzoru kreditnih institucij, zavarovalnic in investicijskih družb v finančnem konglomeratu, ki spreminja direktive Sveta 73/239/EGS, 79/267/EGS, 92/49/EGS, 92/96/EGS, 93/6/EGS in 93/22/EGS ter direktivi 98/78/ES in 2000/12/ES (UL L št. 35 z dne 11. 2. 2003, str. 1–27), zadnjič spremenjen</w:t>
      </w:r>
      <w:r w:rsidR="008973B9">
        <w:rPr>
          <w:rFonts w:cs="Arial"/>
          <w:szCs w:val="20"/>
        </w:rPr>
        <w:t>e</w:t>
      </w:r>
      <w:r w:rsidR="00EB3ECA" w:rsidRPr="0023027E">
        <w:rPr>
          <w:rFonts w:cs="Arial"/>
          <w:szCs w:val="20"/>
        </w:rPr>
        <w:t xml:space="preserve"> z Direktivo (EU) 2025/2 Evropskega parlamenta in Sveta z dne 27. novembra 2024 o spremembi Direktive 2009/138/ES glede sorazmernosti, kakovosti nadzora, poročanja, dolgoročnih jamstvenih ukrepov, </w:t>
      </w:r>
      <w:proofErr w:type="spellStart"/>
      <w:r w:rsidR="00EB3ECA" w:rsidRPr="0023027E">
        <w:rPr>
          <w:rFonts w:cs="Arial"/>
          <w:szCs w:val="20"/>
        </w:rPr>
        <w:t>makrobonitetnih</w:t>
      </w:r>
      <w:proofErr w:type="spellEnd"/>
      <w:r w:rsidR="00EB3ECA" w:rsidRPr="0023027E">
        <w:rPr>
          <w:rFonts w:cs="Arial"/>
          <w:szCs w:val="20"/>
        </w:rPr>
        <w:t xml:space="preserve"> orodij, tveganj glede </w:t>
      </w:r>
      <w:proofErr w:type="spellStart"/>
      <w:r w:rsidR="00EB3ECA" w:rsidRPr="0023027E">
        <w:rPr>
          <w:rFonts w:cs="Arial"/>
          <w:szCs w:val="20"/>
        </w:rPr>
        <w:t>trajnostnosti</w:t>
      </w:r>
      <w:proofErr w:type="spellEnd"/>
      <w:r w:rsidR="00EB3ECA" w:rsidRPr="0023027E">
        <w:rPr>
          <w:rFonts w:cs="Arial"/>
          <w:szCs w:val="20"/>
        </w:rPr>
        <w:t xml:space="preserve"> ter nadzora skupin in čezmejnega nadzora ter spremembi direktiv 2002/87/ES in 2013/34/EU (UL L št. 2025/2 z dne 8. 1. 2025), (v nadaljnjem besedilu: Direktiva 2002/87/ES)</w:t>
      </w:r>
      <w:r w:rsidRPr="0023027E">
        <w:rPr>
          <w:rFonts w:cs="Arial"/>
          <w:szCs w:val="20"/>
        </w:rPr>
        <w:t xml:space="preserve">. </w:t>
      </w:r>
    </w:p>
    <w:p w14:paraId="6E3EAA16" w14:textId="77777777" w:rsidR="00EB3ECA" w:rsidRPr="0023027E" w:rsidRDefault="00EB3ECA" w:rsidP="00C64B3F">
      <w:pPr>
        <w:spacing w:line="276" w:lineRule="auto"/>
        <w:jc w:val="both"/>
        <w:rPr>
          <w:rFonts w:cs="Arial"/>
          <w:szCs w:val="20"/>
        </w:rPr>
      </w:pPr>
    </w:p>
    <w:p w14:paraId="75100739" w14:textId="408621DA" w:rsidR="00FE0F83" w:rsidRPr="0023027E" w:rsidRDefault="003D7FEF" w:rsidP="00C64B3F">
      <w:pPr>
        <w:spacing w:line="276" w:lineRule="auto"/>
        <w:jc w:val="both"/>
        <w:rPr>
          <w:rFonts w:cs="Arial"/>
          <w:szCs w:val="20"/>
        </w:rPr>
      </w:pPr>
      <w:r w:rsidRPr="0023027E">
        <w:rPr>
          <w:rFonts w:cs="Arial"/>
          <w:szCs w:val="20"/>
        </w:rPr>
        <w:t xml:space="preserve">Določa se, da </w:t>
      </w:r>
      <w:r w:rsidR="00EB3ECA" w:rsidRPr="0023027E">
        <w:rPr>
          <w:rFonts w:cs="Arial"/>
          <w:szCs w:val="20"/>
        </w:rPr>
        <w:t>n</w:t>
      </w:r>
      <w:r w:rsidRPr="0023027E">
        <w:rPr>
          <w:rFonts w:cs="Arial"/>
          <w:szCs w:val="20"/>
        </w:rPr>
        <w:t>adzorovane osebe</w:t>
      </w:r>
      <w:r w:rsidR="001B0E25" w:rsidRPr="0023027E">
        <w:rPr>
          <w:rFonts w:cs="Arial"/>
          <w:szCs w:val="20"/>
        </w:rPr>
        <w:t xml:space="preserve"> (banke, zavarovalnice, pozavarovalnice, pokojninske družbe, borznoposredniške družbe, družbe za </w:t>
      </w:r>
      <w:r w:rsidR="000E6D44" w:rsidRPr="0023027E">
        <w:rPr>
          <w:rFonts w:cs="Arial"/>
          <w:szCs w:val="20"/>
        </w:rPr>
        <w:t>upravljanje</w:t>
      </w:r>
      <w:r w:rsidR="001B0E25" w:rsidRPr="0023027E">
        <w:rPr>
          <w:rFonts w:cs="Arial"/>
          <w:szCs w:val="20"/>
        </w:rPr>
        <w:t xml:space="preserve"> in upravitelji alternativnih investicijskih skladov)</w:t>
      </w:r>
      <w:r w:rsidRPr="0023027E">
        <w:rPr>
          <w:rFonts w:cs="Arial"/>
          <w:szCs w:val="20"/>
        </w:rPr>
        <w:t xml:space="preserve"> pri objavi katerih koli informacij iz prvega do tretjega odstavka </w:t>
      </w:r>
      <w:r w:rsidR="001B0E25" w:rsidRPr="0023027E">
        <w:rPr>
          <w:rFonts w:cs="Arial"/>
          <w:szCs w:val="20"/>
        </w:rPr>
        <w:t>34.</w:t>
      </w:r>
      <w:r w:rsidRPr="0023027E">
        <w:rPr>
          <w:rFonts w:cs="Arial"/>
          <w:szCs w:val="20"/>
        </w:rPr>
        <w:t xml:space="preserve"> člena</w:t>
      </w:r>
      <w:r w:rsidR="001B0E25" w:rsidRPr="0023027E">
        <w:rPr>
          <w:rFonts w:cs="Arial"/>
          <w:szCs w:val="20"/>
        </w:rPr>
        <w:t xml:space="preserve"> ZFK</w:t>
      </w:r>
      <w:r w:rsidRPr="0023027E">
        <w:rPr>
          <w:rFonts w:cs="Arial"/>
          <w:szCs w:val="20"/>
        </w:rPr>
        <w:t xml:space="preserve"> te informacije hkrati predložijo </w:t>
      </w:r>
      <w:r w:rsidR="00394C8B">
        <w:rPr>
          <w:rFonts w:cs="Arial"/>
          <w:szCs w:val="20"/>
        </w:rPr>
        <w:t>koordinatorju po ZFK.</w:t>
      </w:r>
      <w:r w:rsidR="007B269B" w:rsidRPr="0023027E">
        <w:rPr>
          <w:rFonts w:cs="Arial"/>
          <w:szCs w:val="20"/>
        </w:rPr>
        <w:t xml:space="preserve"> </w:t>
      </w:r>
      <w:r w:rsidR="00394C8B" w:rsidRPr="00394C8B">
        <w:rPr>
          <w:rFonts w:cs="Arial"/>
          <w:szCs w:val="20"/>
        </w:rPr>
        <w:t>V primeru ZFK je</w:t>
      </w:r>
      <w:r w:rsidR="00394C8B">
        <w:rPr>
          <w:rFonts w:cs="Arial"/>
          <w:szCs w:val="20"/>
        </w:rPr>
        <w:t>,</w:t>
      </w:r>
      <w:r w:rsidR="00394C8B" w:rsidRPr="00394C8B">
        <w:rPr>
          <w:rFonts w:cs="Arial"/>
          <w:szCs w:val="20"/>
        </w:rPr>
        <w:t xml:space="preserve"> zaradi narave heterogenih skupin</w:t>
      </w:r>
      <w:r w:rsidR="00394C8B">
        <w:rPr>
          <w:rFonts w:cs="Arial"/>
          <w:szCs w:val="20"/>
        </w:rPr>
        <w:t>,</w:t>
      </w:r>
      <w:r w:rsidR="00394C8B" w:rsidRPr="00394C8B">
        <w:rPr>
          <w:rFonts w:cs="Arial"/>
          <w:szCs w:val="20"/>
        </w:rPr>
        <w:t xml:space="preserve"> pristojnih več nadzornih organov</w:t>
      </w:r>
      <w:r w:rsidR="00394C8B">
        <w:rPr>
          <w:rFonts w:cs="Arial"/>
          <w:szCs w:val="20"/>
        </w:rPr>
        <w:t xml:space="preserve"> </w:t>
      </w:r>
      <w:r w:rsidR="00394C8B" w:rsidRPr="0023027E">
        <w:rPr>
          <w:rFonts w:cs="Arial"/>
          <w:szCs w:val="20"/>
        </w:rPr>
        <w:t>(Banka Slovenije, Agencija za trg vrednostnih papirjev ali Agencija za zavarovalni nadzor, ki so na podlagi sektorskih pravil pristojni za opravljanje nadzora nad nadzorovano osebo)</w:t>
      </w:r>
      <w:r w:rsidR="00394C8B" w:rsidRPr="00394C8B">
        <w:rPr>
          <w:rFonts w:cs="Arial"/>
          <w:szCs w:val="20"/>
        </w:rPr>
        <w:t>, vendar pa ZFK izmed udeleženih nadzornih organov določa imenovanje koordinatorja, ki je odgovoren za usklajevanje in opravljanje nalog dopolnilnega nadzora. Za zagotovitev večje preglednosti in enostavnega razumevanja za nadzorovane osebe in tudi nadzorne organe se v zakonu natančneje opredeli pristojni organ, ki bo odgovoren za zbiranje in posredovanje predpisanih informacij ESAP, ki je koordinator</w:t>
      </w:r>
      <w:r w:rsidRPr="0023027E">
        <w:rPr>
          <w:rFonts w:cs="Arial"/>
          <w:szCs w:val="20"/>
        </w:rPr>
        <w:t xml:space="preserve">. </w:t>
      </w:r>
      <w:r w:rsidR="007F5395" w:rsidRPr="0023027E">
        <w:rPr>
          <w:rFonts w:cs="Arial"/>
          <w:szCs w:val="20"/>
        </w:rPr>
        <w:t>Hkrati je določeno, da je n</w:t>
      </w:r>
      <w:r w:rsidRPr="0023027E">
        <w:rPr>
          <w:rFonts w:cs="Arial"/>
          <w:szCs w:val="20"/>
        </w:rPr>
        <w:t xml:space="preserve">adzorni organ za zbiranje podatkov, </w:t>
      </w:r>
      <w:r w:rsidR="008973B9">
        <w:rPr>
          <w:rFonts w:cs="Arial"/>
          <w:szCs w:val="20"/>
        </w:rPr>
        <w:t>kakor</w:t>
      </w:r>
      <w:r w:rsidR="008973B9" w:rsidRPr="0023027E">
        <w:rPr>
          <w:rFonts w:cs="Arial"/>
          <w:szCs w:val="20"/>
        </w:rPr>
        <w:t xml:space="preserve"> </w:t>
      </w:r>
      <w:r w:rsidRPr="0023027E">
        <w:rPr>
          <w:rFonts w:cs="Arial"/>
          <w:szCs w:val="20"/>
        </w:rPr>
        <w:t>je opredeljen v 2. točki 2. člena Uredbe 2023/2859</w:t>
      </w:r>
      <w:r w:rsidR="007F5395" w:rsidRPr="0023027E">
        <w:rPr>
          <w:rFonts w:cs="Arial"/>
          <w:szCs w:val="20"/>
        </w:rPr>
        <w:t>/EU</w:t>
      </w:r>
      <w:r w:rsidR="008973B9">
        <w:rPr>
          <w:rFonts w:cs="Arial"/>
          <w:szCs w:val="20"/>
        </w:rPr>
        <w:t>,</w:t>
      </w:r>
      <w:r w:rsidR="007F5395" w:rsidRPr="0023027E">
        <w:rPr>
          <w:rFonts w:cs="Arial"/>
          <w:szCs w:val="20"/>
        </w:rPr>
        <w:t xml:space="preserve"> s čimer se prenaša tretji odstavek novega 30.b člena Direktive 2002/87/ES</w:t>
      </w:r>
      <w:r w:rsidR="00EB3ECA" w:rsidRPr="0023027E">
        <w:rPr>
          <w:rFonts w:cs="Arial"/>
          <w:szCs w:val="20"/>
        </w:rPr>
        <w:t xml:space="preserve">. Nadzorni organ mora </w:t>
      </w:r>
      <w:r w:rsidRPr="0023027E">
        <w:rPr>
          <w:rFonts w:cs="Arial"/>
          <w:szCs w:val="20"/>
        </w:rPr>
        <w:t>informacije</w:t>
      </w:r>
      <w:r w:rsidR="00EB3ECA" w:rsidRPr="0023027E">
        <w:rPr>
          <w:rFonts w:cs="Arial"/>
          <w:szCs w:val="20"/>
        </w:rPr>
        <w:t>, ki jih prejme od nadzorovanih oseb</w:t>
      </w:r>
      <w:r w:rsidR="008973B9">
        <w:rPr>
          <w:rFonts w:cs="Arial"/>
          <w:szCs w:val="20"/>
        </w:rPr>
        <w:t>,</w:t>
      </w:r>
      <w:r w:rsidRPr="0023027E">
        <w:rPr>
          <w:rFonts w:cs="Arial"/>
          <w:szCs w:val="20"/>
        </w:rPr>
        <w:t xml:space="preserve"> predloži</w:t>
      </w:r>
      <w:r w:rsidR="00EB3ECA" w:rsidRPr="0023027E">
        <w:rPr>
          <w:rFonts w:cs="Arial"/>
          <w:szCs w:val="20"/>
        </w:rPr>
        <w:t>ti</w:t>
      </w:r>
      <w:r w:rsidRPr="0023027E">
        <w:rPr>
          <w:rFonts w:cs="Arial"/>
          <w:szCs w:val="20"/>
        </w:rPr>
        <w:t xml:space="preserve"> </w:t>
      </w:r>
      <w:r w:rsidR="002E2110" w:rsidRPr="0023027E">
        <w:rPr>
          <w:rFonts w:cs="Arial"/>
          <w:szCs w:val="20"/>
        </w:rPr>
        <w:t>ESAP</w:t>
      </w:r>
      <w:r w:rsidR="00EB3ECA" w:rsidRPr="0023027E">
        <w:rPr>
          <w:rFonts w:cs="Arial"/>
          <w:szCs w:val="20"/>
        </w:rPr>
        <w:t>.</w:t>
      </w:r>
    </w:p>
    <w:p w14:paraId="02F21204" w14:textId="77777777" w:rsidR="003C3101" w:rsidRPr="0023027E" w:rsidRDefault="003C3101" w:rsidP="00C64B3F">
      <w:pPr>
        <w:spacing w:line="276" w:lineRule="auto"/>
        <w:jc w:val="both"/>
        <w:rPr>
          <w:rFonts w:cs="Arial"/>
          <w:szCs w:val="20"/>
        </w:rPr>
      </w:pPr>
    </w:p>
    <w:p w14:paraId="2ED78642" w14:textId="77777777" w:rsidR="008973B9" w:rsidRPr="0023027E" w:rsidRDefault="008973B9" w:rsidP="008973B9">
      <w:pPr>
        <w:spacing w:line="276" w:lineRule="auto"/>
        <w:jc w:val="both"/>
        <w:rPr>
          <w:rFonts w:cs="Arial"/>
          <w:szCs w:val="20"/>
        </w:rPr>
      </w:pPr>
      <w:r w:rsidRPr="0023027E">
        <w:rPr>
          <w:rFonts w:cs="Arial"/>
          <w:szCs w:val="20"/>
        </w:rPr>
        <w:t>V drugem odstavku novega 34.a člena ZFK se določa</w:t>
      </w:r>
      <w:r>
        <w:rPr>
          <w:rFonts w:cs="Arial"/>
          <w:szCs w:val="20"/>
        </w:rPr>
        <w:t>jo</w:t>
      </w:r>
      <w:r w:rsidRPr="0023027E">
        <w:rPr>
          <w:rFonts w:cs="Arial"/>
          <w:szCs w:val="20"/>
        </w:rPr>
        <w:t xml:space="preserve"> zahteve za podatke, ki se predložijo na ESAP. </w:t>
      </w:r>
      <w:r>
        <w:rPr>
          <w:rFonts w:cs="Arial"/>
          <w:szCs w:val="20"/>
        </w:rPr>
        <w:t>Kakor i</w:t>
      </w:r>
      <w:r w:rsidRPr="0023027E">
        <w:rPr>
          <w:rFonts w:cs="Arial"/>
          <w:szCs w:val="20"/>
        </w:rPr>
        <w:t>zhaja iz Direktive 2023/2864/EU</w:t>
      </w:r>
      <w:r>
        <w:rPr>
          <w:rFonts w:cs="Arial"/>
          <w:szCs w:val="20"/>
        </w:rPr>
        <w:t>,</w:t>
      </w:r>
      <w:r w:rsidRPr="0023027E">
        <w:rPr>
          <w:rFonts w:cs="Arial"/>
          <w:szCs w:val="20"/>
        </w:rPr>
        <w:t xml:space="preserve"> se </w:t>
      </w:r>
      <w:r>
        <w:rPr>
          <w:rFonts w:cs="Arial"/>
          <w:szCs w:val="20"/>
        </w:rPr>
        <w:t>morajo</w:t>
      </w:r>
      <w:r w:rsidRPr="0023027E">
        <w:rPr>
          <w:rFonts w:cs="Arial"/>
          <w:szCs w:val="20"/>
        </w:rPr>
        <w:t xml:space="preserve"> podatki predloži</w:t>
      </w:r>
      <w:r>
        <w:rPr>
          <w:rFonts w:cs="Arial"/>
          <w:szCs w:val="20"/>
        </w:rPr>
        <w:t>ti</w:t>
      </w:r>
      <w:r w:rsidRPr="0023027E">
        <w:rPr>
          <w:rFonts w:cs="Arial"/>
          <w:szCs w:val="20"/>
        </w:rPr>
        <w:t xml:space="preserve"> v formatu, ki omogoča </w:t>
      </w:r>
      <w:r>
        <w:rPr>
          <w:rFonts w:cs="Arial"/>
          <w:szCs w:val="20"/>
        </w:rPr>
        <w:t xml:space="preserve">njihov </w:t>
      </w:r>
      <w:r w:rsidRPr="0023027E">
        <w:rPr>
          <w:rFonts w:cs="Arial"/>
          <w:szCs w:val="20"/>
        </w:rPr>
        <w:t>izv</w:t>
      </w:r>
      <w:r>
        <w:rPr>
          <w:rFonts w:cs="Arial"/>
          <w:szCs w:val="20"/>
        </w:rPr>
        <w:t>oz</w:t>
      </w:r>
      <w:r w:rsidRPr="0023027E">
        <w:rPr>
          <w:rFonts w:cs="Arial"/>
          <w:szCs w:val="20"/>
        </w:rPr>
        <w:t xml:space="preserve"> (</w:t>
      </w:r>
      <w:r w:rsidRPr="0023027E">
        <w:rPr>
          <w:rFonts w:cs="Arial"/>
          <w:i/>
          <w:iCs/>
          <w:szCs w:val="20"/>
        </w:rPr>
        <w:t xml:space="preserve">data </w:t>
      </w:r>
      <w:proofErr w:type="spellStart"/>
      <w:r w:rsidRPr="0023027E">
        <w:rPr>
          <w:rFonts w:cs="Arial"/>
          <w:i/>
          <w:iCs/>
          <w:szCs w:val="20"/>
        </w:rPr>
        <w:t>extractable</w:t>
      </w:r>
      <w:proofErr w:type="spellEnd"/>
      <w:r w:rsidRPr="0023027E">
        <w:rPr>
          <w:rFonts w:cs="Arial"/>
          <w:i/>
          <w:iCs/>
          <w:szCs w:val="20"/>
        </w:rPr>
        <w:t xml:space="preserve"> format</w:t>
      </w:r>
      <w:r w:rsidRPr="0023027E">
        <w:rPr>
          <w:rFonts w:cs="Arial"/>
          <w:szCs w:val="20"/>
        </w:rPr>
        <w:t>)</w:t>
      </w:r>
      <w:r>
        <w:rPr>
          <w:rFonts w:cs="Arial"/>
          <w:szCs w:val="20"/>
        </w:rPr>
        <w:t>,</w:t>
      </w:r>
      <w:r w:rsidRPr="0023027E">
        <w:rPr>
          <w:rFonts w:cs="Arial"/>
          <w:szCs w:val="20"/>
        </w:rPr>
        <w:t xml:space="preserve"> ali kjer je to določeno z zakonodajo EU, v strojno berljiv</w:t>
      </w:r>
      <w:r>
        <w:rPr>
          <w:rFonts w:cs="Arial"/>
          <w:szCs w:val="20"/>
        </w:rPr>
        <w:t>i</w:t>
      </w:r>
      <w:r w:rsidRPr="0023027E">
        <w:rPr>
          <w:rFonts w:cs="Arial"/>
          <w:szCs w:val="20"/>
        </w:rPr>
        <w:t xml:space="preserve"> o</w:t>
      </w:r>
      <w:r>
        <w:rPr>
          <w:rFonts w:cs="Arial"/>
          <w:szCs w:val="20"/>
        </w:rPr>
        <w:t>bliki</w:t>
      </w:r>
      <w:r w:rsidRPr="0023027E">
        <w:rPr>
          <w:rFonts w:cs="Arial"/>
          <w:szCs w:val="20"/>
        </w:rPr>
        <w:t xml:space="preserve"> (</w:t>
      </w:r>
      <w:proofErr w:type="spellStart"/>
      <w:r w:rsidRPr="0023027E">
        <w:rPr>
          <w:rFonts w:cs="Arial"/>
          <w:i/>
          <w:iCs/>
          <w:szCs w:val="20"/>
        </w:rPr>
        <w:t>machine-readable</w:t>
      </w:r>
      <w:proofErr w:type="spellEnd"/>
      <w:r w:rsidRPr="0023027E">
        <w:rPr>
          <w:rFonts w:cs="Arial"/>
          <w:i/>
          <w:iCs/>
          <w:szCs w:val="20"/>
        </w:rPr>
        <w:t xml:space="preserve"> format</w:t>
      </w:r>
      <w:r w:rsidRPr="0023027E">
        <w:rPr>
          <w:rFonts w:cs="Arial"/>
          <w:szCs w:val="20"/>
        </w:rPr>
        <w:t>). T</w:t>
      </w:r>
      <w:r>
        <w:rPr>
          <w:rFonts w:cs="Arial"/>
          <w:szCs w:val="20"/>
        </w:rPr>
        <w:t>ak</w:t>
      </w:r>
      <w:r w:rsidRPr="0023027E">
        <w:rPr>
          <w:rFonts w:cs="Arial"/>
          <w:szCs w:val="20"/>
        </w:rPr>
        <w:t>o so podatki digitalno uporabni, kar omogoča avtomatizirano obdelavo, analizo in primerjavo. Standardiziran</w:t>
      </w:r>
      <w:r>
        <w:rPr>
          <w:rFonts w:cs="Arial"/>
          <w:szCs w:val="20"/>
        </w:rPr>
        <w:t>i</w:t>
      </w:r>
      <w:r w:rsidRPr="0023027E">
        <w:rPr>
          <w:rFonts w:cs="Arial"/>
          <w:szCs w:val="20"/>
        </w:rPr>
        <w:t xml:space="preserve"> format olajša uporabnikom (na primer vlagatelji, analitiki in regulatorji) dostop do podatkov </w:t>
      </w:r>
      <w:r>
        <w:rPr>
          <w:rFonts w:cs="Arial"/>
          <w:szCs w:val="20"/>
        </w:rPr>
        <w:t>in</w:t>
      </w:r>
      <w:r w:rsidRPr="0023027E">
        <w:rPr>
          <w:rFonts w:cs="Arial"/>
          <w:szCs w:val="20"/>
        </w:rPr>
        <w:t xml:space="preserve"> njihovo uporabo.</w:t>
      </w:r>
    </w:p>
    <w:p w14:paraId="1D466B39" w14:textId="77777777" w:rsidR="008973B9" w:rsidRPr="0023027E" w:rsidRDefault="008973B9" w:rsidP="008973B9">
      <w:pPr>
        <w:spacing w:line="276" w:lineRule="auto"/>
        <w:jc w:val="both"/>
        <w:rPr>
          <w:rFonts w:cs="Arial"/>
          <w:szCs w:val="20"/>
        </w:rPr>
      </w:pPr>
    </w:p>
    <w:p w14:paraId="318C1AA3" w14:textId="77777777" w:rsidR="008973B9" w:rsidRPr="0023027E" w:rsidRDefault="008973B9" w:rsidP="008973B9">
      <w:pPr>
        <w:spacing w:after="160" w:line="259" w:lineRule="auto"/>
        <w:jc w:val="both"/>
        <w:rPr>
          <w:rFonts w:cs="Arial"/>
          <w:szCs w:val="20"/>
        </w:rPr>
      </w:pPr>
      <w:r w:rsidRPr="0023027E">
        <w:rPr>
          <w:rFonts w:cs="Arial"/>
          <w:szCs w:val="20"/>
        </w:rPr>
        <w:lastRenderedPageBreak/>
        <w:t>Informacije morajo vsebovati metapodatke, ki zagotavljajo dodatne podatke o nadzorovani osebi in naravi pred</w:t>
      </w:r>
      <w:r>
        <w:rPr>
          <w:rFonts w:cs="Arial"/>
          <w:szCs w:val="20"/>
        </w:rPr>
        <w:t>lože</w:t>
      </w:r>
      <w:r w:rsidRPr="0023027E">
        <w:rPr>
          <w:rFonts w:cs="Arial"/>
          <w:szCs w:val="20"/>
        </w:rPr>
        <w:t>nih podatkov. Ti metapodatki so:</w:t>
      </w:r>
    </w:p>
    <w:p w14:paraId="66E6AA24" w14:textId="77777777" w:rsidR="008973B9" w:rsidRPr="0023027E" w:rsidRDefault="008973B9" w:rsidP="008973B9">
      <w:pPr>
        <w:pStyle w:val="Odstavekseznama"/>
        <w:numPr>
          <w:ilvl w:val="0"/>
          <w:numId w:val="65"/>
        </w:numPr>
        <w:spacing w:after="160" w:line="259" w:lineRule="auto"/>
        <w:jc w:val="both"/>
        <w:rPr>
          <w:rFonts w:cs="Arial"/>
          <w:szCs w:val="20"/>
        </w:rPr>
      </w:pPr>
      <w:r>
        <w:rPr>
          <w:rFonts w:cs="Arial"/>
          <w:szCs w:val="20"/>
        </w:rPr>
        <w:t>v</w:t>
      </w:r>
      <w:r w:rsidRPr="0023027E">
        <w:rPr>
          <w:rFonts w:cs="Arial"/>
          <w:szCs w:val="20"/>
        </w:rPr>
        <w:t xml:space="preserve">sa imena nadzorovane osebe: </w:t>
      </w:r>
      <w:r>
        <w:rPr>
          <w:rFonts w:cs="Arial"/>
          <w:szCs w:val="20"/>
        </w:rPr>
        <w:t>t</w:t>
      </w:r>
      <w:r w:rsidRPr="0023027E">
        <w:rPr>
          <w:rFonts w:cs="Arial"/>
          <w:szCs w:val="20"/>
        </w:rPr>
        <w:t>o vključuje uradno ime pravnega subjekta ali druga imena, pod katerimi nadzorovana oseba posluje. Namen je jasna identifikacija subjekta, da se prepreči zmeda pri subjektih z enakimi ali podobnimi imeni</w:t>
      </w:r>
      <w:r>
        <w:rPr>
          <w:rFonts w:cs="Arial"/>
          <w:szCs w:val="20"/>
        </w:rPr>
        <w:t>;</w:t>
      </w:r>
    </w:p>
    <w:p w14:paraId="3A1A197F" w14:textId="77777777" w:rsidR="008973B9" w:rsidRPr="0023027E" w:rsidRDefault="008973B9" w:rsidP="008973B9">
      <w:pPr>
        <w:pStyle w:val="Odstavekseznama"/>
        <w:numPr>
          <w:ilvl w:val="0"/>
          <w:numId w:val="65"/>
        </w:numPr>
        <w:spacing w:after="160" w:line="259" w:lineRule="auto"/>
        <w:jc w:val="both"/>
        <w:rPr>
          <w:rFonts w:cs="Arial"/>
          <w:szCs w:val="20"/>
        </w:rPr>
      </w:pPr>
      <w:r>
        <w:rPr>
          <w:rFonts w:cs="Arial"/>
          <w:szCs w:val="20"/>
        </w:rPr>
        <w:t>i</w:t>
      </w:r>
      <w:r w:rsidRPr="0023027E">
        <w:rPr>
          <w:rFonts w:cs="Arial"/>
          <w:szCs w:val="20"/>
        </w:rPr>
        <w:t>dentifikator pravnih subjektov</w:t>
      </w:r>
      <w:r>
        <w:rPr>
          <w:rFonts w:cs="Arial"/>
          <w:szCs w:val="20"/>
        </w:rPr>
        <w:t xml:space="preserve">, </w:t>
      </w:r>
      <w:r w:rsidRPr="0023027E">
        <w:rPr>
          <w:rFonts w:cs="Arial"/>
          <w:szCs w:val="20"/>
        </w:rPr>
        <w:t>k</w:t>
      </w:r>
      <w:r>
        <w:rPr>
          <w:rFonts w:cs="Arial"/>
          <w:szCs w:val="20"/>
        </w:rPr>
        <w:t>ak</w:t>
      </w:r>
      <w:r w:rsidRPr="0023027E">
        <w:rPr>
          <w:rFonts w:cs="Arial"/>
          <w:szCs w:val="20"/>
        </w:rPr>
        <w:t>o</w:t>
      </w:r>
      <w:r>
        <w:rPr>
          <w:rFonts w:cs="Arial"/>
          <w:szCs w:val="20"/>
        </w:rPr>
        <w:t>r</w:t>
      </w:r>
      <w:r w:rsidRPr="0023027E">
        <w:rPr>
          <w:rFonts w:cs="Arial"/>
          <w:szCs w:val="20"/>
        </w:rPr>
        <w:t xml:space="preserve"> je določeno v točki b) četrtega odstavka 7. člena Uredbe 2023/2859/EU. Identifikator pravnih subjektov je standardizirana koda, ki se bo uporabljal</w:t>
      </w:r>
      <w:r>
        <w:rPr>
          <w:rFonts w:cs="Arial"/>
          <w:szCs w:val="20"/>
        </w:rPr>
        <w:t>a</w:t>
      </w:r>
      <w:r w:rsidRPr="0023027E">
        <w:rPr>
          <w:rFonts w:cs="Arial"/>
          <w:szCs w:val="20"/>
        </w:rPr>
        <w:t xml:space="preserve"> za enolično identifikacijo pravnih oseb</w:t>
      </w:r>
      <w:r>
        <w:rPr>
          <w:rFonts w:cs="Arial"/>
          <w:szCs w:val="20"/>
        </w:rPr>
        <w:t>,</w:t>
      </w:r>
      <w:r w:rsidRPr="0023027E">
        <w:rPr>
          <w:rFonts w:cs="Arial"/>
          <w:szCs w:val="20"/>
        </w:rPr>
        <w:t xml:space="preserve"> in ga natančneje opredeljuje Izvedbena uredba Komisije (EU) 2025/1338 z dne 10. julija 2025 o določitvi izvedbenih tehničnih standardov za uporabo Uredbe (EU) 2023/2859 Evropskega parlamenta in Sveta v zvezi s funkcionalnostmi evropske enotne točke dostopa (UL L št. 2025/1338 z dne 11. 7. 202</w:t>
      </w:r>
      <w:r w:rsidRPr="00A607FE">
        <w:rPr>
          <w:rFonts w:cs="Arial"/>
          <w:szCs w:val="20"/>
        </w:rPr>
        <w:t>5</w:t>
      </w:r>
      <w:r>
        <w:rPr>
          <w:rFonts w:cs="Arial"/>
          <w:szCs w:val="20"/>
        </w:rPr>
        <w:t>;</w:t>
      </w:r>
      <w:r w:rsidRPr="00A607FE">
        <w:rPr>
          <w:rFonts w:cs="Arial"/>
          <w:szCs w:val="20"/>
        </w:rPr>
        <w:t xml:space="preserve"> v</w:t>
      </w:r>
      <w:r w:rsidRPr="0023027E">
        <w:rPr>
          <w:rFonts w:cs="Arial"/>
          <w:szCs w:val="20"/>
        </w:rPr>
        <w:t xml:space="preserve"> nadaljnjem besedilu: Uredba 2025/1338/EU). Identifikator pravnih subjektov je ključen za izboljšanje preglednosti in sledenja v finančnih sistemih</w:t>
      </w:r>
      <w:r>
        <w:rPr>
          <w:rFonts w:cs="Arial"/>
          <w:szCs w:val="20"/>
        </w:rPr>
        <w:t>. To</w:t>
      </w:r>
      <w:r w:rsidRPr="0023027E">
        <w:rPr>
          <w:rFonts w:cs="Arial"/>
          <w:szCs w:val="20"/>
        </w:rPr>
        <w:t xml:space="preserve"> regulatorjem in drugim deležnikom</w:t>
      </w:r>
      <w:r w:rsidRPr="00BF43BA">
        <w:rPr>
          <w:rFonts w:cs="Arial"/>
          <w:szCs w:val="20"/>
        </w:rPr>
        <w:t xml:space="preserve"> </w:t>
      </w:r>
      <w:r w:rsidRPr="0023027E">
        <w:rPr>
          <w:rFonts w:cs="Arial"/>
          <w:szCs w:val="20"/>
        </w:rPr>
        <w:t>omogoča, da hitro in natančno identificirajo pravne subjekte, vključen</w:t>
      </w:r>
      <w:r>
        <w:rPr>
          <w:rFonts w:cs="Arial"/>
          <w:szCs w:val="20"/>
        </w:rPr>
        <w:t>e</w:t>
      </w:r>
      <w:r w:rsidRPr="0023027E">
        <w:rPr>
          <w:rFonts w:cs="Arial"/>
          <w:szCs w:val="20"/>
        </w:rPr>
        <w:t xml:space="preserve"> v finančne transakcije, kar zmanjšuje tveganja, povezana z nejasnostjo ali prikrivanjem identitete</w:t>
      </w:r>
      <w:r>
        <w:rPr>
          <w:rFonts w:cs="Arial"/>
          <w:szCs w:val="20"/>
        </w:rPr>
        <w:t>;</w:t>
      </w:r>
    </w:p>
    <w:p w14:paraId="1650DEA0" w14:textId="77777777" w:rsidR="008973B9" w:rsidRPr="0023027E" w:rsidRDefault="008973B9" w:rsidP="008973B9">
      <w:pPr>
        <w:pStyle w:val="Odstavekseznama"/>
        <w:numPr>
          <w:ilvl w:val="0"/>
          <w:numId w:val="65"/>
        </w:numPr>
        <w:spacing w:after="160" w:line="259" w:lineRule="auto"/>
        <w:jc w:val="both"/>
        <w:rPr>
          <w:rFonts w:cs="Arial"/>
          <w:szCs w:val="20"/>
        </w:rPr>
      </w:pPr>
      <w:r>
        <w:rPr>
          <w:rFonts w:cs="Arial"/>
          <w:szCs w:val="20"/>
        </w:rPr>
        <w:t>v</w:t>
      </w:r>
      <w:r w:rsidRPr="0023027E">
        <w:rPr>
          <w:rFonts w:cs="Arial"/>
          <w:szCs w:val="20"/>
        </w:rPr>
        <w:t xml:space="preserve">elikost nadzorovane osebe po kategorijah v skladu s točko d) četrtega odstavka 7. člena Uredbe 2023/2859/EU. Te kategorije so natančneje opredeljene v Uredbi 2025/1338/EU (na primer mala in srednja podjetja, velika podjetja, </w:t>
      </w:r>
      <w:proofErr w:type="spellStart"/>
      <w:r w:rsidRPr="0023027E">
        <w:rPr>
          <w:rFonts w:cs="Arial"/>
          <w:szCs w:val="20"/>
        </w:rPr>
        <w:t>mikropodjetja</w:t>
      </w:r>
      <w:proofErr w:type="spellEnd"/>
      <w:r w:rsidRPr="0023027E">
        <w:rPr>
          <w:rFonts w:cs="Arial"/>
          <w:szCs w:val="20"/>
        </w:rPr>
        <w:t>). Namen je razvrstitev subjektov glede na njihovo velikost</w:t>
      </w:r>
      <w:r>
        <w:rPr>
          <w:rFonts w:cs="Arial"/>
          <w:szCs w:val="20"/>
        </w:rPr>
        <w:t>;</w:t>
      </w:r>
    </w:p>
    <w:p w14:paraId="37797086" w14:textId="77777777" w:rsidR="008973B9" w:rsidRPr="0023027E" w:rsidRDefault="008973B9" w:rsidP="008973B9">
      <w:pPr>
        <w:pStyle w:val="Odstavekseznama"/>
        <w:numPr>
          <w:ilvl w:val="0"/>
          <w:numId w:val="65"/>
        </w:numPr>
        <w:spacing w:after="160" w:line="259" w:lineRule="auto"/>
        <w:jc w:val="both"/>
        <w:rPr>
          <w:rFonts w:cs="Arial"/>
          <w:szCs w:val="20"/>
        </w:rPr>
      </w:pPr>
      <w:r>
        <w:rPr>
          <w:rFonts w:cs="Arial"/>
          <w:szCs w:val="20"/>
        </w:rPr>
        <w:t>v</w:t>
      </w:r>
      <w:r w:rsidRPr="0023027E">
        <w:rPr>
          <w:rFonts w:cs="Arial"/>
          <w:szCs w:val="20"/>
        </w:rPr>
        <w:t xml:space="preserve">rsta informacij glede na razvrstitev na podlagi točke c) četrtega odstavka 7. člena Uredbe 2023/2859/EU. To pomeni, da morajo biti podatki označeni glede na vrsto ali kategorijo. To </w:t>
      </w:r>
      <w:r>
        <w:rPr>
          <w:rFonts w:cs="Arial"/>
          <w:szCs w:val="20"/>
        </w:rPr>
        <w:t>prejemnikom</w:t>
      </w:r>
      <w:r w:rsidRPr="0023027E">
        <w:rPr>
          <w:rFonts w:cs="Arial"/>
          <w:szCs w:val="20"/>
        </w:rPr>
        <w:t xml:space="preserve"> omogoča lažje razumevanje in obdelavo podatkov. Vrste informacij so natančneje opredeljene v Uredbi 2025/1338/EU</w:t>
      </w:r>
      <w:r>
        <w:rPr>
          <w:rFonts w:cs="Arial"/>
          <w:szCs w:val="20"/>
        </w:rPr>
        <w:t>;</w:t>
      </w:r>
    </w:p>
    <w:p w14:paraId="48DE9AB2" w14:textId="77777777" w:rsidR="008973B9" w:rsidRPr="0023027E" w:rsidRDefault="008973B9" w:rsidP="008973B9">
      <w:pPr>
        <w:pStyle w:val="Odstavekseznama"/>
        <w:numPr>
          <w:ilvl w:val="0"/>
          <w:numId w:val="65"/>
        </w:numPr>
        <w:spacing w:after="160" w:line="259" w:lineRule="auto"/>
        <w:jc w:val="both"/>
        <w:rPr>
          <w:rFonts w:cs="Arial"/>
          <w:szCs w:val="20"/>
        </w:rPr>
      </w:pPr>
      <w:r>
        <w:rPr>
          <w:rFonts w:cs="Arial"/>
          <w:szCs w:val="20"/>
        </w:rPr>
        <w:t>o</w:t>
      </w:r>
      <w:r w:rsidRPr="0023027E">
        <w:rPr>
          <w:rFonts w:cs="Arial"/>
          <w:szCs w:val="20"/>
        </w:rPr>
        <w:t xml:space="preserve">znaka, ali informacije vsebujejo osebne podatke: </w:t>
      </w:r>
      <w:r>
        <w:rPr>
          <w:rFonts w:cs="Arial"/>
          <w:szCs w:val="20"/>
        </w:rPr>
        <w:t>i</w:t>
      </w:r>
      <w:r w:rsidRPr="0023027E">
        <w:rPr>
          <w:rFonts w:cs="Arial"/>
          <w:szCs w:val="20"/>
        </w:rPr>
        <w:t>nformacije morajo biti označene, če vsebujejo osebne podatke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podatke o posameznikih, kot so imena, naslovi, identifikacijske številke). Ta zahteva je pomembna za skladnost z zakonodajo o varstvu podatkov, saj osebni podatki zahtevajo posebno obravnavo in varstvo.</w:t>
      </w:r>
    </w:p>
    <w:p w14:paraId="1EE18C96" w14:textId="77777777" w:rsidR="008973B9" w:rsidRPr="0023027E" w:rsidRDefault="008973B9" w:rsidP="008973B9">
      <w:pPr>
        <w:spacing w:line="276" w:lineRule="auto"/>
        <w:jc w:val="both"/>
        <w:rPr>
          <w:rFonts w:cs="Arial"/>
          <w:szCs w:val="20"/>
        </w:rPr>
      </w:pPr>
    </w:p>
    <w:p w14:paraId="4DDB1BE0" w14:textId="77777777" w:rsidR="008973B9" w:rsidRPr="0023027E" w:rsidRDefault="008973B9" w:rsidP="008973B9">
      <w:pPr>
        <w:spacing w:line="276" w:lineRule="auto"/>
        <w:jc w:val="both"/>
        <w:rPr>
          <w:rFonts w:cs="Arial"/>
          <w:szCs w:val="20"/>
        </w:rPr>
      </w:pPr>
      <w:r w:rsidRPr="0023027E">
        <w:rPr>
          <w:rFonts w:cs="Arial"/>
          <w:szCs w:val="20"/>
        </w:rPr>
        <w:t>Metapodatki so ključni za organiz</w:t>
      </w:r>
      <w:r>
        <w:rPr>
          <w:rFonts w:cs="Arial"/>
          <w:szCs w:val="20"/>
        </w:rPr>
        <w:t>ir</w:t>
      </w:r>
      <w:r w:rsidRPr="0023027E">
        <w:rPr>
          <w:rFonts w:cs="Arial"/>
          <w:szCs w:val="20"/>
        </w:rPr>
        <w:t>a</w:t>
      </w:r>
      <w:r>
        <w:rPr>
          <w:rFonts w:cs="Arial"/>
          <w:szCs w:val="20"/>
        </w:rPr>
        <w:t>n</w:t>
      </w:r>
      <w:r w:rsidRPr="0023027E">
        <w:rPr>
          <w:rFonts w:cs="Arial"/>
          <w:szCs w:val="20"/>
        </w:rPr>
        <w:t>j</w:t>
      </w:r>
      <w:r>
        <w:rPr>
          <w:rFonts w:cs="Arial"/>
          <w:szCs w:val="20"/>
        </w:rPr>
        <w:t>e</w:t>
      </w:r>
      <w:r w:rsidRPr="0023027E">
        <w:rPr>
          <w:rFonts w:cs="Arial"/>
          <w:szCs w:val="20"/>
        </w:rPr>
        <w:t xml:space="preserve"> in kategoriz</w:t>
      </w:r>
      <w:r>
        <w:rPr>
          <w:rFonts w:cs="Arial"/>
          <w:szCs w:val="20"/>
        </w:rPr>
        <w:t>ir</w:t>
      </w:r>
      <w:r w:rsidRPr="0023027E">
        <w:rPr>
          <w:rFonts w:cs="Arial"/>
          <w:szCs w:val="20"/>
        </w:rPr>
        <w:t>a</w:t>
      </w:r>
      <w:r>
        <w:rPr>
          <w:rFonts w:cs="Arial"/>
          <w:szCs w:val="20"/>
        </w:rPr>
        <w:t>n</w:t>
      </w:r>
      <w:r w:rsidRPr="0023027E">
        <w:rPr>
          <w:rFonts w:cs="Arial"/>
          <w:szCs w:val="20"/>
        </w:rPr>
        <w:t>j</w:t>
      </w:r>
      <w:r>
        <w:rPr>
          <w:rFonts w:cs="Arial"/>
          <w:szCs w:val="20"/>
        </w:rPr>
        <w:t>e</w:t>
      </w:r>
      <w:r w:rsidRPr="0023027E">
        <w:rPr>
          <w:rFonts w:cs="Arial"/>
          <w:szCs w:val="20"/>
        </w:rPr>
        <w:t xml:space="preserve"> informacij na ESAP. Z njimi se podatki označijo z dodatnimi informacijami, kar omogoča lažje iskanje in filtriranje. Metapodatki zagotavljajo, da so informacije strukturirane in dostopne na način, prilagojen potrebam uporabnikov, ter povečujejo preglednost in učinkovitost ESAP. </w:t>
      </w:r>
    </w:p>
    <w:p w14:paraId="69C941DB" w14:textId="77777777" w:rsidR="008973B9" w:rsidRPr="0023027E" w:rsidRDefault="008973B9" w:rsidP="008973B9">
      <w:pPr>
        <w:spacing w:line="276" w:lineRule="auto"/>
        <w:jc w:val="both"/>
        <w:rPr>
          <w:rFonts w:cs="Arial"/>
          <w:szCs w:val="20"/>
        </w:rPr>
      </w:pPr>
      <w:r w:rsidRPr="00A607FE">
        <w:rPr>
          <w:rFonts w:cs="Arial"/>
          <w:szCs w:val="20"/>
        </w:rPr>
        <w:t>Pri tem je pomembno tudi načelo »enkratnega vnosa« (</w:t>
      </w:r>
      <w:r w:rsidRPr="00A607FE">
        <w:rPr>
          <w:rFonts w:cs="Arial"/>
          <w:i/>
          <w:iCs/>
          <w:szCs w:val="20"/>
        </w:rPr>
        <w:t xml:space="preserve">file </w:t>
      </w:r>
      <w:proofErr w:type="spellStart"/>
      <w:r w:rsidRPr="00A607FE">
        <w:rPr>
          <w:rFonts w:cs="Arial"/>
          <w:i/>
          <w:iCs/>
          <w:szCs w:val="20"/>
        </w:rPr>
        <w:t>once</w:t>
      </w:r>
      <w:proofErr w:type="spellEnd"/>
      <w:r w:rsidRPr="00A607FE">
        <w:rPr>
          <w:rFonts w:cs="Arial"/>
          <w:i/>
          <w:iCs/>
          <w:szCs w:val="20"/>
        </w:rPr>
        <w:t xml:space="preserve"> </w:t>
      </w:r>
      <w:proofErr w:type="spellStart"/>
      <w:r w:rsidRPr="00A607FE">
        <w:rPr>
          <w:rFonts w:cs="Arial"/>
          <w:i/>
          <w:iCs/>
          <w:szCs w:val="20"/>
        </w:rPr>
        <w:t>principle</w:t>
      </w:r>
      <w:proofErr w:type="spellEnd"/>
      <w:r w:rsidRPr="00A607FE">
        <w:rPr>
          <w:rFonts w:cs="Arial"/>
          <w:szCs w:val="20"/>
        </w:rPr>
        <w:t>), kar pomeni, da subjekti podatke, ki jih že objavljajo v skladu z veljavno zakonodajo, predložijo v standardiziranem formatu brez dodatnih obveznosti. Zahteve po izvozu podatkov in metapodatkih zagotavljajo, da se ti podatki učinkovito vključijo v centralizirano platformo ESAP, kar zmanjšuje administrativno breme in po</w:t>
      </w:r>
      <w:r w:rsidRPr="0023027E">
        <w:rPr>
          <w:rFonts w:cs="Arial"/>
          <w:szCs w:val="20"/>
        </w:rPr>
        <w:t>večuje dostopnost.</w:t>
      </w:r>
    </w:p>
    <w:p w14:paraId="68F05475" w14:textId="77777777" w:rsidR="008973B9" w:rsidRPr="0023027E" w:rsidRDefault="008973B9" w:rsidP="008973B9">
      <w:pPr>
        <w:spacing w:line="276" w:lineRule="auto"/>
        <w:jc w:val="both"/>
        <w:rPr>
          <w:rFonts w:cs="Arial"/>
          <w:szCs w:val="20"/>
        </w:rPr>
      </w:pPr>
    </w:p>
    <w:p w14:paraId="66E50DE7" w14:textId="09A3B4B9" w:rsidR="008973B9" w:rsidRPr="0023027E" w:rsidRDefault="008973B9" w:rsidP="008973B9">
      <w:pPr>
        <w:spacing w:line="276" w:lineRule="auto"/>
        <w:jc w:val="both"/>
        <w:rPr>
          <w:rFonts w:cs="Arial"/>
          <w:szCs w:val="20"/>
        </w:rPr>
      </w:pPr>
      <w:r w:rsidRPr="0023027E">
        <w:rPr>
          <w:rFonts w:cs="Arial"/>
          <w:szCs w:val="20"/>
        </w:rPr>
        <w:t xml:space="preserve">Uporaba metapodatkov in standardiziranih formatov omogoča tehnično </w:t>
      </w:r>
      <w:r w:rsidR="00993EF8">
        <w:rPr>
          <w:rFonts w:cs="Arial"/>
          <w:szCs w:val="20"/>
        </w:rPr>
        <w:t>povezljivost</w:t>
      </w:r>
      <w:r w:rsidR="00993EF8" w:rsidRPr="0023027E">
        <w:rPr>
          <w:rFonts w:cs="Arial"/>
          <w:szCs w:val="20"/>
        </w:rPr>
        <w:t xml:space="preserve"> </w:t>
      </w:r>
      <w:r w:rsidRPr="0023027E">
        <w:rPr>
          <w:rFonts w:cs="Arial"/>
          <w:szCs w:val="20"/>
        </w:rPr>
        <w:t>med različnimi sistemi zbiranja podatkov na nacionalni ravni in ESAP, ki ga upravlja Evropski organ za vrednostne papirje in trge (v nadaljnjem besedilu: ESMA). To omogoča nemoten prenos podatkov, kar povečuje učinkovitost in zmanjšuje stroške.</w:t>
      </w:r>
    </w:p>
    <w:p w14:paraId="7C534B5A" w14:textId="77777777" w:rsidR="008973B9" w:rsidRPr="0023027E" w:rsidRDefault="008973B9" w:rsidP="008973B9">
      <w:pPr>
        <w:spacing w:line="276" w:lineRule="auto"/>
        <w:jc w:val="both"/>
        <w:rPr>
          <w:rFonts w:cs="Arial"/>
          <w:szCs w:val="20"/>
        </w:rPr>
      </w:pPr>
    </w:p>
    <w:p w14:paraId="227EC63D" w14:textId="77777777" w:rsidR="008973B9" w:rsidRPr="0023027E" w:rsidRDefault="008973B9" w:rsidP="008973B9">
      <w:pPr>
        <w:spacing w:line="276" w:lineRule="auto"/>
        <w:jc w:val="both"/>
        <w:rPr>
          <w:rFonts w:cs="Arial"/>
          <w:szCs w:val="20"/>
        </w:rPr>
      </w:pPr>
      <w:r w:rsidRPr="0023027E">
        <w:rPr>
          <w:rFonts w:cs="Arial"/>
          <w:szCs w:val="20"/>
        </w:rPr>
        <w:t>Določa se tudi, da nadzorovane osebe pridobijo identifikator pravnih subjektov, k</w:t>
      </w:r>
      <w:r>
        <w:rPr>
          <w:rFonts w:cs="Arial"/>
          <w:szCs w:val="20"/>
        </w:rPr>
        <w:t>ak</w:t>
      </w:r>
      <w:r w:rsidRPr="0023027E">
        <w:rPr>
          <w:rFonts w:cs="Arial"/>
          <w:szCs w:val="20"/>
        </w:rPr>
        <w:t>o</w:t>
      </w:r>
      <w:r>
        <w:rPr>
          <w:rFonts w:cs="Arial"/>
          <w:szCs w:val="20"/>
        </w:rPr>
        <w:t>r</w:t>
      </w:r>
      <w:r w:rsidRPr="0023027E">
        <w:rPr>
          <w:rFonts w:cs="Arial"/>
          <w:szCs w:val="20"/>
        </w:rPr>
        <w:t xml:space="preserve"> je določen v Uredbi 2023/2859/EU, če tega še nimajo.</w:t>
      </w:r>
    </w:p>
    <w:p w14:paraId="7B9D538C" w14:textId="77777777" w:rsidR="003C3101" w:rsidRPr="0023027E" w:rsidRDefault="003C3101" w:rsidP="00C64B3F">
      <w:pPr>
        <w:spacing w:line="276" w:lineRule="auto"/>
        <w:jc w:val="both"/>
        <w:rPr>
          <w:rFonts w:cs="Arial"/>
          <w:szCs w:val="20"/>
        </w:rPr>
      </w:pPr>
    </w:p>
    <w:p w14:paraId="5D9B2402" w14:textId="648803C7" w:rsidR="00FE0F83" w:rsidRPr="008973B9" w:rsidRDefault="00FE0F83" w:rsidP="00FE0F83">
      <w:pPr>
        <w:spacing w:line="276" w:lineRule="auto"/>
        <w:jc w:val="both"/>
        <w:rPr>
          <w:rFonts w:cs="Arial"/>
          <w:b/>
          <w:bCs/>
          <w:szCs w:val="20"/>
        </w:rPr>
      </w:pPr>
      <w:r w:rsidRPr="008973B9">
        <w:rPr>
          <w:rFonts w:cs="Arial"/>
          <w:b/>
          <w:bCs/>
          <w:szCs w:val="20"/>
        </w:rPr>
        <w:t xml:space="preserve">K </w:t>
      </w:r>
      <w:r w:rsidR="00B403C3">
        <w:rPr>
          <w:b/>
          <w:bCs/>
        </w:rPr>
        <w:t>6</w:t>
      </w:r>
      <w:r w:rsidR="006E4C53" w:rsidRPr="008973B9">
        <w:rPr>
          <w:rFonts w:cs="Arial"/>
          <w:b/>
          <w:bCs/>
          <w:szCs w:val="20"/>
        </w:rPr>
        <w:t xml:space="preserve">. </w:t>
      </w:r>
      <w:r w:rsidRPr="008973B9">
        <w:rPr>
          <w:rFonts w:cs="Arial"/>
          <w:b/>
          <w:bCs/>
          <w:szCs w:val="20"/>
        </w:rPr>
        <w:t>členu</w:t>
      </w:r>
    </w:p>
    <w:p w14:paraId="23C14E33" w14:textId="77777777" w:rsidR="00FA56F4" w:rsidRPr="0023027E" w:rsidRDefault="00FA56F4" w:rsidP="00FA56F4">
      <w:pPr>
        <w:spacing w:line="276" w:lineRule="auto"/>
        <w:jc w:val="both"/>
        <w:rPr>
          <w:rFonts w:cs="Arial"/>
          <w:szCs w:val="20"/>
        </w:rPr>
      </w:pPr>
      <w:r w:rsidRPr="0023027E">
        <w:rPr>
          <w:rFonts w:cs="Arial"/>
          <w:szCs w:val="20"/>
        </w:rPr>
        <w:t xml:space="preserve">S </w:t>
      </w:r>
      <w:r w:rsidR="0040518D" w:rsidRPr="0023027E">
        <w:rPr>
          <w:rFonts w:cs="Arial"/>
          <w:szCs w:val="20"/>
        </w:rPr>
        <w:t xml:space="preserve">tem </w:t>
      </w:r>
      <w:r w:rsidRPr="0023027E">
        <w:rPr>
          <w:rFonts w:cs="Arial"/>
          <w:szCs w:val="20"/>
        </w:rPr>
        <w:t xml:space="preserve">členom se predlaga dopolnitev prvega </w:t>
      </w:r>
      <w:r w:rsidR="0040518D" w:rsidRPr="0023027E">
        <w:rPr>
          <w:rFonts w:cs="Arial"/>
          <w:szCs w:val="20"/>
        </w:rPr>
        <w:t>od</w:t>
      </w:r>
      <w:r w:rsidRPr="0023027E">
        <w:rPr>
          <w:rFonts w:cs="Arial"/>
          <w:szCs w:val="20"/>
        </w:rPr>
        <w:t>stavka 55. člena ZFK na način, da se določijo sankcije za kršitev obveznosti predložitve informacij ali če te informacije niso predložene v zahtevani obliki ali če nadzorovana oseba ne pridobi identifikatorja pravnih subjektov.</w:t>
      </w:r>
    </w:p>
    <w:p w14:paraId="49E1BC77" w14:textId="77777777" w:rsidR="00FA56F4" w:rsidRPr="0023027E" w:rsidRDefault="00FA56F4" w:rsidP="00FA56F4">
      <w:pPr>
        <w:spacing w:line="276" w:lineRule="auto"/>
        <w:jc w:val="both"/>
        <w:rPr>
          <w:rFonts w:cs="Arial"/>
          <w:szCs w:val="20"/>
        </w:rPr>
      </w:pPr>
    </w:p>
    <w:p w14:paraId="501D5570" w14:textId="77777777" w:rsidR="00993EF8" w:rsidRPr="0023027E" w:rsidRDefault="00993EF8" w:rsidP="00993EF8">
      <w:pPr>
        <w:spacing w:line="276" w:lineRule="auto"/>
        <w:jc w:val="both"/>
        <w:rPr>
          <w:rFonts w:cs="Arial"/>
          <w:szCs w:val="20"/>
        </w:rPr>
      </w:pPr>
      <w:r w:rsidRPr="0023027E">
        <w:rPr>
          <w:rFonts w:cs="Arial"/>
          <w:szCs w:val="20"/>
        </w:rPr>
        <w:lastRenderedPageBreak/>
        <w:t xml:space="preserve">Direktiva 2023/2864/EU, ki se s tem predlogom zakona prenaša v </w:t>
      </w:r>
      <w:r>
        <w:rPr>
          <w:rFonts w:cs="Arial"/>
          <w:szCs w:val="20"/>
        </w:rPr>
        <w:t>d</w:t>
      </w:r>
      <w:r w:rsidRPr="0023027E">
        <w:rPr>
          <w:rFonts w:cs="Arial"/>
          <w:szCs w:val="20"/>
        </w:rPr>
        <w:t>o</w:t>
      </w:r>
      <w:r>
        <w:rPr>
          <w:rFonts w:cs="Arial"/>
          <w:szCs w:val="20"/>
        </w:rPr>
        <w:t>m</w:t>
      </w:r>
      <w:r w:rsidRPr="0023027E">
        <w:rPr>
          <w:rFonts w:cs="Arial"/>
          <w:szCs w:val="20"/>
        </w:rPr>
        <w:t>a</w:t>
      </w:r>
      <w:r>
        <w:rPr>
          <w:rFonts w:cs="Arial"/>
          <w:szCs w:val="20"/>
        </w:rPr>
        <w:t>č</w:t>
      </w:r>
      <w:r w:rsidRPr="0023027E">
        <w:rPr>
          <w:rFonts w:cs="Arial"/>
          <w:szCs w:val="20"/>
        </w:rPr>
        <w:t xml:space="preserve">o zakonodajo, določa obveznosti za </w:t>
      </w:r>
      <w:r>
        <w:rPr>
          <w:rFonts w:cs="Arial"/>
          <w:szCs w:val="20"/>
        </w:rPr>
        <w:t>p</w:t>
      </w:r>
      <w:r w:rsidRPr="0023027E">
        <w:rPr>
          <w:rFonts w:cs="Arial"/>
          <w:szCs w:val="20"/>
        </w:rPr>
        <w:t>o</w:t>
      </w:r>
      <w:r>
        <w:rPr>
          <w:rFonts w:cs="Arial"/>
          <w:szCs w:val="20"/>
        </w:rPr>
        <w:t>sam</w:t>
      </w:r>
      <w:r w:rsidRPr="0023027E">
        <w:rPr>
          <w:rFonts w:cs="Arial"/>
          <w:szCs w:val="20"/>
        </w:rPr>
        <w:t>e</w:t>
      </w:r>
      <w:r>
        <w:rPr>
          <w:rFonts w:cs="Arial"/>
          <w:szCs w:val="20"/>
        </w:rPr>
        <w:t>z</w:t>
      </w:r>
      <w:r w:rsidRPr="0023027E">
        <w:rPr>
          <w:rFonts w:cs="Arial"/>
          <w:szCs w:val="20"/>
        </w:rPr>
        <w:t xml:space="preserve">ne subjekte. Vendar direktiva ne vsebuje določb o sankcijah za neizpolnjevanje teh obveznosti, kar pomeni, da gre za </w:t>
      </w:r>
      <w:proofErr w:type="spellStart"/>
      <w:r w:rsidRPr="0023027E">
        <w:rPr>
          <w:rFonts w:cs="Arial"/>
          <w:szCs w:val="20"/>
        </w:rPr>
        <w:t>lex</w:t>
      </w:r>
      <w:proofErr w:type="spellEnd"/>
      <w:r w:rsidRPr="0023027E">
        <w:rPr>
          <w:rFonts w:cs="Arial"/>
          <w:szCs w:val="20"/>
        </w:rPr>
        <w:t xml:space="preserve"> </w:t>
      </w:r>
      <w:proofErr w:type="spellStart"/>
      <w:r w:rsidRPr="0023027E">
        <w:rPr>
          <w:rFonts w:cs="Arial"/>
          <w:szCs w:val="20"/>
        </w:rPr>
        <w:t>imperfecta</w:t>
      </w:r>
      <w:proofErr w:type="spellEnd"/>
      <w:r w:rsidRPr="0023027E">
        <w:rPr>
          <w:rFonts w:cs="Arial"/>
          <w:szCs w:val="20"/>
        </w:rPr>
        <w:t xml:space="preserve"> (določa</w:t>
      </w:r>
      <w:r>
        <w:rPr>
          <w:rFonts w:cs="Arial"/>
          <w:szCs w:val="20"/>
        </w:rPr>
        <w:t>jo</w:t>
      </w:r>
      <w:r w:rsidRPr="0023027E">
        <w:rPr>
          <w:rFonts w:cs="Arial"/>
          <w:szCs w:val="20"/>
        </w:rPr>
        <w:t xml:space="preserve"> se obveznosti, ne pa </w:t>
      </w:r>
      <w:r>
        <w:rPr>
          <w:rFonts w:cs="Arial"/>
          <w:szCs w:val="20"/>
        </w:rPr>
        <w:t xml:space="preserve">tudi </w:t>
      </w:r>
      <w:r w:rsidRPr="0023027E">
        <w:rPr>
          <w:rFonts w:cs="Arial"/>
          <w:szCs w:val="20"/>
        </w:rPr>
        <w:t>sankcij</w:t>
      </w:r>
      <w:r>
        <w:rPr>
          <w:rFonts w:cs="Arial"/>
          <w:szCs w:val="20"/>
        </w:rPr>
        <w:t>e</w:t>
      </w:r>
      <w:r w:rsidRPr="0023027E">
        <w:rPr>
          <w:rFonts w:cs="Arial"/>
          <w:szCs w:val="20"/>
        </w:rPr>
        <w:t xml:space="preserve"> za njihovo kršitev). Za zagotovitev skladnosti z direktivo in njenega učinkovitega izvrševanja je v predlogu zakona treb</w:t>
      </w:r>
      <w:r>
        <w:rPr>
          <w:rFonts w:cs="Arial"/>
          <w:szCs w:val="20"/>
        </w:rPr>
        <w:t>a</w:t>
      </w:r>
      <w:r w:rsidRPr="0023027E">
        <w:rPr>
          <w:rFonts w:cs="Arial"/>
          <w:szCs w:val="20"/>
        </w:rPr>
        <w:t xml:space="preserve"> določiti sankcije za kršitve obveznosti, ki jih direktiva nalaga (</w:t>
      </w:r>
      <w:r>
        <w:rPr>
          <w:rFonts w:cs="Arial"/>
          <w:szCs w:val="20"/>
        </w:rPr>
        <w:t>s</w:t>
      </w:r>
      <w:r w:rsidRPr="0023027E">
        <w:rPr>
          <w:rFonts w:cs="Arial"/>
          <w:szCs w:val="20"/>
        </w:rPr>
        <w:t>poročanje informa</w:t>
      </w:r>
      <w:r w:rsidRPr="00A607FE">
        <w:rPr>
          <w:rFonts w:cs="Arial"/>
          <w:szCs w:val="20"/>
        </w:rPr>
        <w:t>cij in format, v katerem s</w:t>
      </w:r>
      <w:r w:rsidRPr="0023027E">
        <w:rPr>
          <w:rFonts w:cs="Arial"/>
          <w:szCs w:val="20"/>
        </w:rPr>
        <w:t xml:space="preserve">e </w:t>
      </w:r>
      <w:r>
        <w:rPr>
          <w:rFonts w:cs="Arial"/>
          <w:szCs w:val="20"/>
        </w:rPr>
        <w:t>s</w:t>
      </w:r>
      <w:r w:rsidRPr="0023027E">
        <w:rPr>
          <w:rFonts w:cs="Arial"/>
          <w:szCs w:val="20"/>
        </w:rPr>
        <w:t>poroča</w:t>
      </w:r>
      <w:r>
        <w:rPr>
          <w:rFonts w:cs="Arial"/>
          <w:szCs w:val="20"/>
        </w:rPr>
        <w:t>jo</w:t>
      </w:r>
      <w:r w:rsidRPr="0023027E">
        <w:rPr>
          <w:rFonts w:cs="Arial"/>
          <w:szCs w:val="20"/>
        </w:rPr>
        <w:t>).</w:t>
      </w:r>
    </w:p>
    <w:p w14:paraId="10639969" w14:textId="77777777" w:rsidR="00993EF8" w:rsidRPr="0023027E" w:rsidRDefault="00993EF8" w:rsidP="00993EF8">
      <w:pPr>
        <w:spacing w:line="276" w:lineRule="auto"/>
        <w:jc w:val="both"/>
        <w:rPr>
          <w:rFonts w:cs="Arial"/>
          <w:szCs w:val="20"/>
        </w:rPr>
      </w:pPr>
    </w:p>
    <w:p w14:paraId="0AE1E0E8" w14:textId="087BEE3B" w:rsidR="00A17AD3" w:rsidRPr="0023027E" w:rsidRDefault="00993EF8" w:rsidP="00FA56F4">
      <w:pPr>
        <w:spacing w:line="276" w:lineRule="auto"/>
        <w:jc w:val="both"/>
        <w:rPr>
          <w:rFonts w:cs="Arial"/>
          <w:szCs w:val="20"/>
        </w:rPr>
      </w:pPr>
      <w:r w:rsidRPr="0023027E">
        <w:rPr>
          <w:rFonts w:cs="Arial"/>
          <w:szCs w:val="20"/>
        </w:rPr>
        <w:t xml:space="preserve">Predlagane sankcije </w:t>
      </w:r>
      <w:r>
        <w:rPr>
          <w:rFonts w:cs="Arial"/>
          <w:szCs w:val="20"/>
        </w:rPr>
        <w:t>temeljijo na</w:t>
      </w:r>
      <w:r w:rsidRPr="0023027E">
        <w:rPr>
          <w:rFonts w:cs="Arial"/>
          <w:szCs w:val="20"/>
        </w:rPr>
        <w:t xml:space="preserve"> sistematiki </w:t>
      </w:r>
      <w:r>
        <w:rPr>
          <w:rFonts w:cs="Arial"/>
          <w:szCs w:val="20"/>
        </w:rPr>
        <w:t>vel</w:t>
      </w:r>
      <w:r w:rsidRPr="0023027E">
        <w:rPr>
          <w:rFonts w:cs="Arial"/>
          <w:szCs w:val="20"/>
        </w:rPr>
        <w:t>j</w:t>
      </w:r>
      <w:r>
        <w:rPr>
          <w:rFonts w:cs="Arial"/>
          <w:szCs w:val="20"/>
        </w:rPr>
        <w:t>avn</w:t>
      </w:r>
      <w:r w:rsidRPr="0023027E">
        <w:rPr>
          <w:rFonts w:cs="Arial"/>
          <w:szCs w:val="20"/>
        </w:rPr>
        <w:t>ega zakona, ki se spreminja</w:t>
      </w:r>
      <w:r>
        <w:rPr>
          <w:rFonts w:cs="Arial"/>
          <w:szCs w:val="20"/>
        </w:rPr>
        <w:t>,</w:t>
      </w:r>
      <w:r w:rsidRPr="0023027E">
        <w:rPr>
          <w:rFonts w:cs="Arial"/>
          <w:szCs w:val="20"/>
        </w:rPr>
        <w:t xml:space="preserve"> in so oblikovane tako, da so sorazmerne teži in naravi kršitve ter hkrati dovolj odvračilne, da spodbujajo subjekte k spoštovanju obveznosti. S tem se zagotavlja, da imajo obveznosti, določene v direktivi in predlogu zakona, dejanski učinek in da subjekti, ki jih zadevajo, ravnajo v skladu z njimi. Namen sankcij je preprečevanje kršitev in doseganje ciljev direktive. Brez ustreznih sankcij bi obstajalo tveganje, da subjekti ne bi izpolnjevali obveznosti, kar bi ogrozilo doseganje ciljev direktive.</w:t>
      </w:r>
    </w:p>
    <w:p w14:paraId="167DE28D" w14:textId="77777777" w:rsidR="00FA56F4" w:rsidRPr="0023027E" w:rsidRDefault="00FA56F4" w:rsidP="00E5600E">
      <w:pPr>
        <w:spacing w:line="276" w:lineRule="auto"/>
        <w:jc w:val="both"/>
        <w:rPr>
          <w:rFonts w:cs="Arial"/>
          <w:szCs w:val="20"/>
        </w:rPr>
      </w:pPr>
    </w:p>
    <w:p w14:paraId="7668EC86" w14:textId="79665C9C" w:rsidR="00A17AD3" w:rsidRPr="0023027E" w:rsidRDefault="00A17AD3" w:rsidP="00A17AD3">
      <w:pPr>
        <w:spacing w:line="276" w:lineRule="auto"/>
        <w:jc w:val="both"/>
        <w:rPr>
          <w:rFonts w:cs="Arial"/>
          <w:b/>
          <w:bCs/>
          <w:szCs w:val="20"/>
        </w:rPr>
      </w:pPr>
      <w:r w:rsidRPr="0023027E">
        <w:rPr>
          <w:rFonts w:cs="Arial"/>
          <w:b/>
          <w:bCs/>
          <w:szCs w:val="20"/>
        </w:rPr>
        <w:t xml:space="preserve">K </w:t>
      </w:r>
      <w:r w:rsidR="00B403C3">
        <w:rPr>
          <w:rFonts w:cs="Arial"/>
          <w:b/>
          <w:bCs/>
          <w:szCs w:val="20"/>
        </w:rPr>
        <w:t>7</w:t>
      </w:r>
      <w:r w:rsidR="006E4C53" w:rsidRPr="0023027E">
        <w:rPr>
          <w:rFonts w:cs="Arial"/>
          <w:b/>
          <w:bCs/>
          <w:szCs w:val="20"/>
        </w:rPr>
        <w:t xml:space="preserve">. </w:t>
      </w:r>
      <w:r w:rsidRPr="0023027E">
        <w:rPr>
          <w:rFonts w:cs="Arial"/>
          <w:b/>
          <w:bCs/>
          <w:szCs w:val="20"/>
        </w:rPr>
        <w:t>členu</w:t>
      </w:r>
    </w:p>
    <w:p w14:paraId="3246BE73" w14:textId="78847AEF" w:rsidR="00B25FC7" w:rsidRPr="0023027E" w:rsidRDefault="00B25FC7" w:rsidP="00B25FC7">
      <w:pPr>
        <w:spacing w:line="276" w:lineRule="auto"/>
        <w:jc w:val="both"/>
        <w:rPr>
          <w:rFonts w:cs="Arial"/>
          <w:szCs w:val="20"/>
        </w:rPr>
      </w:pPr>
      <w:r w:rsidRPr="0023027E">
        <w:rPr>
          <w:rFonts w:cs="Arial"/>
          <w:szCs w:val="20"/>
        </w:rPr>
        <w:t xml:space="preserve">Predlaga se sprememba 2. člena Zakona o prevzemih (Uradni list RS, št. 79/06, 67/07 – ZTFI, 1/08, 68/08, 35/11 – ORZPre75, 105/11 – </w:t>
      </w:r>
      <w:proofErr w:type="spellStart"/>
      <w:r w:rsidRPr="0023027E">
        <w:rPr>
          <w:rFonts w:cs="Arial"/>
          <w:szCs w:val="20"/>
        </w:rPr>
        <w:t>odl</w:t>
      </w:r>
      <w:proofErr w:type="spellEnd"/>
      <w:r w:rsidRPr="0023027E">
        <w:rPr>
          <w:rFonts w:cs="Arial"/>
          <w:szCs w:val="20"/>
        </w:rPr>
        <w:t>. US, 10/12, 38/12, 56/13, 63/13 – ZS-K, 25/14 in 75/15; v nadaljnjem besedilu: ZPre-1), kjer se besedilo »S tem zakonom se v pravni red Republike Slovenije prenaša Direktiva 2004/25/ES Evropskega parlamenta in Sveta z dne 21. aprila 2004 o ponudbah za prevzem (UL L št. 142, 30. 4. 2004, str. 12; v nadaljnjem besedilu: Direktiva 2004/25/ES).« nadomesti z besedilom »S tem zakonom se v pravni red Republike Slovenije prenaša Direktiva 2004/25/ES Evropskega parlamenta in Sveta z dne 21. aprila 2004 o ponudbah za prevzem (UL L št. 142, 30. 4. 2004, str. 12), zadnjič spremenjen</w:t>
      </w:r>
      <w:r w:rsidR="00D47DA4">
        <w:rPr>
          <w:rFonts w:cs="Arial"/>
          <w:szCs w:val="20"/>
        </w:rPr>
        <w:t>a</w:t>
      </w:r>
      <w:r w:rsidRPr="0023027E">
        <w:rPr>
          <w:rFonts w:cs="Arial"/>
          <w:szCs w:val="20"/>
        </w:rPr>
        <w:t xml:space="preserve"> z Direktivo (EU) 2023/2864 Evropskega parlamenta in Sveta </w:t>
      </w:r>
      <w:r w:rsidR="002201C7" w:rsidRPr="004C2B64">
        <w:rPr>
          <w:rFonts w:cs="Arial"/>
          <w:szCs w:val="20"/>
        </w:rPr>
        <w:t xml:space="preserve">z dne 13. decembra 2023 </w:t>
      </w:r>
      <w:r w:rsidRPr="0023027E">
        <w:rPr>
          <w:rFonts w:cs="Arial"/>
          <w:szCs w:val="20"/>
        </w:rPr>
        <w:t>o spremembi nekaterih direktiv glede vzpostavitve in delovanja evropske enotne točke dostopa (UL L št. 2023/2864 z dne 20. 12. 2023); (v nadaljnjem besedilu: Direktiva 2004/25/ES).«.</w:t>
      </w:r>
    </w:p>
    <w:p w14:paraId="5F051FA9" w14:textId="77777777" w:rsidR="00B25FC7" w:rsidRPr="0023027E" w:rsidRDefault="00B25FC7" w:rsidP="00B25FC7">
      <w:pPr>
        <w:spacing w:line="276" w:lineRule="auto"/>
        <w:jc w:val="both"/>
        <w:rPr>
          <w:rFonts w:cs="Arial"/>
          <w:szCs w:val="20"/>
        </w:rPr>
      </w:pPr>
    </w:p>
    <w:p w14:paraId="629C8716" w14:textId="0D6D208F" w:rsidR="006E4C53" w:rsidRPr="0023027E" w:rsidRDefault="00B25FC7" w:rsidP="00C64B3F">
      <w:pPr>
        <w:spacing w:line="276" w:lineRule="auto"/>
        <w:jc w:val="both"/>
        <w:rPr>
          <w:rFonts w:cs="Arial"/>
          <w:szCs w:val="20"/>
        </w:rPr>
      </w:pPr>
      <w:r w:rsidRPr="0023027E">
        <w:rPr>
          <w:rFonts w:cs="Arial"/>
          <w:szCs w:val="20"/>
        </w:rPr>
        <w:t xml:space="preserve">Sprememba je potrebna, da se zagotovi skladnost z veljavnimi pravnimi akti EU, ki so bili spremenjeni, s čimer se ohranjata pravna pravilnost in usklajenost </w:t>
      </w:r>
      <w:r w:rsidR="00D47DA4">
        <w:rPr>
          <w:rFonts w:cs="Arial"/>
          <w:szCs w:val="20"/>
        </w:rPr>
        <w:t>domače</w:t>
      </w:r>
      <w:r w:rsidR="00D47DA4" w:rsidRPr="0023027E">
        <w:rPr>
          <w:rFonts w:cs="Arial"/>
          <w:szCs w:val="20"/>
        </w:rPr>
        <w:t xml:space="preserve"> </w:t>
      </w:r>
      <w:r w:rsidRPr="0023027E">
        <w:rPr>
          <w:rFonts w:cs="Arial"/>
          <w:szCs w:val="20"/>
        </w:rPr>
        <w:t xml:space="preserve">zakonodaje </w:t>
      </w:r>
      <w:r w:rsidR="00D47DA4">
        <w:rPr>
          <w:rFonts w:cs="Arial"/>
          <w:szCs w:val="20"/>
        </w:rPr>
        <w:t xml:space="preserve">s </w:t>
      </w:r>
      <w:r w:rsidRPr="0023027E">
        <w:rPr>
          <w:rFonts w:cs="Arial"/>
          <w:szCs w:val="20"/>
        </w:rPr>
        <w:t>predpisi EU. Namen uskladitve je zagotoviti jasnost, natančnost in doslednost pri sklicevanju na akte EU ter preprečiti morebitne neskladnosti pri izvajanju predpisa.</w:t>
      </w:r>
    </w:p>
    <w:p w14:paraId="29F73807" w14:textId="77777777" w:rsidR="006E4C53" w:rsidRPr="0023027E" w:rsidRDefault="006E4C53" w:rsidP="00C64B3F">
      <w:pPr>
        <w:spacing w:line="276" w:lineRule="auto"/>
        <w:jc w:val="both"/>
        <w:rPr>
          <w:rFonts w:cs="Arial"/>
          <w:szCs w:val="20"/>
        </w:rPr>
      </w:pPr>
    </w:p>
    <w:p w14:paraId="0C2D20A4" w14:textId="651F135E" w:rsidR="00FE0F83" w:rsidRPr="0023027E" w:rsidRDefault="00FE0F83" w:rsidP="00FE0F83">
      <w:pPr>
        <w:spacing w:line="276" w:lineRule="auto"/>
        <w:jc w:val="both"/>
        <w:rPr>
          <w:rFonts w:cs="Arial"/>
          <w:b/>
          <w:bCs/>
          <w:szCs w:val="20"/>
        </w:rPr>
      </w:pPr>
      <w:r w:rsidRPr="0023027E">
        <w:rPr>
          <w:rFonts w:cs="Arial"/>
          <w:b/>
          <w:bCs/>
          <w:szCs w:val="20"/>
        </w:rPr>
        <w:t xml:space="preserve">K </w:t>
      </w:r>
      <w:r w:rsidR="00B403C3">
        <w:rPr>
          <w:rFonts w:cs="Arial"/>
          <w:b/>
          <w:bCs/>
          <w:szCs w:val="20"/>
        </w:rPr>
        <w:t>8</w:t>
      </w:r>
      <w:r w:rsidR="00552B46" w:rsidRPr="0023027E">
        <w:rPr>
          <w:rFonts w:cs="Arial"/>
          <w:b/>
          <w:bCs/>
          <w:szCs w:val="20"/>
        </w:rPr>
        <w:t>.</w:t>
      </w:r>
      <w:r w:rsidR="008E6005">
        <w:rPr>
          <w:rFonts w:cs="Arial"/>
          <w:b/>
          <w:bCs/>
          <w:szCs w:val="20"/>
        </w:rPr>
        <w:t xml:space="preserve"> </w:t>
      </w:r>
      <w:r w:rsidRPr="0023027E">
        <w:rPr>
          <w:rFonts w:cs="Arial"/>
          <w:b/>
          <w:bCs/>
          <w:szCs w:val="20"/>
        </w:rPr>
        <w:t>členu</w:t>
      </w:r>
    </w:p>
    <w:p w14:paraId="3A49DA9E" w14:textId="3F6D2C04" w:rsidR="00552B46" w:rsidRPr="0023027E" w:rsidRDefault="0060477F" w:rsidP="00C64B3F">
      <w:pPr>
        <w:spacing w:line="276" w:lineRule="auto"/>
        <w:jc w:val="both"/>
        <w:rPr>
          <w:rFonts w:cs="Arial"/>
          <w:szCs w:val="20"/>
        </w:rPr>
      </w:pPr>
      <w:r w:rsidRPr="0023027E">
        <w:rPr>
          <w:rFonts w:cs="Arial"/>
          <w:szCs w:val="20"/>
        </w:rPr>
        <w:t>S tem členom se dodaja nov</w:t>
      </w:r>
      <w:r w:rsidR="008E6005">
        <w:rPr>
          <w:rFonts w:cs="Arial"/>
          <w:szCs w:val="20"/>
        </w:rPr>
        <w:t>i</w:t>
      </w:r>
      <w:r w:rsidRPr="0023027E">
        <w:rPr>
          <w:rFonts w:cs="Arial"/>
          <w:szCs w:val="20"/>
        </w:rPr>
        <w:t xml:space="preserve"> 9.a člen ZPre-1, ki prenaša 2. člen Direkt</w:t>
      </w:r>
      <w:r w:rsidR="00D269A1" w:rsidRPr="0023027E">
        <w:rPr>
          <w:rFonts w:cs="Arial"/>
          <w:szCs w:val="20"/>
        </w:rPr>
        <w:t>i</w:t>
      </w:r>
      <w:r w:rsidRPr="0023027E">
        <w:rPr>
          <w:rFonts w:cs="Arial"/>
          <w:szCs w:val="20"/>
        </w:rPr>
        <w:t xml:space="preserve">ve 2023/2864/EU oziroma </w:t>
      </w:r>
      <w:r w:rsidR="007241E1">
        <w:rPr>
          <w:rFonts w:cs="Arial"/>
          <w:szCs w:val="20"/>
        </w:rPr>
        <w:t xml:space="preserve">prvi, drugi in tretji odstavek </w:t>
      </w:r>
      <w:r w:rsidRPr="0023027E">
        <w:rPr>
          <w:rFonts w:cs="Arial"/>
          <w:szCs w:val="20"/>
        </w:rPr>
        <w:t>nov</w:t>
      </w:r>
      <w:r w:rsidR="007241E1">
        <w:rPr>
          <w:rFonts w:cs="Arial"/>
          <w:szCs w:val="20"/>
        </w:rPr>
        <w:t>ega</w:t>
      </w:r>
      <w:r w:rsidRPr="0023027E">
        <w:rPr>
          <w:rFonts w:cs="Arial"/>
          <w:szCs w:val="20"/>
        </w:rPr>
        <w:t xml:space="preserve"> 16.a člen</w:t>
      </w:r>
      <w:r w:rsidR="007241E1">
        <w:rPr>
          <w:rFonts w:cs="Arial"/>
          <w:szCs w:val="20"/>
        </w:rPr>
        <w:t>a</w:t>
      </w:r>
      <w:r w:rsidRPr="0023027E">
        <w:rPr>
          <w:rFonts w:cs="Arial"/>
          <w:szCs w:val="20"/>
        </w:rPr>
        <w:t xml:space="preserve"> Direktive 2004/25/ES Evropskega parlamenta in Sveta z dne 21. aprila 2004 o ponudbah za prevzem (UL L št. 142, 30. 4. 2004, str. 12), zadnjič spremenjene z Direktivo (EU) 2023/2864 Evropskega parlamenta in Sveta </w:t>
      </w:r>
      <w:r w:rsidR="002201C7" w:rsidRPr="004C2B64">
        <w:rPr>
          <w:rFonts w:cs="Arial"/>
          <w:szCs w:val="20"/>
        </w:rPr>
        <w:t xml:space="preserve">z dne 13. decembra 2023 </w:t>
      </w:r>
      <w:r w:rsidRPr="0023027E">
        <w:rPr>
          <w:rFonts w:cs="Arial"/>
          <w:szCs w:val="20"/>
        </w:rPr>
        <w:t>o spremembi nekaterih direktiv glede vzpostavitve in delovanja evropske enotne točke dostopa (UL L št. 2023/2864 z dne 20. 12. 2023); (v nadaljnjem besedilu: Direktiva 2004/25/ES).</w:t>
      </w:r>
    </w:p>
    <w:p w14:paraId="3E54AB3A" w14:textId="77777777" w:rsidR="0060477F" w:rsidRPr="0023027E" w:rsidRDefault="0060477F" w:rsidP="00C64B3F">
      <w:pPr>
        <w:spacing w:line="276" w:lineRule="auto"/>
        <w:jc w:val="both"/>
        <w:rPr>
          <w:rFonts w:cs="Arial"/>
          <w:szCs w:val="20"/>
        </w:rPr>
      </w:pPr>
    </w:p>
    <w:p w14:paraId="5139A304" w14:textId="3EA9E3E0" w:rsidR="0060477F" w:rsidRDefault="0060477F" w:rsidP="0060477F">
      <w:pPr>
        <w:spacing w:line="276" w:lineRule="auto"/>
        <w:jc w:val="both"/>
        <w:rPr>
          <w:rFonts w:cs="Arial"/>
          <w:szCs w:val="20"/>
        </w:rPr>
      </w:pPr>
      <w:r w:rsidRPr="0023027E">
        <w:rPr>
          <w:rFonts w:cs="Arial"/>
          <w:szCs w:val="20"/>
        </w:rPr>
        <w:t>Določa se, da prevzemnik in ciljna družba</w:t>
      </w:r>
      <w:r w:rsidR="007241E1">
        <w:rPr>
          <w:rFonts w:cs="Arial"/>
          <w:szCs w:val="20"/>
        </w:rPr>
        <w:t xml:space="preserve">, </w:t>
      </w:r>
      <w:r w:rsidR="00B72C97" w:rsidRPr="00B72C97">
        <w:rPr>
          <w:rFonts w:cs="Arial"/>
          <w:szCs w:val="20"/>
        </w:rPr>
        <w:t>če so delnice ciljne družbe z glasovalno pravico uvrščene v trgovanje na organiziranem trgu</w:t>
      </w:r>
      <w:r w:rsidR="008E6005">
        <w:rPr>
          <w:rFonts w:cs="Arial"/>
          <w:szCs w:val="20"/>
        </w:rPr>
        <w:t>,</w:t>
      </w:r>
      <w:r w:rsidR="00B72C97" w:rsidRPr="00B72C97" w:rsidDel="00B72C97">
        <w:rPr>
          <w:rFonts w:cs="Arial"/>
          <w:szCs w:val="20"/>
        </w:rPr>
        <w:t xml:space="preserve"> </w:t>
      </w:r>
      <w:r w:rsidR="008E6005" w:rsidRPr="0023027E">
        <w:rPr>
          <w:rFonts w:cs="Arial"/>
          <w:szCs w:val="20"/>
        </w:rPr>
        <w:t xml:space="preserve">pri objavi katerih koli informacij iz 24. in </w:t>
      </w:r>
      <w:r w:rsidR="008E6005">
        <w:rPr>
          <w:rFonts w:cs="Arial"/>
          <w:szCs w:val="20"/>
        </w:rPr>
        <w:t>28</w:t>
      </w:r>
      <w:r w:rsidR="008E6005" w:rsidRPr="0023027E">
        <w:rPr>
          <w:rFonts w:cs="Arial"/>
          <w:szCs w:val="20"/>
        </w:rPr>
        <w:t xml:space="preserve">. člena v zvezi z informacijami o prevzemni ponudbi, 34. člena v zvezi z mnenjem poslovodstva ciljne družbe o prevzemni ponudbi </w:t>
      </w:r>
      <w:r w:rsidR="008E6005">
        <w:rPr>
          <w:rFonts w:cs="Arial"/>
          <w:szCs w:val="20"/>
        </w:rPr>
        <w:t>ter</w:t>
      </w:r>
      <w:r w:rsidR="008E6005" w:rsidRPr="0023027E">
        <w:rPr>
          <w:rFonts w:cs="Arial"/>
          <w:szCs w:val="20"/>
        </w:rPr>
        <w:t xml:space="preserve"> 65.</w:t>
      </w:r>
      <w:r w:rsidR="008E6005">
        <w:rPr>
          <w:rFonts w:cs="Arial"/>
          <w:szCs w:val="20"/>
        </w:rPr>
        <w:t xml:space="preserve"> </w:t>
      </w:r>
      <w:r w:rsidR="008E6005" w:rsidRPr="0023027E">
        <w:rPr>
          <w:rFonts w:cs="Arial"/>
          <w:szCs w:val="20"/>
        </w:rPr>
        <w:t>člena ZPre-1 v zvezi s pristojnostjo nadzora te informacije hkrati predloži</w:t>
      </w:r>
      <w:r w:rsidR="008E6005">
        <w:rPr>
          <w:rFonts w:cs="Arial"/>
          <w:szCs w:val="20"/>
        </w:rPr>
        <w:t>ta</w:t>
      </w:r>
      <w:r w:rsidR="008E6005" w:rsidRPr="0023027E">
        <w:rPr>
          <w:rFonts w:cs="Arial"/>
          <w:szCs w:val="20"/>
        </w:rPr>
        <w:t xml:space="preserve"> nadzornemu organu (Agencija za trg vrednostnih papirjev; v nadaljnjem besedilu: ATVP). Hkrati je določeno, da je ATVP organ za zbiranje podatkov, k</w:t>
      </w:r>
      <w:r w:rsidR="008E6005">
        <w:rPr>
          <w:rFonts w:cs="Arial"/>
          <w:szCs w:val="20"/>
        </w:rPr>
        <w:t>ak</w:t>
      </w:r>
      <w:r w:rsidR="008E6005" w:rsidRPr="0023027E">
        <w:rPr>
          <w:rFonts w:cs="Arial"/>
          <w:szCs w:val="20"/>
        </w:rPr>
        <w:t>o</w:t>
      </w:r>
      <w:r w:rsidR="008E6005">
        <w:rPr>
          <w:rFonts w:cs="Arial"/>
          <w:szCs w:val="20"/>
        </w:rPr>
        <w:t>r</w:t>
      </w:r>
      <w:r w:rsidR="008E6005" w:rsidRPr="0023027E">
        <w:rPr>
          <w:rFonts w:cs="Arial"/>
          <w:szCs w:val="20"/>
        </w:rPr>
        <w:t xml:space="preserve"> je opredeljen v 2. točki 2. člena Uredbe 2023/2859/EU</w:t>
      </w:r>
      <w:r w:rsidR="008E6005">
        <w:rPr>
          <w:rFonts w:cs="Arial"/>
          <w:szCs w:val="20"/>
        </w:rPr>
        <w:t>,</w:t>
      </w:r>
      <w:r w:rsidR="008E6005" w:rsidRPr="0023027E">
        <w:rPr>
          <w:rFonts w:cs="Arial"/>
          <w:szCs w:val="20"/>
        </w:rPr>
        <w:t xml:space="preserve"> s čimer se prenaša tretji odstavek novega 16.a člena Direktive 2004/25/ES. ATVP mora informacije, ki jih prejme od nadzorovanih oseb</w:t>
      </w:r>
      <w:r w:rsidR="008E6005">
        <w:rPr>
          <w:rFonts w:cs="Arial"/>
          <w:szCs w:val="20"/>
        </w:rPr>
        <w:t>,</w:t>
      </w:r>
      <w:r w:rsidR="008E6005" w:rsidRPr="0023027E">
        <w:rPr>
          <w:rFonts w:cs="Arial"/>
          <w:szCs w:val="20"/>
        </w:rPr>
        <w:t xml:space="preserve"> predložiti ESAP.</w:t>
      </w:r>
    </w:p>
    <w:p w14:paraId="3C513897" w14:textId="77777777" w:rsidR="00C067A8" w:rsidRDefault="00C067A8" w:rsidP="0060477F">
      <w:pPr>
        <w:spacing w:line="276" w:lineRule="auto"/>
        <w:jc w:val="both"/>
        <w:rPr>
          <w:rFonts w:cs="Arial"/>
          <w:szCs w:val="20"/>
        </w:rPr>
      </w:pPr>
    </w:p>
    <w:p w14:paraId="7C959099" w14:textId="261EC000" w:rsidR="00C067A8" w:rsidRPr="00C067A8" w:rsidRDefault="00C067A8" w:rsidP="00C067A8">
      <w:pPr>
        <w:spacing w:line="276" w:lineRule="auto"/>
        <w:jc w:val="both"/>
        <w:rPr>
          <w:rFonts w:cs="Arial"/>
          <w:szCs w:val="20"/>
        </w:rPr>
      </w:pPr>
      <w:r w:rsidRPr="00C067A8">
        <w:rPr>
          <w:rFonts w:cs="Arial"/>
          <w:szCs w:val="20"/>
        </w:rPr>
        <w:t xml:space="preserve">Besedilo prvega odstavka 1. člena </w:t>
      </w:r>
      <w:r>
        <w:rPr>
          <w:rFonts w:cs="Arial"/>
          <w:szCs w:val="20"/>
        </w:rPr>
        <w:t>D</w:t>
      </w:r>
      <w:r w:rsidRPr="00C067A8">
        <w:rPr>
          <w:rFonts w:cs="Arial"/>
          <w:szCs w:val="20"/>
        </w:rPr>
        <w:t xml:space="preserve">irektive Evropskega parlamenta in Sveta 2004/25/ES z dne 21. aprila 2004 o ponudbah za prevzem </w:t>
      </w:r>
      <w:r>
        <w:rPr>
          <w:rFonts w:cs="Arial"/>
          <w:szCs w:val="20"/>
        </w:rPr>
        <w:t xml:space="preserve">(UL L 142, z dne 30. 4. 2004, str. 12-23; v nadaljnjem </w:t>
      </w:r>
      <w:r>
        <w:rPr>
          <w:rFonts w:cs="Arial"/>
          <w:szCs w:val="20"/>
        </w:rPr>
        <w:lastRenderedPageBreak/>
        <w:t xml:space="preserve">besedilu: Direktiva: </w:t>
      </w:r>
      <w:r w:rsidRPr="00C067A8">
        <w:rPr>
          <w:rFonts w:cs="Arial"/>
          <w:szCs w:val="20"/>
        </w:rPr>
        <w:t>2004/25/ES</w:t>
      </w:r>
      <w:r>
        <w:rPr>
          <w:rFonts w:cs="Arial"/>
          <w:szCs w:val="20"/>
        </w:rPr>
        <w:t>)</w:t>
      </w:r>
      <w:r w:rsidRPr="00C067A8">
        <w:rPr>
          <w:rFonts w:cs="Arial"/>
          <w:szCs w:val="20"/>
        </w:rPr>
        <w:t xml:space="preserve"> se glasi: »</w:t>
      </w:r>
      <w:r w:rsidRPr="00C067A8">
        <w:rPr>
          <w:rFonts w:cs="Arial"/>
          <w:i/>
          <w:iCs/>
          <w:szCs w:val="20"/>
        </w:rPr>
        <w:t>Ta direktiva določa ukrepe za usklajevanje zakonov in drugih predpisov, kodeksov ravnanja in drugih ureditev držav članic, vključno z ureditvami, ki jih uvedejo organizacije, uradno pooblaščene za urejanje trgov (v nadaljnjem besedilu: „pravila“), v zvezi s ponudbami za prevzem vrednostnih papirjev družb, za katere velja zakonodaja držav članic, kadar so vsi ali je vsaj del njihovih vrednostnih papirjev sprejet na organiziran trg v smislu Direktive 93/22/EGS v eni ali več državah članicah (v nadaljnjem besedilu: „organiziran trg“).</w:t>
      </w:r>
      <w:r w:rsidRPr="00C067A8">
        <w:rPr>
          <w:rFonts w:cs="Arial"/>
          <w:szCs w:val="20"/>
        </w:rPr>
        <w:t>«. Glede na opredelitev pojma »vrednostni papirji« (</w:t>
      </w:r>
      <w:r>
        <w:rPr>
          <w:rFonts w:cs="Arial"/>
          <w:szCs w:val="20"/>
        </w:rPr>
        <w:t>točka e) prvega odstavka 2. člena</w:t>
      </w:r>
      <w:r w:rsidRPr="00C067A8">
        <w:rPr>
          <w:rFonts w:cs="Arial"/>
          <w:szCs w:val="20"/>
        </w:rPr>
        <w:t xml:space="preserve"> Direktive 2004/25/ES) so to prenosljivi vrednostni papirji z glasovalno pravico v družbi. Pomembno je torej, da se (za potrebe poročanja v ESAP - vezano na prevzemno področje) zaobjame podatke (le) za tiste ciljne družbe, katerih (bodisi vse bodisi del) delnice z glasovalno pravico so uvrščene v trgovanje na organiziranem trgu. </w:t>
      </w:r>
    </w:p>
    <w:p w14:paraId="10D945CE" w14:textId="77777777" w:rsidR="00C067A8" w:rsidRPr="00C067A8" w:rsidRDefault="00C067A8" w:rsidP="00C067A8">
      <w:pPr>
        <w:spacing w:line="276" w:lineRule="auto"/>
        <w:jc w:val="both"/>
        <w:rPr>
          <w:rFonts w:cs="Arial"/>
          <w:szCs w:val="20"/>
        </w:rPr>
      </w:pPr>
    </w:p>
    <w:p w14:paraId="7A57AC00" w14:textId="77777777" w:rsidR="00C067A8" w:rsidRPr="00C067A8" w:rsidRDefault="00C067A8" w:rsidP="00C067A8">
      <w:pPr>
        <w:spacing w:line="276" w:lineRule="auto"/>
        <w:jc w:val="both"/>
        <w:rPr>
          <w:rFonts w:cs="Arial"/>
          <w:szCs w:val="20"/>
        </w:rPr>
      </w:pPr>
      <w:r w:rsidRPr="00C067A8">
        <w:rPr>
          <w:rFonts w:cs="Arial"/>
          <w:szCs w:val="20"/>
        </w:rPr>
        <w:t>Nadalje izhajajoč iz zgornjega velja, da ''status'' prevzemnika, v smislu ali je prevzemnik javna družba ali ne, ni relevanten. Pomembno je, za katero ciljno družbo gre oziroma katero ciljno družbo prevzemnik prevzema, torej ''status'' ciljne družbe  (da gre za ciljno družbo, katere delnice z glasovalno pravico so uvrščene v trgovanje na organiziranem trgu).</w:t>
      </w:r>
    </w:p>
    <w:p w14:paraId="106E76BC" w14:textId="77777777" w:rsidR="00C067A8" w:rsidRPr="00C067A8" w:rsidRDefault="00C067A8" w:rsidP="00C067A8">
      <w:pPr>
        <w:spacing w:line="276" w:lineRule="auto"/>
        <w:jc w:val="both"/>
        <w:rPr>
          <w:rFonts w:cs="Arial"/>
          <w:szCs w:val="20"/>
        </w:rPr>
      </w:pPr>
    </w:p>
    <w:p w14:paraId="394C4F9C" w14:textId="5247D872" w:rsidR="00C067A8" w:rsidRDefault="00C067A8" w:rsidP="00C067A8">
      <w:pPr>
        <w:spacing w:line="276" w:lineRule="auto"/>
        <w:jc w:val="both"/>
        <w:rPr>
          <w:rFonts w:cs="Arial"/>
          <w:szCs w:val="20"/>
        </w:rPr>
      </w:pPr>
      <w:r w:rsidRPr="00C067A8">
        <w:rPr>
          <w:rFonts w:cs="Arial"/>
          <w:szCs w:val="20"/>
        </w:rPr>
        <w:t>Izpostaviti in opozoriti velja tudi na razlikovanje med dejstvom, ali je posamezna delnica uvrščena v trgovanje (širši pojem) na organiziranem trgu ali pa se z njo trguje (ožji pojem) na organiziranem trgu. Velja namreč, da so lahko določene delnice družbe uvrščene v trgovanje, pa se npr. zaradi nadzornega ukrepa (primeroma navajamo 1. točko prvega odstavka 168. člena ZTFI-1 – torej ustavitev trgovanja kot nadzorni ukrep) z njimi v določenem časovnem obdobju ne trguje. Iz zapisanega sledi zaključek, da je pravilno uporabljati termin »delnice, uvrščene v trgovanje« in ne »delnice, s katerimi se trguje«.</w:t>
      </w:r>
    </w:p>
    <w:p w14:paraId="1542DE46" w14:textId="77777777" w:rsidR="00C067A8" w:rsidRDefault="00C067A8" w:rsidP="0060477F">
      <w:pPr>
        <w:spacing w:line="276" w:lineRule="auto"/>
        <w:jc w:val="both"/>
        <w:rPr>
          <w:rFonts w:cs="Arial"/>
          <w:szCs w:val="20"/>
        </w:rPr>
      </w:pPr>
    </w:p>
    <w:p w14:paraId="54A83032" w14:textId="77777777" w:rsidR="008E6005" w:rsidRPr="0023027E" w:rsidRDefault="008E6005" w:rsidP="008E6005">
      <w:pPr>
        <w:spacing w:line="276" w:lineRule="auto"/>
        <w:jc w:val="both"/>
        <w:rPr>
          <w:rFonts w:cs="Arial"/>
          <w:szCs w:val="20"/>
        </w:rPr>
      </w:pPr>
      <w:r w:rsidRPr="0023027E">
        <w:rPr>
          <w:rFonts w:cs="Arial"/>
          <w:szCs w:val="20"/>
        </w:rPr>
        <w:t>V drugem odstavku novega 9.a člena ZPre-1 se določa</w:t>
      </w:r>
      <w:r>
        <w:rPr>
          <w:rFonts w:cs="Arial"/>
          <w:szCs w:val="20"/>
        </w:rPr>
        <w:t>jo</w:t>
      </w:r>
      <w:r w:rsidRPr="0023027E">
        <w:rPr>
          <w:rFonts w:cs="Arial"/>
          <w:szCs w:val="20"/>
        </w:rPr>
        <w:t xml:space="preserve"> zahteve za podatke, ki se predložijo ESAP. </w:t>
      </w:r>
      <w:r>
        <w:rPr>
          <w:rFonts w:cs="Arial"/>
          <w:szCs w:val="20"/>
        </w:rPr>
        <w:t>Kakor i</w:t>
      </w:r>
      <w:r w:rsidRPr="0023027E">
        <w:rPr>
          <w:rFonts w:cs="Arial"/>
          <w:szCs w:val="20"/>
        </w:rPr>
        <w:t>zhaja iz Direktive 2023/2864/EU</w:t>
      </w:r>
      <w:r>
        <w:rPr>
          <w:rFonts w:cs="Arial"/>
          <w:szCs w:val="20"/>
        </w:rPr>
        <w:t>,</w:t>
      </w:r>
      <w:r w:rsidRPr="0023027E">
        <w:rPr>
          <w:rFonts w:cs="Arial"/>
          <w:szCs w:val="20"/>
        </w:rPr>
        <w:t xml:space="preserve"> se </w:t>
      </w:r>
      <w:r>
        <w:rPr>
          <w:rFonts w:cs="Arial"/>
          <w:szCs w:val="20"/>
        </w:rPr>
        <w:t>morajo</w:t>
      </w:r>
      <w:r w:rsidRPr="0023027E">
        <w:rPr>
          <w:rFonts w:cs="Arial"/>
          <w:szCs w:val="20"/>
        </w:rPr>
        <w:t xml:space="preserve"> podatki predloži</w:t>
      </w:r>
      <w:r>
        <w:rPr>
          <w:rFonts w:cs="Arial"/>
          <w:szCs w:val="20"/>
        </w:rPr>
        <w:t>ti</w:t>
      </w:r>
      <w:r w:rsidRPr="0023027E">
        <w:rPr>
          <w:rFonts w:cs="Arial"/>
          <w:szCs w:val="20"/>
        </w:rPr>
        <w:t xml:space="preserve"> v formatu, ki omogoča </w:t>
      </w:r>
      <w:r>
        <w:rPr>
          <w:rFonts w:cs="Arial"/>
          <w:szCs w:val="20"/>
        </w:rPr>
        <w:t xml:space="preserve">njihov </w:t>
      </w:r>
      <w:r w:rsidRPr="0023027E">
        <w:rPr>
          <w:rFonts w:cs="Arial"/>
          <w:szCs w:val="20"/>
        </w:rPr>
        <w:t>izv</w:t>
      </w:r>
      <w:r>
        <w:rPr>
          <w:rFonts w:cs="Arial"/>
          <w:szCs w:val="20"/>
        </w:rPr>
        <w:t>oz</w:t>
      </w:r>
      <w:r w:rsidRPr="0023027E">
        <w:rPr>
          <w:rFonts w:cs="Arial"/>
          <w:szCs w:val="20"/>
        </w:rPr>
        <w:t xml:space="preserve"> (</w:t>
      </w:r>
      <w:r w:rsidRPr="0023027E">
        <w:rPr>
          <w:rFonts w:cs="Arial"/>
          <w:i/>
          <w:iCs/>
          <w:szCs w:val="20"/>
        </w:rPr>
        <w:t xml:space="preserve">data </w:t>
      </w:r>
      <w:proofErr w:type="spellStart"/>
      <w:r w:rsidRPr="0023027E">
        <w:rPr>
          <w:rFonts w:cs="Arial"/>
          <w:i/>
          <w:iCs/>
          <w:szCs w:val="20"/>
        </w:rPr>
        <w:t>extractable</w:t>
      </w:r>
      <w:proofErr w:type="spellEnd"/>
      <w:r w:rsidRPr="0023027E">
        <w:rPr>
          <w:rFonts w:cs="Arial"/>
          <w:i/>
          <w:iCs/>
          <w:szCs w:val="20"/>
        </w:rPr>
        <w:t xml:space="preserve"> format</w:t>
      </w:r>
      <w:r w:rsidRPr="0023027E">
        <w:rPr>
          <w:rFonts w:cs="Arial"/>
          <w:szCs w:val="20"/>
        </w:rPr>
        <w:t>)</w:t>
      </w:r>
      <w:r>
        <w:rPr>
          <w:rFonts w:cs="Arial"/>
          <w:szCs w:val="20"/>
        </w:rPr>
        <w:t>,</w:t>
      </w:r>
      <w:r w:rsidRPr="0023027E">
        <w:rPr>
          <w:rFonts w:cs="Arial"/>
          <w:szCs w:val="20"/>
        </w:rPr>
        <w:t xml:space="preserve"> ali kjer je to določeno z zakonodajo EU, v strojno berljiv</w:t>
      </w:r>
      <w:r>
        <w:rPr>
          <w:rFonts w:cs="Arial"/>
          <w:szCs w:val="20"/>
        </w:rPr>
        <w:t>i</w:t>
      </w:r>
      <w:r w:rsidRPr="0023027E">
        <w:rPr>
          <w:rFonts w:cs="Arial"/>
          <w:szCs w:val="20"/>
        </w:rPr>
        <w:t xml:space="preserve"> o</w:t>
      </w:r>
      <w:r>
        <w:rPr>
          <w:rFonts w:cs="Arial"/>
          <w:szCs w:val="20"/>
        </w:rPr>
        <w:t>bliki</w:t>
      </w:r>
      <w:r w:rsidRPr="0023027E">
        <w:rPr>
          <w:rFonts w:cs="Arial"/>
          <w:szCs w:val="20"/>
        </w:rPr>
        <w:t xml:space="preserve"> (</w:t>
      </w:r>
      <w:proofErr w:type="spellStart"/>
      <w:r w:rsidRPr="0023027E">
        <w:rPr>
          <w:rFonts w:cs="Arial"/>
          <w:i/>
          <w:iCs/>
          <w:szCs w:val="20"/>
        </w:rPr>
        <w:t>machine-readable</w:t>
      </w:r>
      <w:proofErr w:type="spellEnd"/>
      <w:r w:rsidRPr="0023027E">
        <w:rPr>
          <w:rFonts w:cs="Arial"/>
          <w:i/>
          <w:iCs/>
          <w:szCs w:val="20"/>
        </w:rPr>
        <w:t xml:space="preserve"> format</w:t>
      </w:r>
      <w:r w:rsidRPr="0023027E">
        <w:rPr>
          <w:rFonts w:cs="Arial"/>
          <w:szCs w:val="20"/>
        </w:rPr>
        <w:t>). T</w:t>
      </w:r>
      <w:r>
        <w:rPr>
          <w:rFonts w:cs="Arial"/>
          <w:szCs w:val="20"/>
        </w:rPr>
        <w:t>ak</w:t>
      </w:r>
      <w:r w:rsidRPr="0023027E">
        <w:rPr>
          <w:rFonts w:cs="Arial"/>
          <w:szCs w:val="20"/>
        </w:rPr>
        <w:t xml:space="preserve">o so podatki digitalno uporabni, kar omogoča </w:t>
      </w:r>
      <w:r>
        <w:rPr>
          <w:rFonts w:cs="Arial"/>
          <w:szCs w:val="20"/>
        </w:rPr>
        <w:t xml:space="preserve">njihovo </w:t>
      </w:r>
      <w:r w:rsidRPr="0023027E">
        <w:rPr>
          <w:rFonts w:cs="Arial"/>
          <w:szCs w:val="20"/>
        </w:rPr>
        <w:t>avtomatizirano obdelavo, analizo in primerjavo. Standardiziran</w:t>
      </w:r>
      <w:r>
        <w:rPr>
          <w:rFonts w:cs="Arial"/>
          <w:szCs w:val="20"/>
        </w:rPr>
        <w:t>i</w:t>
      </w:r>
      <w:r w:rsidRPr="0023027E">
        <w:rPr>
          <w:rFonts w:cs="Arial"/>
          <w:szCs w:val="20"/>
        </w:rPr>
        <w:t xml:space="preserve"> format olajša uporabnikom (na primer vlagateljem, analitikom in regulatorjem) dostop do podatkov </w:t>
      </w:r>
      <w:r>
        <w:rPr>
          <w:rFonts w:cs="Arial"/>
          <w:szCs w:val="20"/>
        </w:rPr>
        <w:t>in</w:t>
      </w:r>
      <w:r w:rsidRPr="0023027E">
        <w:rPr>
          <w:rFonts w:cs="Arial"/>
          <w:szCs w:val="20"/>
        </w:rPr>
        <w:t xml:space="preserve"> njihovo uporabo.</w:t>
      </w:r>
    </w:p>
    <w:p w14:paraId="534DD2A4" w14:textId="77777777" w:rsidR="008E6005" w:rsidRPr="0023027E" w:rsidRDefault="008E6005" w:rsidP="008E6005">
      <w:pPr>
        <w:spacing w:line="276" w:lineRule="auto"/>
        <w:jc w:val="both"/>
        <w:rPr>
          <w:rFonts w:cs="Arial"/>
          <w:szCs w:val="20"/>
        </w:rPr>
      </w:pPr>
    </w:p>
    <w:p w14:paraId="6B96CDAB" w14:textId="77777777" w:rsidR="008E6005" w:rsidRPr="0023027E" w:rsidRDefault="008E6005" w:rsidP="008E6005">
      <w:pPr>
        <w:spacing w:line="276" w:lineRule="auto"/>
        <w:jc w:val="both"/>
        <w:rPr>
          <w:rFonts w:cs="Arial"/>
          <w:szCs w:val="20"/>
        </w:rPr>
      </w:pPr>
      <w:r w:rsidRPr="0023027E">
        <w:rPr>
          <w:rFonts w:cs="Arial"/>
          <w:szCs w:val="20"/>
        </w:rPr>
        <w:t>Informacije morajo vsebovati metapodatke, ki zagotavljajo dodatne podatke o nadzorovani osebi in naravi pred</w:t>
      </w:r>
      <w:r>
        <w:rPr>
          <w:rFonts w:cs="Arial"/>
          <w:szCs w:val="20"/>
        </w:rPr>
        <w:t>lože</w:t>
      </w:r>
      <w:r w:rsidRPr="0023027E">
        <w:rPr>
          <w:rFonts w:cs="Arial"/>
          <w:szCs w:val="20"/>
        </w:rPr>
        <w:t>nih podatkov. Ti metapodatki so:</w:t>
      </w:r>
    </w:p>
    <w:p w14:paraId="135D0F23" w14:textId="77777777" w:rsidR="008E6005" w:rsidRPr="0023027E" w:rsidRDefault="008E6005" w:rsidP="008E6005">
      <w:pPr>
        <w:pStyle w:val="Odstavekseznama"/>
        <w:numPr>
          <w:ilvl w:val="0"/>
          <w:numId w:val="63"/>
        </w:numPr>
        <w:spacing w:line="276" w:lineRule="auto"/>
        <w:jc w:val="both"/>
        <w:rPr>
          <w:rFonts w:cs="Arial"/>
          <w:szCs w:val="20"/>
        </w:rPr>
      </w:pPr>
      <w:r>
        <w:rPr>
          <w:rFonts w:cs="Arial"/>
          <w:szCs w:val="20"/>
        </w:rPr>
        <w:t>v</w:t>
      </w:r>
      <w:r w:rsidRPr="0023027E">
        <w:rPr>
          <w:rFonts w:cs="Arial"/>
          <w:szCs w:val="20"/>
        </w:rPr>
        <w:t>sa imena prevzemnika in ciljne družbe, kar vključuje uradno ime pravnega subjekta ali druga imena, pod katerimi ta posluje. Namen je jasna identifikacija subjekta, da se prepreči zmeda pri subjektih z enakimi ali podobnimi imeni</w:t>
      </w:r>
      <w:r>
        <w:rPr>
          <w:rFonts w:cs="Arial"/>
          <w:szCs w:val="20"/>
        </w:rPr>
        <w:t>;</w:t>
      </w:r>
    </w:p>
    <w:p w14:paraId="741A687C" w14:textId="77777777" w:rsidR="008E6005" w:rsidRPr="0023027E" w:rsidRDefault="008E6005" w:rsidP="008E6005">
      <w:pPr>
        <w:pStyle w:val="Odstavekseznama"/>
        <w:numPr>
          <w:ilvl w:val="0"/>
          <w:numId w:val="65"/>
        </w:numPr>
        <w:spacing w:after="160" w:line="259" w:lineRule="auto"/>
        <w:jc w:val="both"/>
        <w:rPr>
          <w:rFonts w:cs="Arial"/>
          <w:szCs w:val="20"/>
        </w:rPr>
      </w:pPr>
      <w:r>
        <w:rPr>
          <w:rFonts w:cs="Arial"/>
          <w:szCs w:val="20"/>
        </w:rPr>
        <w:t>i</w:t>
      </w:r>
      <w:r w:rsidRPr="0023027E">
        <w:rPr>
          <w:rFonts w:cs="Arial"/>
          <w:szCs w:val="20"/>
        </w:rPr>
        <w:t>dentifikator pravnih subjektov</w:t>
      </w:r>
      <w:r>
        <w:rPr>
          <w:rFonts w:cs="Arial"/>
          <w:szCs w:val="20"/>
        </w:rPr>
        <w:t>,</w:t>
      </w:r>
      <w:r w:rsidRPr="0023027E">
        <w:rPr>
          <w:rFonts w:cs="Arial"/>
          <w:szCs w:val="20"/>
        </w:rPr>
        <w:t xml:space="preserve"> k</w:t>
      </w:r>
      <w:r>
        <w:rPr>
          <w:rFonts w:cs="Arial"/>
          <w:szCs w:val="20"/>
        </w:rPr>
        <w:t>ak</w:t>
      </w:r>
      <w:r w:rsidRPr="0023027E">
        <w:rPr>
          <w:rFonts w:cs="Arial"/>
          <w:szCs w:val="20"/>
        </w:rPr>
        <w:t>o</w:t>
      </w:r>
      <w:r>
        <w:rPr>
          <w:rFonts w:cs="Arial"/>
          <w:szCs w:val="20"/>
        </w:rPr>
        <w:t>r</w:t>
      </w:r>
      <w:r w:rsidRPr="0023027E">
        <w:rPr>
          <w:rFonts w:cs="Arial"/>
          <w:szCs w:val="20"/>
        </w:rPr>
        <w:t xml:space="preserve"> je določeno v točki b) četrtega odstavka 7. člena Uredbe 2023/2859/EU. Identifikator pravnih subjektov je standardizirana koda, ki se bo uporabljal</w:t>
      </w:r>
      <w:r>
        <w:rPr>
          <w:rFonts w:cs="Arial"/>
          <w:szCs w:val="20"/>
        </w:rPr>
        <w:t>a</w:t>
      </w:r>
      <w:r w:rsidRPr="0023027E">
        <w:rPr>
          <w:rFonts w:cs="Arial"/>
          <w:szCs w:val="20"/>
        </w:rPr>
        <w:t xml:space="preserve"> za enolično identifikacijo pravnih oseb</w:t>
      </w:r>
      <w:r>
        <w:rPr>
          <w:rFonts w:cs="Arial"/>
          <w:szCs w:val="20"/>
        </w:rPr>
        <w:t>,</w:t>
      </w:r>
      <w:r w:rsidRPr="0023027E">
        <w:rPr>
          <w:rFonts w:cs="Arial"/>
          <w:szCs w:val="20"/>
        </w:rPr>
        <w:t xml:space="preserve"> in ga natančneje opredeljuje Izvedbena uredba Komisije (EU) 2025/1338 z dne 10. julija 2025 o določitvi izvedbenih tehničnih standardov za uporabo Uredbe (EU) 2023/2859 Evropskega parlamenta in Sveta v zvezi s funkcionalnostmi evropske enotne točke dostopa (UL L št. 2025/1338 z dne 11. 7. 2025</w:t>
      </w:r>
      <w:r>
        <w:rPr>
          <w:rFonts w:cs="Arial"/>
          <w:szCs w:val="20"/>
        </w:rPr>
        <w:t xml:space="preserve">; </w:t>
      </w:r>
      <w:r w:rsidRPr="0023027E">
        <w:rPr>
          <w:rFonts w:cs="Arial"/>
          <w:szCs w:val="20"/>
        </w:rPr>
        <w:t>v nadaljnjem besedilu: Uredba 2025/1338/EU). Identifikator pravnih subjektov je ključen za izboljšanje preglednosti in sledenja v finančnih sistemih, kar omogoča regulatorjem in drugim deležnikom, da hitro in natančno identificirajo pravne subjekte, vključen</w:t>
      </w:r>
      <w:r>
        <w:rPr>
          <w:rFonts w:cs="Arial"/>
          <w:szCs w:val="20"/>
        </w:rPr>
        <w:t>e</w:t>
      </w:r>
      <w:r w:rsidRPr="0023027E">
        <w:rPr>
          <w:rFonts w:cs="Arial"/>
          <w:szCs w:val="20"/>
        </w:rPr>
        <w:t xml:space="preserve"> v finančne transakcije, kar zmanjšuje tveganja, povezana z nejasnostjo ali prikrivanjem identitete</w:t>
      </w:r>
      <w:r>
        <w:rPr>
          <w:rFonts w:cs="Arial"/>
          <w:szCs w:val="20"/>
        </w:rPr>
        <w:t>;</w:t>
      </w:r>
    </w:p>
    <w:p w14:paraId="342754C9" w14:textId="77777777" w:rsidR="008E6005" w:rsidRPr="0023027E" w:rsidRDefault="008E6005" w:rsidP="008E6005">
      <w:pPr>
        <w:pStyle w:val="Odstavekseznama"/>
        <w:numPr>
          <w:ilvl w:val="0"/>
          <w:numId w:val="65"/>
        </w:numPr>
        <w:spacing w:after="160" w:line="259" w:lineRule="auto"/>
        <w:jc w:val="both"/>
        <w:rPr>
          <w:rFonts w:cs="Arial"/>
          <w:szCs w:val="20"/>
        </w:rPr>
      </w:pPr>
      <w:r>
        <w:rPr>
          <w:rFonts w:cs="Arial"/>
          <w:szCs w:val="20"/>
        </w:rPr>
        <w:t>v</w:t>
      </w:r>
      <w:r w:rsidRPr="0023027E">
        <w:rPr>
          <w:rFonts w:cs="Arial"/>
          <w:szCs w:val="20"/>
        </w:rPr>
        <w:t xml:space="preserve">elikost nadzorovane osebe po kategorijah v skladu s točko d) četrtega odstavka 7. člena Uredbe 2023/2859/EU. Te kategorije so natančneje opredeljene v Uredbi 2025/1338/EU (na primer mala in srednja podjetja, velika podjetja, </w:t>
      </w:r>
      <w:proofErr w:type="spellStart"/>
      <w:r w:rsidRPr="0023027E">
        <w:rPr>
          <w:rFonts w:cs="Arial"/>
          <w:szCs w:val="20"/>
        </w:rPr>
        <w:t>mikropodjetja</w:t>
      </w:r>
      <w:proofErr w:type="spellEnd"/>
      <w:r w:rsidRPr="0023027E">
        <w:rPr>
          <w:rFonts w:cs="Arial"/>
          <w:szCs w:val="20"/>
        </w:rPr>
        <w:t>). Namen je razvrstitev subjektov glede na njihovo velikost</w:t>
      </w:r>
      <w:r>
        <w:rPr>
          <w:rFonts w:cs="Arial"/>
          <w:szCs w:val="20"/>
        </w:rPr>
        <w:t>;</w:t>
      </w:r>
    </w:p>
    <w:p w14:paraId="63EC60AF" w14:textId="77777777" w:rsidR="008E6005" w:rsidRPr="0023027E" w:rsidRDefault="008E6005" w:rsidP="008E6005">
      <w:pPr>
        <w:pStyle w:val="Odstavekseznama"/>
        <w:numPr>
          <w:ilvl w:val="0"/>
          <w:numId w:val="65"/>
        </w:numPr>
        <w:spacing w:after="160" w:line="259" w:lineRule="auto"/>
        <w:jc w:val="both"/>
        <w:rPr>
          <w:rFonts w:cs="Arial"/>
          <w:szCs w:val="20"/>
        </w:rPr>
      </w:pPr>
      <w:r>
        <w:rPr>
          <w:rFonts w:cs="Arial"/>
          <w:szCs w:val="20"/>
        </w:rPr>
        <w:lastRenderedPageBreak/>
        <w:t>i</w:t>
      </w:r>
      <w:r w:rsidRPr="0023027E">
        <w:rPr>
          <w:rFonts w:cs="Arial"/>
          <w:szCs w:val="20"/>
        </w:rPr>
        <w:t>ndustrijski sektorji gospodarskih dejavnosti omogoča</w:t>
      </w:r>
      <w:r>
        <w:rPr>
          <w:rFonts w:cs="Arial"/>
          <w:szCs w:val="20"/>
        </w:rPr>
        <w:t>jo</w:t>
      </w:r>
      <w:r w:rsidRPr="0023027E">
        <w:rPr>
          <w:rFonts w:cs="Arial"/>
          <w:szCs w:val="20"/>
        </w:rPr>
        <w:t xml:space="preserve"> regulatorjem, da razumejo, v katerem gospodarskem sektorju deluje nadzorovana oseba. To je ključno za analizo tveganj, </w:t>
      </w:r>
      <w:r>
        <w:rPr>
          <w:rFonts w:cs="Arial"/>
          <w:szCs w:val="20"/>
        </w:rPr>
        <w:t>značilnih</w:t>
      </w:r>
      <w:r w:rsidRPr="0023027E">
        <w:rPr>
          <w:rFonts w:cs="Arial"/>
          <w:szCs w:val="20"/>
        </w:rPr>
        <w:t xml:space="preserve"> za posamezne sektorje, ali za primerjavo podatkov med subjekti v istem sektorju. Ti podatki so uporabni za agregirane analize, ki jih izvajajo regulatorji ali druge institucije,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za spremljanje gospodarskih trendov, tveganj ali vplivov politik na </w:t>
      </w:r>
      <w:r>
        <w:rPr>
          <w:rFonts w:cs="Arial"/>
          <w:szCs w:val="20"/>
        </w:rPr>
        <w:t>p</w:t>
      </w:r>
      <w:r w:rsidRPr="0023027E">
        <w:rPr>
          <w:rFonts w:cs="Arial"/>
          <w:szCs w:val="20"/>
        </w:rPr>
        <w:t>o</w:t>
      </w:r>
      <w:r>
        <w:rPr>
          <w:rFonts w:cs="Arial"/>
          <w:szCs w:val="20"/>
        </w:rPr>
        <w:t>sam</w:t>
      </w:r>
      <w:r w:rsidRPr="0023027E">
        <w:rPr>
          <w:rFonts w:cs="Arial"/>
          <w:szCs w:val="20"/>
        </w:rPr>
        <w:t>e</w:t>
      </w:r>
      <w:r>
        <w:rPr>
          <w:rFonts w:cs="Arial"/>
          <w:szCs w:val="20"/>
        </w:rPr>
        <w:t>z</w:t>
      </w:r>
      <w:r w:rsidRPr="0023027E">
        <w:rPr>
          <w:rFonts w:cs="Arial"/>
          <w:szCs w:val="20"/>
        </w:rPr>
        <w:t>ne sektorje. Industrijski sektorji gospodarskih dejavnosti so natančneje opredeljen</w:t>
      </w:r>
      <w:r>
        <w:rPr>
          <w:rFonts w:cs="Arial"/>
          <w:szCs w:val="20"/>
        </w:rPr>
        <w:t>i</w:t>
      </w:r>
      <w:r w:rsidRPr="0023027E">
        <w:rPr>
          <w:rFonts w:cs="Arial"/>
          <w:szCs w:val="20"/>
        </w:rPr>
        <w:t xml:space="preserve"> v Uredbi 2025/1338/EU</w:t>
      </w:r>
      <w:r>
        <w:rPr>
          <w:rFonts w:cs="Arial"/>
          <w:szCs w:val="20"/>
        </w:rPr>
        <w:t>;</w:t>
      </w:r>
    </w:p>
    <w:p w14:paraId="7E460637" w14:textId="77777777" w:rsidR="008E6005" w:rsidRPr="0023027E" w:rsidRDefault="008E6005" w:rsidP="008E6005">
      <w:pPr>
        <w:pStyle w:val="Odstavekseznama"/>
        <w:numPr>
          <w:ilvl w:val="0"/>
          <w:numId w:val="65"/>
        </w:numPr>
        <w:spacing w:after="160" w:line="259" w:lineRule="auto"/>
        <w:jc w:val="both"/>
        <w:rPr>
          <w:rFonts w:cs="Arial"/>
          <w:szCs w:val="20"/>
        </w:rPr>
      </w:pPr>
      <w:r>
        <w:rPr>
          <w:rFonts w:cs="Arial"/>
          <w:szCs w:val="20"/>
        </w:rPr>
        <w:t>v</w:t>
      </w:r>
      <w:r w:rsidRPr="0023027E">
        <w:rPr>
          <w:rFonts w:cs="Arial"/>
          <w:szCs w:val="20"/>
        </w:rPr>
        <w:t xml:space="preserve">rsta informacij glede na razvrstitev na podlagi točke c) četrtega odstavka 7. člena Uredbe 2023/2859/EU. To pomeni, da morajo biti podatki označeni glede na vrsto ali kategorijo. To </w:t>
      </w:r>
      <w:r>
        <w:rPr>
          <w:rFonts w:cs="Arial"/>
          <w:szCs w:val="20"/>
        </w:rPr>
        <w:t>prejemnikom</w:t>
      </w:r>
      <w:r w:rsidRPr="0023027E">
        <w:rPr>
          <w:rFonts w:cs="Arial"/>
          <w:szCs w:val="20"/>
        </w:rPr>
        <w:t xml:space="preserve"> omogoča lažje razumevanje in obdelavo podatkov. Vrste informacij so natančneje opredeljene v Uredbi 2025/1338/EU</w:t>
      </w:r>
      <w:r>
        <w:rPr>
          <w:rFonts w:cs="Arial"/>
          <w:szCs w:val="20"/>
        </w:rPr>
        <w:t>;</w:t>
      </w:r>
    </w:p>
    <w:p w14:paraId="5F697AB8" w14:textId="77777777" w:rsidR="008E6005" w:rsidRPr="0023027E" w:rsidRDefault="008E6005" w:rsidP="008E6005">
      <w:pPr>
        <w:pStyle w:val="Odstavekseznama"/>
        <w:numPr>
          <w:ilvl w:val="0"/>
          <w:numId w:val="65"/>
        </w:numPr>
        <w:spacing w:after="160" w:line="259" w:lineRule="auto"/>
        <w:jc w:val="both"/>
        <w:rPr>
          <w:rFonts w:cs="Arial"/>
          <w:szCs w:val="20"/>
        </w:rPr>
      </w:pPr>
      <w:r>
        <w:rPr>
          <w:rFonts w:cs="Arial"/>
          <w:szCs w:val="20"/>
        </w:rPr>
        <w:t>o</w:t>
      </w:r>
      <w:r w:rsidRPr="0023027E">
        <w:rPr>
          <w:rFonts w:cs="Arial"/>
          <w:szCs w:val="20"/>
        </w:rPr>
        <w:t xml:space="preserve">znaka, ali informacije vsebujejo osebne podatke: </w:t>
      </w:r>
      <w:r>
        <w:rPr>
          <w:rFonts w:cs="Arial"/>
          <w:szCs w:val="20"/>
        </w:rPr>
        <w:t>i</w:t>
      </w:r>
      <w:r w:rsidRPr="0023027E">
        <w:rPr>
          <w:rFonts w:cs="Arial"/>
          <w:szCs w:val="20"/>
        </w:rPr>
        <w:t>nformacije morajo biti označene, če vsebujejo osebne podatke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podatke o posameznikih, kot so imena, naslovi, identifikacijske številke). Ta zahteva je pomembna za skladnost z zakonodajo o varstvu podatkov, saj osebni podatki zahtevajo posebno obravnavo in varstvo.</w:t>
      </w:r>
    </w:p>
    <w:p w14:paraId="6C95BFBB" w14:textId="77777777" w:rsidR="008E6005" w:rsidRPr="0023027E" w:rsidRDefault="008E6005" w:rsidP="008E6005">
      <w:pPr>
        <w:spacing w:line="276" w:lineRule="auto"/>
        <w:jc w:val="both"/>
        <w:rPr>
          <w:rFonts w:cs="Arial"/>
          <w:szCs w:val="20"/>
        </w:rPr>
      </w:pPr>
    </w:p>
    <w:p w14:paraId="47E94F6F" w14:textId="77777777" w:rsidR="008E6005" w:rsidRPr="0023027E" w:rsidRDefault="008E6005" w:rsidP="008E6005">
      <w:pPr>
        <w:spacing w:line="276" w:lineRule="auto"/>
        <w:jc w:val="both"/>
        <w:rPr>
          <w:rFonts w:cs="Arial"/>
          <w:szCs w:val="20"/>
        </w:rPr>
      </w:pPr>
      <w:r w:rsidRPr="0023027E">
        <w:rPr>
          <w:rFonts w:cs="Arial"/>
          <w:szCs w:val="20"/>
        </w:rPr>
        <w:t>Metapodatki so ključni za organiz</w:t>
      </w:r>
      <w:r>
        <w:rPr>
          <w:rFonts w:cs="Arial"/>
          <w:szCs w:val="20"/>
        </w:rPr>
        <w:t>ir</w:t>
      </w:r>
      <w:r w:rsidRPr="0023027E">
        <w:rPr>
          <w:rFonts w:cs="Arial"/>
          <w:szCs w:val="20"/>
        </w:rPr>
        <w:t>a</w:t>
      </w:r>
      <w:r>
        <w:rPr>
          <w:rFonts w:cs="Arial"/>
          <w:szCs w:val="20"/>
        </w:rPr>
        <w:t>n</w:t>
      </w:r>
      <w:r w:rsidRPr="0023027E">
        <w:rPr>
          <w:rFonts w:cs="Arial"/>
          <w:szCs w:val="20"/>
        </w:rPr>
        <w:t>j</w:t>
      </w:r>
      <w:r>
        <w:rPr>
          <w:rFonts w:cs="Arial"/>
          <w:szCs w:val="20"/>
        </w:rPr>
        <w:t>e</w:t>
      </w:r>
      <w:r w:rsidRPr="0023027E">
        <w:rPr>
          <w:rFonts w:cs="Arial"/>
          <w:szCs w:val="20"/>
        </w:rPr>
        <w:t xml:space="preserve"> in kategoriz</w:t>
      </w:r>
      <w:r>
        <w:rPr>
          <w:rFonts w:cs="Arial"/>
          <w:szCs w:val="20"/>
        </w:rPr>
        <w:t>ir</w:t>
      </w:r>
      <w:r w:rsidRPr="0023027E">
        <w:rPr>
          <w:rFonts w:cs="Arial"/>
          <w:szCs w:val="20"/>
        </w:rPr>
        <w:t>a</w:t>
      </w:r>
      <w:r>
        <w:rPr>
          <w:rFonts w:cs="Arial"/>
          <w:szCs w:val="20"/>
        </w:rPr>
        <w:t>n</w:t>
      </w:r>
      <w:r w:rsidRPr="0023027E">
        <w:rPr>
          <w:rFonts w:cs="Arial"/>
          <w:szCs w:val="20"/>
        </w:rPr>
        <w:t>j</w:t>
      </w:r>
      <w:r>
        <w:rPr>
          <w:rFonts w:cs="Arial"/>
          <w:szCs w:val="20"/>
        </w:rPr>
        <w:t>e</w:t>
      </w:r>
      <w:r w:rsidRPr="0023027E">
        <w:rPr>
          <w:rFonts w:cs="Arial"/>
          <w:szCs w:val="20"/>
        </w:rPr>
        <w:t xml:space="preserve"> informacij na ESAP. Z njimi se podatki označijo z dodatnimi informacijami, kar omogoča lažje iskanje in filtriranje. Metapodatki zagotavljajo, da so informacije strukturirane in dostopne na način, prilagojen potrebam uporabnikov, ter povečujejo preglednost in učinkovitost ESAP. </w:t>
      </w:r>
    </w:p>
    <w:p w14:paraId="5C9941BE" w14:textId="77777777" w:rsidR="008E6005" w:rsidRPr="0023027E" w:rsidRDefault="008E6005" w:rsidP="008E6005">
      <w:pPr>
        <w:spacing w:line="276" w:lineRule="auto"/>
        <w:jc w:val="both"/>
        <w:rPr>
          <w:rFonts w:cs="Arial"/>
          <w:szCs w:val="20"/>
        </w:rPr>
      </w:pPr>
      <w:r w:rsidRPr="0023027E">
        <w:rPr>
          <w:rFonts w:cs="Arial"/>
          <w:szCs w:val="20"/>
        </w:rPr>
        <w:t xml:space="preserve">Pri tem je pomembno tudi načelo </w:t>
      </w:r>
      <w:r>
        <w:rPr>
          <w:rFonts w:cs="Arial"/>
          <w:szCs w:val="20"/>
        </w:rPr>
        <w:t>»</w:t>
      </w:r>
      <w:r w:rsidRPr="0023027E">
        <w:rPr>
          <w:rFonts w:cs="Arial"/>
          <w:szCs w:val="20"/>
        </w:rPr>
        <w:t>enkratnega vnosa</w:t>
      </w:r>
      <w:r>
        <w:rPr>
          <w:rFonts w:cs="Arial"/>
          <w:szCs w:val="20"/>
        </w:rPr>
        <w:t>«</w:t>
      </w:r>
      <w:r w:rsidRPr="0023027E">
        <w:rPr>
          <w:rFonts w:cs="Arial"/>
          <w:szCs w:val="20"/>
        </w:rPr>
        <w:t xml:space="preserve"> (</w:t>
      </w:r>
      <w:r w:rsidRPr="0023027E">
        <w:rPr>
          <w:rFonts w:cs="Arial"/>
          <w:i/>
          <w:iCs/>
          <w:szCs w:val="20"/>
        </w:rPr>
        <w:t xml:space="preserve">file </w:t>
      </w:r>
      <w:proofErr w:type="spellStart"/>
      <w:r w:rsidRPr="0023027E">
        <w:rPr>
          <w:rFonts w:cs="Arial"/>
          <w:i/>
          <w:iCs/>
          <w:szCs w:val="20"/>
        </w:rPr>
        <w:t>once</w:t>
      </w:r>
      <w:proofErr w:type="spellEnd"/>
      <w:r w:rsidRPr="0023027E">
        <w:rPr>
          <w:rFonts w:cs="Arial"/>
          <w:i/>
          <w:iCs/>
          <w:szCs w:val="20"/>
        </w:rPr>
        <w:t xml:space="preserve"> </w:t>
      </w:r>
      <w:proofErr w:type="spellStart"/>
      <w:r w:rsidRPr="0023027E">
        <w:rPr>
          <w:rFonts w:cs="Arial"/>
          <w:i/>
          <w:iCs/>
          <w:szCs w:val="20"/>
        </w:rPr>
        <w:t>principle</w:t>
      </w:r>
      <w:proofErr w:type="spellEnd"/>
      <w:r w:rsidRPr="0023027E">
        <w:rPr>
          <w:rFonts w:cs="Arial"/>
          <w:szCs w:val="20"/>
        </w:rPr>
        <w:t xml:space="preserve">), kar pomeni, da subjekti podatke, ki jih že objavljajo v skladu z </w:t>
      </w:r>
      <w:r>
        <w:rPr>
          <w:rFonts w:cs="Arial"/>
          <w:szCs w:val="20"/>
        </w:rPr>
        <w:t>veljavno</w:t>
      </w:r>
      <w:r w:rsidRPr="0023027E">
        <w:rPr>
          <w:rFonts w:cs="Arial"/>
          <w:szCs w:val="20"/>
        </w:rPr>
        <w:t xml:space="preserve"> zakonodajo, predložijo v standardiziranem formatu brez dodatnih obveznosti. Zahteve po izv</w:t>
      </w:r>
      <w:r>
        <w:rPr>
          <w:rFonts w:cs="Arial"/>
          <w:szCs w:val="20"/>
        </w:rPr>
        <w:t>oz</w:t>
      </w:r>
      <w:r w:rsidRPr="0023027E">
        <w:rPr>
          <w:rFonts w:cs="Arial"/>
          <w:szCs w:val="20"/>
        </w:rPr>
        <w:t xml:space="preserve">u podatkov in metapodatkih zagotavljajo, da se ti podatki učinkovito </w:t>
      </w:r>
      <w:r>
        <w:rPr>
          <w:rFonts w:cs="Arial"/>
          <w:szCs w:val="20"/>
        </w:rPr>
        <w:t>vključijo</w:t>
      </w:r>
      <w:r w:rsidRPr="0023027E">
        <w:rPr>
          <w:rFonts w:cs="Arial"/>
          <w:szCs w:val="20"/>
        </w:rPr>
        <w:t xml:space="preserve"> v centralizirano platformo ESAP, kar zmanjšuje administrativno breme in povečuje dostopnost.</w:t>
      </w:r>
    </w:p>
    <w:p w14:paraId="7E7C0FDA" w14:textId="77777777" w:rsidR="008E6005" w:rsidRPr="0023027E" w:rsidRDefault="008E6005" w:rsidP="008E6005">
      <w:pPr>
        <w:spacing w:line="276" w:lineRule="auto"/>
        <w:jc w:val="both"/>
        <w:rPr>
          <w:rFonts w:cs="Arial"/>
          <w:szCs w:val="20"/>
        </w:rPr>
      </w:pPr>
    </w:p>
    <w:p w14:paraId="78792BBB" w14:textId="77777777" w:rsidR="008E6005" w:rsidRPr="0023027E" w:rsidRDefault="008E6005" w:rsidP="008E6005">
      <w:pPr>
        <w:spacing w:line="276" w:lineRule="auto"/>
        <w:jc w:val="both"/>
        <w:rPr>
          <w:rFonts w:cs="Arial"/>
          <w:szCs w:val="20"/>
        </w:rPr>
      </w:pPr>
      <w:r w:rsidRPr="0023027E">
        <w:rPr>
          <w:rFonts w:cs="Arial"/>
          <w:szCs w:val="20"/>
        </w:rPr>
        <w:t xml:space="preserve">Uporaba metapodatkov in standardiziranih formatov omogoča tehnično </w:t>
      </w:r>
      <w:proofErr w:type="spellStart"/>
      <w:r w:rsidRPr="0023027E">
        <w:rPr>
          <w:rFonts w:cs="Arial"/>
          <w:szCs w:val="20"/>
        </w:rPr>
        <w:t>interoperabilnost</w:t>
      </w:r>
      <w:proofErr w:type="spellEnd"/>
      <w:r w:rsidRPr="0023027E">
        <w:rPr>
          <w:rFonts w:cs="Arial"/>
          <w:szCs w:val="20"/>
        </w:rPr>
        <w:t xml:space="preserve"> med različnimi sistemi zbiranja podatkov na nacionalni ravni in ESAP, ki ga upravlja ESMA. To omogoča nemoten prenos podatkov, kar povečuje učinkovitost in zmanjšuje stroške.</w:t>
      </w:r>
    </w:p>
    <w:p w14:paraId="5B8FA9C8" w14:textId="77777777" w:rsidR="008E6005" w:rsidRPr="0023027E" w:rsidRDefault="008E6005" w:rsidP="008E6005">
      <w:pPr>
        <w:spacing w:line="276" w:lineRule="auto"/>
        <w:jc w:val="both"/>
        <w:rPr>
          <w:rFonts w:cs="Arial"/>
          <w:szCs w:val="20"/>
        </w:rPr>
      </w:pPr>
    </w:p>
    <w:p w14:paraId="31713972" w14:textId="77777777" w:rsidR="008E6005" w:rsidRPr="0023027E" w:rsidRDefault="008E6005" w:rsidP="008E6005">
      <w:pPr>
        <w:spacing w:line="276" w:lineRule="auto"/>
        <w:jc w:val="both"/>
        <w:rPr>
          <w:rFonts w:cs="Arial"/>
          <w:szCs w:val="20"/>
        </w:rPr>
      </w:pPr>
      <w:r w:rsidRPr="0023027E">
        <w:rPr>
          <w:rFonts w:cs="Arial"/>
          <w:szCs w:val="20"/>
        </w:rPr>
        <w:t>Določa se tudi, da prevzemnik in ciljna družba pridobita identifikator pravnih subjektov, k</w:t>
      </w:r>
      <w:r>
        <w:rPr>
          <w:rFonts w:cs="Arial"/>
          <w:szCs w:val="20"/>
        </w:rPr>
        <w:t>ak</w:t>
      </w:r>
      <w:r w:rsidRPr="0023027E">
        <w:rPr>
          <w:rFonts w:cs="Arial"/>
          <w:szCs w:val="20"/>
        </w:rPr>
        <w:t>o</w:t>
      </w:r>
      <w:r>
        <w:rPr>
          <w:rFonts w:cs="Arial"/>
          <w:szCs w:val="20"/>
        </w:rPr>
        <w:t>r</w:t>
      </w:r>
      <w:r w:rsidRPr="0023027E">
        <w:rPr>
          <w:rFonts w:cs="Arial"/>
          <w:szCs w:val="20"/>
        </w:rPr>
        <w:t xml:space="preserve"> je določen v Uredbi 2023/2859/EU, če tega identifikatorja še nimata. </w:t>
      </w:r>
    </w:p>
    <w:p w14:paraId="301EEB9D" w14:textId="77777777" w:rsidR="00552B46" w:rsidRDefault="00552B46" w:rsidP="00C64B3F">
      <w:pPr>
        <w:spacing w:line="276" w:lineRule="auto"/>
        <w:jc w:val="both"/>
        <w:rPr>
          <w:rFonts w:cs="Arial"/>
          <w:szCs w:val="20"/>
        </w:rPr>
      </w:pPr>
    </w:p>
    <w:p w14:paraId="2D41A19B" w14:textId="2464279A" w:rsidR="00943571" w:rsidRPr="0023027E" w:rsidRDefault="00943571" w:rsidP="00943571">
      <w:pPr>
        <w:spacing w:line="276" w:lineRule="auto"/>
        <w:jc w:val="both"/>
        <w:rPr>
          <w:rFonts w:cs="Arial"/>
          <w:b/>
          <w:bCs/>
          <w:szCs w:val="20"/>
        </w:rPr>
      </w:pPr>
      <w:r w:rsidRPr="0023027E">
        <w:rPr>
          <w:rFonts w:cs="Arial"/>
          <w:b/>
          <w:bCs/>
          <w:szCs w:val="20"/>
        </w:rPr>
        <w:t xml:space="preserve">K </w:t>
      </w:r>
      <w:r w:rsidR="00B403C3">
        <w:rPr>
          <w:rFonts w:cs="Arial"/>
          <w:b/>
          <w:bCs/>
          <w:szCs w:val="20"/>
        </w:rPr>
        <w:t>9</w:t>
      </w:r>
      <w:r w:rsidRPr="0023027E">
        <w:rPr>
          <w:rFonts w:cs="Arial"/>
          <w:b/>
          <w:bCs/>
          <w:szCs w:val="20"/>
        </w:rPr>
        <w:t>.</w:t>
      </w:r>
      <w:r w:rsidR="008E6005">
        <w:rPr>
          <w:rFonts w:cs="Arial"/>
          <w:b/>
          <w:bCs/>
          <w:szCs w:val="20"/>
        </w:rPr>
        <w:t xml:space="preserve"> </w:t>
      </w:r>
      <w:r w:rsidRPr="0023027E">
        <w:rPr>
          <w:rFonts w:cs="Arial"/>
          <w:b/>
          <w:bCs/>
          <w:szCs w:val="20"/>
        </w:rPr>
        <w:t>členu</w:t>
      </w:r>
    </w:p>
    <w:p w14:paraId="49E17A4B" w14:textId="2559E617" w:rsidR="00B64162" w:rsidRDefault="00B64162" w:rsidP="00C64B3F">
      <w:pPr>
        <w:spacing w:line="276" w:lineRule="auto"/>
        <w:jc w:val="both"/>
        <w:rPr>
          <w:rFonts w:cs="Arial"/>
          <w:szCs w:val="20"/>
        </w:rPr>
      </w:pPr>
      <w:r>
        <w:rPr>
          <w:rFonts w:cs="Arial"/>
          <w:szCs w:val="20"/>
        </w:rPr>
        <w:t>S tem členom se predlaga nov</w:t>
      </w:r>
      <w:r w:rsidR="008E6005">
        <w:rPr>
          <w:rFonts w:cs="Arial"/>
          <w:szCs w:val="20"/>
        </w:rPr>
        <w:t>i</w:t>
      </w:r>
      <w:r>
        <w:rPr>
          <w:rFonts w:cs="Arial"/>
          <w:szCs w:val="20"/>
        </w:rPr>
        <w:t xml:space="preserve"> peti odstavek 17. člena ZPre-1, ki prenaša </w:t>
      </w:r>
      <w:r w:rsidRPr="00B64162">
        <w:rPr>
          <w:rFonts w:cs="Arial"/>
          <w:szCs w:val="20"/>
        </w:rPr>
        <w:t xml:space="preserve">2. člen Direktive 2023/2864/EU oziroma </w:t>
      </w:r>
      <w:r>
        <w:rPr>
          <w:rFonts w:cs="Arial"/>
          <w:szCs w:val="20"/>
        </w:rPr>
        <w:t>četrti odstavek</w:t>
      </w:r>
      <w:r w:rsidRPr="00B64162">
        <w:rPr>
          <w:rFonts w:cs="Arial"/>
          <w:szCs w:val="20"/>
        </w:rPr>
        <w:t xml:space="preserve"> novega 16.a člena Direktive 2004/25/ES</w:t>
      </w:r>
      <w:r>
        <w:rPr>
          <w:rFonts w:cs="Arial"/>
          <w:szCs w:val="20"/>
        </w:rPr>
        <w:t>.</w:t>
      </w:r>
      <w:r w:rsidR="00174A8E">
        <w:rPr>
          <w:rFonts w:cs="Arial"/>
          <w:szCs w:val="20"/>
        </w:rPr>
        <w:t xml:space="preserve"> Določa se obveznost ATVP, da informacije o pravični ceni iz 17. člena ZPre-1 predloži ESAP </w:t>
      </w:r>
      <w:r w:rsidR="008E6005">
        <w:rPr>
          <w:rFonts w:cs="Arial"/>
          <w:szCs w:val="20"/>
        </w:rPr>
        <w:t>z natančno</w:t>
      </w:r>
      <w:r w:rsidR="00174A8E">
        <w:rPr>
          <w:rFonts w:cs="Arial"/>
          <w:szCs w:val="20"/>
        </w:rPr>
        <w:t xml:space="preserve"> določenimi metapodatki (več o tem glej obrazložitev k </w:t>
      </w:r>
      <w:r w:rsidR="00B403C3">
        <w:rPr>
          <w:rFonts w:cs="Arial"/>
          <w:szCs w:val="20"/>
        </w:rPr>
        <w:t>8</w:t>
      </w:r>
      <w:r w:rsidR="00174A8E">
        <w:rPr>
          <w:rFonts w:cs="Arial"/>
          <w:szCs w:val="20"/>
        </w:rPr>
        <w:t>. členu predloga zakona).</w:t>
      </w:r>
    </w:p>
    <w:p w14:paraId="6A1D77EB" w14:textId="77777777" w:rsidR="00943571" w:rsidRPr="0023027E" w:rsidRDefault="00943571" w:rsidP="00C64B3F">
      <w:pPr>
        <w:spacing w:line="276" w:lineRule="auto"/>
        <w:jc w:val="both"/>
        <w:rPr>
          <w:rFonts w:cs="Arial"/>
          <w:szCs w:val="20"/>
        </w:rPr>
      </w:pPr>
    </w:p>
    <w:p w14:paraId="078E6910" w14:textId="47952AB8" w:rsidR="00FE0F83" w:rsidRPr="0023027E" w:rsidRDefault="00FE0F83" w:rsidP="00FE0F83">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10</w:t>
      </w:r>
      <w:r w:rsidR="00FC742E" w:rsidRPr="0023027E">
        <w:rPr>
          <w:rFonts w:cs="Arial"/>
          <w:b/>
          <w:bCs/>
          <w:szCs w:val="20"/>
        </w:rPr>
        <w:t xml:space="preserve">. </w:t>
      </w:r>
      <w:r w:rsidRPr="0023027E">
        <w:rPr>
          <w:rFonts w:cs="Arial"/>
          <w:b/>
          <w:bCs/>
          <w:szCs w:val="20"/>
        </w:rPr>
        <w:t>členu</w:t>
      </w:r>
    </w:p>
    <w:p w14:paraId="7D61337F" w14:textId="77777777" w:rsidR="00682509" w:rsidRPr="0023027E" w:rsidRDefault="00FC742E" w:rsidP="00192D1A">
      <w:pPr>
        <w:spacing w:line="276" w:lineRule="auto"/>
        <w:jc w:val="both"/>
        <w:rPr>
          <w:rFonts w:cs="Arial"/>
          <w:szCs w:val="20"/>
        </w:rPr>
      </w:pPr>
      <w:r w:rsidRPr="0023027E">
        <w:rPr>
          <w:rFonts w:cs="Arial"/>
          <w:szCs w:val="20"/>
        </w:rPr>
        <w:t xml:space="preserve">S </w:t>
      </w:r>
      <w:r w:rsidR="0040518D" w:rsidRPr="0023027E">
        <w:rPr>
          <w:rFonts w:cs="Arial"/>
          <w:szCs w:val="20"/>
        </w:rPr>
        <w:t xml:space="preserve">tem </w:t>
      </w:r>
      <w:r w:rsidRPr="0023027E">
        <w:rPr>
          <w:rFonts w:cs="Arial"/>
          <w:szCs w:val="20"/>
        </w:rPr>
        <w:t xml:space="preserve">členom se predlaga dopolnitev prvega </w:t>
      </w:r>
      <w:r w:rsidR="0040518D" w:rsidRPr="0023027E">
        <w:rPr>
          <w:rFonts w:cs="Arial"/>
          <w:szCs w:val="20"/>
        </w:rPr>
        <w:t>od</w:t>
      </w:r>
      <w:r w:rsidRPr="0023027E">
        <w:rPr>
          <w:rFonts w:cs="Arial"/>
          <w:szCs w:val="20"/>
        </w:rPr>
        <w:t xml:space="preserve">stavka 72. člena </w:t>
      </w:r>
      <w:r w:rsidR="00E23D4F" w:rsidRPr="0023027E">
        <w:rPr>
          <w:rFonts w:cs="Arial"/>
          <w:szCs w:val="20"/>
        </w:rPr>
        <w:t xml:space="preserve">ZPre-1 </w:t>
      </w:r>
      <w:r w:rsidRPr="0023027E">
        <w:rPr>
          <w:rFonts w:cs="Arial"/>
          <w:szCs w:val="20"/>
        </w:rPr>
        <w:t>na način, da se določijo sankcije za kršitev obveznosti predložitve informacij ali če te informacije niso predložene v zahtevani obliki ali če prevzemnik in ciljna družba ne pridobi identifikatorja pravnih subjektov.</w:t>
      </w:r>
    </w:p>
    <w:p w14:paraId="1501812E" w14:textId="77777777" w:rsidR="00FC742E" w:rsidRPr="0023027E" w:rsidRDefault="00FC742E" w:rsidP="00192D1A">
      <w:pPr>
        <w:spacing w:line="276" w:lineRule="auto"/>
        <w:jc w:val="both"/>
        <w:rPr>
          <w:rFonts w:cs="Arial"/>
          <w:szCs w:val="20"/>
        </w:rPr>
      </w:pPr>
    </w:p>
    <w:p w14:paraId="75C586DE" w14:textId="26D9187B" w:rsidR="00FC742E" w:rsidRPr="0023027E" w:rsidRDefault="00FC742E" w:rsidP="00192D1A">
      <w:pPr>
        <w:spacing w:line="276" w:lineRule="auto"/>
        <w:jc w:val="both"/>
        <w:rPr>
          <w:rFonts w:cs="Arial"/>
          <w:szCs w:val="20"/>
        </w:rPr>
      </w:pPr>
      <w:r w:rsidRPr="0023027E">
        <w:rPr>
          <w:rFonts w:cs="Arial"/>
          <w:szCs w:val="20"/>
        </w:rPr>
        <w:t xml:space="preserve">Podrobneje v obrazložitvi k </w:t>
      </w:r>
      <w:r w:rsidR="00B403C3">
        <w:t>6</w:t>
      </w:r>
      <w:r w:rsidRPr="0023027E">
        <w:rPr>
          <w:rFonts w:cs="Arial"/>
          <w:szCs w:val="20"/>
        </w:rPr>
        <w:t>. členu predloga zakona.</w:t>
      </w:r>
    </w:p>
    <w:p w14:paraId="35D3E597" w14:textId="77777777" w:rsidR="00FC742E" w:rsidRPr="0023027E" w:rsidRDefault="00FC742E" w:rsidP="00192D1A">
      <w:pPr>
        <w:spacing w:line="276" w:lineRule="auto"/>
        <w:jc w:val="both"/>
        <w:rPr>
          <w:rFonts w:cs="Arial"/>
          <w:szCs w:val="20"/>
        </w:rPr>
      </w:pPr>
    </w:p>
    <w:p w14:paraId="1D1B9DE9" w14:textId="13F80751" w:rsidR="00682509" w:rsidRPr="0023027E" w:rsidRDefault="00682509" w:rsidP="00682509">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11</w:t>
      </w:r>
      <w:r w:rsidR="009B012E" w:rsidRPr="0023027E">
        <w:rPr>
          <w:rFonts w:cs="Arial"/>
          <w:b/>
          <w:bCs/>
          <w:szCs w:val="20"/>
        </w:rPr>
        <w:t xml:space="preserve">. </w:t>
      </w:r>
      <w:r w:rsidRPr="0023027E">
        <w:rPr>
          <w:rFonts w:cs="Arial"/>
          <w:b/>
          <w:bCs/>
          <w:szCs w:val="20"/>
        </w:rPr>
        <w:t>členu</w:t>
      </w:r>
    </w:p>
    <w:p w14:paraId="788F3A64" w14:textId="77777777" w:rsidR="00F70DDB" w:rsidRPr="0023027E" w:rsidRDefault="00F70DDB" w:rsidP="00F70DDB">
      <w:pPr>
        <w:spacing w:line="276" w:lineRule="auto"/>
        <w:jc w:val="both"/>
        <w:rPr>
          <w:rFonts w:cs="Arial"/>
          <w:szCs w:val="20"/>
        </w:rPr>
      </w:pPr>
      <w:r w:rsidRPr="0023027E">
        <w:rPr>
          <w:rFonts w:cs="Arial"/>
          <w:szCs w:val="20"/>
        </w:rPr>
        <w:t>S tem členom se dodaja nov</w:t>
      </w:r>
      <w:r>
        <w:rPr>
          <w:rFonts w:cs="Arial"/>
          <w:szCs w:val="20"/>
        </w:rPr>
        <w:t>i</w:t>
      </w:r>
      <w:r w:rsidRPr="0023027E">
        <w:rPr>
          <w:rFonts w:cs="Arial"/>
          <w:szCs w:val="20"/>
        </w:rPr>
        <w:t xml:space="preserve"> 36.a člen</w:t>
      </w:r>
      <w:r>
        <w:rPr>
          <w:rFonts w:cs="Arial"/>
          <w:szCs w:val="20"/>
        </w:rPr>
        <w:t xml:space="preserve"> Zakona </w:t>
      </w:r>
      <w:r w:rsidRPr="0023027E">
        <w:rPr>
          <w:rFonts w:cs="Arial"/>
          <w:szCs w:val="20"/>
        </w:rPr>
        <w:t xml:space="preserve">o revidiranju (Uradni list RS, št. 65/08, 63/13 – ZS-K, 84/18, 115/21 in 85/24; v nadaljnjem besedilu: ZRev-2), ki prenaša 4. člen Direktive 2023/2864/EU oziroma novi 20.a člen Direktive 2006/43/ES Evropskega parlamenta in Sveta z dne 17. maja 2006 o obveznih revizijah za letne in konsolidirane računovodske izkaze, </w:t>
      </w:r>
      <w:r w:rsidRPr="0023027E">
        <w:rPr>
          <w:rFonts w:cs="Arial"/>
          <w:szCs w:val="20"/>
        </w:rPr>
        <w:lastRenderedPageBreak/>
        <w:t xml:space="preserve">spremembi direktiv Sveta 78/660/EGS in 83/349/EGS ter razveljavitvi Direktive Sveta 84/253/EGS (UL L št. 157 z dne 9. 6. 2006, str. 87), </w:t>
      </w:r>
      <w:r>
        <w:rPr>
          <w:rFonts w:cs="Arial"/>
          <w:szCs w:val="20"/>
        </w:rPr>
        <w:t>na</w:t>
      </w:r>
      <w:r w:rsidRPr="0023027E">
        <w:rPr>
          <w:rFonts w:cs="Arial"/>
          <w:szCs w:val="20"/>
        </w:rPr>
        <w:t>zadnj</w:t>
      </w:r>
      <w:r>
        <w:rPr>
          <w:rFonts w:cs="Arial"/>
          <w:szCs w:val="20"/>
        </w:rPr>
        <w:t>e</w:t>
      </w:r>
      <w:r w:rsidRPr="0023027E">
        <w:rPr>
          <w:rFonts w:cs="Arial"/>
          <w:szCs w:val="20"/>
        </w:rPr>
        <w:t xml:space="preserve"> spremenjen</w:t>
      </w:r>
      <w:r>
        <w:rPr>
          <w:rFonts w:cs="Arial"/>
          <w:szCs w:val="20"/>
        </w:rPr>
        <w:t>e</w:t>
      </w:r>
      <w:r w:rsidRPr="0023027E">
        <w:rPr>
          <w:rFonts w:cs="Arial"/>
          <w:szCs w:val="20"/>
        </w:rPr>
        <w:t xml:space="preserve"> z Direktivo (EU) 2023/2864 Evropskega parlamenta in Sveta z dne 13. decembra 2023 o spremembi nekaterih direktiv glede vzpostavitve in delovanja evropske enotne točke dostopa (UL L št. 2023/2864 z dne 20. 12. 2023), (v nadaljnjem besedilu: Direktiva 2006/43/ES).</w:t>
      </w:r>
    </w:p>
    <w:p w14:paraId="29BFF881" w14:textId="77777777" w:rsidR="00F70DDB" w:rsidRPr="0023027E" w:rsidRDefault="00F70DDB" w:rsidP="00F70DDB">
      <w:pPr>
        <w:spacing w:line="276" w:lineRule="auto"/>
        <w:jc w:val="both"/>
        <w:rPr>
          <w:rFonts w:cs="Arial"/>
          <w:szCs w:val="20"/>
        </w:rPr>
      </w:pPr>
    </w:p>
    <w:p w14:paraId="44AD2F2D" w14:textId="77777777" w:rsidR="00F70DDB" w:rsidRPr="0023027E" w:rsidRDefault="00F70DDB" w:rsidP="00F70DDB">
      <w:pPr>
        <w:spacing w:line="276" w:lineRule="auto"/>
        <w:jc w:val="both"/>
        <w:rPr>
          <w:rFonts w:cs="Arial"/>
          <w:szCs w:val="20"/>
        </w:rPr>
      </w:pPr>
      <w:r w:rsidRPr="0023027E">
        <w:rPr>
          <w:rFonts w:cs="Arial"/>
          <w:szCs w:val="20"/>
        </w:rPr>
        <w:t>Določa se, da je Agencija za javni nadzor nad revidiranjem (v nadaljnjem besedilu: AJNR) organ za zbiranje podatkov, k</w:t>
      </w:r>
      <w:r>
        <w:rPr>
          <w:rFonts w:cs="Arial"/>
          <w:szCs w:val="20"/>
        </w:rPr>
        <w:t>ak</w:t>
      </w:r>
      <w:r w:rsidRPr="0023027E">
        <w:rPr>
          <w:rFonts w:cs="Arial"/>
          <w:szCs w:val="20"/>
        </w:rPr>
        <w:t>o</w:t>
      </w:r>
      <w:r>
        <w:rPr>
          <w:rFonts w:cs="Arial"/>
          <w:szCs w:val="20"/>
        </w:rPr>
        <w:t>r</w:t>
      </w:r>
      <w:r w:rsidRPr="0023027E">
        <w:rPr>
          <w:rFonts w:cs="Arial"/>
          <w:szCs w:val="20"/>
        </w:rPr>
        <w:t xml:space="preserve"> je opredeljen v 2. točki 2. člena Uredbe 2023/2859/EU, za informacije iz 152. </w:t>
      </w:r>
      <w:r>
        <w:rPr>
          <w:rFonts w:cs="Arial"/>
          <w:szCs w:val="20"/>
        </w:rPr>
        <w:t xml:space="preserve">člena </w:t>
      </w:r>
      <w:r w:rsidRPr="0023027E">
        <w:rPr>
          <w:rFonts w:cs="Arial"/>
          <w:szCs w:val="20"/>
        </w:rPr>
        <w:t>(odločbe o ukrepu nadzora) in prvega odstavka 153. člena ZRev-2 (register revizijskih družb, register revizijskih podjetij, register revizijskih subjektov tretjih držav in register pooblaščenih revizorjev)</w:t>
      </w:r>
      <w:r>
        <w:rPr>
          <w:rFonts w:cs="Arial"/>
          <w:szCs w:val="20"/>
        </w:rPr>
        <w:t>,</w:t>
      </w:r>
      <w:r w:rsidRPr="0023027E">
        <w:rPr>
          <w:rFonts w:cs="Arial"/>
          <w:szCs w:val="20"/>
        </w:rPr>
        <w:t xml:space="preserve"> ter zagotavlja, da so te in</w:t>
      </w:r>
      <w:r w:rsidRPr="00A607FE">
        <w:rPr>
          <w:rFonts w:cs="Arial"/>
          <w:szCs w:val="20"/>
        </w:rPr>
        <w:t xml:space="preserve">formacije dostopne </w:t>
      </w:r>
      <w:r>
        <w:rPr>
          <w:rFonts w:cs="Arial"/>
          <w:szCs w:val="20"/>
        </w:rPr>
        <w:t>na</w:t>
      </w:r>
      <w:r w:rsidRPr="00A607FE">
        <w:rPr>
          <w:rFonts w:cs="Arial"/>
          <w:szCs w:val="20"/>
        </w:rPr>
        <w:t xml:space="preserve"> ES</w:t>
      </w:r>
      <w:r w:rsidRPr="0023027E">
        <w:rPr>
          <w:rFonts w:cs="Arial"/>
          <w:szCs w:val="20"/>
        </w:rPr>
        <w:t>AP.</w:t>
      </w:r>
    </w:p>
    <w:p w14:paraId="42F7A1AC" w14:textId="77777777" w:rsidR="00F70DDB" w:rsidRPr="0023027E" w:rsidRDefault="00F70DDB" w:rsidP="00F70DDB">
      <w:pPr>
        <w:spacing w:line="276" w:lineRule="auto"/>
        <w:jc w:val="both"/>
        <w:rPr>
          <w:rFonts w:cs="Arial"/>
          <w:szCs w:val="20"/>
        </w:rPr>
      </w:pPr>
    </w:p>
    <w:p w14:paraId="31021289" w14:textId="77777777" w:rsidR="00F70DDB" w:rsidRPr="0023027E" w:rsidRDefault="00F70DDB" w:rsidP="00F70DDB">
      <w:pPr>
        <w:spacing w:line="276" w:lineRule="auto"/>
        <w:jc w:val="both"/>
        <w:rPr>
          <w:rFonts w:cs="Arial"/>
          <w:szCs w:val="20"/>
        </w:rPr>
      </w:pPr>
      <w:r w:rsidRPr="0023027E">
        <w:rPr>
          <w:rFonts w:cs="Arial"/>
          <w:szCs w:val="20"/>
        </w:rPr>
        <w:t xml:space="preserve">V </w:t>
      </w:r>
      <w:r w:rsidRPr="00A607FE">
        <w:rPr>
          <w:rFonts w:cs="Arial"/>
          <w:szCs w:val="20"/>
        </w:rPr>
        <w:t>drugem odstavku novega 36</w:t>
      </w:r>
      <w:r w:rsidRPr="003F4D4F">
        <w:rPr>
          <w:rFonts w:cs="Arial"/>
          <w:szCs w:val="20"/>
        </w:rPr>
        <w:t>.a člena ZRev-2 se določajo zahteve za podatke, ki se predložijo na ESA</w:t>
      </w:r>
      <w:r w:rsidRPr="0023027E">
        <w:rPr>
          <w:rFonts w:cs="Arial"/>
          <w:szCs w:val="20"/>
        </w:rPr>
        <w:t xml:space="preserve">P. </w:t>
      </w:r>
      <w:r>
        <w:rPr>
          <w:rFonts w:cs="Arial"/>
          <w:szCs w:val="20"/>
        </w:rPr>
        <w:t>Kakor i</w:t>
      </w:r>
      <w:r w:rsidRPr="0023027E">
        <w:rPr>
          <w:rFonts w:cs="Arial"/>
          <w:szCs w:val="20"/>
        </w:rPr>
        <w:t>zhaja iz Direktive 2023/2864/EU</w:t>
      </w:r>
      <w:r>
        <w:rPr>
          <w:rFonts w:cs="Arial"/>
          <w:szCs w:val="20"/>
        </w:rPr>
        <w:t>,</w:t>
      </w:r>
      <w:r w:rsidRPr="0023027E">
        <w:rPr>
          <w:rFonts w:cs="Arial"/>
          <w:szCs w:val="20"/>
        </w:rPr>
        <w:t xml:space="preserve"> se </w:t>
      </w:r>
      <w:r>
        <w:rPr>
          <w:rFonts w:cs="Arial"/>
          <w:szCs w:val="20"/>
        </w:rPr>
        <w:t>morajo</w:t>
      </w:r>
      <w:r w:rsidRPr="0023027E">
        <w:rPr>
          <w:rFonts w:cs="Arial"/>
          <w:szCs w:val="20"/>
        </w:rPr>
        <w:t xml:space="preserve"> podatki predloži</w:t>
      </w:r>
      <w:r>
        <w:rPr>
          <w:rFonts w:cs="Arial"/>
          <w:szCs w:val="20"/>
        </w:rPr>
        <w:t>ti</w:t>
      </w:r>
      <w:r w:rsidRPr="0023027E">
        <w:rPr>
          <w:rFonts w:cs="Arial"/>
          <w:szCs w:val="20"/>
        </w:rPr>
        <w:t xml:space="preserve"> v formatu, ki omogoča </w:t>
      </w:r>
      <w:r>
        <w:rPr>
          <w:rFonts w:cs="Arial"/>
          <w:szCs w:val="20"/>
        </w:rPr>
        <w:t xml:space="preserve">njihov </w:t>
      </w:r>
      <w:r w:rsidRPr="0023027E">
        <w:rPr>
          <w:rFonts w:cs="Arial"/>
          <w:szCs w:val="20"/>
        </w:rPr>
        <w:t>izv</w:t>
      </w:r>
      <w:r>
        <w:rPr>
          <w:rFonts w:cs="Arial"/>
          <w:szCs w:val="20"/>
        </w:rPr>
        <w:t>oz</w:t>
      </w:r>
      <w:r w:rsidRPr="0023027E">
        <w:rPr>
          <w:rFonts w:cs="Arial"/>
          <w:szCs w:val="20"/>
        </w:rPr>
        <w:t xml:space="preserve"> (</w:t>
      </w:r>
      <w:r w:rsidRPr="0023027E">
        <w:rPr>
          <w:rFonts w:cs="Arial"/>
          <w:i/>
          <w:iCs/>
          <w:szCs w:val="20"/>
        </w:rPr>
        <w:t xml:space="preserve">data </w:t>
      </w:r>
      <w:proofErr w:type="spellStart"/>
      <w:r w:rsidRPr="0023027E">
        <w:rPr>
          <w:rFonts w:cs="Arial"/>
          <w:i/>
          <w:iCs/>
          <w:szCs w:val="20"/>
        </w:rPr>
        <w:t>extractable</w:t>
      </w:r>
      <w:proofErr w:type="spellEnd"/>
      <w:r w:rsidRPr="0023027E">
        <w:rPr>
          <w:rFonts w:cs="Arial"/>
          <w:i/>
          <w:iCs/>
          <w:szCs w:val="20"/>
        </w:rPr>
        <w:t xml:space="preserve"> format</w:t>
      </w:r>
      <w:r w:rsidRPr="0023027E">
        <w:rPr>
          <w:rFonts w:cs="Arial"/>
          <w:szCs w:val="20"/>
        </w:rPr>
        <w:t>)</w:t>
      </w:r>
      <w:r>
        <w:rPr>
          <w:rFonts w:cs="Arial"/>
          <w:szCs w:val="20"/>
        </w:rPr>
        <w:t>,</w:t>
      </w:r>
      <w:r w:rsidRPr="0023027E">
        <w:rPr>
          <w:rFonts w:cs="Arial"/>
          <w:szCs w:val="20"/>
        </w:rPr>
        <w:t xml:space="preserve"> ali kjer je to določeno z zakonodajo EU, v strojno berljiv</w:t>
      </w:r>
      <w:r>
        <w:rPr>
          <w:rFonts w:cs="Arial"/>
          <w:szCs w:val="20"/>
        </w:rPr>
        <w:t>i</w:t>
      </w:r>
      <w:r w:rsidRPr="0023027E">
        <w:rPr>
          <w:rFonts w:cs="Arial"/>
          <w:szCs w:val="20"/>
        </w:rPr>
        <w:t xml:space="preserve"> </w:t>
      </w:r>
      <w:r>
        <w:rPr>
          <w:rFonts w:cs="Arial"/>
          <w:szCs w:val="20"/>
        </w:rPr>
        <w:t>obliki</w:t>
      </w:r>
      <w:r w:rsidRPr="0023027E">
        <w:rPr>
          <w:rFonts w:cs="Arial"/>
          <w:szCs w:val="20"/>
        </w:rPr>
        <w:t xml:space="preserve"> (</w:t>
      </w:r>
      <w:proofErr w:type="spellStart"/>
      <w:r w:rsidRPr="0023027E">
        <w:rPr>
          <w:rFonts w:cs="Arial"/>
          <w:i/>
          <w:iCs/>
          <w:szCs w:val="20"/>
        </w:rPr>
        <w:t>machine-readable</w:t>
      </w:r>
      <w:proofErr w:type="spellEnd"/>
      <w:r w:rsidRPr="0023027E">
        <w:rPr>
          <w:rFonts w:cs="Arial"/>
          <w:i/>
          <w:iCs/>
          <w:szCs w:val="20"/>
        </w:rPr>
        <w:t xml:space="preserve"> format</w:t>
      </w:r>
      <w:r w:rsidRPr="0023027E">
        <w:rPr>
          <w:rFonts w:cs="Arial"/>
          <w:szCs w:val="20"/>
        </w:rPr>
        <w:t>). T</w:t>
      </w:r>
      <w:r>
        <w:rPr>
          <w:rFonts w:cs="Arial"/>
          <w:szCs w:val="20"/>
        </w:rPr>
        <w:t>ak</w:t>
      </w:r>
      <w:r w:rsidRPr="0023027E">
        <w:rPr>
          <w:rFonts w:cs="Arial"/>
          <w:szCs w:val="20"/>
        </w:rPr>
        <w:t xml:space="preserve">o so podatki digitalno uporabni, kar omogoča </w:t>
      </w:r>
      <w:r>
        <w:rPr>
          <w:rFonts w:cs="Arial"/>
          <w:szCs w:val="20"/>
        </w:rPr>
        <w:t xml:space="preserve">njihovo </w:t>
      </w:r>
      <w:r w:rsidRPr="0023027E">
        <w:rPr>
          <w:rFonts w:cs="Arial"/>
          <w:szCs w:val="20"/>
        </w:rPr>
        <w:t>avtomatizirano obdelavo, analizo in primerjavo. Standardiziran</w:t>
      </w:r>
      <w:r>
        <w:rPr>
          <w:rFonts w:cs="Arial"/>
          <w:szCs w:val="20"/>
        </w:rPr>
        <w:t>i</w:t>
      </w:r>
      <w:r w:rsidRPr="0023027E">
        <w:rPr>
          <w:rFonts w:cs="Arial"/>
          <w:szCs w:val="20"/>
        </w:rPr>
        <w:t xml:space="preserve"> format olajša uporabnikom (na primer vlagateljem, analitikom in regulatorjem) dostop do podatkov </w:t>
      </w:r>
      <w:r>
        <w:rPr>
          <w:rFonts w:cs="Arial"/>
          <w:szCs w:val="20"/>
        </w:rPr>
        <w:t>in</w:t>
      </w:r>
      <w:r w:rsidRPr="0023027E">
        <w:rPr>
          <w:rFonts w:cs="Arial"/>
          <w:szCs w:val="20"/>
        </w:rPr>
        <w:t xml:space="preserve"> njihovo uporabo.</w:t>
      </w:r>
    </w:p>
    <w:p w14:paraId="378DDD73" w14:textId="77777777" w:rsidR="00F70DDB" w:rsidRPr="0023027E" w:rsidRDefault="00F70DDB" w:rsidP="00F70DDB">
      <w:pPr>
        <w:spacing w:line="276" w:lineRule="auto"/>
        <w:jc w:val="both"/>
        <w:rPr>
          <w:rFonts w:cs="Arial"/>
          <w:szCs w:val="20"/>
        </w:rPr>
      </w:pPr>
    </w:p>
    <w:p w14:paraId="587549C9" w14:textId="77777777" w:rsidR="00F70DDB" w:rsidRPr="0023027E" w:rsidRDefault="00F70DDB" w:rsidP="00F70DDB">
      <w:pPr>
        <w:spacing w:line="276" w:lineRule="auto"/>
        <w:jc w:val="both"/>
        <w:rPr>
          <w:rFonts w:cs="Arial"/>
          <w:szCs w:val="20"/>
        </w:rPr>
      </w:pPr>
      <w:r w:rsidRPr="0023027E">
        <w:rPr>
          <w:rFonts w:cs="Arial"/>
          <w:szCs w:val="20"/>
        </w:rPr>
        <w:t>Informacije morajo vsebovati metapodatke, ki zagotavljajo dodatne podatke o nadzorovani osebi in naravi pred</w:t>
      </w:r>
      <w:r>
        <w:rPr>
          <w:rFonts w:cs="Arial"/>
          <w:szCs w:val="20"/>
        </w:rPr>
        <w:t>lože</w:t>
      </w:r>
      <w:r w:rsidRPr="0023027E">
        <w:rPr>
          <w:rFonts w:cs="Arial"/>
          <w:szCs w:val="20"/>
        </w:rPr>
        <w:t>nih podatkov. Ti metapodatki so:</w:t>
      </w:r>
    </w:p>
    <w:p w14:paraId="269C8906" w14:textId="77777777" w:rsidR="00F70DDB" w:rsidRPr="0023027E" w:rsidRDefault="00F70DDB" w:rsidP="00F70DDB">
      <w:pPr>
        <w:pStyle w:val="Odstavekseznama"/>
        <w:numPr>
          <w:ilvl w:val="0"/>
          <w:numId w:val="63"/>
        </w:numPr>
        <w:spacing w:line="276" w:lineRule="auto"/>
        <w:jc w:val="both"/>
        <w:rPr>
          <w:rFonts w:cs="Arial"/>
          <w:szCs w:val="20"/>
        </w:rPr>
      </w:pPr>
      <w:r w:rsidRPr="0023027E">
        <w:rPr>
          <w:rFonts w:cs="Arial"/>
          <w:szCs w:val="20"/>
        </w:rPr>
        <w:t>vsa imena revizijske družbe ali pooblaščenega revizorja, kar vključuje uradno ime subjekta ali druga imena, pod katerimi ta posluje. Namen je jasna identifikacija subjekta, da se prepreči zmeda pri subjektih z enakimi ali podobnimi imeni</w:t>
      </w:r>
      <w:r>
        <w:rPr>
          <w:rFonts w:cs="Arial"/>
          <w:szCs w:val="20"/>
        </w:rPr>
        <w:t>;</w:t>
      </w:r>
      <w:r w:rsidRPr="0023027E">
        <w:rPr>
          <w:rFonts w:cs="Arial"/>
          <w:szCs w:val="20"/>
        </w:rPr>
        <w:t xml:space="preserve"> </w:t>
      </w:r>
    </w:p>
    <w:p w14:paraId="5E417F53" w14:textId="77777777" w:rsidR="00F70DDB" w:rsidRPr="0023027E" w:rsidRDefault="00F70DDB" w:rsidP="00F70DDB">
      <w:pPr>
        <w:pStyle w:val="Odstavekseznama"/>
        <w:numPr>
          <w:ilvl w:val="0"/>
          <w:numId w:val="65"/>
        </w:numPr>
        <w:spacing w:after="160" w:line="259" w:lineRule="auto"/>
        <w:jc w:val="both"/>
        <w:rPr>
          <w:rFonts w:cs="Arial"/>
          <w:szCs w:val="20"/>
        </w:rPr>
      </w:pPr>
      <w:r w:rsidRPr="0023027E">
        <w:rPr>
          <w:rFonts w:cs="Arial"/>
          <w:szCs w:val="20"/>
        </w:rPr>
        <w:t>če obstaja, identifikator pravnih subjektov</w:t>
      </w:r>
      <w:r>
        <w:rPr>
          <w:rFonts w:cs="Arial"/>
          <w:szCs w:val="20"/>
        </w:rPr>
        <w:t>,</w:t>
      </w:r>
      <w:r w:rsidRPr="0023027E">
        <w:rPr>
          <w:rFonts w:cs="Arial"/>
          <w:szCs w:val="20"/>
        </w:rPr>
        <w:t xml:space="preserve"> k</w:t>
      </w:r>
      <w:r>
        <w:rPr>
          <w:rFonts w:cs="Arial"/>
          <w:szCs w:val="20"/>
        </w:rPr>
        <w:t>ak</w:t>
      </w:r>
      <w:r w:rsidRPr="0023027E">
        <w:rPr>
          <w:rFonts w:cs="Arial"/>
          <w:szCs w:val="20"/>
        </w:rPr>
        <w:t>o</w:t>
      </w:r>
      <w:r>
        <w:rPr>
          <w:rFonts w:cs="Arial"/>
          <w:szCs w:val="20"/>
        </w:rPr>
        <w:t>r</w:t>
      </w:r>
      <w:r w:rsidRPr="0023027E">
        <w:rPr>
          <w:rFonts w:cs="Arial"/>
          <w:szCs w:val="20"/>
        </w:rPr>
        <w:t xml:space="preserve"> je določeno v točki b) četrtega odstavka 7. člena Uredbe 2023/2859/EU. Identifikator pravnih subjektov je standardizirana koda, ki se bo uporabljal</w:t>
      </w:r>
      <w:r>
        <w:rPr>
          <w:rFonts w:cs="Arial"/>
          <w:szCs w:val="20"/>
        </w:rPr>
        <w:t>a</w:t>
      </w:r>
      <w:r w:rsidRPr="0023027E">
        <w:rPr>
          <w:rFonts w:cs="Arial"/>
          <w:szCs w:val="20"/>
        </w:rPr>
        <w:t xml:space="preserve"> za enolično identifikacijo pravnih oseb</w:t>
      </w:r>
      <w:r>
        <w:rPr>
          <w:rFonts w:cs="Arial"/>
          <w:szCs w:val="20"/>
        </w:rPr>
        <w:t>,</w:t>
      </w:r>
      <w:r w:rsidRPr="0023027E">
        <w:rPr>
          <w:rFonts w:cs="Arial"/>
          <w:szCs w:val="20"/>
        </w:rPr>
        <w:t xml:space="preserve"> in ga natančneje opredeljuje Izvedbena uredba Komisije (EU) 2025/1338 z dne 10. julija 2025 o določitvi izvedbenih tehničnih standardov za uporabo Uredbe (EU) 2023/2859 Evropskega parlamenta in Sveta v zvezi s funkcionalnostmi evropske enotne točke dostopa (UL L št. 2025/1338 z dne 11. 7. 2025</w:t>
      </w:r>
      <w:r>
        <w:rPr>
          <w:rFonts w:cs="Arial"/>
          <w:szCs w:val="20"/>
        </w:rPr>
        <w:t xml:space="preserve">; </w:t>
      </w:r>
      <w:r w:rsidRPr="0023027E">
        <w:rPr>
          <w:rFonts w:cs="Arial"/>
          <w:szCs w:val="20"/>
        </w:rPr>
        <w:t>v nadaljnjem besedilu: Uredba 2025/1338/EU). Identifikator pravnih subjektov je ključen za izboljšanje preglednosti in sledenja v finančnih sistemih, kar omogoča regulatorjem in drugim deležnikom, da hitro in natančno identificirajo pravne subjekte, vključen</w:t>
      </w:r>
      <w:r>
        <w:rPr>
          <w:rFonts w:cs="Arial"/>
          <w:szCs w:val="20"/>
        </w:rPr>
        <w:t>e</w:t>
      </w:r>
      <w:r w:rsidRPr="0023027E">
        <w:rPr>
          <w:rFonts w:cs="Arial"/>
          <w:szCs w:val="20"/>
        </w:rPr>
        <w:t xml:space="preserve"> v finančne transakcije, kar zmanjšuje tveganja, povezana z nejasnostjo ali prikrivanjem identitete</w:t>
      </w:r>
      <w:r>
        <w:rPr>
          <w:rFonts w:cs="Arial"/>
          <w:szCs w:val="20"/>
        </w:rPr>
        <w:t>;</w:t>
      </w:r>
    </w:p>
    <w:p w14:paraId="11BE6C52" w14:textId="77777777" w:rsidR="00F70DDB" w:rsidRPr="0023027E" w:rsidRDefault="00F70DDB" w:rsidP="00F70DDB">
      <w:pPr>
        <w:pStyle w:val="Odstavekseznama"/>
        <w:numPr>
          <w:ilvl w:val="0"/>
          <w:numId w:val="65"/>
        </w:numPr>
        <w:spacing w:after="160" w:line="259" w:lineRule="auto"/>
        <w:jc w:val="both"/>
        <w:rPr>
          <w:rFonts w:cs="Arial"/>
          <w:szCs w:val="20"/>
        </w:rPr>
      </w:pPr>
      <w:r w:rsidRPr="0023027E">
        <w:rPr>
          <w:rFonts w:cs="Arial"/>
          <w:szCs w:val="20"/>
        </w:rPr>
        <w:t xml:space="preserve">vrsta informacij glede na razvrstitev na podlagi točke c) četrtega odstavka 7. člena Uredbe 2023/2859/EU. To pomeni, da morajo biti podatki označeni glede na vrsto ali kategorijo. To </w:t>
      </w:r>
      <w:r>
        <w:rPr>
          <w:rFonts w:cs="Arial"/>
          <w:szCs w:val="20"/>
        </w:rPr>
        <w:t>prejemnikom</w:t>
      </w:r>
      <w:r w:rsidRPr="0023027E">
        <w:rPr>
          <w:rFonts w:cs="Arial"/>
          <w:szCs w:val="20"/>
        </w:rPr>
        <w:t xml:space="preserve"> omogoča lažje razumevanje in obdelavo podatkov. Vrste informacij so natančneje opredeljene v Uredbi 2025/1338/EU</w:t>
      </w:r>
      <w:r>
        <w:rPr>
          <w:rFonts w:cs="Arial"/>
          <w:szCs w:val="20"/>
        </w:rPr>
        <w:t>;</w:t>
      </w:r>
    </w:p>
    <w:p w14:paraId="514E3F1C" w14:textId="77777777" w:rsidR="00F70DDB" w:rsidRPr="0023027E" w:rsidRDefault="00F70DDB" w:rsidP="00F70DDB">
      <w:pPr>
        <w:pStyle w:val="Odstavekseznama"/>
        <w:numPr>
          <w:ilvl w:val="0"/>
          <w:numId w:val="65"/>
        </w:numPr>
        <w:spacing w:after="160" w:line="259" w:lineRule="auto"/>
        <w:jc w:val="both"/>
        <w:rPr>
          <w:rFonts w:cs="Arial"/>
          <w:szCs w:val="20"/>
        </w:rPr>
      </w:pPr>
      <w:r w:rsidRPr="0023027E">
        <w:rPr>
          <w:rFonts w:cs="Arial"/>
          <w:szCs w:val="20"/>
        </w:rPr>
        <w:t xml:space="preserve">oznaka, ali informacije vsebujejo osebne podatke: </w:t>
      </w:r>
      <w:r>
        <w:rPr>
          <w:rFonts w:cs="Arial"/>
          <w:szCs w:val="20"/>
        </w:rPr>
        <w:t>i</w:t>
      </w:r>
      <w:r w:rsidRPr="0023027E">
        <w:rPr>
          <w:rFonts w:cs="Arial"/>
          <w:szCs w:val="20"/>
        </w:rPr>
        <w:t>nformacije morajo biti označene, če vsebujejo osebne podatke (n</w:t>
      </w:r>
      <w:r>
        <w:rPr>
          <w:rFonts w:cs="Arial"/>
          <w:szCs w:val="20"/>
        </w:rPr>
        <w:t xml:space="preserve">a </w:t>
      </w:r>
      <w:r w:rsidRPr="0023027E">
        <w:rPr>
          <w:rFonts w:cs="Arial"/>
          <w:szCs w:val="20"/>
        </w:rPr>
        <w:t>p</w:t>
      </w:r>
      <w:r>
        <w:rPr>
          <w:rFonts w:cs="Arial"/>
          <w:szCs w:val="20"/>
        </w:rPr>
        <w:t>rimer</w:t>
      </w:r>
      <w:r w:rsidRPr="0023027E">
        <w:rPr>
          <w:rFonts w:cs="Arial"/>
          <w:szCs w:val="20"/>
        </w:rPr>
        <w:t xml:space="preserve"> podatke o posameznikih, kot so imena, naslovi, identifikacijske številke). Ta zahteva je pomembna za skladnost z zakonodajo o varstvu podatkov, saj osebni podatki zahtevajo posebno obravnavo in varstvo.</w:t>
      </w:r>
    </w:p>
    <w:p w14:paraId="41D7ED4A" w14:textId="77777777" w:rsidR="00F70DDB" w:rsidRPr="0023027E" w:rsidRDefault="00F70DDB" w:rsidP="00F70DDB">
      <w:pPr>
        <w:spacing w:line="276" w:lineRule="auto"/>
        <w:jc w:val="both"/>
        <w:rPr>
          <w:rFonts w:cs="Arial"/>
          <w:szCs w:val="20"/>
        </w:rPr>
      </w:pPr>
    </w:p>
    <w:p w14:paraId="13B6FABD" w14:textId="77777777" w:rsidR="00F70DDB" w:rsidRPr="0023027E" w:rsidRDefault="00F70DDB" w:rsidP="00F70DDB">
      <w:pPr>
        <w:spacing w:line="276" w:lineRule="auto"/>
        <w:jc w:val="both"/>
        <w:rPr>
          <w:rFonts w:cs="Arial"/>
          <w:szCs w:val="20"/>
        </w:rPr>
      </w:pPr>
      <w:r w:rsidRPr="0023027E">
        <w:rPr>
          <w:rFonts w:cs="Arial"/>
          <w:szCs w:val="20"/>
        </w:rPr>
        <w:t>Metapodatki so ključni za organiz</w:t>
      </w:r>
      <w:r>
        <w:rPr>
          <w:rFonts w:cs="Arial"/>
          <w:szCs w:val="20"/>
        </w:rPr>
        <w:t>ir</w:t>
      </w:r>
      <w:r w:rsidRPr="0023027E">
        <w:rPr>
          <w:rFonts w:cs="Arial"/>
          <w:szCs w:val="20"/>
        </w:rPr>
        <w:t>a</w:t>
      </w:r>
      <w:r>
        <w:rPr>
          <w:rFonts w:cs="Arial"/>
          <w:szCs w:val="20"/>
        </w:rPr>
        <w:t>n</w:t>
      </w:r>
      <w:r w:rsidRPr="0023027E">
        <w:rPr>
          <w:rFonts w:cs="Arial"/>
          <w:szCs w:val="20"/>
        </w:rPr>
        <w:t>j</w:t>
      </w:r>
      <w:r>
        <w:rPr>
          <w:rFonts w:cs="Arial"/>
          <w:szCs w:val="20"/>
        </w:rPr>
        <w:t>e</w:t>
      </w:r>
      <w:r w:rsidRPr="0023027E">
        <w:rPr>
          <w:rFonts w:cs="Arial"/>
          <w:szCs w:val="20"/>
        </w:rPr>
        <w:t xml:space="preserve"> in kategoriz</w:t>
      </w:r>
      <w:r>
        <w:rPr>
          <w:rFonts w:cs="Arial"/>
          <w:szCs w:val="20"/>
        </w:rPr>
        <w:t>ir</w:t>
      </w:r>
      <w:r w:rsidRPr="0023027E">
        <w:rPr>
          <w:rFonts w:cs="Arial"/>
          <w:szCs w:val="20"/>
        </w:rPr>
        <w:t>a</w:t>
      </w:r>
      <w:r>
        <w:rPr>
          <w:rFonts w:cs="Arial"/>
          <w:szCs w:val="20"/>
        </w:rPr>
        <w:t>n</w:t>
      </w:r>
      <w:r w:rsidRPr="0023027E">
        <w:rPr>
          <w:rFonts w:cs="Arial"/>
          <w:szCs w:val="20"/>
        </w:rPr>
        <w:t>j</w:t>
      </w:r>
      <w:r>
        <w:rPr>
          <w:rFonts w:cs="Arial"/>
          <w:szCs w:val="20"/>
        </w:rPr>
        <w:t>e</w:t>
      </w:r>
      <w:r w:rsidRPr="0023027E">
        <w:rPr>
          <w:rFonts w:cs="Arial"/>
          <w:szCs w:val="20"/>
        </w:rPr>
        <w:t xml:space="preserve"> informacij na ESAP. Z njimi se podatki označijo z dodatnimi informacijami, kar omogoča lažje iskanje in filtriranje. Metapodatki zagotavljajo, da so informacije strukturirane in dostopne na način, prilagojen potrebam uporabnikov, ter povečujejo preglednost in učinkovitost ESAP. </w:t>
      </w:r>
    </w:p>
    <w:p w14:paraId="6DBDE9BE" w14:textId="77777777" w:rsidR="00F70DDB" w:rsidRPr="0023027E" w:rsidRDefault="00F70DDB" w:rsidP="00F70DDB">
      <w:pPr>
        <w:spacing w:line="276" w:lineRule="auto"/>
        <w:jc w:val="both"/>
        <w:rPr>
          <w:rFonts w:cs="Arial"/>
          <w:szCs w:val="20"/>
        </w:rPr>
      </w:pPr>
      <w:r w:rsidRPr="0023027E">
        <w:rPr>
          <w:rFonts w:cs="Arial"/>
          <w:szCs w:val="20"/>
        </w:rPr>
        <w:t xml:space="preserve">Pri tem je pomembno tudi načelo </w:t>
      </w:r>
      <w:r>
        <w:rPr>
          <w:rFonts w:cs="Arial"/>
          <w:szCs w:val="20"/>
        </w:rPr>
        <w:t>»</w:t>
      </w:r>
      <w:r w:rsidRPr="0023027E">
        <w:rPr>
          <w:rFonts w:cs="Arial"/>
          <w:szCs w:val="20"/>
        </w:rPr>
        <w:t>enkratnega vnosa</w:t>
      </w:r>
      <w:r>
        <w:rPr>
          <w:rFonts w:cs="Arial"/>
          <w:szCs w:val="20"/>
        </w:rPr>
        <w:t>«</w:t>
      </w:r>
      <w:r w:rsidRPr="0023027E">
        <w:rPr>
          <w:rFonts w:cs="Arial"/>
          <w:szCs w:val="20"/>
        </w:rPr>
        <w:t xml:space="preserve"> (</w:t>
      </w:r>
      <w:r w:rsidRPr="0023027E">
        <w:rPr>
          <w:rFonts w:cs="Arial"/>
          <w:i/>
          <w:iCs/>
          <w:szCs w:val="20"/>
        </w:rPr>
        <w:t xml:space="preserve">file </w:t>
      </w:r>
      <w:proofErr w:type="spellStart"/>
      <w:r w:rsidRPr="0023027E">
        <w:rPr>
          <w:rFonts w:cs="Arial"/>
          <w:i/>
          <w:iCs/>
          <w:szCs w:val="20"/>
        </w:rPr>
        <w:t>once</w:t>
      </w:r>
      <w:proofErr w:type="spellEnd"/>
      <w:r w:rsidRPr="0023027E">
        <w:rPr>
          <w:rFonts w:cs="Arial"/>
          <w:i/>
          <w:iCs/>
          <w:szCs w:val="20"/>
        </w:rPr>
        <w:t xml:space="preserve"> </w:t>
      </w:r>
      <w:proofErr w:type="spellStart"/>
      <w:r w:rsidRPr="0023027E">
        <w:rPr>
          <w:rFonts w:cs="Arial"/>
          <w:i/>
          <w:iCs/>
          <w:szCs w:val="20"/>
        </w:rPr>
        <w:t>principle</w:t>
      </w:r>
      <w:proofErr w:type="spellEnd"/>
      <w:r w:rsidRPr="0023027E">
        <w:rPr>
          <w:rFonts w:cs="Arial"/>
          <w:szCs w:val="20"/>
        </w:rPr>
        <w:t xml:space="preserve">), kar pomeni, da subjekti podatke, ki jih že objavljajo v skladu z </w:t>
      </w:r>
      <w:r>
        <w:rPr>
          <w:rFonts w:cs="Arial"/>
          <w:szCs w:val="20"/>
        </w:rPr>
        <w:t>vel</w:t>
      </w:r>
      <w:r w:rsidRPr="0023027E">
        <w:rPr>
          <w:rFonts w:cs="Arial"/>
          <w:szCs w:val="20"/>
        </w:rPr>
        <w:t>j</w:t>
      </w:r>
      <w:r>
        <w:rPr>
          <w:rFonts w:cs="Arial"/>
          <w:szCs w:val="20"/>
        </w:rPr>
        <w:t>avn</w:t>
      </w:r>
      <w:r w:rsidRPr="0023027E">
        <w:rPr>
          <w:rFonts w:cs="Arial"/>
          <w:szCs w:val="20"/>
        </w:rPr>
        <w:t>o zakonodajo, predložijo v standardiziranem formatu brez dodatnih obveznosti. Zahteve po izv</w:t>
      </w:r>
      <w:r>
        <w:rPr>
          <w:rFonts w:cs="Arial"/>
          <w:szCs w:val="20"/>
        </w:rPr>
        <w:t>oz</w:t>
      </w:r>
      <w:r w:rsidRPr="0023027E">
        <w:rPr>
          <w:rFonts w:cs="Arial"/>
          <w:szCs w:val="20"/>
        </w:rPr>
        <w:t xml:space="preserve">u podatkov in metapodatkih zagotavljajo, da </w:t>
      </w:r>
      <w:r w:rsidRPr="0023027E">
        <w:rPr>
          <w:rFonts w:cs="Arial"/>
          <w:szCs w:val="20"/>
        </w:rPr>
        <w:lastRenderedPageBreak/>
        <w:t xml:space="preserve">se ti podatki učinkovito </w:t>
      </w:r>
      <w:r>
        <w:rPr>
          <w:rFonts w:cs="Arial"/>
          <w:szCs w:val="20"/>
        </w:rPr>
        <w:t>vključijo</w:t>
      </w:r>
      <w:r w:rsidRPr="0023027E">
        <w:rPr>
          <w:rFonts w:cs="Arial"/>
          <w:szCs w:val="20"/>
        </w:rPr>
        <w:t xml:space="preserve"> v centralizirano platformo ESAP, kar zmanjšuje administrativno breme in povečuje dostopnost.</w:t>
      </w:r>
    </w:p>
    <w:p w14:paraId="29BD09FF" w14:textId="77777777" w:rsidR="00F70DDB" w:rsidRPr="0023027E" w:rsidRDefault="00F70DDB" w:rsidP="00F70DDB">
      <w:pPr>
        <w:spacing w:line="276" w:lineRule="auto"/>
        <w:jc w:val="both"/>
        <w:rPr>
          <w:rFonts w:cs="Arial"/>
          <w:szCs w:val="20"/>
        </w:rPr>
      </w:pPr>
    </w:p>
    <w:p w14:paraId="54354BBC" w14:textId="77777777" w:rsidR="00F70DDB" w:rsidRPr="0023027E" w:rsidRDefault="00F70DDB" w:rsidP="00F70DDB">
      <w:pPr>
        <w:spacing w:line="276" w:lineRule="auto"/>
        <w:jc w:val="both"/>
        <w:rPr>
          <w:rFonts w:cs="Arial"/>
          <w:szCs w:val="20"/>
        </w:rPr>
      </w:pPr>
      <w:r w:rsidRPr="0023027E">
        <w:rPr>
          <w:rFonts w:cs="Arial"/>
          <w:szCs w:val="20"/>
        </w:rPr>
        <w:t xml:space="preserve">Uporaba metapodatkov in standardiziranih formatov omogoča tehnično </w:t>
      </w:r>
      <w:proofErr w:type="spellStart"/>
      <w:r w:rsidRPr="0023027E">
        <w:rPr>
          <w:rFonts w:cs="Arial"/>
          <w:szCs w:val="20"/>
        </w:rPr>
        <w:t>interoperabilnost</w:t>
      </w:r>
      <w:proofErr w:type="spellEnd"/>
      <w:r w:rsidRPr="0023027E">
        <w:rPr>
          <w:rFonts w:cs="Arial"/>
          <w:szCs w:val="20"/>
        </w:rPr>
        <w:t xml:space="preserve"> med različnimi sistemi zbiranja podatkov na nacionalni ravni in ESAP, ki ga upravlja ESMA. To omogoča nemoten</w:t>
      </w:r>
      <w:r>
        <w:rPr>
          <w:rFonts w:cs="Arial"/>
          <w:szCs w:val="20"/>
        </w:rPr>
        <w:t>i</w:t>
      </w:r>
      <w:r w:rsidRPr="0023027E">
        <w:rPr>
          <w:rFonts w:cs="Arial"/>
          <w:szCs w:val="20"/>
        </w:rPr>
        <w:t xml:space="preserve"> prenos podatkov, kar povečuje učinkovitost in zmanjšuje stroške.</w:t>
      </w:r>
    </w:p>
    <w:p w14:paraId="33012E12" w14:textId="77777777" w:rsidR="00E23D4F" w:rsidRPr="0023027E" w:rsidRDefault="00E23D4F" w:rsidP="00FE0F83">
      <w:pPr>
        <w:spacing w:line="276" w:lineRule="auto"/>
        <w:jc w:val="both"/>
        <w:rPr>
          <w:rFonts w:cs="Arial"/>
          <w:b/>
          <w:bCs/>
          <w:szCs w:val="20"/>
        </w:rPr>
      </w:pPr>
    </w:p>
    <w:p w14:paraId="4F5143F3" w14:textId="0E201D25" w:rsidR="00FE0F83" w:rsidRPr="0023027E" w:rsidRDefault="00FE0F83" w:rsidP="00FE0F83">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12</w:t>
      </w:r>
      <w:r w:rsidR="00F05550" w:rsidRPr="0023027E">
        <w:rPr>
          <w:rFonts w:cs="Arial"/>
          <w:b/>
          <w:bCs/>
          <w:szCs w:val="20"/>
        </w:rPr>
        <w:t xml:space="preserve">. </w:t>
      </w:r>
      <w:r w:rsidRPr="0023027E">
        <w:rPr>
          <w:rFonts w:cs="Arial"/>
          <w:b/>
          <w:bCs/>
          <w:szCs w:val="20"/>
        </w:rPr>
        <w:t>členu</w:t>
      </w:r>
    </w:p>
    <w:p w14:paraId="7CBC0BD6" w14:textId="77777777" w:rsidR="00F70DDB" w:rsidRPr="0023027E" w:rsidRDefault="00F70DDB" w:rsidP="00F70DDB">
      <w:pPr>
        <w:spacing w:line="276" w:lineRule="auto"/>
        <w:jc w:val="both"/>
        <w:rPr>
          <w:rFonts w:cs="Arial"/>
          <w:szCs w:val="20"/>
        </w:rPr>
      </w:pPr>
      <w:r w:rsidRPr="0023027E">
        <w:rPr>
          <w:rFonts w:cs="Arial"/>
          <w:szCs w:val="20"/>
        </w:rPr>
        <w:t xml:space="preserve">S predlaganim členom se ureja izvajanje 6. člena Uredbe 2023/2869/EU oziroma tretjega odstavka novega 13.a člena Uredbe (EU) št. 537/2014 Evropskega parlamenta in Sveta z dne 16. aprila 2014 o posebnih zahtevah v zvezi z obvezno revizijo subjektov javnega interesa in razveljavitvi Sklepa Komisije 2005/909/ES (UL L št. 158 z dne 27. 5. 2014, str. 77), </w:t>
      </w:r>
      <w:r>
        <w:rPr>
          <w:rFonts w:cs="Arial"/>
          <w:szCs w:val="20"/>
        </w:rPr>
        <w:t>na</w:t>
      </w:r>
      <w:r w:rsidRPr="0023027E">
        <w:rPr>
          <w:rFonts w:cs="Arial"/>
          <w:szCs w:val="20"/>
        </w:rPr>
        <w:t>zadnj</w:t>
      </w:r>
      <w:r>
        <w:rPr>
          <w:rFonts w:cs="Arial"/>
          <w:szCs w:val="20"/>
        </w:rPr>
        <w:t>e</w:t>
      </w:r>
      <w:r w:rsidRPr="0023027E">
        <w:rPr>
          <w:rFonts w:cs="Arial"/>
          <w:szCs w:val="20"/>
        </w:rPr>
        <w:t xml:space="preserve"> spremenjena z Uredbo (EU) 2023/2869 Evropskega parlamenta in Sveta z dne 13. decembra 2023 o spremembi nekaterih uredb glede vzpostavitve in delovanja evropske enotne točke dostopa (UL L št. 2023/2869 z dne 20. 12. 2023), (v nadaljnjem besedilu: Uredba 537/2014/EU).</w:t>
      </w:r>
    </w:p>
    <w:p w14:paraId="551F1058" w14:textId="77777777" w:rsidR="00F70DDB" w:rsidRPr="0023027E" w:rsidRDefault="00F70DDB" w:rsidP="00F70DDB">
      <w:pPr>
        <w:spacing w:line="276" w:lineRule="auto"/>
        <w:jc w:val="both"/>
        <w:rPr>
          <w:rFonts w:cs="Arial"/>
          <w:szCs w:val="20"/>
        </w:rPr>
      </w:pPr>
    </w:p>
    <w:p w14:paraId="23C2E6B3" w14:textId="77777777" w:rsidR="00F70DDB" w:rsidRPr="0023027E" w:rsidRDefault="00F70DDB" w:rsidP="00F70DDB">
      <w:pPr>
        <w:spacing w:line="276" w:lineRule="auto"/>
        <w:jc w:val="both"/>
        <w:rPr>
          <w:rFonts w:cs="Arial"/>
          <w:szCs w:val="20"/>
        </w:rPr>
      </w:pPr>
      <w:r w:rsidRPr="0023027E">
        <w:rPr>
          <w:rFonts w:cs="Arial"/>
          <w:szCs w:val="20"/>
        </w:rPr>
        <w:t>Novi 13.a člen Uredbe 537/2014/EU določa pred</w:t>
      </w:r>
      <w:r>
        <w:rPr>
          <w:rFonts w:cs="Arial"/>
          <w:szCs w:val="20"/>
        </w:rPr>
        <w:t>l</w:t>
      </w:r>
      <w:r w:rsidRPr="0023027E">
        <w:rPr>
          <w:rFonts w:cs="Arial"/>
          <w:szCs w:val="20"/>
        </w:rPr>
        <w:t>o</w:t>
      </w:r>
      <w:r>
        <w:rPr>
          <w:rFonts w:cs="Arial"/>
          <w:szCs w:val="20"/>
        </w:rPr>
        <w:t>žite</w:t>
      </w:r>
      <w:r w:rsidRPr="0023027E">
        <w:rPr>
          <w:rFonts w:cs="Arial"/>
          <w:szCs w:val="20"/>
        </w:rPr>
        <w:t>v informacij v zvezi s poročilom o preglednosti iz 13. člena iste uredbe. Da bi se zagotovilo izvajanje tega člena uredbe</w:t>
      </w:r>
      <w:r>
        <w:rPr>
          <w:rFonts w:cs="Arial"/>
          <w:szCs w:val="20"/>
        </w:rPr>
        <w:t>,</w:t>
      </w:r>
      <w:r w:rsidRPr="0023027E">
        <w:rPr>
          <w:rFonts w:cs="Arial"/>
          <w:szCs w:val="20"/>
        </w:rPr>
        <w:t xml:space="preserve"> se v praksi kot pristojni organ za zbiranje podatkov imenuje AJNR, ki je tudi sicer pristojni organ za nadzor nad izvajanjem Uredbe 537/2014/EU (drugi odstavek 18. člena ZRev-2).</w:t>
      </w:r>
    </w:p>
    <w:p w14:paraId="3337F161" w14:textId="77777777" w:rsidR="00E610BA" w:rsidRPr="0023027E" w:rsidRDefault="00E610BA" w:rsidP="00C64B3F">
      <w:pPr>
        <w:spacing w:line="276" w:lineRule="auto"/>
        <w:jc w:val="both"/>
        <w:rPr>
          <w:rFonts w:cs="Arial"/>
          <w:szCs w:val="20"/>
        </w:rPr>
      </w:pPr>
    </w:p>
    <w:p w14:paraId="0433F5A0" w14:textId="59F330E9" w:rsidR="00FD1CE8" w:rsidRPr="0023027E" w:rsidRDefault="00FE0F83" w:rsidP="00D96A7D">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13</w:t>
      </w:r>
      <w:r w:rsidR="006810F6" w:rsidRPr="0023027E">
        <w:rPr>
          <w:rFonts w:cs="Arial"/>
          <w:szCs w:val="20"/>
        </w:rPr>
        <w:t xml:space="preserve">. </w:t>
      </w:r>
      <w:r w:rsidRPr="0023027E">
        <w:rPr>
          <w:rFonts w:cs="Arial"/>
          <w:b/>
          <w:bCs/>
          <w:szCs w:val="20"/>
        </w:rPr>
        <w:t>členu</w:t>
      </w:r>
    </w:p>
    <w:p w14:paraId="2D9E0D6A" w14:textId="77777777" w:rsidR="00205BE2" w:rsidRDefault="00205BE2" w:rsidP="00205BE2">
      <w:pPr>
        <w:spacing w:line="276" w:lineRule="auto"/>
        <w:jc w:val="both"/>
        <w:rPr>
          <w:rFonts w:cs="Arial"/>
          <w:szCs w:val="20"/>
        </w:rPr>
      </w:pPr>
      <w:r w:rsidRPr="0023027E">
        <w:rPr>
          <w:rFonts w:cs="Arial"/>
          <w:szCs w:val="20"/>
        </w:rPr>
        <w:t xml:space="preserve">Predlaga se dopolnitev osmega odstavka 3. člena Zakona o gospodarskih družbah (Uradni list RS, št. 65/09 – uradno prečiščeno besedilo, 33/11, 91/11, 32/12, 57/12, 44/13 – </w:t>
      </w:r>
      <w:proofErr w:type="spellStart"/>
      <w:r w:rsidRPr="0023027E">
        <w:rPr>
          <w:rFonts w:cs="Arial"/>
          <w:szCs w:val="20"/>
        </w:rPr>
        <w:t>odl</w:t>
      </w:r>
      <w:proofErr w:type="spellEnd"/>
      <w:r w:rsidRPr="0023027E">
        <w:rPr>
          <w:rFonts w:cs="Arial"/>
          <w:szCs w:val="20"/>
        </w:rPr>
        <w:t xml:space="preserve">. US, 82/13, 55/15, 15/17, 22/19 – </w:t>
      </w:r>
      <w:proofErr w:type="spellStart"/>
      <w:r w:rsidRPr="0023027E">
        <w:rPr>
          <w:rFonts w:cs="Arial"/>
          <w:szCs w:val="20"/>
        </w:rPr>
        <w:t>ZPosS</w:t>
      </w:r>
      <w:proofErr w:type="spellEnd"/>
      <w:r w:rsidRPr="0023027E">
        <w:rPr>
          <w:rFonts w:cs="Arial"/>
          <w:szCs w:val="20"/>
        </w:rPr>
        <w:t xml:space="preserve">, 158/20 – </w:t>
      </w:r>
      <w:proofErr w:type="spellStart"/>
      <w:r w:rsidRPr="0023027E">
        <w:rPr>
          <w:rFonts w:cs="Arial"/>
          <w:szCs w:val="20"/>
        </w:rPr>
        <w:t>ZIntPK</w:t>
      </w:r>
      <w:proofErr w:type="spellEnd"/>
      <w:r w:rsidRPr="0023027E">
        <w:rPr>
          <w:rFonts w:cs="Arial"/>
          <w:szCs w:val="20"/>
        </w:rPr>
        <w:t xml:space="preserve">-C, 18/21, 18/23 – ZDU-1O, 75/23 in 102/24; v nadaljnjem besedilu: ZGD-1). Opredeljuje se </w:t>
      </w:r>
      <w:r>
        <w:rPr>
          <w:rFonts w:cs="Arial"/>
          <w:szCs w:val="20"/>
        </w:rPr>
        <w:t>izraz</w:t>
      </w:r>
      <w:r w:rsidRPr="0023027E">
        <w:rPr>
          <w:rFonts w:cs="Arial"/>
          <w:szCs w:val="20"/>
        </w:rPr>
        <w:t xml:space="preserve"> »evropska enotna točka dostopa« kot evropska enotna točka dostopa, k</w:t>
      </w:r>
      <w:r>
        <w:rPr>
          <w:rFonts w:cs="Arial"/>
          <w:szCs w:val="20"/>
        </w:rPr>
        <w:t>ak</w:t>
      </w:r>
      <w:r w:rsidRPr="0023027E">
        <w:rPr>
          <w:rFonts w:cs="Arial"/>
          <w:szCs w:val="20"/>
        </w:rPr>
        <w:t>o</w:t>
      </w:r>
      <w:r>
        <w:rPr>
          <w:rFonts w:cs="Arial"/>
          <w:szCs w:val="20"/>
        </w:rPr>
        <w:t>r</w:t>
      </w:r>
      <w:r w:rsidRPr="0023027E">
        <w:rPr>
          <w:rFonts w:cs="Arial"/>
          <w:szCs w:val="20"/>
        </w:rPr>
        <w:t xml:space="preserve"> je opredeljena v 1. členu Uredbe 2023/2859/EU.</w:t>
      </w:r>
    </w:p>
    <w:p w14:paraId="5E216C7C" w14:textId="77777777" w:rsidR="00FA73B0" w:rsidRPr="0023027E" w:rsidRDefault="00FA73B0" w:rsidP="00C64B3F">
      <w:pPr>
        <w:spacing w:line="240" w:lineRule="auto"/>
        <w:jc w:val="both"/>
        <w:rPr>
          <w:rFonts w:cs="Arial"/>
          <w:szCs w:val="20"/>
        </w:rPr>
      </w:pPr>
    </w:p>
    <w:p w14:paraId="434BBAFF" w14:textId="7B8F8F66" w:rsidR="00FE0F83" w:rsidRPr="0023027E" w:rsidRDefault="00FE0F83" w:rsidP="00FE0F83">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14</w:t>
      </w:r>
      <w:r w:rsidR="00F103E0" w:rsidRPr="0023027E">
        <w:rPr>
          <w:rFonts w:cs="Arial"/>
          <w:b/>
          <w:bCs/>
          <w:szCs w:val="20"/>
        </w:rPr>
        <w:t xml:space="preserve">. </w:t>
      </w:r>
      <w:r w:rsidRPr="0023027E">
        <w:rPr>
          <w:rFonts w:cs="Arial"/>
          <w:b/>
          <w:bCs/>
          <w:szCs w:val="20"/>
        </w:rPr>
        <w:t>členu</w:t>
      </w:r>
    </w:p>
    <w:p w14:paraId="0550153E" w14:textId="77777777" w:rsidR="00205BE2" w:rsidRPr="0023027E" w:rsidRDefault="00205BE2" w:rsidP="00205BE2">
      <w:pPr>
        <w:spacing w:line="276" w:lineRule="auto"/>
        <w:jc w:val="both"/>
        <w:rPr>
          <w:rFonts w:cs="Arial"/>
          <w:szCs w:val="20"/>
        </w:rPr>
      </w:pPr>
      <w:r w:rsidRPr="0023027E">
        <w:rPr>
          <w:rFonts w:cs="Arial"/>
          <w:szCs w:val="20"/>
        </w:rPr>
        <w:t>S tem členom se dodaja nov</w:t>
      </w:r>
      <w:r>
        <w:rPr>
          <w:rFonts w:cs="Arial"/>
          <w:szCs w:val="20"/>
        </w:rPr>
        <w:t>i</w:t>
      </w:r>
      <w:r w:rsidRPr="0023027E">
        <w:rPr>
          <w:rFonts w:cs="Arial"/>
          <w:szCs w:val="20"/>
        </w:rPr>
        <w:t xml:space="preserve"> 70.da člen ZGD-1, ki prenaša 9. člen Direktive 2023/2864/EU oziroma novi 33.a člen Direktive 2013/34/ES Evropskega parlamenta in Sveta z dne 26. junija 2013 o letnih računovodskih izkazih in povezanih poročilih nekaterih vrst podjetij, spremembi Direktive 2006/43ES Evropskega parlamenta in Sveta ter razveljavitvi direktiv Sveta 78/660/EGS in 83/349/EGS (UL L št. 182 z dne 29. 6. 2013, str. 19), </w:t>
      </w:r>
      <w:r>
        <w:rPr>
          <w:rFonts w:cs="Arial"/>
          <w:szCs w:val="20"/>
        </w:rPr>
        <w:t>na</w:t>
      </w:r>
      <w:r w:rsidRPr="0023027E">
        <w:rPr>
          <w:rFonts w:cs="Arial"/>
          <w:szCs w:val="20"/>
        </w:rPr>
        <w:t>zadnj</w:t>
      </w:r>
      <w:r>
        <w:rPr>
          <w:rFonts w:cs="Arial"/>
          <w:szCs w:val="20"/>
        </w:rPr>
        <w:t>e</w:t>
      </w:r>
      <w:r w:rsidRPr="0023027E">
        <w:rPr>
          <w:rFonts w:cs="Arial"/>
          <w:szCs w:val="20"/>
        </w:rPr>
        <w:t xml:space="preserve"> spremenjen</w:t>
      </w:r>
      <w:r>
        <w:rPr>
          <w:rFonts w:cs="Arial"/>
          <w:szCs w:val="20"/>
        </w:rPr>
        <w:t>e</w:t>
      </w:r>
      <w:r w:rsidRPr="0023027E">
        <w:rPr>
          <w:rFonts w:cs="Arial"/>
          <w:szCs w:val="20"/>
        </w:rPr>
        <w:t xml:space="preserve"> z Direktivo (EU) 2024/1306 Evropskega parlamenta in Sveta z dne 29. aprila 2024 o spremembi Direktive 2013/34/EU glede rokov za sprejetje standardov poročanja o </w:t>
      </w:r>
      <w:proofErr w:type="spellStart"/>
      <w:r w:rsidRPr="0023027E">
        <w:rPr>
          <w:rFonts w:cs="Arial"/>
          <w:szCs w:val="20"/>
        </w:rPr>
        <w:t>trajnostnosti</w:t>
      </w:r>
      <w:proofErr w:type="spellEnd"/>
      <w:r w:rsidRPr="0023027E">
        <w:rPr>
          <w:rFonts w:cs="Arial"/>
          <w:szCs w:val="20"/>
        </w:rPr>
        <w:t xml:space="preserve"> za nekatere sektorje in nekatera podjetja iz tretjih držav (UL L št. 2024/1306 z dne 8. 5. 2024), (v nadaljnjem besedilu: Direktiva 2013/34/EU). </w:t>
      </w:r>
    </w:p>
    <w:p w14:paraId="6C4BB0AE" w14:textId="77777777" w:rsidR="00205BE2" w:rsidRPr="0023027E" w:rsidRDefault="00205BE2" w:rsidP="00205BE2">
      <w:pPr>
        <w:spacing w:line="276" w:lineRule="auto"/>
        <w:jc w:val="both"/>
        <w:rPr>
          <w:rFonts w:cs="Arial"/>
          <w:szCs w:val="20"/>
        </w:rPr>
      </w:pPr>
    </w:p>
    <w:p w14:paraId="2EC5F627" w14:textId="77777777" w:rsidR="00205BE2" w:rsidRPr="0023027E" w:rsidRDefault="00205BE2" w:rsidP="00205BE2">
      <w:pPr>
        <w:spacing w:line="276" w:lineRule="auto"/>
        <w:jc w:val="both"/>
        <w:rPr>
          <w:rFonts w:cs="Arial"/>
          <w:szCs w:val="20"/>
        </w:rPr>
      </w:pPr>
      <w:r w:rsidRPr="0023027E">
        <w:rPr>
          <w:rFonts w:cs="Arial"/>
          <w:szCs w:val="20"/>
        </w:rPr>
        <w:t>Določa se, da družbe iz 70.c, 70.č in 70.d člena ZGD-1 (velika družba ter majhna in srednja družba, s kater</w:t>
      </w:r>
      <w:r>
        <w:rPr>
          <w:rFonts w:cs="Arial"/>
          <w:szCs w:val="20"/>
        </w:rPr>
        <w:t>imi</w:t>
      </w:r>
      <w:r w:rsidRPr="0023027E">
        <w:rPr>
          <w:rFonts w:cs="Arial"/>
          <w:szCs w:val="20"/>
        </w:rPr>
        <w:t xml:space="preserve"> vrednostnimi papirji se trguje na organiziranem trgu, obvladujoča družba, ki skupaj z odvisnimi družbami dosega pogoje za velike družbe iz petega odstavka 55. člena ZGD-1, odvisna družba, ki je zavezana pripraviti poročilo o </w:t>
      </w:r>
      <w:proofErr w:type="spellStart"/>
      <w:r w:rsidRPr="0023027E">
        <w:rPr>
          <w:rFonts w:cs="Arial"/>
          <w:szCs w:val="20"/>
        </w:rPr>
        <w:t>trajnostnosti</w:t>
      </w:r>
      <w:proofErr w:type="spellEnd"/>
      <w:r w:rsidRPr="0023027E">
        <w:rPr>
          <w:rFonts w:cs="Arial"/>
          <w:szCs w:val="20"/>
        </w:rPr>
        <w:t xml:space="preserve"> v skladu s 70.c členom ZGD-1 in je v skupini, v kateri je zavezano pripraviti konsolidirano letno poročilo) pri objavi poslovnega poročila, konsolidiranega poslovnega poročila, </w:t>
      </w:r>
      <w:r>
        <w:rPr>
          <w:rFonts w:cs="Arial"/>
          <w:szCs w:val="20"/>
        </w:rPr>
        <w:t xml:space="preserve">pri obeh poročilih </w:t>
      </w:r>
      <w:r w:rsidRPr="0023027E">
        <w:rPr>
          <w:rFonts w:cs="Arial"/>
          <w:szCs w:val="20"/>
        </w:rPr>
        <w:t>vključno</w:t>
      </w:r>
      <w:r>
        <w:rPr>
          <w:rFonts w:cs="Arial"/>
          <w:szCs w:val="20"/>
        </w:rPr>
        <w:t xml:space="preserve"> </w:t>
      </w:r>
      <w:r w:rsidRPr="0023027E">
        <w:rPr>
          <w:rFonts w:cs="Arial"/>
          <w:szCs w:val="20"/>
        </w:rPr>
        <w:t xml:space="preserve">z informacijami, zahtevanimi v 8. členu Uredbe 2020/852/EU, ter letnih računovodskih izkazov, konsolidiranih računovodskih izkazov, revizijskega poročila, poročila o zanesljivosti, poročil o </w:t>
      </w:r>
      <w:proofErr w:type="spellStart"/>
      <w:r w:rsidRPr="0023027E">
        <w:rPr>
          <w:rFonts w:cs="Arial"/>
          <w:szCs w:val="20"/>
        </w:rPr>
        <w:t>trajnostnosti</w:t>
      </w:r>
      <w:proofErr w:type="spellEnd"/>
      <w:r w:rsidRPr="0023027E">
        <w:rPr>
          <w:rFonts w:cs="Arial"/>
          <w:szCs w:val="20"/>
        </w:rPr>
        <w:t xml:space="preserve"> glede podjetij iz tretjih držav in povezanega mnenja o zanesljivosti, izjave iz četrtega odstavka 70.d člena ZGD-1, poročila o plačilih vladam ter konsolidiranega poročila o plačilih vladam iz 70.b člena ZGD-1 te informacije hkrati predložijo AJPES. AJPES, ki je organ za zbiranje podatkov, </w:t>
      </w:r>
      <w:r w:rsidRPr="0023027E">
        <w:rPr>
          <w:rFonts w:cs="Arial"/>
          <w:szCs w:val="20"/>
        </w:rPr>
        <w:lastRenderedPageBreak/>
        <w:t>k</w:t>
      </w:r>
      <w:r>
        <w:rPr>
          <w:rFonts w:cs="Arial"/>
          <w:szCs w:val="20"/>
        </w:rPr>
        <w:t>ak</w:t>
      </w:r>
      <w:r w:rsidRPr="0023027E">
        <w:rPr>
          <w:rFonts w:cs="Arial"/>
          <w:szCs w:val="20"/>
        </w:rPr>
        <w:t>o</w:t>
      </w:r>
      <w:r>
        <w:rPr>
          <w:rFonts w:cs="Arial"/>
          <w:szCs w:val="20"/>
        </w:rPr>
        <w:t>r</w:t>
      </w:r>
      <w:r w:rsidRPr="0023027E">
        <w:rPr>
          <w:rFonts w:cs="Arial"/>
          <w:szCs w:val="20"/>
        </w:rPr>
        <w:t xml:space="preserve"> je opredeljen v 2. točki 2. člena Uredbe 2023/2859/EU</w:t>
      </w:r>
      <w:r>
        <w:rPr>
          <w:rFonts w:cs="Arial"/>
          <w:szCs w:val="20"/>
        </w:rPr>
        <w:t>,</w:t>
      </w:r>
      <w:r w:rsidRPr="0023027E">
        <w:rPr>
          <w:rFonts w:cs="Arial"/>
          <w:szCs w:val="20"/>
        </w:rPr>
        <w:t xml:space="preserve"> informacije iz prejšnjega stavka predloži ESAP.</w:t>
      </w:r>
    </w:p>
    <w:p w14:paraId="7B810238" w14:textId="77777777" w:rsidR="00205BE2" w:rsidRPr="0023027E" w:rsidRDefault="00205BE2" w:rsidP="00205BE2">
      <w:pPr>
        <w:spacing w:line="276" w:lineRule="auto"/>
        <w:jc w:val="both"/>
        <w:rPr>
          <w:rFonts w:cs="Arial"/>
          <w:szCs w:val="20"/>
        </w:rPr>
      </w:pPr>
    </w:p>
    <w:p w14:paraId="1F3F0632" w14:textId="77777777" w:rsidR="00205BE2" w:rsidRPr="0023027E" w:rsidRDefault="00205BE2" w:rsidP="00205BE2">
      <w:pPr>
        <w:spacing w:line="276" w:lineRule="auto"/>
        <w:jc w:val="both"/>
        <w:rPr>
          <w:rFonts w:cs="Arial"/>
          <w:szCs w:val="20"/>
        </w:rPr>
      </w:pPr>
      <w:r w:rsidRPr="0023027E">
        <w:rPr>
          <w:rFonts w:cs="Arial"/>
          <w:szCs w:val="20"/>
        </w:rPr>
        <w:t>V drugem odstavku novega 70.da člena ZGD-1 se določa</w:t>
      </w:r>
      <w:r>
        <w:rPr>
          <w:rFonts w:cs="Arial"/>
          <w:szCs w:val="20"/>
        </w:rPr>
        <w:t>jo</w:t>
      </w:r>
      <w:r w:rsidRPr="0023027E">
        <w:rPr>
          <w:rFonts w:cs="Arial"/>
          <w:szCs w:val="20"/>
        </w:rPr>
        <w:t xml:space="preserve"> zahteve za podatke, ki se predložijo na ESAP. </w:t>
      </w:r>
      <w:r>
        <w:rPr>
          <w:rFonts w:cs="Arial"/>
          <w:szCs w:val="20"/>
        </w:rPr>
        <w:t>Kakor i</w:t>
      </w:r>
      <w:r w:rsidRPr="0023027E">
        <w:rPr>
          <w:rFonts w:cs="Arial"/>
          <w:szCs w:val="20"/>
        </w:rPr>
        <w:t>zhaja iz Direktive 2023/2864/EU</w:t>
      </w:r>
      <w:r>
        <w:rPr>
          <w:rFonts w:cs="Arial"/>
          <w:szCs w:val="20"/>
        </w:rPr>
        <w:t>,</w:t>
      </w:r>
      <w:r w:rsidRPr="0023027E">
        <w:rPr>
          <w:rFonts w:cs="Arial"/>
          <w:szCs w:val="20"/>
        </w:rPr>
        <w:t xml:space="preserve"> se </w:t>
      </w:r>
      <w:r>
        <w:rPr>
          <w:rFonts w:cs="Arial"/>
          <w:szCs w:val="20"/>
        </w:rPr>
        <w:t>morajo</w:t>
      </w:r>
      <w:r w:rsidRPr="0023027E">
        <w:rPr>
          <w:rFonts w:cs="Arial"/>
          <w:szCs w:val="20"/>
        </w:rPr>
        <w:t xml:space="preserve"> podatki predloži</w:t>
      </w:r>
      <w:r>
        <w:rPr>
          <w:rFonts w:cs="Arial"/>
          <w:szCs w:val="20"/>
        </w:rPr>
        <w:t>ti</w:t>
      </w:r>
      <w:r w:rsidRPr="0023027E">
        <w:rPr>
          <w:rFonts w:cs="Arial"/>
          <w:szCs w:val="20"/>
        </w:rPr>
        <w:t xml:space="preserve"> v formatu, ki omogoča </w:t>
      </w:r>
      <w:r>
        <w:rPr>
          <w:rFonts w:cs="Arial"/>
          <w:szCs w:val="20"/>
        </w:rPr>
        <w:t xml:space="preserve">njihov </w:t>
      </w:r>
      <w:r w:rsidRPr="0023027E">
        <w:rPr>
          <w:rFonts w:cs="Arial"/>
          <w:szCs w:val="20"/>
        </w:rPr>
        <w:t>izv</w:t>
      </w:r>
      <w:r>
        <w:rPr>
          <w:rFonts w:cs="Arial"/>
          <w:szCs w:val="20"/>
        </w:rPr>
        <w:t>oz</w:t>
      </w:r>
      <w:r w:rsidRPr="0023027E">
        <w:rPr>
          <w:rFonts w:cs="Arial"/>
          <w:szCs w:val="20"/>
        </w:rPr>
        <w:t xml:space="preserve"> (</w:t>
      </w:r>
      <w:r w:rsidRPr="0023027E">
        <w:rPr>
          <w:rFonts w:cs="Arial"/>
          <w:i/>
          <w:iCs/>
          <w:szCs w:val="20"/>
        </w:rPr>
        <w:t xml:space="preserve">data </w:t>
      </w:r>
      <w:proofErr w:type="spellStart"/>
      <w:r w:rsidRPr="0023027E">
        <w:rPr>
          <w:rFonts w:cs="Arial"/>
          <w:i/>
          <w:iCs/>
          <w:szCs w:val="20"/>
        </w:rPr>
        <w:t>extractable</w:t>
      </w:r>
      <w:proofErr w:type="spellEnd"/>
      <w:r w:rsidRPr="0023027E">
        <w:rPr>
          <w:rFonts w:cs="Arial"/>
          <w:i/>
          <w:iCs/>
          <w:szCs w:val="20"/>
        </w:rPr>
        <w:t xml:space="preserve"> format</w:t>
      </w:r>
      <w:r w:rsidRPr="0023027E">
        <w:rPr>
          <w:rFonts w:cs="Arial"/>
          <w:szCs w:val="20"/>
        </w:rPr>
        <w:t>)</w:t>
      </w:r>
      <w:r>
        <w:rPr>
          <w:rFonts w:cs="Arial"/>
          <w:szCs w:val="20"/>
        </w:rPr>
        <w:t>,</w:t>
      </w:r>
      <w:r w:rsidRPr="0023027E">
        <w:rPr>
          <w:rFonts w:cs="Arial"/>
          <w:szCs w:val="20"/>
        </w:rPr>
        <w:t xml:space="preserve"> ali kjer je to določeno z zakonodajo EU, v strojno berljiv</w:t>
      </w:r>
      <w:r>
        <w:rPr>
          <w:rFonts w:cs="Arial"/>
          <w:szCs w:val="20"/>
        </w:rPr>
        <w:t>i</w:t>
      </w:r>
      <w:r w:rsidRPr="0023027E">
        <w:rPr>
          <w:rFonts w:cs="Arial"/>
          <w:szCs w:val="20"/>
        </w:rPr>
        <w:t xml:space="preserve"> </w:t>
      </w:r>
      <w:r>
        <w:rPr>
          <w:rFonts w:cs="Arial"/>
          <w:szCs w:val="20"/>
        </w:rPr>
        <w:t>obliki</w:t>
      </w:r>
      <w:r w:rsidRPr="0023027E">
        <w:rPr>
          <w:rFonts w:cs="Arial"/>
          <w:szCs w:val="20"/>
        </w:rPr>
        <w:t xml:space="preserve"> (</w:t>
      </w:r>
      <w:proofErr w:type="spellStart"/>
      <w:r w:rsidRPr="0023027E">
        <w:rPr>
          <w:rFonts w:cs="Arial"/>
          <w:i/>
          <w:iCs/>
          <w:szCs w:val="20"/>
        </w:rPr>
        <w:t>machine-readable</w:t>
      </w:r>
      <w:proofErr w:type="spellEnd"/>
      <w:r w:rsidRPr="0023027E">
        <w:rPr>
          <w:rFonts w:cs="Arial"/>
          <w:i/>
          <w:iCs/>
          <w:szCs w:val="20"/>
        </w:rPr>
        <w:t xml:space="preserve"> format</w:t>
      </w:r>
      <w:r w:rsidRPr="0023027E">
        <w:rPr>
          <w:rFonts w:cs="Arial"/>
          <w:szCs w:val="20"/>
        </w:rPr>
        <w:t>). T</w:t>
      </w:r>
      <w:r>
        <w:rPr>
          <w:rFonts w:cs="Arial"/>
          <w:szCs w:val="20"/>
        </w:rPr>
        <w:t>ak</w:t>
      </w:r>
      <w:r w:rsidRPr="0023027E">
        <w:rPr>
          <w:rFonts w:cs="Arial"/>
          <w:szCs w:val="20"/>
        </w:rPr>
        <w:t xml:space="preserve">o so podatki digitalno uporabni, kar omogoča </w:t>
      </w:r>
      <w:r>
        <w:rPr>
          <w:rFonts w:cs="Arial"/>
          <w:szCs w:val="20"/>
        </w:rPr>
        <w:t xml:space="preserve">njihovo </w:t>
      </w:r>
      <w:r w:rsidRPr="0023027E">
        <w:rPr>
          <w:rFonts w:cs="Arial"/>
          <w:szCs w:val="20"/>
        </w:rPr>
        <w:t>avtomatizirano obdelavo, analizo in primerjavo. Standardiziran</w:t>
      </w:r>
      <w:r>
        <w:rPr>
          <w:rFonts w:cs="Arial"/>
          <w:szCs w:val="20"/>
        </w:rPr>
        <w:t>i</w:t>
      </w:r>
      <w:r w:rsidRPr="0023027E">
        <w:rPr>
          <w:rFonts w:cs="Arial"/>
          <w:szCs w:val="20"/>
        </w:rPr>
        <w:t xml:space="preserve"> format olajša uporabnikom (na primer vlagatelji, analitiki in regulatorji) dostop do podatkov </w:t>
      </w:r>
      <w:r>
        <w:rPr>
          <w:rFonts w:cs="Arial"/>
          <w:szCs w:val="20"/>
        </w:rPr>
        <w:t>in</w:t>
      </w:r>
      <w:r w:rsidRPr="0023027E">
        <w:rPr>
          <w:rFonts w:cs="Arial"/>
          <w:szCs w:val="20"/>
        </w:rPr>
        <w:t xml:space="preserve"> njihovo uporabo.</w:t>
      </w:r>
    </w:p>
    <w:p w14:paraId="4FDD7CB6" w14:textId="77777777" w:rsidR="00205BE2" w:rsidRPr="0023027E" w:rsidRDefault="00205BE2" w:rsidP="00205BE2">
      <w:pPr>
        <w:spacing w:line="276" w:lineRule="auto"/>
        <w:jc w:val="both"/>
        <w:rPr>
          <w:rFonts w:cs="Arial"/>
          <w:szCs w:val="20"/>
        </w:rPr>
      </w:pPr>
    </w:p>
    <w:p w14:paraId="7F063611" w14:textId="77777777" w:rsidR="00205BE2" w:rsidRPr="0023027E" w:rsidRDefault="00205BE2" w:rsidP="00205BE2">
      <w:pPr>
        <w:spacing w:after="160" w:line="259" w:lineRule="auto"/>
        <w:jc w:val="both"/>
        <w:rPr>
          <w:rFonts w:cs="Arial"/>
          <w:szCs w:val="20"/>
        </w:rPr>
      </w:pPr>
      <w:r w:rsidRPr="0023027E">
        <w:rPr>
          <w:rFonts w:cs="Arial"/>
          <w:szCs w:val="20"/>
        </w:rPr>
        <w:t>Informacije morajo vsebovati metapodatke, ki zagotavljajo dodatne podatke o nadzorovani osebi in naravi pred</w:t>
      </w:r>
      <w:r>
        <w:rPr>
          <w:rFonts w:cs="Arial"/>
          <w:szCs w:val="20"/>
        </w:rPr>
        <w:t>l</w:t>
      </w:r>
      <w:r w:rsidRPr="0023027E">
        <w:rPr>
          <w:rFonts w:cs="Arial"/>
          <w:szCs w:val="20"/>
        </w:rPr>
        <w:t>o</w:t>
      </w:r>
      <w:r>
        <w:rPr>
          <w:rFonts w:cs="Arial"/>
          <w:szCs w:val="20"/>
        </w:rPr>
        <w:t>že</w:t>
      </w:r>
      <w:r w:rsidRPr="0023027E">
        <w:rPr>
          <w:rFonts w:cs="Arial"/>
          <w:szCs w:val="20"/>
        </w:rPr>
        <w:t>nih podatkov. Ti metapodatki so:</w:t>
      </w:r>
    </w:p>
    <w:p w14:paraId="2C553638" w14:textId="77777777" w:rsidR="00205BE2" w:rsidRPr="0023027E" w:rsidRDefault="00205BE2" w:rsidP="00205BE2">
      <w:pPr>
        <w:pStyle w:val="Odstavekseznama"/>
        <w:numPr>
          <w:ilvl w:val="0"/>
          <w:numId w:val="65"/>
        </w:numPr>
        <w:spacing w:after="160" w:line="259" w:lineRule="auto"/>
        <w:jc w:val="both"/>
        <w:rPr>
          <w:rFonts w:cs="Arial"/>
          <w:szCs w:val="20"/>
        </w:rPr>
      </w:pPr>
      <w:r w:rsidRPr="0023027E">
        <w:rPr>
          <w:rFonts w:cs="Arial"/>
          <w:szCs w:val="20"/>
        </w:rPr>
        <w:t>vsa imena družbe, na katero se informacije nanašajo, in ime obvladujoče družbe, ki sporoča informacije na ravni skupine, kadar je družba, ki poroča, izvzeta odvisna družb</w:t>
      </w:r>
      <w:r>
        <w:rPr>
          <w:rFonts w:cs="Arial"/>
          <w:szCs w:val="20"/>
        </w:rPr>
        <w:t>a</w:t>
      </w:r>
      <w:r w:rsidRPr="0023027E">
        <w:rPr>
          <w:rFonts w:cs="Arial"/>
          <w:szCs w:val="20"/>
        </w:rPr>
        <w:t xml:space="preserve"> iz četrtega odstavka 70.č člena ZGD-1, kar vključuje uradno ime pravnega subjekta ali druga imena, pod katerimi ta oseba posluje. Namen je jasna identifikacija subjekta, da se prepreči zmeda pri subjektih z enakimi ali podobnimi imeni</w:t>
      </w:r>
      <w:r>
        <w:rPr>
          <w:rFonts w:cs="Arial"/>
          <w:szCs w:val="20"/>
        </w:rPr>
        <w:t>;</w:t>
      </w:r>
    </w:p>
    <w:p w14:paraId="5C0DC88D" w14:textId="77777777" w:rsidR="00205BE2" w:rsidRPr="0023027E" w:rsidRDefault="00205BE2" w:rsidP="00205BE2">
      <w:pPr>
        <w:pStyle w:val="Odstavekseznama"/>
        <w:numPr>
          <w:ilvl w:val="0"/>
          <w:numId w:val="65"/>
        </w:numPr>
        <w:spacing w:after="160" w:line="259" w:lineRule="auto"/>
        <w:jc w:val="both"/>
        <w:rPr>
          <w:rFonts w:cs="Arial"/>
          <w:szCs w:val="20"/>
        </w:rPr>
      </w:pPr>
      <w:r w:rsidRPr="0023027E">
        <w:rPr>
          <w:rFonts w:cs="Arial"/>
          <w:szCs w:val="20"/>
        </w:rPr>
        <w:t>identifikator pravnih subjektov</w:t>
      </w:r>
      <w:r>
        <w:rPr>
          <w:rFonts w:cs="Arial"/>
          <w:szCs w:val="20"/>
        </w:rPr>
        <w:t>,</w:t>
      </w:r>
      <w:r w:rsidRPr="0023027E">
        <w:rPr>
          <w:rFonts w:cs="Arial"/>
          <w:szCs w:val="20"/>
        </w:rPr>
        <w:t xml:space="preserve"> k</w:t>
      </w:r>
      <w:r>
        <w:rPr>
          <w:rFonts w:cs="Arial"/>
          <w:szCs w:val="20"/>
        </w:rPr>
        <w:t>ak</w:t>
      </w:r>
      <w:r w:rsidRPr="0023027E">
        <w:rPr>
          <w:rFonts w:cs="Arial"/>
          <w:szCs w:val="20"/>
        </w:rPr>
        <w:t>o</w:t>
      </w:r>
      <w:r>
        <w:rPr>
          <w:rFonts w:cs="Arial"/>
          <w:szCs w:val="20"/>
        </w:rPr>
        <w:t>r</w:t>
      </w:r>
      <w:r w:rsidRPr="0023027E">
        <w:rPr>
          <w:rFonts w:cs="Arial"/>
          <w:szCs w:val="20"/>
        </w:rPr>
        <w:t xml:space="preserve"> je določeno v točki b) četrtega odstavka 7. člena Uredbe 2023/2859/EU. Identifikator pravnih subjektov je standardizirana koda, ki se bo </w:t>
      </w:r>
      <w:r w:rsidRPr="00A607FE">
        <w:rPr>
          <w:rFonts w:cs="Arial"/>
          <w:szCs w:val="20"/>
        </w:rPr>
        <w:t>uporabljal za enolično identifikacijo p</w:t>
      </w:r>
      <w:r w:rsidRPr="0023027E">
        <w:rPr>
          <w:rFonts w:cs="Arial"/>
          <w:szCs w:val="20"/>
        </w:rPr>
        <w:t>ravnih oseb in ga natančneje opredeljuje Izvedbena uredba Komisije (EU) 2025/1338 z dne 10. julija 2025 o določitvi izvedbenih tehničnih standardov za uporabo Uredbe (EU) 2023/2859 Evropskega parlamenta in Sveta v zvezi s funkcionalnostmi evropske enotne točke dostopa (UL L št. 2025/1338 z dne 11. 7. 2025</w:t>
      </w:r>
      <w:r>
        <w:rPr>
          <w:rFonts w:cs="Arial"/>
          <w:szCs w:val="20"/>
        </w:rPr>
        <w:t xml:space="preserve">; </w:t>
      </w:r>
      <w:r w:rsidRPr="0023027E">
        <w:rPr>
          <w:rFonts w:cs="Arial"/>
          <w:szCs w:val="20"/>
        </w:rPr>
        <w:t>v nadaljnjem besedilu: Uredba 2025/1338/EU). Identifikator pravnih subjektov je ključen za izboljšanje preglednosti in sledenja v finančnih sistemih, kar omogoča regulatorjem in drugim deležnikom, da hitro in natančno identificirajo pravne subjekte, vključen</w:t>
      </w:r>
      <w:r>
        <w:rPr>
          <w:rFonts w:cs="Arial"/>
          <w:szCs w:val="20"/>
        </w:rPr>
        <w:t>e</w:t>
      </w:r>
      <w:r w:rsidRPr="0023027E">
        <w:rPr>
          <w:rFonts w:cs="Arial"/>
          <w:szCs w:val="20"/>
        </w:rPr>
        <w:t xml:space="preserve"> v finančne transakcije, kar zmanjšuje tveganja, povezana z nejasnostjo ali prikrivanjem identitete;</w:t>
      </w:r>
    </w:p>
    <w:p w14:paraId="17D3AAA2" w14:textId="77777777" w:rsidR="00205BE2" w:rsidRPr="0023027E" w:rsidRDefault="00205BE2" w:rsidP="00205BE2">
      <w:pPr>
        <w:pStyle w:val="Odstavekseznama"/>
        <w:numPr>
          <w:ilvl w:val="0"/>
          <w:numId w:val="65"/>
        </w:numPr>
        <w:spacing w:after="160" w:line="259" w:lineRule="auto"/>
        <w:jc w:val="both"/>
        <w:rPr>
          <w:rFonts w:cs="Arial"/>
          <w:szCs w:val="20"/>
        </w:rPr>
      </w:pPr>
      <w:r w:rsidRPr="0023027E">
        <w:rPr>
          <w:rFonts w:cs="Arial"/>
          <w:szCs w:val="20"/>
        </w:rPr>
        <w:t xml:space="preserve">velikost družbe po kategorijah v skladu s točko d) četrtega odstavka 7. člena Uredbe 2023/2859/EU. Te kategorije so natančneje opredeljene v Uredbi 2025/1338/EU (na primer mala in srednja podjetja, velika podjetja, </w:t>
      </w:r>
      <w:proofErr w:type="spellStart"/>
      <w:r w:rsidRPr="0023027E">
        <w:rPr>
          <w:rFonts w:cs="Arial"/>
          <w:szCs w:val="20"/>
        </w:rPr>
        <w:t>mikropodjetja</w:t>
      </w:r>
      <w:proofErr w:type="spellEnd"/>
      <w:r w:rsidRPr="0023027E">
        <w:rPr>
          <w:rFonts w:cs="Arial"/>
          <w:szCs w:val="20"/>
        </w:rPr>
        <w:t>). Namen je razvrstitev subjektov glede na njihovo velikost;</w:t>
      </w:r>
    </w:p>
    <w:p w14:paraId="2E45C16D" w14:textId="77777777" w:rsidR="00205BE2" w:rsidRPr="0023027E" w:rsidRDefault="00205BE2" w:rsidP="00205BE2">
      <w:pPr>
        <w:pStyle w:val="Odstavekseznama"/>
        <w:numPr>
          <w:ilvl w:val="0"/>
          <w:numId w:val="65"/>
        </w:numPr>
        <w:spacing w:after="160" w:line="259" w:lineRule="auto"/>
        <w:jc w:val="both"/>
        <w:rPr>
          <w:rFonts w:cs="Arial"/>
          <w:szCs w:val="20"/>
        </w:rPr>
      </w:pPr>
      <w:r w:rsidRPr="0023027E">
        <w:rPr>
          <w:rFonts w:cs="Arial"/>
          <w:szCs w:val="20"/>
        </w:rPr>
        <w:t>Industrijski sektorji gospodarskih dejavnosti omogoča</w:t>
      </w:r>
      <w:r>
        <w:rPr>
          <w:rFonts w:cs="Arial"/>
          <w:szCs w:val="20"/>
        </w:rPr>
        <w:t>jo</w:t>
      </w:r>
      <w:r w:rsidRPr="0023027E">
        <w:rPr>
          <w:rFonts w:cs="Arial"/>
          <w:szCs w:val="20"/>
        </w:rPr>
        <w:t xml:space="preserve"> regulatorjem, da razumejo, v katerem gospodarskem sektorju deluje nadzorovana oseba. To je ključno za analizo tveganj, </w:t>
      </w:r>
      <w:r>
        <w:rPr>
          <w:rFonts w:cs="Arial"/>
          <w:szCs w:val="20"/>
        </w:rPr>
        <w:t>značilnih</w:t>
      </w:r>
      <w:r w:rsidRPr="0023027E">
        <w:rPr>
          <w:rFonts w:cs="Arial"/>
          <w:szCs w:val="20"/>
        </w:rPr>
        <w:t xml:space="preserve"> za posamezne sektorje, ali za primerjavo podatkov med subjekti v istem sektorju. Ti podatki so uporabni za agregirane analize, ki jih izvajajo regulatorji ali druge institucije,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za spremljanje gospodarskih trendov, tveganj ali vplivov politik na </w:t>
      </w:r>
      <w:r>
        <w:rPr>
          <w:rFonts w:cs="Arial"/>
          <w:szCs w:val="20"/>
        </w:rPr>
        <w:t>posamezne</w:t>
      </w:r>
      <w:r w:rsidRPr="0023027E">
        <w:rPr>
          <w:rFonts w:cs="Arial"/>
          <w:szCs w:val="20"/>
        </w:rPr>
        <w:t xml:space="preserve"> sektorje. Industrijski sektorji gospodarskih dejavnosti so natančneje opredeljen</w:t>
      </w:r>
      <w:r>
        <w:rPr>
          <w:rFonts w:cs="Arial"/>
          <w:szCs w:val="20"/>
        </w:rPr>
        <w:t>i</w:t>
      </w:r>
      <w:r w:rsidRPr="0023027E">
        <w:rPr>
          <w:rFonts w:cs="Arial"/>
          <w:szCs w:val="20"/>
        </w:rPr>
        <w:t xml:space="preserve"> v Uredbi 2025/1338/EU;</w:t>
      </w:r>
    </w:p>
    <w:p w14:paraId="451A2B65" w14:textId="77777777" w:rsidR="00205BE2" w:rsidRPr="0023027E" w:rsidRDefault="00205BE2" w:rsidP="00205BE2">
      <w:pPr>
        <w:pStyle w:val="Odstavekseznama"/>
        <w:numPr>
          <w:ilvl w:val="0"/>
          <w:numId w:val="65"/>
        </w:numPr>
        <w:spacing w:after="160" w:line="259" w:lineRule="auto"/>
        <w:jc w:val="both"/>
        <w:rPr>
          <w:rFonts w:cs="Arial"/>
          <w:szCs w:val="20"/>
        </w:rPr>
      </w:pPr>
      <w:r w:rsidRPr="0023027E">
        <w:rPr>
          <w:rFonts w:cs="Arial"/>
          <w:szCs w:val="20"/>
        </w:rPr>
        <w:t xml:space="preserve">vrsta informacij glede na razvrstitev na podlagi točke c) četrtega odstavka 7. člena Uredbe 2023/2859/EU. To pomeni, da morajo biti podatki označeni glede na vrsto ali kategorijo. To </w:t>
      </w:r>
      <w:r>
        <w:rPr>
          <w:rFonts w:cs="Arial"/>
          <w:szCs w:val="20"/>
        </w:rPr>
        <w:t>prejemnikom</w:t>
      </w:r>
      <w:r w:rsidRPr="0023027E">
        <w:rPr>
          <w:rFonts w:cs="Arial"/>
          <w:szCs w:val="20"/>
        </w:rPr>
        <w:t xml:space="preserve"> omogoča lažje razumevanje in obdelavo podatkov. Vrste informacij so natančneje opredeljene v Uredbi 2025/1338/EU;</w:t>
      </w:r>
    </w:p>
    <w:p w14:paraId="17FF8F65" w14:textId="77777777" w:rsidR="00205BE2" w:rsidRPr="0023027E" w:rsidRDefault="00205BE2" w:rsidP="00205BE2">
      <w:pPr>
        <w:pStyle w:val="Odstavekseznama"/>
        <w:numPr>
          <w:ilvl w:val="0"/>
          <w:numId w:val="65"/>
        </w:numPr>
        <w:spacing w:after="160" w:line="259" w:lineRule="auto"/>
        <w:jc w:val="both"/>
        <w:rPr>
          <w:rFonts w:cs="Arial"/>
          <w:szCs w:val="20"/>
        </w:rPr>
      </w:pPr>
      <w:r>
        <w:rPr>
          <w:rFonts w:cs="Arial"/>
          <w:szCs w:val="20"/>
        </w:rPr>
        <w:t>o</w:t>
      </w:r>
      <w:r w:rsidRPr="0023027E">
        <w:rPr>
          <w:rFonts w:cs="Arial"/>
          <w:szCs w:val="20"/>
        </w:rPr>
        <w:t xml:space="preserve">znaka, ali informacije vsebujejo osebne podatke: </w:t>
      </w:r>
      <w:r>
        <w:rPr>
          <w:rFonts w:cs="Arial"/>
          <w:szCs w:val="20"/>
        </w:rPr>
        <w:t>i</w:t>
      </w:r>
      <w:r w:rsidRPr="0023027E">
        <w:rPr>
          <w:rFonts w:cs="Arial"/>
          <w:szCs w:val="20"/>
        </w:rPr>
        <w:t>nformacije morajo biti označene, če vsebujejo osebne podatke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podatke o posameznikih, kot so imena, naslovi, identifikacijske številke). Ta zahteva je pomembna za skladnost z zakonodajo o varstvu podatkov, saj osebni podatki zahtevajo posebno obravnavo in varstvo.</w:t>
      </w:r>
    </w:p>
    <w:p w14:paraId="422CD707" w14:textId="77777777" w:rsidR="00205BE2" w:rsidRPr="0023027E" w:rsidRDefault="00205BE2" w:rsidP="00205BE2">
      <w:pPr>
        <w:spacing w:line="276" w:lineRule="auto"/>
        <w:jc w:val="both"/>
        <w:rPr>
          <w:rFonts w:cs="Arial"/>
          <w:szCs w:val="20"/>
        </w:rPr>
      </w:pPr>
    </w:p>
    <w:p w14:paraId="4D42105E" w14:textId="77777777" w:rsidR="00205BE2" w:rsidRPr="0023027E" w:rsidRDefault="00205BE2" w:rsidP="00205BE2">
      <w:pPr>
        <w:spacing w:line="276" w:lineRule="auto"/>
        <w:jc w:val="both"/>
        <w:rPr>
          <w:rFonts w:cs="Arial"/>
          <w:szCs w:val="20"/>
        </w:rPr>
      </w:pPr>
      <w:r w:rsidRPr="0023027E">
        <w:rPr>
          <w:rFonts w:cs="Arial"/>
          <w:szCs w:val="20"/>
        </w:rPr>
        <w:t>Metapodatki so ključni za organiz</w:t>
      </w:r>
      <w:r>
        <w:rPr>
          <w:rFonts w:cs="Arial"/>
          <w:szCs w:val="20"/>
        </w:rPr>
        <w:t>ir</w:t>
      </w:r>
      <w:r w:rsidRPr="0023027E">
        <w:rPr>
          <w:rFonts w:cs="Arial"/>
          <w:szCs w:val="20"/>
        </w:rPr>
        <w:t>a</w:t>
      </w:r>
      <w:r>
        <w:rPr>
          <w:rFonts w:cs="Arial"/>
          <w:szCs w:val="20"/>
        </w:rPr>
        <w:t>n</w:t>
      </w:r>
      <w:r w:rsidRPr="0023027E">
        <w:rPr>
          <w:rFonts w:cs="Arial"/>
          <w:szCs w:val="20"/>
        </w:rPr>
        <w:t>j</w:t>
      </w:r>
      <w:r>
        <w:rPr>
          <w:rFonts w:cs="Arial"/>
          <w:szCs w:val="20"/>
        </w:rPr>
        <w:t>e</w:t>
      </w:r>
      <w:r w:rsidRPr="0023027E">
        <w:rPr>
          <w:rFonts w:cs="Arial"/>
          <w:szCs w:val="20"/>
        </w:rPr>
        <w:t xml:space="preserve"> in kategoriz</w:t>
      </w:r>
      <w:r>
        <w:rPr>
          <w:rFonts w:cs="Arial"/>
          <w:szCs w:val="20"/>
        </w:rPr>
        <w:t>ir</w:t>
      </w:r>
      <w:r w:rsidRPr="0023027E">
        <w:rPr>
          <w:rFonts w:cs="Arial"/>
          <w:szCs w:val="20"/>
        </w:rPr>
        <w:t>a</w:t>
      </w:r>
      <w:r>
        <w:rPr>
          <w:rFonts w:cs="Arial"/>
          <w:szCs w:val="20"/>
        </w:rPr>
        <w:t>n</w:t>
      </w:r>
      <w:r w:rsidRPr="0023027E">
        <w:rPr>
          <w:rFonts w:cs="Arial"/>
          <w:szCs w:val="20"/>
        </w:rPr>
        <w:t>j</w:t>
      </w:r>
      <w:r>
        <w:rPr>
          <w:rFonts w:cs="Arial"/>
          <w:szCs w:val="20"/>
        </w:rPr>
        <w:t>e</w:t>
      </w:r>
      <w:r w:rsidRPr="0023027E">
        <w:rPr>
          <w:rFonts w:cs="Arial"/>
          <w:szCs w:val="20"/>
        </w:rPr>
        <w:t xml:space="preserve"> informacij na ESAP. Z njimi se podatki označijo z dodatnimi informacijami, kar omogoča lažje iskanje in filtriranje. Metapodatki zagotavljajo, da so informacije strukturirane in dostopne na način, prilagojen potrebam uporabnikov, ter povečujejo preglednost in učinkovitost ESAP. Pri tem je pomembno tudi načelo </w:t>
      </w:r>
      <w:r>
        <w:rPr>
          <w:rFonts w:cs="Arial"/>
          <w:szCs w:val="20"/>
        </w:rPr>
        <w:lastRenderedPageBreak/>
        <w:t>»</w:t>
      </w:r>
      <w:r w:rsidRPr="0023027E">
        <w:rPr>
          <w:rFonts w:cs="Arial"/>
          <w:szCs w:val="20"/>
        </w:rPr>
        <w:t>enkratnega vnosa</w:t>
      </w:r>
      <w:r>
        <w:rPr>
          <w:rFonts w:cs="Arial"/>
          <w:szCs w:val="20"/>
        </w:rPr>
        <w:t>«</w:t>
      </w:r>
      <w:r w:rsidRPr="0023027E">
        <w:rPr>
          <w:rFonts w:cs="Arial"/>
          <w:szCs w:val="20"/>
        </w:rPr>
        <w:t xml:space="preserve"> (</w:t>
      </w:r>
      <w:r w:rsidRPr="0023027E">
        <w:rPr>
          <w:rFonts w:cs="Arial"/>
          <w:i/>
          <w:iCs/>
          <w:szCs w:val="20"/>
        </w:rPr>
        <w:t xml:space="preserve">file </w:t>
      </w:r>
      <w:proofErr w:type="spellStart"/>
      <w:r w:rsidRPr="0023027E">
        <w:rPr>
          <w:rFonts w:cs="Arial"/>
          <w:i/>
          <w:iCs/>
          <w:szCs w:val="20"/>
        </w:rPr>
        <w:t>once</w:t>
      </w:r>
      <w:proofErr w:type="spellEnd"/>
      <w:r w:rsidRPr="0023027E">
        <w:rPr>
          <w:rFonts w:cs="Arial"/>
          <w:i/>
          <w:iCs/>
          <w:szCs w:val="20"/>
        </w:rPr>
        <w:t xml:space="preserve"> </w:t>
      </w:r>
      <w:proofErr w:type="spellStart"/>
      <w:r w:rsidRPr="0023027E">
        <w:rPr>
          <w:rFonts w:cs="Arial"/>
          <w:i/>
          <w:iCs/>
          <w:szCs w:val="20"/>
        </w:rPr>
        <w:t>principle</w:t>
      </w:r>
      <w:proofErr w:type="spellEnd"/>
      <w:r w:rsidRPr="0023027E">
        <w:rPr>
          <w:rFonts w:cs="Arial"/>
          <w:szCs w:val="20"/>
        </w:rPr>
        <w:t xml:space="preserve">), kar pomeni, da subjekti podatke, ki jih že objavljajo v skladu z </w:t>
      </w:r>
      <w:r>
        <w:rPr>
          <w:rFonts w:cs="Arial"/>
          <w:szCs w:val="20"/>
        </w:rPr>
        <w:t>veljavno</w:t>
      </w:r>
      <w:r w:rsidRPr="0023027E">
        <w:rPr>
          <w:rFonts w:cs="Arial"/>
          <w:szCs w:val="20"/>
        </w:rPr>
        <w:t xml:space="preserve"> zakonodajo, predložijo v standardiziranem formatu brez dodatnih obveznosti (četrti odstavek novega 70.da člena ZGD-1). Zahteve po izv</w:t>
      </w:r>
      <w:r>
        <w:rPr>
          <w:rFonts w:cs="Arial"/>
          <w:szCs w:val="20"/>
        </w:rPr>
        <w:t>oz</w:t>
      </w:r>
      <w:r w:rsidRPr="0023027E">
        <w:rPr>
          <w:rFonts w:cs="Arial"/>
          <w:szCs w:val="20"/>
        </w:rPr>
        <w:t xml:space="preserve">u podatkov in metapodatkih zagotavljajo, da se ti podatki učinkovito </w:t>
      </w:r>
      <w:r>
        <w:rPr>
          <w:rFonts w:cs="Arial"/>
          <w:szCs w:val="20"/>
        </w:rPr>
        <w:t>vključijo</w:t>
      </w:r>
      <w:r w:rsidRPr="0023027E">
        <w:rPr>
          <w:rFonts w:cs="Arial"/>
          <w:szCs w:val="20"/>
        </w:rPr>
        <w:t xml:space="preserve"> v centralizirano platformo ESAP, kar zmanjšuje administrativno breme in povečuje dostopnost.</w:t>
      </w:r>
    </w:p>
    <w:p w14:paraId="7A7AC468" w14:textId="77777777" w:rsidR="00205BE2" w:rsidRPr="0023027E" w:rsidRDefault="00205BE2" w:rsidP="00205BE2">
      <w:pPr>
        <w:spacing w:line="276" w:lineRule="auto"/>
        <w:jc w:val="both"/>
        <w:rPr>
          <w:rFonts w:cs="Arial"/>
          <w:szCs w:val="20"/>
        </w:rPr>
      </w:pPr>
    </w:p>
    <w:p w14:paraId="52CDB6F3" w14:textId="77777777" w:rsidR="00205BE2" w:rsidRPr="0023027E" w:rsidRDefault="00205BE2" w:rsidP="00205BE2">
      <w:pPr>
        <w:spacing w:line="276" w:lineRule="auto"/>
        <w:jc w:val="both"/>
        <w:rPr>
          <w:rFonts w:cs="Arial"/>
          <w:szCs w:val="20"/>
        </w:rPr>
      </w:pPr>
      <w:r w:rsidRPr="0023027E">
        <w:rPr>
          <w:rFonts w:cs="Arial"/>
          <w:szCs w:val="20"/>
        </w:rPr>
        <w:t xml:space="preserve">Uporaba metapodatkov in standardiziranih formatov omogoča tehnično </w:t>
      </w:r>
      <w:proofErr w:type="spellStart"/>
      <w:r w:rsidRPr="0023027E">
        <w:rPr>
          <w:rFonts w:cs="Arial"/>
          <w:szCs w:val="20"/>
        </w:rPr>
        <w:t>interoperabilnost</w:t>
      </w:r>
      <w:proofErr w:type="spellEnd"/>
      <w:r w:rsidRPr="0023027E">
        <w:rPr>
          <w:rFonts w:cs="Arial"/>
          <w:szCs w:val="20"/>
        </w:rPr>
        <w:t xml:space="preserve"> med različnimi sistemi zbiranja podatkov na nacionalni ravni in ESAP, ki ga upravlja ESMA. To omogoča nemoten</w:t>
      </w:r>
      <w:r>
        <w:rPr>
          <w:rFonts w:cs="Arial"/>
          <w:szCs w:val="20"/>
        </w:rPr>
        <w:t>i</w:t>
      </w:r>
      <w:r w:rsidRPr="0023027E">
        <w:rPr>
          <w:rFonts w:cs="Arial"/>
          <w:szCs w:val="20"/>
        </w:rPr>
        <w:t xml:space="preserve"> prenos podatkov, kar povečuje učinkovitost in zmanjšuje stroške.</w:t>
      </w:r>
    </w:p>
    <w:p w14:paraId="38F07B25" w14:textId="77777777" w:rsidR="00205BE2" w:rsidRPr="0023027E" w:rsidRDefault="00205BE2" w:rsidP="00205BE2">
      <w:pPr>
        <w:spacing w:line="276" w:lineRule="auto"/>
        <w:jc w:val="both"/>
        <w:rPr>
          <w:rFonts w:cs="Arial"/>
          <w:szCs w:val="20"/>
        </w:rPr>
      </w:pPr>
    </w:p>
    <w:p w14:paraId="7CB0FF5F" w14:textId="77777777" w:rsidR="00205BE2" w:rsidRDefault="00205BE2" w:rsidP="00205BE2">
      <w:pPr>
        <w:spacing w:line="276" w:lineRule="auto"/>
        <w:jc w:val="both"/>
        <w:rPr>
          <w:rFonts w:cs="Arial"/>
          <w:szCs w:val="20"/>
        </w:rPr>
      </w:pPr>
      <w:r w:rsidRPr="0023027E">
        <w:rPr>
          <w:rFonts w:cs="Arial"/>
          <w:szCs w:val="20"/>
        </w:rPr>
        <w:t>Določa se tudi, da družbe pridobijo identifikator pravnih subjektov, k</w:t>
      </w:r>
      <w:r>
        <w:rPr>
          <w:rFonts w:cs="Arial"/>
          <w:szCs w:val="20"/>
        </w:rPr>
        <w:t>ak</w:t>
      </w:r>
      <w:r w:rsidRPr="0023027E">
        <w:rPr>
          <w:rFonts w:cs="Arial"/>
          <w:szCs w:val="20"/>
        </w:rPr>
        <w:t>o</w:t>
      </w:r>
      <w:r>
        <w:rPr>
          <w:rFonts w:cs="Arial"/>
          <w:szCs w:val="20"/>
        </w:rPr>
        <w:t>r</w:t>
      </w:r>
      <w:r w:rsidRPr="0023027E">
        <w:rPr>
          <w:rFonts w:cs="Arial"/>
          <w:szCs w:val="20"/>
        </w:rPr>
        <w:t xml:space="preserve"> je določen v Uredbi 2023/2859/EU, če tega identifikatorja še nimajo.</w:t>
      </w:r>
    </w:p>
    <w:p w14:paraId="2D41E3E9" w14:textId="77777777" w:rsidR="00205BE2" w:rsidRDefault="00205BE2" w:rsidP="00205BE2">
      <w:pPr>
        <w:spacing w:line="276" w:lineRule="auto"/>
        <w:jc w:val="both"/>
        <w:rPr>
          <w:rFonts w:cs="Arial"/>
          <w:szCs w:val="20"/>
        </w:rPr>
      </w:pPr>
    </w:p>
    <w:p w14:paraId="53D139FC" w14:textId="77777777" w:rsidR="00205BE2" w:rsidRDefault="00205BE2" w:rsidP="00205BE2">
      <w:pPr>
        <w:spacing w:line="276" w:lineRule="auto"/>
        <w:jc w:val="both"/>
        <w:rPr>
          <w:rFonts w:cs="Arial"/>
          <w:szCs w:val="20"/>
        </w:rPr>
      </w:pPr>
      <w:r>
        <w:rPr>
          <w:rFonts w:cs="Arial"/>
          <w:szCs w:val="20"/>
        </w:rPr>
        <w:t>V skladu z drugim odstavkom novega</w:t>
      </w:r>
      <w:r w:rsidRPr="00624CFE">
        <w:rPr>
          <w:rFonts w:cs="Arial"/>
          <w:szCs w:val="20"/>
        </w:rPr>
        <w:t xml:space="preserve"> 33.a člena Direktive 2013/34/EU (9. člen </w:t>
      </w:r>
      <w:r>
        <w:rPr>
          <w:rFonts w:cs="Arial"/>
          <w:szCs w:val="20"/>
        </w:rPr>
        <w:t>Direktive 2023/2864/EU</w:t>
      </w:r>
      <w:r w:rsidRPr="00624CFE">
        <w:rPr>
          <w:rFonts w:cs="Arial"/>
          <w:szCs w:val="20"/>
        </w:rPr>
        <w:t>) se za podjetje, ki je informacije o trajnostnem poslovanju predložilo uradno določenemu mehanizmu na podlagi 23.a člena Direktive 2004/109/ES (Transparentn</w:t>
      </w:r>
      <w:r>
        <w:rPr>
          <w:rFonts w:cs="Arial"/>
          <w:szCs w:val="20"/>
        </w:rPr>
        <w:t>a</w:t>
      </w:r>
      <w:r w:rsidRPr="00624CFE">
        <w:rPr>
          <w:rFonts w:cs="Arial"/>
          <w:szCs w:val="20"/>
        </w:rPr>
        <w:t xml:space="preserve"> direktiv</w:t>
      </w:r>
      <w:r>
        <w:rPr>
          <w:rFonts w:cs="Arial"/>
          <w:szCs w:val="20"/>
        </w:rPr>
        <w:t>a</w:t>
      </w:r>
      <w:r w:rsidRPr="00624CFE">
        <w:rPr>
          <w:rFonts w:cs="Arial"/>
          <w:szCs w:val="20"/>
        </w:rPr>
        <w:t>), z namenom, da bi te informacije postale dostopne na ESAP, šteje, da je to podjetje izpolnilo svoje obveznost</w:t>
      </w:r>
      <w:r>
        <w:rPr>
          <w:rFonts w:cs="Arial"/>
          <w:szCs w:val="20"/>
        </w:rPr>
        <w:t>i</w:t>
      </w:r>
      <w:r w:rsidRPr="00624CFE">
        <w:rPr>
          <w:rFonts w:cs="Arial"/>
          <w:szCs w:val="20"/>
        </w:rPr>
        <w:t xml:space="preserve"> iz prvega odstavka 33.a člena direktive 2013/34/EU, če so te informacije </w:t>
      </w:r>
      <w:r>
        <w:rPr>
          <w:rFonts w:cs="Arial"/>
          <w:szCs w:val="20"/>
        </w:rPr>
        <w:t xml:space="preserve">v </w:t>
      </w:r>
      <w:r w:rsidRPr="00624CFE">
        <w:rPr>
          <w:rFonts w:cs="Arial"/>
          <w:szCs w:val="20"/>
        </w:rPr>
        <w:t>sklad</w:t>
      </w:r>
      <w:r>
        <w:rPr>
          <w:rFonts w:cs="Arial"/>
          <w:szCs w:val="20"/>
        </w:rPr>
        <w:t>u</w:t>
      </w:r>
      <w:r w:rsidRPr="00624CFE">
        <w:rPr>
          <w:rFonts w:cs="Arial"/>
          <w:szCs w:val="20"/>
        </w:rPr>
        <w:t xml:space="preserve"> z zahtevami glede metapodatkov iz istega člena. </w:t>
      </w:r>
      <w:r>
        <w:rPr>
          <w:rFonts w:cs="Arial"/>
          <w:szCs w:val="20"/>
        </w:rPr>
        <w:t>D</w:t>
      </w:r>
      <w:r w:rsidRPr="00624CFE">
        <w:rPr>
          <w:rFonts w:cs="Arial"/>
          <w:szCs w:val="20"/>
        </w:rPr>
        <w:t>rugi odstav</w:t>
      </w:r>
      <w:r>
        <w:rPr>
          <w:rFonts w:cs="Arial"/>
          <w:szCs w:val="20"/>
        </w:rPr>
        <w:t>e</w:t>
      </w:r>
      <w:r w:rsidRPr="00624CFE">
        <w:rPr>
          <w:rFonts w:cs="Arial"/>
          <w:szCs w:val="20"/>
        </w:rPr>
        <w:t>k novega 33.a člena Direktive 2013/34/EU se torej sklicuje na 23.a člen Direktive 2004/109/ES, ki se je prenesel v novi prvi odstavek</w:t>
      </w:r>
      <w:r>
        <w:rPr>
          <w:rFonts w:cs="Arial"/>
          <w:szCs w:val="20"/>
        </w:rPr>
        <w:t xml:space="preserve"> </w:t>
      </w:r>
      <w:r w:rsidRPr="00624CFE">
        <w:rPr>
          <w:rFonts w:cs="Arial"/>
          <w:szCs w:val="20"/>
        </w:rPr>
        <w:t xml:space="preserve">159. člena ZTFI-1. </w:t>
      </w:r>
      <w:r>
        <w:rPr>
          <w:rFonts w:cs="Arial"/>
          <w:szCs w:val="20"/>
        </w:rPr>
        <w:t>Namen določbe je,</w:t>
      </w:r>
      <w:r w:rsidRPr="00E54761">
        <w:rPr>
          <w:rFonts w:cs="Arial"/>
          <w:szCs w:val="20"/>
        </w:rPr>
        <w:t xml:space="preserve"> da javnim družbam, ki bodo z namenom izpolnitve svojih obveznosti po ZTFI-1 poročilo o </w:t>
      </w:r>
      <w:proofErr w:type="spellStart"/>
      <w:r w:rsidRPr="00E54761">
        <w:rPr>
          <w:rFonts w:cs="Arial"/>
          <w:szCs w:val="20"/>
        </w:rPr>
        <w:t>trajnostnosti</w:t>
      </w:r>
      <w:proofErr w:type="spellEnd"/>
      <w:r w:rsidRPr="00E54761">
        <w:rPr>
          <w:rFonts w:cs="Arial"/>
          <w:szCs w:val="20"/>
        </w:rPr>
        <w:t xml:space="preserve"> predložile uradno določenemu mehanizmu </w:t>
      </w:r>
      <w:r>
        <w:rPr>
          <w:rFonts w:cs="Arial"/>
          <w:szCs w:val="20"/>
        </w:rPr>
        <w:t>(v Republiki Sloveniji</w:t>
      </w:r>
      <w:r w:rsidRPr="00E54761">
        <w:rPr>
          <w:rFonts w:cs="Arial"/>
          <w:szCs w:val="20"/>
        </w:rPr>
        <w:t xml:space="preserve"> je </w:t>
      </w:r>
      <w:r w:rsidRPr="00A607FE">
        <w:rPr>
          <w:rFonts w:cs="Arial"/>
          <w:szCs w:val="20"/>
        </w:rPr>
        <w:t>to sistem za centralno shranjevanje nadzorovanih informacij, določen v prv</w:t>
      </w:r>
      <w:r w:rsidRPr="00E54761">
        <w:rPr>
          <w:rFonts w:cs="Arial"/>
          <w:szCs w:val="20"/>
        </w:rPr>
        <w:t>em odstavku 159. člena ZTFI-1</w:t>
      </w:r>
      <w:r>
        <w:rPr>
          <w:rFonts w:cs="Arial"/>
          <w:szCs w:val="20"/>
        </w:rPr>
        <w:t>)</w:t>
      </w:r>
      <w:r w:rsidRPr="00E54761">
        <w:rPr>
          <w:rFonts w:cs="Arial"/>
          <w:szCs w:val="20"/>
        </w:rPr>
        <w:t xml:space="preserve">, </w:t>
      </w:r>
      <w:r w:rsidRPr="00A607FE">
        <w:rPr>
          <w:rFonts w:cs="Arial"/>
          <w:szCs w:val="20"/>
        </w:rPr>
        <w:t xml:space="preserve">tega z namenom predložitve ESAP ne bo </w:t>
      </w:r>
      <w:r w:rsidRPr="00E673D7">
        <w:rPr>
          <w:rFonts w:cs="Arial"/>
          <w:szCs w:val="20"/>
        </w:rPr>
        <w:t xml:space="preserve">treba </w:t>
      </w:r>
      <w:r w:rsidRPr="00A607FE">
        <w:rPr>
          <w:rFonts w:cs="Arial"/>
          <w:szCs w:val="20"/>
        </w:rPr>
        <w:t>predložiti tudi A</w:t>
      </w:r>
      <w:r w:rsidRPr="00E54761">
        <w:rPr>
          <w:rFonts w:cs="Arial"/>
          <w:szCs w:val="20"/>
        </w:rPr>
        <w:t>JPES.</w:t>
      </w:r>
    </w:p>
    <w:p w14:paraId="1CAA584F" w14:textId="77777777" w:rsidR="00205BE2" w:rsidRDefault="00205BE2" w:rsidP="00205BE2">
      <w:pPr>
        <w:spacing w:line="276" w:lineRule="auto"/>
        <w:jc w:val="both"/>
        <w:rPr>
          <w:rFonts w:cs="Arial"/>
          <w:szCs w:val="20"/>
        </w:rPr>
      </w:pPr>
    </w:p>
    <w:p w14:paraId="4E0A876B" w14:textId="77777777" w:rsidR="00205BE2" w:rsidRPr="0023027E" w:rsidRDefault="00205BE2" w:rsidP="00205BE2">
      <w:pPr>
        <w:spacing w:line="276" w:lineRule="auto"/>
        <w:jc w:val="both"/>
        <w:rPr>
          <w:rFonts w:cs="Arial"/>
          <w:szCs w:val="20"/>
        </w:rPr>
      </w:pPr>
      <w:r>
        <w:rPr>
          <w:rFonts w:cs="Arial"/>
          <w:szCs w:val="20"/>
        </w:rPr>
        <w:t xml:space="preserve">Zato se v četrtem odstavku določa, da družba izpolni svojo obveznost poročanja, če zahtevane informacije sporoči le enkrat, in sicer v </w:t>
      </w:r>
      <w:r w:rsidRPr="00624CFE">
        <w:rPr>
          <w:rFonts w:cs="Arial"/>
          <w:szCs w:val="20"/>
        </w:rPr>
        <w:t>sistem za centralno shranjevanje nadzorovanih informacij na podlagi 159. člena</w:t>
      </w:r>
      <w:r>
        <w:rPr>
          <w:rFonts w:cs="Arial"/>
          <w:szCs w:val="20"/>
        </w:rPr>
        <w:t xml:space="preserve"> ZTFI-1.</w:t>
      </w:r>
    </w:p>
    <w:p w14:paraId="42B0CFEE" w14:textId="77777777" w:rsidR="006C0EAD" w:rsidRDefault="006C0EAD" w:rsidP="006C0EAD">
      <w:pPr>
        <w:spacing w:line="276" w:lineRule="auto"/>
        <w:jc w:val="both"/>
        <w:rPr>
          <w:rFonts w:cs="Arial"/>
          <w:b/>
          <w:bCs/>
          <w:szCs w:val="20"/>
        </w:rPr>
      </w:pPr>
    </w:p>
    <w:p w14:paraId="1425B534" w14:textId="15432271" w:rsidR="006C0EAD" w:rsidRPr="0023027E" w:rsidRDefault="006C0EAD" w:rsidP="006C0EAD">
      <w:pPr>
        <w:spacing w:line="276" w:lineRule="auto"/>
        <w:jc w:val="both"/>
        <w:rPr>
          <w:rFonts w:cs="Arial"/>
          <w:b/>
          <w:bCs/>
          <w:szCs w:val="20"/>
        </w:rPr>
      </w:pPr>
      <w:r w:rsidRPr="0023027E">
        <w:rPr>
          <w:rFonts w:cs="Arial"/>
          <w:b/>
          <w:bCs/>
          <w:szCs w:val="20"/>
        </w:rPr>
        <w:t xml:space="preserve">K </w:t>
      </w:r>
      <w:r w:rsidR="00B403C3">
        <w:rPr>
          <w:rFonts w:cs="Arial"/>
          <w:b/>
          <w:bCs/>
          <w:szCs w:val="20"/>
        </w:rPr>
        <w:t>15</w:t>
      </w:r>
      <w:r w:rsidRPr="0023027E">
        <w:rPr>
          <w:rFonts w:cs="Arial"/>
          <w:szCs w:val="20"/>
        </w:rPr>
        <w:t xml:space="preserve">. </w:t>
      </w:r>
      <w:r w:rsidRPr="0023027E">
        <w:rPr>
          <w:rFonts w:cs="Arial"/>
          <w:b/>
          <w:bCs/>
          <w:szCs w:val="20"/>
        </w:rPr>
        <w:t>členu</w:t>
      </w:r>
    </w:p>
    <w:p w14:paraId="3DEFAAF0" w14:textId="77777777" w:rsidR="004D5168" w:rsidRDefault="004D5168" w:rsidP="004D5168">
      <w:pPr>
        <w:spacing w:line="276" w:lineRule="auto"/>
        <w:jc w:val="both"/>
        <w:rPr>
          <w:rFonts w:cs="Arial"/>
          <w:szCs w:val="20"/>
        </w:rPr>
      </w:pPr>
      <w:r>
        <w:rPr>
          <w:rFonts w:cs="Arial"/>
          <w:szCs w:val="20"/>
        </w:rPr>
        <w:t>Ker se v četrtem odstavku novega 7.da člena ZGD-1 prvi</w:t>
      </w:r>
      <w:r w:rsidRPr="003F4D4F">
        <w:rPr>
          <w:rFonts w:cs="Arial"/>
          <w:szCs w:val="20"/>
        </w:rPr>
        <w:t>č opravi</w:t>
      </w:r>
      <w:r>
        <w:rPr>
          <w:rFonts w:cs="Arial"/>
          <w:szCs w:val="20"/>
        </w:rPr>
        <w:t xml:space="preserve"> sklic na </w:t>
      </w:r>
      <w:r w:rsidRPr="00235C4B">
        <w:rPr>
          <w:rFonts w:cs="Arial"/>
          <w:szCs w:val="20"/>
        </w:rPr>
        <w:t xml:space="preserve">Zakon o trgu finančnih instrumentov (Uradni list RS, št. 77/18, 17/19 – </w:t>
      </w:r>
      <w:proofErr w:type="spellStart"/>
      <w:r w:rsidRPr="00235C4B">
        <w:rPr>
          <w:rFonts w:cs="Arial"/>
          <w:szCs w:val="20"/>
        </w:rPr>
        <w:t>popr</w:t>
      </w:r>
      <w:proofErr w:type="spellEnd"/>
      <w:r w:rsidRPr="00235C4B">
        <w:rPr>
          <w:rFonts w:cs="Arial"/>
          <w:szCs w:val="20"/>
        </w:rPr>
        <w:t>., 66/19, 123/21, 45/24 in 77/25; v nadaljnjem besedilu: ZTFI-1)</w:t>
      </w:r>
      <w:r>
        <w:rPr>
          <w:rFonts w:cs="Arial"/>
          <w:szCs w:val="20"/>
        </w:rPr>
        <w:t>, je treba v prvem odstavku 281.d člena ZGD-1 navedeno upoštevati ter črtati besedilo polne navedbe zakona in dodati le okrajšavo.</w:t>
      </w:r>
    </w:p>
    <w:p w14:paraId="3384BC65" w14:textId="77777777" w:rsidR="003B61B3" w:rsidRPr="0023027E" w:rsidRDefault="003B61B3" w:rsidP="005D7F9B">
      <w:pPr>
        <w:spacing w:line="276" w:lineRule="auto"/>
        <w:jc w:val="both"/>
        <w:rPr>
          <w:rFonts w:cs="Arial"/>
          <w:szCs w:val="20"/>
        </w:rPr>
      </w:pPr>
    </w:p>
    <w:p w14:paraId="063C326E" w14:textId="15A85372" w:rsidR="00FE0F83" w:rsidRPr="0023027E" w:rsidRDefault="00FE0F83" w:rsidP="00FE0F83">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16</w:t>
      </w:r>
      <w:r w:rsidR="003B61B3" w:rsidRPr="0023027E">
        <w:rPr>
          <w:rFonts w:cs="Arial"/>
          <w:b/>
          <w:bCs/>
          <w:szCs w:val="20"/>
        </w:rPr>
        <w:t xml:space="preserve">. </w:t>
      </w:r>
      <w:r w:rsidRPr="0023027E">
        <w:rPr>
          <w:rFonts w:cs="Arial"/>
          <w:b/>
          <w:bCs/>
          <w:szCs w:val="20"/>
        </w:rPr>
        <w:t>členu</w:t>
      </w:r>
    </w:p>
    <w:p w14:paraId="1055D80D" w14:textId="77777777" w:rsidR="00D6490B" w:rsidRPr="0023027E" w:rsidRDefault="00D6490B" w:rsidP="00D6490B">
      <w:pPr>
        <w:spacing w:line="276" w:lineRule="auto"/>
        <w:jc w:val="both"/>
        <w:rPr>
          <w:rFonts w:cs="Arial"/>
          <w:szCs w:val="20"/>
        </w:rPr>
      </w:pPr>
      <w:r w:rsidRPr="0023027E">
        <w:rPr>
          <w:rFonts w:cs="Arial"/>
          <w:szCs w:val="20"/>
        </w:rPr>
        <w:t>S tem členom se dodaja nov</w:t>
      </w:r>
      <w:r>
        <w:rPr>
          <w:rFonts w:cs="Arial"/>
          <w:szCs w:val="20"/>
        </w:rPr>
        <w:t>i</w:t>
      </w:r>
      <w:r w:rsidRPr="0023027E">
        <w:rPr>
          <w:rFonts w:cs="Arial"/>
          <w:szCs w:val="20"/>
        </w:rPr>
        <w:t xml:space="preserve"> 317.c člen ZGD-1, ki prenaša 5. člen Direktive 2023/2864/EU oziroma novi 14.c člen Direktive 2007/36/ES Evropskega parlamenta in Sveta z dne 11. julija 2007 o uveljavljanju določenih pravic delničarjev družb, ki kotirajo na borzi (UL L št. 184 z dne 14. 7. 2007, str. 17), </w:t>
      </w:r>
      <w:r>
        <w:rPr>
          <w:rFonts w:cs="Arial"/>
          <w:szCs w:val="20"/>
        </w:rPr>
        <w:t>na</w:t>
      </w:r>
      <w:r w:rsidRPr="0023027E">
        <w:rPr>
          <w:rFonts w:cs="Arial"/>
          <w:szCs w:val="20"/>
        </w:rPr>
        <w:t>zadnj</w:t>
      </w:r>
      <w:r>
        <w:rPr>
          <w:rFonts w:cs="Arial"/>
          <w:szCs w:val="20"/>
        </w:rPr>
        <w:t>e</w:t>
      </w:r>
      <w:r w:rsidRPr="0023027E">
        <w:rPr>
          <w:rFonts w:cs="Arial"/>
          <w:szCs w:val="20"/>
        </w:rPr>
        <w:t xml:space="preserve"> spremenjen</w:t>
      </w:r>
      <w:r>
        <w:rPr>
          <w:rFonts w:cs="Arial"/>
          <w:szCs w:val="20"/>
        </w:rPr>
        <w:t>e</w:t>
      </w:r>
      <w:r w:rsidRPr="0023027E">
        <w:rPr>
          <w:rFonts w:cs="Arial"/>
          <w:szCs w:val="20"/>
        </w:rPr>
        <w:t xml:space="preserve"> z Direktivo (EU) 2023/2864 Evropskega parlamenta in Sveta z dne 13. decembra 2023 o spremembi nekaterih direktiv glede vzpostavitve in delovanja evropske enotne točke dostopa (UL L št. 2023/2864 z dne 20. 12. 2023), (v nadaljnjem besedilu: Direktiva 2007/36/EU). </w:t>
      </w:r>
    </w:p>
    <w:p w14:paraId="484E3008" w14:textId="77777777" w:rsidR="00D6490B" w:rsidRPr="0023027E" w:rsidRDefault="00D6490B" w:rsidP="00D6490B">
      <w:pPr>
        <w:spacing w:line="276" w:lineRule="auto"/>
        <w:jc w:val="both"/>
        <w:rPr>
          <w:rFonts w:cs="Arial"/>
          <w:szCs w:val="20"/>
        </w:rPr>
      </w:pPr>
    </w:p>
    <w:p w14:paraId="7A957D6B" w14:textId="77777777" w:rsidR="00D6490B" w:rsidRPr="0023027E" w:rsidRDefault="00D6490B" w:rsidP="00D6490B">
      <w:pPr>
        <w:spacing w:line="276" w:lineRule="auto"/>
        <w:jc w:val="both"/>
        <w:rPr>
          <w:rFonts w:cs="Arial"/>
          <w:szCs w:val="20"/>
        </w:rPr>
      </w:pPr>
      <w:r w:rsidRPr="0023027E">
        <w:rPr>
          <w:rFonts w:cs="Arial"/>
          <w:szCs w:val="20"/>
        </w:rPr>
        <w:t>Določa se, da institucionalni vlagatelji, upravljavci premoženja, svetovalci za glasovanje in družbe pri objavi katerih koli informacij iz 281.d</w:t>
      </w:r>
      <w:r>
        <w:rPr>
          <w:rFonts w:cs="Arial"/>
          <w:szCs w:val="20"/>
        </w:rPr>
        <w:t xml:space="preserve"> člena</w:t>
      </w:r>
      <w:r w:rsidRPr="0023027E">
        <w:rPr>
          <w:rFonts w:cs="Arial"/>
          <w:szCs w:val="20"/>
        </w:rPr>
        <w:t>, petega odstavka 294.a</w:t>
      </w:r>
      <w:r>
        <w:rPr>
          <w:rFonts w:cs="Arial"/>
          <w:szCs w:val="20"/>
        </w:rPr>
        <w:t xml:space="preserve"> člena</w:t>
      </w:r>
      <w:r w:rsidRPr="0023027E">
        <w:rPr>
          <w:rFonts w:cs="Arial"/>
          <w:szCs w:val="20"/>
        </w:rPr>
        <w:t>, osmega odstavka 294.b</w:t>
      </w:r>
      <w:r>
        <w:rPr>
          <w:rFonts w:cs="Arial"/>
          <w:szCs w:val="20"/>
        </w:rPr>
        <w:t xml:space="preserve"> člena</w:t>
      </w:r>
      <w:r w:rsidRPr="0023027E">
        <w:rPr>
          <w:rFonts w:cs="Arial"/>
          <w:szCs w:val="20"/>
        </w:rPr>
        <w:t>, šestega odstavka 304.</w:t>
      </w:r>
      <w:r>
        <w:rPr>
          <w:rFonts w:cs="Arial"/>
          <w:szCs w:val="20"/>
        </w:rPr>
        <w:t xml:space="preserve"> člena ter</w:t>
      </w:r>
      <w:r w:rsidRPr="0023027E">
        <w:rPr>
          <w:rFonts w:cs="Arial"/>
          <w:szCs w:val="20"/>
        </w:rPr>
        <w:t xml:space="preserve"> 317.b, 317.c in 317.č člena ZGD-1 te informacije hkrati predložijo AJPES. AJPES, ki je organ za zbiranje podatkov, k</w:t>
      </w:r>
      <w:r>
        <w:rPr>
          <w:rFonts w:cs="Arial"/>
          <w:szCs w:val="20"/>
        </w:rPr>
        <w:t>ak</w:t>
      </w:r>
      <w:r w:rsidRPr="0023027E">
        <w:rPr>
          <w:rFonts w:cs="Arial"/>
          <w:szCs w:val="20"/>
        </w:rPr>
        <w:t>o</w:t>
      </w:r>
      <w:r>
        <w:rPr>
          <w:rFonts w:cs="Arial"/>
          <w:szCs w:val="20"/>
        </w:rPr>
        <w:t>r</w:t>
      </w:r>
      <w:r w:rsidRPr="0023027E">
        <w:rPr>
          <w:rFonts w:cs="Arial"/>
          <w:szCs w:val="20"/>
        </w:rPr>
        <w:t xml:space="preserve"> je opredeljen v 2. točki 2. člena Uredbe 2023/2859/EU</w:t>
      </w:r>
      <w:r>
        <w:rPr>
          <w:rFonts w:cs="Arial"/>
          <w:szCs w:val="20"/>
        </w:rPr>
        <w:t>,</w:t>
      </w:r>
      <w:r w:rsidRPr="0023027E">
        <w:rPr>
          <w:rFonts w:cs="Arial"/>
          <w:szCs w:val="20"/>
        </w:rPr>
        <w:t xml:space="preserve"> informacije iz prejšnjega stavka predloži ESAP.</w:t>
      </w:r>
    </w:p>
    <w:p w14:paraId="53F95BE5" w14:textId="77777777" w:rsidR="00D6490B" w:rsidRPr="0023027E" w:rsidRDefault="00D6490B" w:rsidP="00D6490B">
      <w:pPr>
        <w:spacing w:line="276" w:lineRule="auto"/>
        <w:jc w:val="both"/>
        <w:rPr>
          <w:rFonts w:cs="Arial"/>
          <w:szCs w:val="20"/>
        </w:rPr>
      </w:pPr>
    </w:p>
    <w:p w14:paraId="20473AEF" w14:textId="77777777" w:rsidR="00D6490B" w:rsidRPr="0023027E" w:rsidRDefault="00D6490B" w:rsidP="00D6490B">
      <w:pPr>
        <w:spacing w:line="276" w:lineRule="auto"/>
        <w:jc w:val="both"/>
        <w:rPr>
          <w:rFonts w:cs="Arial"/>
          <w:szCs w:val="20"/>
        </w:rPr>
      </w:pPr>
      <w:r w:rsidRPr="0023027E">
        <w:rPr>
          <w:rFonts w:cs="Arial"/>
          <w:szCs w:val="20"/>
        </w:rPr>
        <w:lastRenderedPageBreak/>
        <w:t>V drugem odstavku novega 317.c člena ZGD-1 se določa</w:t>
      </w:r>
      <w:r>
        <w:rPr>
          <w:rFonts w:cs="Arial"/>
          <w:szCs w:val="20"/>
        </w:rPr>
        <w:t>jo</w:t>
      </w:r>
      <w:r w:rsidRPr="0023027E">
        <w:rPr>
          <w:rFonts w:cs="Arial"/>
          <w:szCs w:val="20"/>
        </w:rPr>
        <w:t xml:space="preserve"> zahteve za podatke, ki se predložijo na ESAP. </w:t>
      </w:r>
      <w:r>
        <w:rPr>
          <w:rFonts w:cs="Arial"/>
          <w:szCs w:val="20"/>
        </w:rPr>
        <w:t>Kakor i</w:t>
      </w:r>
      <w:r w:rsidRPr="0023027E">
        <w:rPr>
          <w:rFonts w:cs="Arial"/>
          <w:szCs w:val="20"/>
        </w:rPr>
        <w:t>zhaja iz Direktive 2023/2864/EU</w:t>
      </w:r>
      <w:r>
        <w:rPr>
          <w:rFonts w:cs="Arial"/>
          <w:szCs w:val="20"/>
        </w:rPr>
        <w:t>,</w:t>
      </w:r>
      <w:r w:rsidRPr="0023027E">
        <w:rPr>
          <w:rFonts w:cs="Arial"/>
          <w:szCs w:val="20"/>
        </w:rPr>
        <w:t xml:space="preserve"> se </w:t>
      </w:r>
      <w:r>
        <w:rPr>
          <w:rFonts w:cs="Arial"/>
          <w:szCs w:val="20"/>
        </w:rPr>
        <w:t>morajo</w:t>
      </w:r>
      <w:r w:rsidRPr="0023027E">
        <w:rPr>
          <w:rFonts w:cs="Arial"/>
          <w:szCs w:val="20"/>
        </w:rPr>
        <w:t xml:space="preserve"> podatki predloži</w:t>
      </w:r>
      <w:r>
        <w:rPr>
          <w:rFonts w:cs="Arial"/>
          <w:szCs w:val="20"/>
        </w:rPr>
        <w:t>ti</w:t>
      </w:r>
      <w:r w:rsidRPr="0023027E">
        <w:rPr>
          <w:rFonts w:cs="Arial"/>
          <w:szCs w:val="20"/>
        </w:rPr>
        <w:t xml:space="preserve"> v formatu, ki omogoča </w:t>
      </w:r>
      <w:r>
        <w:rPr>
          <w:rFonts w:cs="Arial"/>
          <w:szCs w:val="20"/>
        </w:rPr>
        <w:t xml:space="preserve">njihov </w:t>
      </w:r>
      <w:r w:rsidRPr="0023027E">
        <w:rPr>
          <w:rFonts w:cs="Arial"/>
          <w:szCs w:val="20"/>
        </w:rPr>
        <w:t>izv</w:t>
      </w:r>
      <w:r>
        <w:rPr>
          <w:rFonts w:cs="Arial"/>
          <w:szCs w:val="20"/>
        </w:rPr>
        <w:t>oz</w:t>
      </w:r>
      <w:r w:rsidRPr="0023027E">
        <w:rPr>
          <w:rFonts w:cs="Arial"/>
          <w:szCs w:val="20"/>
        </w:rPr>
        <w:t xml:space="preserve"> (</w:t>
      </w:r>
      <w:r w:rsidRPr="0023027E">
        <w:rPr>
          <w:rFonts w:cs="Arial"/>
          <w:i/>
          <w:iCs/>
          <w:szCs w:val="20"/>
        </w:rPr>
        <w:t xml:space="preserve">data </w:t>
      </w:r>
      <w:proofErr w:type="spellStart"/>
      <w:r w:rsidRPr="0023027E">
        <w:rPr>
          <w:rFonts w:cs="Arial"/>
          <w:i/>
          <w:iCs/>
          <w:szCs w:val="20"/>
        </w:rPr>
        <w:t>extractable</w:t>
      </w:r>
      <w:proofErr w:type="spellEnd"/>
      <w:r w:rsidRPr="0023027E">
        <w:rPr>
          <w:rFonts w:cs="Arial"/>
          <w:i/>
          <w:iCs/>
          <w:szCs w:val="20"/>
        </w:rPr>
        <w:t xml:space="preserve"> format</w:t>
      </w:r>
      <w:r w:rsidRPr="0023027E">
        <w:rPr>
          <w:rFonts w:cs="Arial"/>
          <w:szCs w:val="20"/>
        </w:rPr>
        <w:t>)</w:t>
      </w:r>
      <w:r>
        <w:rPr>
          <w:rFonts w:cs="Arial"/>
          <w:szCs w:val="20"/>
        </w:rPr>
        <w:t>,</w:t>
      </w:r>
      <w:r w:rsidRPr="0023027E">
        <w:rPr>
          <w:rFonts w:cs="Arial"/>
          <w:szCs w:val="20"/>
        </w:rPr>
        <w:t xml:space="preserve"> ali kjer je to določeno z zakonodajo EU, v strojno berljiv</w:t>
      </w:r>
      <w:r>
        <w:rPr>
          <w:rFonts w:cs="Arial"/>
          <w:szCs w:val="20"/>
        </w:rPr>
        <w:t>i</w:t>
      </w:r>
      <w:r w:rsidRPr="0023027E">
        <w:rPr>
          <w:rFonts w:cs="Arial"/>
          <w:szCs w:val="20"/>
        </w:rPr>
        <w:t xml:space="preserve"> </w:t>
      </w:r>
      <w:r>
        <w:rPr>
          <w:rFonts w:cs="Arial"/>
          <w:szCs w:val="20"/>
        </w:rPr>
        <w:t>obliki</w:t>
      </w:r>
      <w:r w:rsidRPr="0023027E">
        <w:rPr>
          <w:rFonts w:cs="Arial"/>
          <w:szCs w:val="20"/>
        </w:rPr>
        <w:t xml:space="preserve"> (</w:t>
      </w:r>
      <w:proofErr w:type="spellStart"/>
      <w:r w:rsidRPr="0023027E">
        <w:rPr>
          <w:rFonts w:cs="Arial"/>
          <w:i/>
          <w:iCs/>
          <w:szCs w:val="20"/>
        </w:rPr>
        <w:t>machine-readable</w:t>
      </w:r>
      <w:proofErr w:type="spellEnd"/>
      <w:r w:rsidRPr="0023027E">
        <w:rPr>
          <w:rFonts w:cs="Arial"/>
          <w:i/>
          <w:iCs/>
          <w:szCs w:val="20"/>
        </w:rPr>
        <w:t xml:space="preserve"> format</w:t>
      </w:r>
      <w:r w:rsidRPr="0023027E">
        <w:rPr>
          <w:rFonts w:cs="Arial"/>
          <w:szCs w:val="20"/>
        </w:rPr>
        <w:t>). T</w:t>
      </w:r>
      <w:r>
        <w:rPr>
          <w:rFonts w:cs="Arial"/>
          <w:szCs w:val="20"/>
        </w:rPr>
        <w:t>ak</w:t>
      </w:r>
      <w:r w:rsidRPr="0023027E">
        <w:rPr>
          <w:rFonts w:cs="Arial"/>
          <w:szCs w:val="20"/>
        </w:rPr>
        <w:t xml:space="preserve">o so podatki digitalno uporabni, kar omogoča </w:t>
      </w:r>
      <w:r>
        <w:rPr>
          <w:rFonts w:cs="Arial"/>
          <w:szCs w:val="20"/>
        </w:rPr>
        <w:t xml:space="preserve">njihovo </w:t>
      </w:r>
      <w:r w:rsidRPr="0023027E">
        <w:rPr>
          <w:rFonts w:cs="Arial"/>
          <w:szCs w:val="20"/>
        </w:rPr>
        <w:t>avtomatizirano obdelavo, analizo in primerjavo. Standardiziran</w:t>
      </w:r>
      <w:r>
        <w:rPr>
          <w:rFonts w:cs="Arial"/>
          <w:szCs w:val="20"/>
        </w:rPr>
        <w:t>i</w:t>
      </w:r>
      <w:r w:rsidRPr="0023027E">
        <w:rPr>
          <w:rFonts w:cs="Arial"/>
          <w:szCs w:val="20"/>
        </w:rPr>
        <w:t xml:space="preserve"> format olajša uporabnikom (na primer vlagatelji, analitiki in regulatorji) dostop do podatkov </w:t>
      </w:r>
      <w:r>
        <w:rPr>
          <w:rFonts w:cs="Arial"/>
          <w:szCs w:val="20"/>
        </w:rPr>
        <w:t>in</w:t>
      </w:r>
      <w:r w:rsidRPr="0023027E">
        <w:rPr>
          <w:rFonts w:cs="Arial"/>
          <w:szCs w:val="20"/>
        </w:rPr>
        <w:t xml:space="preserve"> njihovo uporabo.</w:t>
      </w:r>
    </w:p>
    <w:p w14:paraId="67AC9506" w14:textId="77777777" w:rsidR="00D6490B" w:rsidRPr="0023027E" w:rsidRDefault="00D6490B" w:rsidP="00D6490B">
      <w:pPr>
        <w:spacing w:line="276" w:lineRule="auto"/>
        <w:jc w:val="both"/>
        <w:rPr>
          <w:rFonts w:cs="Arial"/>
          <w:szCs w:val="20"/>
        </w:rPr>
      </w:pPr>
    </w:p>
    <w:p w14:paraId="62DDFBD7" w14:textId="77777777" w:rsidR="00D6490B" w:rsidRPr="0023027E" w:rsidRDefault="00D6490B" w:rsidP="00D6490B">
      <w:pPr>
        <w:spacing w:after="160" w:line="259" w:lineRule="auto"/>
        <w:jc w:val="both"/>
        <w:rPr>
          <w:rFonts w:cs="Arial"/>
          <w:szCs w:val="20"/>
        </w:rPr>
      </w:pPr>
      <w:r w:rsidRPr="0023027E">
        <w:rPr>
          <w:rFonts w:cs="Arial"/>
          <w:szCs w:val="20"/>
        </w:rPr>
        <w:t xml:space="preserve">Informacije morajo vsebovati metapodatke, ki zagotavljajo dodatne podatke o nadzorovani osebi in naravi </w:t>
      </w:r>
      <w:r>
        <w:rPr>
          <w:rFonts w:cs="Arial"/>
          <w:szCs w:val="20"/>
        </w:rPr>
        <w:t>predloženih</w:t>
      </w:r>
      <w:r w:rsidRPr="0023027E">
        <w:rPr>
          <w:rFonts w:cs="Arial"/>
          <w:szCs w:val="20"/>
        </w:rPr>
        <w:t xml:space="preserve"> podatkov. Ti metapodatki so:</w:t>
      </w:r>
    </w:p>
    <w:p w14:paraId="79136030" w14:textId="77777777" w:rsidR="00D6490B" w:rsidRPr="0023027E" w:rsidRDefault="00D6490B" w:rsidP="00D6490B">
      <w:pPr>
        <w:pStyle w:val="Odstavekseznama"/>
        <w:numPr>
          <w:ilvl w:val="0"/>
          <w:numId w:val="65"/>
        </w:numPr>
        <w:spacing w:after="160" w:line="259" w:lineRule="auto"/>
        <w:jc w:val="both"/>
        <w:rPr>
          <w:rFonts w:cs="Arial"/>
          <w:szCs w:val="20"/>
        </w:rPr>
      </w:pPr>
      <w:r w:rsidRPr="0023027E">
        <w:rPr>
          <w:rFonts w:cs="Arial"/>
          <w:szCs w:val="20"/>
        </w:rPr>
        <w:t>vsa imena institucionalnega vlagatelja, upravljavca premoženja, svetovalca za glasovanje ali družbe, kar vključuje uradno ime pravnega subjekta ali druga imena, pod katerimi ta oseba posluje. Namen je jasna identifikacija subjekta, da se prepreči zmeda pri subjektih z enakimi ali podobnimi imeni;</w:t>
      </w:r>
    </w:p>
    <w:p w14:paraId="775DFFA7" w14:textId="77777777" w:rsidR="00D6490B" w:rsidRPr="0023027E" w:rsidRDefault="00D6490B" w:rsidP="00D6490B">
      <w:pPr>
        <w:pStyle w:val="Odstavekseznama"/>
        <w:numPr>
          <w:ilvl w:val="0"/>
          <w:numId w:val="65"/>
        </w:numPr>
        <w:spacing w:after="160" w:line="259" w:lineRule="auto"/>
        <w:jc w:val="both"/>
        <w:rPr>
          <w:rFonts w:cs="Arial"/>
          <w:szCs w:val="20"/>
        </w:rPr>
      </w:pPr>
      <w:r w:rsidRPr="0023027E">
        <w:rPr>
          <w:rFonts w:cs="Arial"/>
          <w:szCs w:val="20"/>
        </w:rPr>
        <w:t>identifikator pravnih subjektov</w:t>
      </w:r>
      <w:r>
        <w:rPr>
          <w:rFonts w:cs="Arial"/>
          <w:szCs w:val="20"/>
        </w:rPr>
        <w:t>,</w:t>
      </w:r>
      <w:r w:rsidRPr="0023027E">
        <w:rPr>
          <w:rFonts w:cs="Arial"/>
          <w:szCs w:val="20"/>
        </w:rPr>
        <w:t xml:space="preserve"> k</w:t>
      </w:r>
      <w:r>
        <w:rPr>
          <w:rFonts w:cs="Arial"/>
          <w:szCs w:val="20"/>
        </w:rPr>
        <w:t>ak</w:t>
      </w:r>
      <w:r w:rsidRPr="0023027E">
        <w:rPr>
          <w:rFonts w:cs="Arial"/>
          <w:szCs w:val="20"/>
        </w:rPr>
        <w:t>o</w:t>
      </w:r>
      <w:r>
        <w:rPr>
          <w:rFonts w:cs="Arial"/>
          <w:szCs w:val="20"/>
        </w:rPr>
        <w:t>r</w:t>
      </w:r>
      <w:r w:rsidRPr="0023027E">
        <w:rPr>
          <w:rFonts w:cs="Arial"/>
          <w:szCs w:val="20"/>
        </w:rPr>
        <w:t xml:space="preserve"> je določeno v točki b) četrtega odstavka 7. člena Uredbe 2023/2859/EU. Identifikator pravnih subjektov je standardizirana koda, ki se bo uporabljal za enolično identifikacijo pravnih oseb in ga natančneje opredeljuje Izvedbena uredba Komisije (EU) 2025/1338 z dne 10. julija 2025 o določitvi izvedbenih tehničnih standardov za uporabo Uredbe (EU) 2023/2859 Evropskega parlamenta in Sveta v zvezi s funkcionalnostmi evropske enotne točke dostopa (UL L št. 2025/1338 z dne 11. 7. 2025</w:t>
      </w:r>
      <w:r>
        <w:rPr>
          <w:rFonts w:cs="Arial"/>
          <w:szCs w:val="20"/>
        </w:rPr>
        <w:t xml:space="preserve">; </w:t>
      </w:r>
      <w:r w:rsidRPr="0023027E">
        <w:rPr>
          <w:rFonts w:cs="Arial"/>
          <w:szCs w:val="20"/>
        </w:rPr>
        <w:t>v nadaljnjem besedilu: Uredba 2025/1338/EU). Identifikator pravnih subjektov je ključen za izboljšanje preglednosti in sledenja v finančnih sistemih, kar omogoča regulatorjem in drugim deležnikom, da hitro in natančno identificirajo pravne subjekte, vključen</w:t>
      </w:r>
      <w:r>
        <w:rPr>
          <w:rFonts w:cs="Arial"/>
          <w:szCs w:val="20"/>
        </w:rPr>
        <w:t>e</w:t>
      </w:r>
      <w:r w:rsidRPr="0023027E">
        <w:rPr>
          <w:rFonts w:cs="Arial"/>
          <w:szCs w:val="20"/>
        </w:rPr>
        <w:t xml:space="preserve"> v finančne transakcije, kar zmanjšuje tveganja, povezana z nejasnostjo ali prikrivanjem identitete;</w:t>
      </w:r>
    </w:p>
    <w:p w14:paraId="6C25B15C" w14:textId="77777777" w:rsidR="00D6490B" w:rsidRPr="0023027E" w:rsidRDefault="00D6490B" w:rsidP="00D6490B">
      <w:pPr>
        <w:pStyle w:val="Odstavekseznama"/>
        <w:numPr>
          <w:ilvl w:val="0"/>
          <w:numId w:val="65"/>
        </w:numPr>
        <w:spacing w:after="160" w:line="259" w:lineRule="auto"/>
        <w:jc w:val="both"/>
        <w:rPr>
          <w:rFonts w:cs="Arial"/>
          <w:szCs w:val="20"/>
        </w:rPr>
      </w:pPr>
      <w:r w:rsidRPr="0023027E">
        <w:rPr>
          <w:rFonts w:cs="Arial"/>
          <w:szCs w:val="20"/>
        </w:rPr>
        <w:t xml:space="preserve">velikost institucionalnega vlagatelja, upravljavca premoženja, svetovalca za glasovanje ali družbe po kategorijah v skladu s točko d) četrtega odstavka 7. člena Uredbe 2023/2859/EU. Te kategorije so natančneje opredeljene v Uredbi 2025/1338/EU (na primer mala in srednja podjetja, velika podjetja, </w:t>
      </w:r>
      <w:proofErr w:type="spellStart"/>
      <w:r w:rsidRPr="0023027E">
        <w:rPr>
          <w:rFonts w:cs="Arial"/>
          <w:szCs w:val="20"/>
        </w:rPr>
        <w:t>mikropodjetja</w:t>
      </w:r>
      <w:proofErr w:type="spellEnd"/>
      <w:r w:rsidRPr="0023027E">
        <w:rPr>
          <w:rFonts w:cs="Arial"/>
          <w:szCs w:val="20"/>
        </w:rPr>
        <w:t>). Namen je razvrstitev subjektov glede na njihovo velikost;</w:t>
      </w:r>
    </w:p>
    <w:p w14:paraId="7D1214D3" w14:textId="77777777" w:rsidR="00D6490B" w:rsidRPr="0023027E" w:rsidRDefault="00D6490B" w:rsidP="00D6490B">
      <w:pPr>
        <w:pStyle w:val="Odstavekseznama"/>
        <w:numPr>
          <w:ilvl w:val="0"/>
          <w:numId w:val="65"/>
        </w:numPr>
        <w:spacing w:after="160" w:line="259" w:lineRule="auto"/>
        <w:jc w:val="both"/>
        <w:rPr>
          <w:rFonts w:cs="Arial"/>
          <w:szCs w:val="20"/>
        </w:rPr>
      </w:pPr>
      <w:r w:rsidRPr="0023027E">
        <w:rPr>
          <w:rFonts w:cs="Arial"/>
          <w:szCs w:val="20"/>
        </w:rPr>
        <w:t>industrijski sektorji gospodarskih dejavnosti omogoča</w:t>
      </w:r>
      <w:r>
        <w:rPr>
          <w:rFonts w:cs="Arial"/>
          <w:szCs w:val="20"/>
        </w:rPr>
        <w:t>jo</w:t>
      </w:r>
      <w:r w:rsidRPr="0023027E">
        <w:rPr>
          <w:rFonts w:cs="Arial"/>
          <w:szCs w:val="20"/>
        </w:rPr>
        <w:t xml:space="preserve"> regulatorjem, da razumejo, v katerem gospodarskem sektorju deluje nadzorovana oseba. To je ključno za analizo tveganj, </w:t>
      </w:r>
      <w:r>
        <w:rPr>
          <w:rFonts w:cs="Arial"/>
          <w:szCs w:val="20"/>
        </w:rPr>
        <w:t>značilnih</w:t>
      </w:r>
      <w:r w:rsidRPr="0023027E">
        <w:rPr>
          <w:rFonts w:cs="Arial"/>
          <w:szCs w:val="20"/>
        </w:rPr>
        <w:t xml:space="preserve"> za posamezne sektorje, ali za primerjavo podatkov med subjekti v istem sektorju. Ti podatki so uporabni za agregirane analize, ki jih izvajajo regulatorji ali druge institucije,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za spremljanje gospodarskih trendov, tveganj ali vplivov politik na </w:t>
      </w:r>
      <w:r>
        <w:rPr>
          <w:rFonts w:cs="Arial"/>
          <w:szCs w:val="20"/>
        </w:rPr>
        <w:t>posamezne</w:t>
      </w:r>
      <w:r w:rsidRPr="0023027E">
        <w:rPr>
          <w:rFonts w:cs="Arial"/>
          <w:szCs w:val="20"/>
        </w:rPr>
        <w:t xml:space="preserve"> sektorje. Industrijski sektorji gospodarskih dejavnosti so natančneje opredeljen</w:t>
      </w:r>
      <w:r>
        <w:rPr>
          <w:rFonts w:cs="Arial"/>
          <w:szCs w:val="20"/>
        </w:rPr>
        <w:t>i</w:t>
      </w:r>
      <w:r w:rsidRPr="0023027E">
        <w:rPr>
          <w:rFonts w:cs="Arial"/>
          <w:szCs w:val="20"/>
        </w:rPr>
        <w:t xml:space="preserve"> v Uredbi 2025/1338/EU;</w:t>
      </w:r>
    </w:p>
    <w:p w14:paraId="39B5CCFA" w14:textId="77777777" w:rsidR="00D6490B" w:rsidRPr="0023027E" w:rsidRDefault="00D6490B" w:rsidP="00D6490B">
      <w:pPr>
        <w:pStyle w:val="Odstavekseznama"/>
        <w:numPr>
          <w:ilvl w:val="0"/>
          <w:numId w:val="65"/>
        </w:numPr>
        <w:spacing w:after="160" w:line="259" w:lineRule="auto"/>
        <w:jc w:val="both"/>
        <w:rPr>
          <w:rFonts w:cs="Arial"/>
          <w:szCs w:val="20"/>
        </w:rPr>
      </w:pPr>
      <w:r w:rsidRPr="0023027E">
        <w:rPr>
          <w:rFonts w:cs="Arial"/>
          <w:szCs w:val="20"/>
        </w:rPr>
        <w:t xml:space="preserve">vrsta informacij glede na razvrstitev na podlagi točke c) četrtega odstavka 7. člena Uredbe 2023/2859/EU. To pomeni, da morajo biti podatki označeni glede na vrsto ali kategorijo. To </w:t>
      </w:r>
      <w:r>
        <w:rPr>
          <w:rFonts w:cs="Arial"/>
          <w:szCs w:val="20"/>
        </w:rPr>
        <w:t>prejemnikom</w:t>
      </w:r>
      <w:r w:rsidRPr="0023027E">
        <w:rPr>
          <w:rFonts w:cs="Arial"/>
          <w:szCs w:val="20"/>
        </w:rPr>
        <w:t xml:space="preserve"> omogoča lažje razumevanje in obdelavo podatkov. Vrste informacij so natančneje opredeljene v Uredbi 2025/1338/EU;</w:t>
      </w:r>
    </w:p>
    <w:p w14:paraId="0E856312" w14:textId="77777777" w:rsidR="00D6490B" w:rsidRPr="0023027E" w:rsidRDefault="00D6490B" w:rsidP="00D6490B">
      <w:pPr>
        <w:pStyle w:val="Odstavekseznama"/>
        <w:numPr>
          <w:ilvl w:val="0"/>
          <w:numId w:val="65"/>
        </w:numPr>
        <w:spacing w:after="160" w:line="259" w:lineRule="auto"/>
        <w:jc w:val="both"/>
        <w:rPr>
          <w:rFonts w:cs="Arial"/>
          <w:szCs w:val="20"/>
        </w:rPr>
      </w:pPr>
      <w:r w:rsidRPr="0023027E">
        <w:rPr>
          <w:rFonts w:cs="Arial"/>
          <w:szCs w:val="20"/>
        </w:rPr>
        <w:t xml:space="preserve">oznaka, ali informacije vsebujejo osebne podatke: </w:t>
      </w:r>
      <w:r>
        <w:rPr>
          <w:rFonts w:cs="Arial"/>
          <w:szCs w:val="20"/>
        </w:rPr>
        <w:t>i</w:t>
      </w:r>
      <w:r w:rsidRPr="0023027E">
        <w:rPr>
          <w:rFonts w:cs="Arial"/>
          <w:szCs w:val="20"/>
        </w:rPr>
        <w:t>nformacije morajo biti označene, če vsebujejo osebne podatke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podatke o posameznikih, kot so imena, naslovi, identifikacijske številke). Ta zahteva je pomembna za skladnost z zakonodajo o varstvu podatkov, saj osebni podatki zahtevajo posebno obravnavo in varstvo.</w:t>
      </w:r>
    </w:p>
    <w:p w14:paraId="2E36719F" w14:textId="77777777" w:rsidR="00D6490B" w:rsidRPr="0023027E" w:rsidRDefault="00D6490B" w:rsidP="00D6490B">
      <w:pPr>
        <w:spacing w:line="276" w:lineRule="auto"/>
        <w:jc w:val="both"/>
        <w:rPr>
          <w:rFonts w:cs="Arial"/>
          <w:szCs w:val="20"/>
        </w:rPr>
      </w:pPr>
    </w:p>
    <w:p w14:paraId="79B1B08F" w14:textId="77777777" w:rsidR="00D6490B" w:rsidRPr="0023027E" w:rsidRDefault="00D6490B" w:rsidP="00D6490B">
      <w:pPr>
        <w:spacing w:line="276" w:lineRule="auto"/>
        <w:jc w:val="both"/>
        <w:rPr>
          <w:rFonts w:cs="Arial"/>
          <w:szCs w:val="20"/>
        </w:rPr>
      </w:pPr>
      <w:r w:rsidRPr="0023027E">
        <w:rPr>
          <w:rFonts w:cs="Arial"/>
          <w:szCs w:val="20"/>
        </w:rPr>
        <w:t>Metapodatki so ključni za organiz</w:t>
      </w:r>
      <w:r>
        <w:rPr>
          <w:rFonts w:cs="Arial"/>
          <w:szCs w:val="20"/>
        </w:rPr>
        <w:t>ir</w:t>
      </w:r>
      <w:r w:rsidRPr="0023027E">
        <w:rPr>
          <w:rFonts w:cs="Arial"/>
          <w:szCs w:val="20"/>
        </w:rPr>
        <w:t>a</w:t>
      </w:r>
      <w:r>
        <w:rPr>
          <w:rFonts w:cs="Arial"/>
          <w:szCs w:val="20"/>
        </w:rPr>
        <w:t>n</w:t>
      </w:r>
      <w:r w:rsidRPr="0023027E">
        <w:rPr>
          <w:rFonts w:cs="Arial"/>
          <w:szCs w:val="20"/>
        </w:rPr>
        <w:t>j</w:t>
      </w:r>
      <w:r>
        <w:rPr>
          <w:rFonts w:cs="Arial"/>
          <w:szCs w:val="20"/>
        </w:rPr>
        <w:t>e</w:t>
      </w:r>
      <w:r w:rsidRPr="0023027E">
        <w:rPr>
          <w:rFonts w:cs="Arial"/>
          <w:szCs w:val="20"/>
        </w:rPr>
        <w:t xml:space="preserve"> in kategoriz</w:t>
      </w:r>
      <w:r>
        <w:rPr>
          <w:rFonts w:cs="Arial"/>
          <w:szCs w:val="20"/>
        </w:rPr>
        <w:t>ir</w:t>
      </w:r>
      <w:r w:rsidRPr="0023027E">
        <w:rPr>
          <w:rFonts w:cs="Arial"/>
          <w:szCs w:val="20"/>
        </w:rPr>
        <w:t>a</w:t>
      </w:r>
      <w:r>
        <w:rPr>
          <w:rFonts w:cs="Arial"/>
          <w:szCs w:val="20"/>
        </w:rPr>
        <w:t>n</w:t>
      </w:r>
      <w:r w:rsidRPr="0023027E">
        <w:rPr>
          <w:rFonts w:cs="Arial"/>
          <w:szCs w:val="20"/>
        </w:rPr>
        <w:t>j</w:t>
      </w:r>
      <w:r>
        <w:rPr>
          <w:rFonts w:cs="Arial"/>
          <w:szCs w:val="20"/>
        </w:rPr>
        <w:t>e</w:t>
      </w:r>
      <w:r w:rsidRPr="0023027E">
        <w:rPr>
          <w:rFonts w:cs="Arial"/>
          <w:szCs w:val="20"/>
        </w:rPr>
        <w:t xml:space="preserve"> informacij na ESAP. Z njimi se podatki označijo z dodatnimi informacijami, kar omogoča lažje iskanje in filtriranje. Metapodatki zagotavljajo, da so informacije strukturirane in dostopne na način, prilagojen potrebam uporabnikov, ter povečujejo preglednost in učinkovitost ESAP. Pri tem je pomembno tudi načelo </w:t>
      </w:r>
      <w:r>
        <w:rPr>
          <w:rFonts w:cs="Arial"/>
          <w:szCs w:val="20"/>
        </w:rPr>
        <w:t>»</w:t>
      </w:r>
      <w:r w:rsidRPr="0023027E">
        <w:rPr>
          <w:rFonts w:cs="Arial"/>
          <w:szCs w:val="20"/>
        </w:rPr>
        <w:t>enkratnega vnosa</w:t>
      </w:r>
      <w:r>
        <w:rPr>
          <w:rFonts w:cs="Arial"/>
          <w:szCs w:val="20"/>
        </w:rPr>
        <w:t>«</w:t>
      </w:r>
      <w:r w:rsidRPr="0023027E">
        <w:rPr>
          <w:rFonts w:cs="Arial"/>
          <w:szCs w:val="20"/>
        </w:rPr>
        <w:t xml:space="preserve"> (</w:t>
      </w:r>
      <w:r w:rsidRPr="0023027E">
        <w:rPr>
          <w:rFonts w:cs="Arial"/>
          <w:i/>
          <w:iCs/>
          <w:szCs w:val="20"/>
        </w:rPr>
        <w:t xml:space="preserve">file </w:t>
      </w:r>
      <w:proofErr w:type="spellStart"/>
      <w:r w:rsidRPr="0023027E">
        <w:rPr>
          <w:rFonts w:cs="Arial"/>
          <w:i/>
          <w:iCs/>
          <w:szCs w:val="20"/>
        </w:rPr>
        <w:t>once</w:t>
      </w:r>
      <w:proofErr w:type="spellEnd"/>
      <w:r w:rsidRPr="0023027E">
        <w:rPr>
          <w:rFonts w:cs="Arial"/>
          <w:i/>
          <w:iCs/>
          <w:szCs w:val="20"/>
        </w:rPr>
        <w:t xml:space="preserve"> </w:t>
      </w:r>
      <w:proofErr w:type="spellStart"/>
      <w:r w:rsidRPr="0023027E">
        <w:rPr>
          <w:rFonts w:cs="Arial"/>
          <w:i/>
          <w:iCs/>
          <w:szCs w:val="20"/>
        </w:rPr>
        <w:t>principle</w:t>
      </w:r>
      <w:proofErr w:type="spellEnd"/>
      <w:r w:rsidRPr="0023027E">
        <w:rPr>
          <w:rFonts w:cs="Arial"/>
          <w:szCs w:val="20"/>
        </w:rPr>
        <w:t xml:space="preserve">), kar pomeni, da subjekti podatke, ki jih že objavljajo v skladu z </w:t>
      </w:r>
      <w:r>
        <w:rPr>
          <w:rFonts w:cs="Arial"/>
          <w:szCs w:val="20"/>
        </w:rPr>
        <w:t>veljavno</w:t>
      </w:r>
      <w:r w:rsidRPr="0023027E">
        <w:rPr>
          <w:rFonts w:cs="Arial"/>
          <w:szCs w:val="20"/>
        </w:rPr>
        <w:t xml:space="preserve"> zakonodajo, predložijo v standardiziranem formatu brez dodatnih obveznosti. </w:t>
      </w:r>
      <w:r w:rsidRPr="0023027E">
        <w:rPr>
          <w:rFonts w:cs="Arial"/>
          <w:szCs w:val="20"/>
        </w:rPr>
        <w:lastRenderedPageBreak/>
        <w:t xml:space="preserve">Zahteve po </w:t>
      </w:r>
      <w:r>
        <w:rPr>
          <w:rFonts w:cs="Arial"/>
          <w:szCs w:val="20"/>
        </w:rPr>
        <w:t>izvozu</w:t>
      </w:r>
      <w:r w:rsidRPr="0023027E">
        <w:rPr>
          <w:rFonts w:cs="Arial"/>
          <w:szCs w:val="20"/>
        </w:rPr>
        <w:t xml:space="preserve"> podatkov in metapodatkih zagotavljajo, da se ti podatki učinkovito </w:t>
      </w:r>
      <w:r>
        <w:rPr>
          <w:rFonts w:cs="Arial"/>
          <w:szCs w:val="20"/>
        </w:rPr>
        <w:t>vključijo</w:t>
      </w:r>
      <w:r w:rsidRPr="0023027E">
        <w:rPr>
          <w:rFonts w:cs="Arial"/>
          <w:szCs w:val="20"/>
        </w:rPr>
        <w:t xml:space="preserve"> v centralizirano platformo ESAP, kar zmanjšuje administrativno breme in povečuje dostopnost.</w:t>
      </w:r>
    </w:p>
    <w:p w14:paraId="30CF48F3" w14:textId="77777777" w:rsidR="00D6490B" w:rsidRPr="0023027E" w:rsidRDefault="00D6490B" w:rsidP="00D6490B">
      <w:pPr>
        <w:spacing w:line="276" w:lineRule="auto"/>
        <w:jc w:val="both"/>
        <w:rPr>
          <w:rFonts w:cs="Arial"/>
          <w:szCs w:val="20"/>
        </w:rPr>
      </w:pPr>
    </w:p>
    <w:p w14:paraId="1B2E5471" w14:textId="77777777" w:rsidR="00D6490B" w:rsidRPr="0023027E" w:rsidRDefault="00D6490B" w:rsidP="00D6490B">
      <w:pPr>
        <w:spacing w:line="276" w:lineRule="auto"/>
        <w:jc w:val="both"/>
        <w:rPr>
          <w:rFonts w:cs="Arial"/>
          <w:szCs w:val="20"/>
        </w:rPr>
      </w:pPr>
      <w:r w:rsidRPr="0023027E">
        <w:rPr>
          <w:rFonts w:cs="Arial"/>
          <w:szCs w:val="20"/>
        </w:rPr>
        <w:t xml:space="preserve">Uporaba metapodatkov in standardiziranih formatov omogoča tehnično </w:t>
      </w:r>
      <w:proofErr w:type="spellStart"/>
      <w:r w:rsidRPr="0023027E">
        <w:rPr>
          <w:rFonts w:cs="Arial"/>
          <w:szCs w:val="20"/>
        </w:rPr>
        <w:t>interoperabilnost</w:t>
      </w:r>
      <w:proofErr w:type="spellEnd"/>
      <w:r w:rsidRPr="0023027E">
        <w:rPr>
          <w:rFonts w:cs="Arial"/>
          <w:szCs w:val="20"/>
        </w:rPr>
        <w:t xml:space="preserve"> med različnimi sistemi zbiranja podatkov na nacionalni ravni in ESAP, ki ga upravlja ESMA. To omogoča nemoten</w:t>
      </w:r>
      <w:r>
        <w:rPr>
          <w:rFonts w:cs="Arial"/>
          <w:szCs w:val="20"/>
        </w:rPr>
        <w:t>i</w:t>
      </w:r>
      <w:r w:rsidRPr="0023027E">
        <w:rPr>
          <w:rFonts w:cs="Arial"/>
          <w:szCs w:val="20"/>
        </w:rPr>
        <w:t xml:space="preserve"> prenos podatkov, kar povečuje učinkovitost in zmanjšuje stroške.</w:t>
      </w:r>
    </w:p>
    <w:p w14:paraId="5B6A3570" w14:textId="77777777" w:rsidR="00D6490B" w:rsidRPr="0023027E" w:rsidRDefault="00D6490B" w:rsidP="00D6490B">
      <w:pPr>
        <w:spacing w:line="276" w:lineRule="auto"/>
        <w:jc w:val="both"/>
        <w:rPr>
          <w:rFonts w:cs="Arial"/>
          <w:szCs w:val="20"/>
        </w:rPr>
      </w:pPr>
    </w:p>
    <w:p w14:paraId="1490E0FB" w14:textId="77777777" w:rsidR="00D6490B" w:rsidRDefault="00D6490B" w:rsidP="00D6490B">
      <w:pPr>
        <w:spacing w:line="276" w:lineRule="auto"/>
        <w:jc w:val="both"/>
        <w:rPr>
          <w:rFonts w:cs="Arial"/>
          <w:szCs w:val="20"/>
        </w:rPr>
      </w:pPr>
      <w:r w:rsidRPr="0023027E">
        <w:rPr>
          <w:rFonts w:cs="Arial"/>
          <w:szCs w:val="20"/>
        </w:rPr>
        <w:t>Določa se tudi, da institucionalni vlagatelji, upravljavci premoženja, svetovalci za glasovanje in družbe pridobijo identifikator pravnih subjektov, k</w:t>
      </w:r>
      <w:r>
        <w:rPr>
          <w:rFonts w:cs="Arial"/>
          <w:szCs w:val="20"/>
        </w:rPr>
        <w:t>ak</w:t>
      </w:r>
      <w:r w:rsidRPr="0023027E">
        <w:rPr>
          <w:rFonts w:cs="Arial"/>
          <w:szCs w:val="20"/>
        </w:rPr>
        <w:t>o</w:t>
      </w:r>
      <w:r>
        <w:rPr>
          <w:rFonts w:cs="Arial"/>
          <w:szCs w:val="20"/>
        </w:rPr>
        <w:t>r</w:t>
      </w:r>
      <w:r w:rsidRPr="0023027E">
        <w:rPr>
          <w:rFonts w:cs="Arial"/>
          <w:szCs w:val="20"/>
        </w:rPr>
        <w:t xml:space="preserve"> je določen v Uredbi 2023/2859/EU, če tega identifikatorja še nimajo.</w:t>
      </w:r>
    </w:p>
    <w:p w14:paraId="1513C81D" w14:textId="77777777" w:rsidR="00D6490B" w:rsidRDefault="00D6490B" w:rsidP="00D6490B">
      <w:pPr>
        <w:spacing w:line="276" w:lineRule="auto"/>
        <w:jc w:val="both"/>
        <w:rPr>
          <w:rFonts w:cs="Arial"/>
          <w:szCs w:val="20"/>
        </w:rPr>
      </w:pPr>
    </w:p>
    <w:p w14:paraId="32F0CC97" w14:textId="77777777" w:rsidR="00D6490B" w:rsidRPr="0023027E" w:rsidRDefault="00D6490B" w:rsidP="00D6490B">
      <w:pPr>
        <w:spacing w:line="276" w:lineRule="auto"/>
        <w:jc w:val="both"/>
        <w:rPr>
          <w:rFonts w:cs="Arial"/>
          <w:szCs w:val="20"/>
        </w:rPr>
      </w:pPr>
      <w:r>
        <w:rPr>
          <w:rFonts w:cs="Arial"/>
          <w:szCs w:val="20"/>
        </w:rPr>
        <w:t>Da bi se</w:t>
      </w:r>
      <w:r w:rsidRPr="00C4043B">
        <w:rPr>
          <w:rFonts w:cs="Arial"/>
          <w:szCs w:val="20"/>
        </w:rPr>
        <w:t xml:space="preserve"> izog</w:t>
      </w:r>
      <w:r>
        <w:rPr>
          <w:rFonts w:cs="Arial"/>
          <w:szCs w:val="20"/>
        </w:rPr>
        <w:t>nil</w:t>
      </w:r>
      <w:r w:rsidRPr="00C4043B">
        <w:rPr>
          <w:rFonts w:cs="Arial"/>
          <w:szCs w:val="20"/>
        </w:rPr>
        <w:t xml:space="preserve">i podvajanju obveznosti javnih družb (in podvajanju informacij v sistemu ESAP), ki svoje informacije objavljajo v skladu </w:t>
      </w:r>
      <w:r>
        <w:rPr>
          <w:rFonts w:cs="Arial"/>
          <w:szCs w:val="20"/>
        </w:rPr>
        <w:t>s</w:t>
      </w:r>
      <w:r w:rsidRPr="00C4043B">
        <w:rPr>
          <w:rFonts w:cs="Arial"/>
          <w:szCs w:val="20"/>
        </w:rPr>
        <w:t xml:space="preserve"> prvo točko prvega odstavka 158. člena ZTFI-1 in jih </w:t>
      </w:r>
      <w:r>
        <w:rPr>
          <w:rFonts w:cs="Arial"/>
          <w:szCs w:val="20"/>
        </w:rPr>
        <w:t>hkrati</w:t>
      </w:r>
      <w:r w:rsidRPr="00C4043B">
        <w:rPr>
          <w:rFonts w:cs="Arial"/>
          <w:szCs w:val="20"/>
        </w:rPr>
        <w:t xml:space="preserve"> predložijo tudi v sistem za centralno shranjevanje nadzorovanih informacij, </w:t>
      </w:r>
      <w:r>
        <w:rPr>
          <w:rFonts w:cs="Arial"/>
          <w:szCs w:val="20"/>
        </w:rPr>
        <w:t>se v četrtem odstavku uvaja</w:t>
      </w:r>
      <w:r w:rsidRPr="00C4043B">
        <w:rPr>
          <w:rFonts w:cs="Arial"/>
          <w:szCs w:val="20"/>
        </w:rPr>
        <w:t xml:space="preserve"> poenostavitev, da se za te primere kot </w:t>
      </w:r>
      <w:r>
        <w:rPr>
          <w:rFonts w:cs="Arial"/>
          <w:szCs w:val="20"/>
        </w:rPr>
        <w:t xml:space="preserve">organ, pristojen za zbiranje podatkov, </w:t>
      </w:r>
      <w:r w:rsidRPr="00C4043B">
        <w:rPr>
          <w:rFonts w:cs="Arial"/>
          <w:szCs w:val="20"/>
        </w:rPr>
        <w:t xml:space="preserve">določi tudi sistem za centralno shranjevanje nadzorovanih informacij. </w:t>
      </w:r>
    </w:p>
    <w:p w14:paraId="3CAC9C2B" w14:textId="77777777" w:rsidR="003B61B3" w:rsidRPr="0023027E" w:rsidRDefault="003B61B3" w:rsidP="00C64B3F">
      <w:pPr>
        <w:spacing w:line="240" w:lineRule="auto"/>
        <w:jc w:val="both"/>
        <w:rPr>
          <w:rFonts w:cs="Arial"/>
          <w:szCs w:val="20"/>
        </w:rPr>
      </w:pPr>
    </w:p>
    <w:p w14:paraId="44EFFCEE" w14:textId="2B6DFCC6" w:rsidR="00FE0F83" w:rsidRPr="0023027E" w:rsidRDefault="00FE0F83" w:rsidP="00FE0F83">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17</w:t>
      </w:r>
      <w:r w:rsidR="003051B9" w:rsidRPr="0023027E">
        <w:rPr>
          <w:rFonts w:cs="Arial"/>
          <w:b/>
          <w:bCs/>
          <w:szCs w:val="20"/>
        </w:rPr>
        <w:t xml:space="preserve">. </w:t>
      </w:r>
      <w:r w:rsidRPr="0023027E">
        <w:rPr>
          <w:rFonts w:cs="Arial"/>
          <w:b/>
          <w:bCs/>
          <w:szCs w:val="20"/>
        </w:rPr>
        <w:t>členu</w:t>
      </w:r>
    </w:p>
    <w:p w14:paraId="45C71219" w14:textId="77777777" w:rsidR="003051B9" w:rsidRPr="0023027E" w:rsidRDefault="003051B9" w:rsidP="003051B9">
      <w:pPr>
        <w:spacing w:line="276" w:lineRule="auto"/>
        <w:jc w:val="both"/>
        <w:rPr>
          <w:rFonts w:cs="Arial"/>
          <w:szCs w:val="20"/>
        </w:rPr>
      </w:pPr>
      <w:r w:rsidRPr="0023027E">
        <w:rPr>
          <w:rFonts w:cs="Arial"/>
          <w:szCs w:val="20"/>
        </w:rPr>
        <w:t xml:space="preserve">S </w:t>
      </w:r>
      <w:r w:rsidR="0040518D" w:rsidRPr="0023027E">
        <w:rPr>
          <w:rFonts w:cs="Arial"/>
          <w:szCs w:val="20"/>
        </w:rPr>
        <w:t xml:space="preserve">tem </w:t>
      </w:r>
      <w:r w:rsidRPr="0023027E">
        <w:rPr>
          <w:rFonts w:cs="Arial"/>
          <w:szCs w:val="20"/>
        </w:rPr>
        <w:t xml:space="preserve">členom se predlaga dopolnitev prvega </w:t>
      </w:r>
      <w:r w:rsidR="0040518D" w:rsidRPr="0023027E">
        <w:rPr>
          <w:rFonts w:cs="Arial"/>
          <w:szCs w:val="20"/>
        </w:rPr>
        <w:t xml:space="preserve">odstavka </w:t>
      </w:r>
      <w:r w:rsidRPr="0023027E">
        <w:rPr>
          <w:rFonts w:cs="Arial"/>
          <w:szCs w:val="20"/>
        </w:rPr>
        <w:t>686. člena ZGD-1 na način, da se določijo sankcije za kršitev obveznosti predložitve informacij ali če te informacije niso predložene v zahtevani obliki ali če subjekt ne pridobi identifikatorja pravnih subjektov.</w:t>
      </w:r>
    </w:p>
    <w:p w14:paraId="010E288B" w14:textId="77777777" w:rsidR="003051B9" w:rsidRPr="0023027E" w:rsidRDefault="003051B9" w:rsidP="003051B9">
      <w:pPr>
        <w:spacing w:line="276" w:lineRule="auto"/>
        <w:jc w:val="both"/>
        <w:rPr>
          <w:rFonts w:cs="Arial"/>
          <w:szCs w:val="20"/>
        </w:rPr>
      </w:pPr>
    </w:p>
    <w:p w14:paraId="17361FB6" w14:textId="0E5FE0B9" w:rsidR="003051B9" w:rsidRPr="0023027E" w:rsidRDefault="003051B9" w:rsidP="003051B9">
      <w:pPr>
        <w:spacing w:line="276" w:lineRule="auto"/>
        <w:jc w:val="both"/>
        <w:rPr>
          <w:rFonts w:cs="Arial"/>
          <w:szCs w:val="20"/>
        </w:rPr>
      </w:pPr>
      <w:r w:rsidRPr="0023027E">
        <w:rPr>
          <w:rFonts w:cs="Arial"/>
          <w:szCs w:val="20"/>
        </w:rPr>
        <w:t xml:space="preserve">Podrobneje v obrazložitvi k </w:t>
      </w:r>
      <w:r w:rsidR="00B403C3">
        <w:t>6</w:t>
      </w:r>
      <w:r w:rsidRPr="0023027E">
        <w:rPr>
          <w:rFonts w:cs="Arial"/>
          <w:szCs w:val="20"/>
        </w:rPr>
        <w:t>. členu predloga zakona.</w:t>
      </w:r>
    </w:p>
    <w:p w14:paraId="126B39FA" w14:textId="77777777" w:rsidR="00FE0F83" w:rsidRPr="0023027E" w:rsidRDefault="00FE0F83" w:rsidP="00C64B3F">
      <w:pPr>
        <w:spacing w:line="240" w:lineRule="auto"/>
        <w:jc w:val="both"/>
        <w:rPr>
          <w:rFonts w:cs="Arial"/>
          <w:szCs w:val="20"/>
        </w:rPr>
      </w:pPr>
    </w:p>
    <w:p w14:paraId="369BD4EB" w14:textId="6FB23928" w:rsidR="00FE0F83" w:rsidRPr="0023027E" w:rsidRDefault="00FE0F83" w:rsidP="00FE0F83">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18</w:t>
      </w:r>
      <w:r w:rsidR="003051B9" w:rsidRPr="0023027E">
        <w:rPr>
          <w:rFonts w:cs="Arial"/>
          <w:b/>
          <w:bCs/>
          <w:szCs w:val="20"/>
        </w:rPr>
        <w:t xml:space="preserve">. </w:t>
      </w:r>
      <w:r w:rsidRPr="0023027E">
        <w:rPr>
          <w:rFonts w:cs="Arial"/>
          <w:b/>
          <w:bCs/>
          <w:szCs w:val="20"/>
        </w:rPr>
        <w:t>členu</w:t>
      </w:r>
    </w:p>
    <w:p w14:paraId="5F10AE37" w14:textId="77777777" w:rsidR="00D6490B" w:rsidRPr="0023027E" w:rsidRDefault="00D6490B" w:rsidP="00D6490B">
      <w:pPr>
        <w:spacing w:line="276" w:lineRule="auto"/>
        <w:jc w:val="both"/>
        <w:rPr>
          <w:rFonts w:cs="Arial"/>
          <w:szCs w:val="20"/>
        </w:rPr>
      </w:pPr>
      <w:r w:rsidRPr="0023027E">
        <w:rPr>
          <w:rFonts w:cs="Arial"/>
          <w:szCs w:val="20"/>
        </w:rPr>
        <w:t>Predlaga se sprememba 2. člena Zakona o investicijskih skladih in družbah za upravljanje (Uradni list RS, št. 31/15, 81/15, 77/16, 77/18, 161/21 in 101/22 – ZOAIS; v nadaljnjem besedilu: ZISDU-3)</w:t>
      </w:r>
      <w:r>
        <w:rPr>
          <w:rFonts w:cs="Arial"/>
          <w:szCs w:val="20"/>
        </w:rPr>
        <w:t xml:space="preserve"> z</w:t>
      </w:r>
      <w:r w:rsidRPr="0023027E">
        <w:rPr>
          <w:rFonts w:cs="Arial"/>
          <w:szCs w:val="20"/>
        </w:rPr>
        <w:t xml:space="preserve"> nav</w:t>
      </w:r>
      <w:r>
        <w:rPr>
          <w:rFonts w:cs="Arial"/>
          <w:szCs w:val="20"/>
        </w:rPr>
        <w:t>edbo</w:t>
      </w:r>
      <w:r w:rsidRPr="0023027E">
        <w:rPr>
          <w:rFonts w:cs="Arial"/>
          <w:szCs w:val="20"/>
        </w:rPr>
        <w:t xml:space="preserve"> akt</w:t>
      </w:r>
      <w:r>
        <w:rPr>
          <w:rFonts w:cs="Arial"/>
          <w:szCs w:val="20"/>
        </w:rPr>
        <w:t>ov</w:t>
      </w:r>
      <w:r w:rsidRPr="0023027E">
        <w:rPr>
          <w:rFonts w:cs="Arial"/>
          <w:szCs w:val="20"/>
        </w:rPr>
        <w:t xml:space="preserve"> EU, ki se s tem zakonom prenašajo v slovenski pravni red oziroma se </w:t>
      </w:r>
      <w:r>
        <w:rPr>
          <w:rFonts w:cs="Arial"/>
          <w:szCs w:val="20"/>
        </w:rPr>
        <w:t xml:space="preserve">z njim </w:t>
      </w:r>
      <w:r w:rsidRPr="0023027E">
        <w:rPr>
          <w:rFonts w:cs="Arial"/>
          <w:szCs w:val="20"/>
        </w:rPr>
        <w:t>ureja njihovo izvajanje. Predlaga se dopolnitev navedb štirih direktiv in dveh uredb.</w:t>
      </w:r>
    </w:p>
    <w:p w14:paraId="1DF865F3" w14:textId="77777777" w:rsidR="00D6490B" w:rsidRPr="0023027E" w:rsidRDefault="00D6490B" w:rsidP="00D6490B">
      <w:pPr>
        <w:spacing w:line="276" w:lineRule="auto"/>
        <w:jc w:val="both"/>
        <w:rPr>
          <w:rFonts w:cs="Arial"/>
          <w:szCs w:val="20"/>
        </w:rPr>
      </w:pPr>
    </w:p>
    <w:p w14:paraId="5D6BD951" w14:textId="77777777" w:rsidR="00D6490B" w:rsidRPr="0023027E" w:rsidRDefault="00D6490B" w:rsidP="00D6490B">
      <w:pPr>
        <w:spacing w:line="276" w:lineRule="auto"/>
        <w:jc w:val="both"/>
        <w:rPr>
          <w:rFonts w:cs="Arial"/>
          <w:szCs w:val="20"/>
        </w:rPr>
      </w:pPr>
      <w:r w:rsidRPr="0023027E">
        <w:rPr>
          <w:rFonts w:cs="Arial"/>
          <w:szCs w:val="20"/>
        </w:rPr>
        <w:t xml:space="preserve">Sprememba je potrebna, da se zagotovi skladnost </w:t>
      </w:r>
      <w:r>
        <w:rPr>
          <w:rFonts w:cs="Arial"/>
          <w:szCs w:val="20"/>
        </w:rPr>
        <w:t>s</w:t>
      </w:r>
      <w:r w:rsidRPr="0023027E">
        <w:rPr>
          <w:rFonts w:cs="Arial"/>
          <w:szCs w:val="20"/>
        </w:rPr>
        <w:t xml:space="preserve"> spremenjenimi pravnimi akti EU, s čimer se ohranjata pravna pravilnost in usklajenost </w:t>
      </w:r>
      <w:r>
        <w:rPr>
          <w:rFonts w:cs="Arial"/>
          <w:szCs w:val="20"/>
        </w:rPr>
        <w:t>d</w:t>
      </w:r>
      <w:r w:rsidRPr="0023027E">
        <w:rPr>
          <w:rFonts w:cs="Arial"/>
          <w:szCs w:val="20"/>
        </w:rPr>
        <w:t>o</w:t>
      </w:r>
      <w:r>
        <w:rPr>
          <w:rFonts w:cs="Arial"/>
          <w:szCs w:val="20"/>
        </w:rPr>
        <w:t>m</w:t>
      </w:r>
      <w:r w:rsidRPr="0023027E">
        <w:rPr>
          <w:rFonts w:cs="Arial"/>
          <w:szCs w:val="20"/>
        </w:rPr>
        <w:t>a</w:t>
      </w:r>
      <w:r>
        <w:rPr>
          <w:rFonts w:cs="Arial"/>
          <w:szCs w:val="20"/>
        </w:rPr>
        <w:t>č</w:t>
      </w:r>
      <w:r w:rsidRPr="0023027E">
        <w:rPr>
          <w:rFonts w:cs="Arial"/>
          <w:szCs w:val="20"/>
        </w:rPr>
        <w:t xml:space="preserve">e zakonodaje </w:t>
      </w:r>
      <w:r>
        <w:rPr>
          <w:rFonts w:cs="Arial"/>
          <w:szCs w:val="20"/>
        </w:rPr>
        <w:t xml:space="preserve">s </w:t>
      </w:r>
      <w:r w:rsidRPr="0023027E">
        <w:rPr>
          <w:rFonts w:cs="Arial"/>
          <w:szCs w:val="20"/>
        </w:rPr>
        <w:t>predpisi EU. Namen uskladitve je zagotoviti jasnost, natančnost in doslednost pri sklicevanju na akte EU ter preprečiti morebitne neskladnosti pri izvajanju predpisa.</w:t>
      </w:r>
    </w:p>
    <w:p w14:paraId="4073C356" w14:textId="77777777" w:rsidR="006C1269" w:rsidRPr="0023027E" w:rsidRDefault="006C1269" w:rsidP="00603A31">
      <w:pPr>
        <w:keepNext/>
        <w:keepLines/>
        <w:widowControl w:val="0"/>
        <w:spacing w:line="276" w:lineRule="auto"/>
        <w:jc w:val="both"/>
        <w:rPr>
          <w:rFonts w:cs="Arial"/>
          <w:szCs w:val="20"/>
        </w:rPr>
      </w:pPr>
    </w:p>
    <w:p w14:paraId="3419A025" w14:textId="34122041" w:rsidR="00362A0F" w:rsidRPr="0023027E" w:rsidRDefault="00362A0F" w:rsidP="00362A0F">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19</w:t>
      </w:r>
      <w:r w:rsidR="006C1269" w:rsidRPr="0023027E">
        <w:rPr>
          <w:rFonts w:cs="Arial"/>
          <w:b/>
          <w:bCs/>
          <w:szCs w:val="20"/>
        </w:rPr>
        <w:t xml:space="preserve">. </w:t>
      </w:r>
      <w:r w:rsidRPr="0023027E">
        <w:rPr>
          <w:rFonts w:cs="Arial"/>
          <w:b/>
          <w:bCs/>
          <w:szCs w:val="20"/>
        </w:rPr>
        <w:t>členu</w:t>
      </w:r>
    </w:p>
    <w:p w14:paraId="6A6A2953" w14:textId="77777777" w:rsidR="00D6490B" w:rsidRPr="0023027E" w:rsidRDefault="00D6490B" w:rsidP="00D6490B">
      <w:pPr>
        <w:spacing w:line="276" w:lineRule="auto"/>
        <w:jc w:val="both"/>
        <w:rPr>
          <w:rFonts w:cs="Arial"/>
          <w:szCs w:val="20"/>
        </w:rPr>
      </w:pPr>
      <w:r w:rsidRPr="0023027E">
        <w:rPr>
          <w:rFonts w:cs="Arial"/>
          <w:szCs w:val="20"/>
        </w:rPr>
        <w:t>S tem členom se dodaja nov</w:t>
      </w:r>
      <w:r>
        <w:rPr>
          <w:rFonts w:cs="Arial"/>
          <w:szCs w:val="20"/>
        </w:rPr>
        <w:t>i</w:t>
      </w:r>
      <w:r w:rsidRPr="0023027E">
        <w:rPr>
          <w:rFonts w:cs="Arial"/>
          <w:szCs w:val="20"/>
        </w:rPr>
        <w:t xml:space="preserve"> 458.a člen ZISDU-3, ki prenaša 6. člen Direktive 2023/2864/EU oziroma novi 82.a člen Direktive 2009/65/ES Evropskega parlamenta in Sveta z dne 13. julija 2009 o usklajevanju zakonov in drugih predpisov o kolektivnih naložbenih podjemih za vlaganja v prenosljive vrednostne papirje (KNPVP) (UL L št. 302 z dne 17. 11. 2009, str. 32), </w:t>
      </w:r>
      <w:r>
        <w:rPr>
          <w:rFonts w:cs="Arial"/>
          <w:szCs w:val="20"/>
        </w:rPr>
        <w:t>na</w:t>
      </w:r>
      <w:r w:rsidRPr="0023027E">
        <w:rPr>
          <w:rFonts w:cs="Arial"/>
          <w:szCs w:val="20"/>
        </w:rPr>
        <w:t>zadnj</w:t>
      </w:r>
      <w:r>
        <w:rPr>
          <w:rFonts w:cs="Arial"/>
          <w:szCs w:val="20"/>
        </w:rPr>
        <w:t>e</w:t>
      </w:r>
      <w:r w:rsidRPr="0023027E">
        <w:rPr>
          <w:rFonts w:cs="Arial"/>
          <w:szCs w:val="20"/>
        </w:rPr>
        <w:t xml:space="preserve"> spremenjen</w:t>
      </w:r>
      <w:r>
        <w:rPr>
          <w:rFonts w:cs="Arial"/>
          <w:szCs w:val="20"/>
        </w:rPr>
        <w:t>e</w:t>
      </w:r>
      <w:r w:rsidRPr="0023027E">
        <w:rPr>
          <w:rFonts w:cs="Arial"/>
          <w:szCs w:val="20"/>
        </w:rPr>
        <w:t xml:space="preserve"> z Direktivo (EU) 2023/2864 Evropskega parlamenta in Sveta o spremembi nekaterih direktiv glede vzpostavitve in delovanja evropske enotne točke dostopa (UL L št. 2023/2864 z dne 20. 12. 2023), (v nadaljnjem besedilu: Direktiva 2009/65/ES). </w:t>
      </w:r>
    </w:p>
    <w:p w14:paraId="05C045D9" w14:textId="77777777" w:rsidR="00D6490B" w:rsidRPr="0023027E" w:rsidRDefault="00D6490B" w:rsidP="00D6490B">
      <w:pPr>
        <w:spacing w:line="276" w:lineRule="auto"/>
        <w:jc w:val="both"/>
        <w:rPr>
          <w:rFonts w:cs="Arial"/>
          <w:szCs w:val="20"/>
        </w:rPr>
      </w:pPr>
    </w:p>
    <w:p w14:paraId="3C445080" w14:textId="77777777" w:rsidR="00D6490B" w:rsidRPr="0023027E" w:rsidRDefault="00D6490B" w:rsidP="00D6490B">
      <w:pPr>
        <w:spacing w:line="276" w:lineRule="auto"/>
        <w:jc w:val="both"/>
        <w:rPr>
          <w:rFonts w:cs="Arial"/>
          <w:szCs w:val="20"/>
        </w:rPr>
      </w:pPr>
      <w:r w:rsidRPr="0023027E">
        <w:rPr>
          <w:rFonts w:cs="Arial"/>
          <w:szCs w:val="20"/>
        </w:rPr>
        <w:t xml:space="preserve">Določa se, da je ATVP organ za zbiranje podatkov za </w:t>
      </w:r>
      <w:r w:rsidRPr="0023027E">
        <w:rPr>
          <w:rFonts w:cs="Arial"/>
          <w:color w:val="000000" w:themeColor="text1"/>
          <w:szCs w:val="20"/>
        </w:rPr>
        <w:t>informacije iz prvega odstavka 194. člena ZISDU-3, informacije o dovoljenjih, izdanih družbam za upravljanje</w:t>
      </w:r>
      <w:r>
        <w:rPr>
          <w:rFonts w:cs="Arial"/>
          <w:color w:val="000000" w:themeColor="text1"/>
          <w:szCs w:val="20"/>
        </w:rPr>
        <w:t>,</w:t>
      </w:r>
      <w:r w:rsidRPr="0023027E">
        <w:rPr>
          <w:rFonts w:cs="Arial"/>
          <w:color w:val="000000" w:themeColor="text1"/>
          <w:szCs w:val="20"/>
        </w:rPr>
        <w:t xml:space="preserve"> ter informacije o izrečenih ukrepih in identiteti kršitelja iz 499.a člena ZISDU-3.</w:t>
      </w:r>
      <w:r w:rsidRPr="0023027E">
        <w:rPr>
          <w:rFonts w:cs="Arial"/>
          <w:szCs w:val="20"/>
        </w:rPr>
        <w:t xml:space="preserve"> ATVP informacije iz prejšnjega stavka predloži ESAP.</w:t>
      </w:r>
    </w:p>
    <w:p w14:paraId="23D120F5" w14:textId="77777777" w:rsidR="00D6490B" w:rsidRPr="0023027E" w:rsidRDefault="00D6490B" w:rsidP="00D6490B">
      <w:pPr>
        <w:spacing w:line="276" w:lineRule="auto"/>
        <w:jc w:val="both"/>
        <w:rPr>
          <w:rFonts w:cs="Arial"/>
          <w:szCs w:val="20"/>
        </w:rPr>
      </w:pPr>
    </w:p>
    <w:p w14:paraId="28EA2468" w14:textId="77777777" w:rsidR="00D6490B" w:rsidRPr="0023027E" w:rsidRDefault="00D6490B" w:rsidP="00D6490B">
      <w:pPr>
        <w:spacing w:line="276" w:lineRule="auto"/>
        <w:jc w:val="both"/>
        <w:rPr>
          <w:rFonts w:cs="Arial"/>
          <w:szCs w:val="20"/>
        </w:rPr>
      </w:pPr>
      <w:r w:rsidRPr="0023027E">
        <w:rPr>
          <w:rFonts w:cs="Arial"/>
          <w:szCs w:val="20"/>
        </w:rPr>
        <w:t>V drugem odstavku novega 458.a člena ZISDU-3 se določa</w:t>
      </w:r>
      <w:r>
        <w:rPr>
          <w:rFonts w:cs="Arial"/>
          <w:szCs w:val="20"/>
        </w:rPr>
        <w:t>jo</w:t>
      </w:r>
      <w:r w:rsidRPr="0023027E">
        <w:rPr>
          <w:rFonts w:cs="Arial"/>
          <w:szCs w:val="20"/>
        </w:rPr>
        <w:t xml:space="preserve"> zahteve za podatke, ki se predložijo na ESAP. </w:t>
      </w:r>
      <w:r>
        <w:rPr>
          <w:rFonts w:cs="Arial"/>
          <w:szCs w:val="20"/>
        </w:rPr>
        <w:t>Kakor i</w:t>
      </w:r>
      <w:r w:rsidRPr="0023027E">
        <w:rPr>
          <w:rFonts w:cs="Arial"/>
          <w:szCs w:val="20"/>
        </w:rPr>
        <w:t>zhaja iz Direktive 2023/2864/EU</w:t>
      </w:r>
      <w:r>
        <w:rPr>
          <w:rFonts w:cs="Arial"/>
          <w:szCs w:val="20"/>
        </w:rPr>
        <w:t>,</w:t>
      </w:r>
      <w:r w:rsidRPr="0023027E">
        <w:rPr>
          <w:rFonts w:cs="Arial"/>
          <w:szCs w:val="20"/>
        </w:rPr>
        <w:t xml:space="preserve"> se </w:t>
      </w:r>
      <w:r>
        <w:rPr>
          <w:rFonts w:cs="Arial"/>
          <w:szCs w:val="20"/>
        </w:rPr>
        <w:t xml:space="preserve">morajo </w:t>
      </w:r>
      <w:r w:rsidRPr="0023027E">
        <w:rPr>
          <w:rFonts w:cs="Arial"/>
          <w:szCs w:val="20"/>
        </w:rPr>
        <w:t>podatki predloži</w:t>
      </w:r>
      <w:r>
        <w:rPr>
          <w:rFonts w:cs="Arial"/>
          <w:szCs w:val="20"/>
        </w:rPr>
        <w:t>ti</w:t>
      </w:r>
      <w:r w:rsidRPr="0023027E">
        <w:rPr>
          <w:rFonts w:cs="Arial"/>
          <w:szCs w:val="20"/>
        </w:rPr>
        <w:t xml:space="preserve"> v formatu, ki omogoča </w:t>
      </w:r>
      <w:r>
        <w:rPr>
          <w:rFonts w:cs="Arial"/>
          <w:szCs w:val="20"/>
        </w:rPr>
        <w:t xml:space="preserve">njihov </w:t>
      </w:r>
      <w:r w:rsidRPr="0023027E">
        <w:rPr>
          <w:rFonts w:cs="Arial"/>
          <w:szCs w:val="20"/>
        </w:rPr>
        <w:t>izv</w:t>
      </w:r>
      <w:r>
        <w:rPr>
          <w:rFonts w:cs="Arial"/>
          <w:szCs w:val="20"/>
        </w:rPr>
        <w:t>oz</w:t>
      </w:r>
      <w:r w:rsidRPr="0023027E">
        <w:rPr>
          <w:rFonts w:cs="Arial"/>
          <w:szCs w:val="20"/>
        </w:rPr>
        <w:t xml:space="preserve"> (</w:t>
      </w:r>
      <w:r w:rsidRPr="0023027E">
        <w:rPr>
          <w:rFonts w:cs="Arial"/>
          <w:i/>
          <w:iCs/>
          <w:szCs w:val="20"/>
        </w:rPr>
        <w:t xml:space="preserve">data </w:t>
      </w:r>
      <w:proofErr w:type="spellStart"/>
      <w:r w:rsidRPr="0023027E">
        <w:rPr>
          <w:rFonts w:cs="Arial"/>
          <w:i/>
          <w:iCs/>
          <w:szCs w:val="20"/>
        </w:rPr>
        <w:t>extractable</w:t>
      </w:r>
      <w:proofErr w:type="spellEnd"/>
      <w:r w:rsidRPr="0023027E">
        <w:rPr>
          <w:rFonts w:cs="Arial"/>
          <w:i/>
          <w:iCs/>
          <w:szCs w:val="20"/>
        </w:rPr>
        <w:t xml:space="preserve"> format</w:t>
      </w:r>
      <w:r w:rsidRPr="0023027E">
        <w:rPr>
          <w:rFonts w:cs="Arial"/>
          <w:szCs w:val="20"/>
        </w:rPr>
        <w:t>)</w:t>
      </w:r>
      <w:r>
        <w:rPr>
          <w:rFonts w:cs="Arial"/>
          <w:szCs w:val="20"/>
        </w:rPr>
        <w:t>,</w:t>
      </w:r>
      <w:r w:rsidRPr="0023027E">
        <w:rPr>
          <w:rFonts w:cs="Arial"/>
          <w:szCs w:val="20"/>
        </w:rPr>
        <w:t xml:space="preserve"> ali kjer je to določeno z zakonodajo EU, v strojno </w:t>
      </w:r>
      <w:r w:rsidRPr="0023027E">
        <w:rPr>
          <w:rFonts w:cs="Arial"/>
          <w:szCs w:val="20"/>
        </w:rPr>
        <w:lastRenderedPageBreak/>
        <w:t>berljiv</w:t>
      </w:r>
      <w:r>
        <w:rPr>
          <w:rFonts w:cs="Arial"/>
          <w:szCs w:val="20"/>
        </w:rPr>
        <w:t>i</w:t>
      </w:r>
      <w:r w:rsidRPr="0023027E">
        <w:rPr>
          <w:rFonts w:cs="Arial"/>
          <w:szCs w:val="20"/>
        </w:rPr>
        <w:t xml:space="preserve"> </w:t>
      </w:r>
      <w:r>
        <w:rPr>
          <w:rFonts w:cs="Arial"/>
          <w:szCs w:val="20"/>
        </w:rPr>
        <w:t>obliki</w:t>
      </w:r>
      <w:r w:rsidRPr="0023027E">
        <w:rPr>
          <w:rFonts w:cs="Arial"/>
          <w:szCs w:val="20"/>
        </w:rPr>
        <w:t xml:space="preserve"> (</w:t>
      </w:r>
      <w:proofErr w:type="spellStart"/>
      <w:r w:rsidRPr="0023027E">
        <w:rPr>
          <w:rFonts w:cs="Arial"/>
          <w:i/>
          <w:iCs/>
          <w:szCs w:val="20"/>
        </w:rPr>
        <w:t>machine-readable</w:t>
      </w:r>
      <w:proofErr w:type="spellEnd"/>
      <w:r w:rsidRPr="0023027E">
        <w:rPr>
          <w:rFonts w:cs="Arial"/>
          <w:i/>
          <w:iCs/>
          <w:szCs w:val="20"/>
        </w:rPr>
        <w:t xml:space="preserve"> format</w:t>
      </w:r>
      <w:r w:rsidRPr="0023027E">
        <w:rPr>
          <w:rFonts w:cs="Arial"/>
          <w:szCs w:val="20"/>
        </w:rPr>
        <w:t>). T</w:t>
      </w:r>
      <w:r>
        <w:rPr>
          <w:rFonts w:cs="Arial"/>
          <w:szCs w:val="20"/>
        </w:rPr>
        <w:t>ak</w:t>
      </w:r>
      <w:r w:rsidRPr="0023027E">
        <w:rPr>
          <w:rFonts w:cs="Arial"/>
          <w:szCs w:val="20"/>
        </w:rPr>
        <w:t xml:space="preserve">o so podatki digitalno uporabni, kar omogoča </w:t>
      </w:r>
      <w:r>
        <w:rPr>
          <w:rFonts w:cs="Arial"/>
          <w:szCs w:val="20"/>
        </w:rPr>
        <w:t xml:space="preserve">njihovo </w:t>
      </w:r>
      <w:r w:rsidRPr="0023027E">
        <w:rPr>
          <w:rFonts w:cs="Arial"/>
          <w:szCs w:val="20"/>
        </w:rPr>
        <w:t>avtomatizirano obdelavo, analizo in primerjavo. Standardiziran</w:t>
      </w:r>
      <w:r>
        <w:rPr>
          <w:rFonts w:cs="Arial"/>
          <w:szCs w:val="20"/>
        </w:rPr>
        <w:t>i</w:t>
      </w:r>
      <w:r w:rsidRPr="0023027E">
        <w:rPr>
          <w:rFonts w:cs="Arial"/>
          <w:szCs w:val="20"/>
        </w:rPr>
        <w:t xml:space="preserve"> format olajša uporabnikom (na primer vlagatelji, analitiki in regulatorji) dostop do podatkov </w:t>
      </w:r>
      <w:r>
        <w:rPr>
          <w:rFonts w:cs="Arial"/>
          <w:szCs w:val="20"/>
        </w:rPr>
        <w:t>in</w:t>
      </w:r>
      <w:r w:rsidRPr="0023027E">
        <w:rPr>
          <w:rFonts w:cs="Arial"/>
          <w:szCs w:val="20"/>
        </w:rPr>
        <w:t xml:space="preserve"> njihovo uporabo.</w:t>
      </w:r>
    </w:p>
    <w:p w14:paraId="3983759C" w14:textId="77777777" w:rsidR="00D6490B" w:rsidRPr="0023027E" w:rsidRDefault="00D6490B" w:rsidP="00D6490B">
      <w:pPr>
        <w:spacing w:line="276" w:lineRule="auto"/>
        <w:jc w:val="both"/>
        <w:rPr>
          <w:rFonts w:cs="Arial"/>
          <w:szCs w:val="20"/>
        </w:rPr>
      </w:pPr>
    </w:p>
    <w:p w14:paraId="0343B49F" w14:textId="77777777" w:rsidR="00D6490B" w:rsidRPr="0023027E" w:rsidRDefault="00D6490B" w:rsidP="00D6490B">
      <w:pPr>
        <w:spacing w:after="160" w:line="259" w:lineRule="auto"/>
        <w:jc w:val="both"/>
        <w:rPr>
          <w:rFonts w:cs="Arial"/>
          <w:szCs w:val="20"/>
        </w:rPr>
      </w:pPr>
      <w:r w:rsidRPr="0023027E">
        <w:rPr>
          <w:rFonts w:cs="Arial"/>
          <w:szCs w:val="20"/>
        </w:rPr>
        <w:t>Informacije morajo vsebovati metapodatke, ki zagotavljajo dodatne podatke o nadzorovani osebi in naravi pred</w:t>
      </w:r>
      <w:r>
        <w:rPr>
          <w:rFonts w:cs="Arial"/>
          <w:szCs w:val="20"/>
        </w:rPr>
        <w:t>l</w:t>
      </w:r>
      <w:r w:rsidRPr="0023027E">
        <w:rPr>
          <w:rFonts w:cs="Arial"/>
          <w:szCs w:val="20"/>
        </w:rPr>
        <w:t>o</w:t>
      </w:r>
      <w:r>
        <w:rPr>
          <w:rFonts w:cs="Arial"/>
          <w:szCs w:val="20"/>
        </w:rPr>
        <w:t>že</w:t>
      </w:r>
      <w:r w:rsidRPr="0023027E">
        <w:rPr>
          <w:rFonts w:cs="Arial"/>
          <w:szCs w:val="20"/>
        </w:rPr>
        <w:t>nih podatkov. Ti metapodatki so:</w:t>
      </w:r>
    </w:p>
    <w:p w14:paraId="5774EE29" w14:textId="77777777" w:rsidR="00D6490B" w:rsidRPr="0023027E" w:rsidRDefault="00D6490B" w:rsidP="00D6490B">
      <w:pPr>
        <w:pStyle w:val="Odstavekseznama"/>
        <w:numPr>
          <w:ilvl w:val="0"/>
          <w:numId w:val="65"/>
        </w:numPr>
        <w:spacing w:after="160" w:line="259" w:lineRule="auto"/>
        <w:jc w:val="both"/>
        <w:rPr>
          <w:rFonts w:cs="Arial"/>
          <w:szCs w:val="20"/>
        </w:rPr>
      </w:pPr>
      <w:r w:rsidRPr="0023027E">
        <w:rPr>
          <w:rFonts w:cs="Arial"/>
          <w:szCs w:val="20"/>
        </w:rPr>
        <w:t>vsa imena vzajemnega sklada a</w:t>
      </w:r>
      <w:r>
        <w:rPr>
          <w:rFonts w:cs="Arial"/>
          <w:szCs w:val="20"/>
        </w:rPr>
        <w:t>li</w:t>
      </w:r>
      <w:r w:rsidRPr="0023027E">
        <w:rPr>
          <w:rFonts w:cs="Arial"/>
          <w:szCs w:val="20"/>
        </w:rPr>
        <w:t xml:space="preserve"> družbe za upravljanje, kar vključuje uradno ime pravnega subjekta ali druga imena, pod katerimi ta oseba posluje. Namen je jasna identifikacija subjekta, da se prepreči zmeda pri subjektih z enakimi ali podobnimi imeni;</w:t>
      </w:r>
    </w:p>
    <w:p w14:paraId="3BE16FCB" w14:textId="77777777" w:rsidR="00D6490B" w:rsidRPr="0023027E" w:rsidRDefault="00D6490B" w:rsidP="00D6490B">
      <w:pPr>
        <w:pStyle w:val="Odstavekseznama"/>
        <w:numPr>
          <w:ilvl w:val="0"/>
          <w:numId w:val="65"/>
        </w:numPr>
        <w:spacing w:after="160" w:line="259" w:lineRule="auto"/>
        <w:jc w:val="both"/>
        <w:rPr>
          <w:rFonts w:cs="Arial"/>
          <w:szCs w:val="20"/>
        </w:rPr>
      </w:pPr>
      <w:r w:rsidRPr="0023027E">
        <w:rPr>
          <w:rFonts w:cs="Arial"/>
          <w:szCs w:val="20"/>
        </w:rPr>
        <w:t>identifikator pravnih subjektov</w:t>
      </w:r>
      <w:r>
        <w:rPr>
          <w:rFonts w:cs="Arial"/>
          <w:szCs w:val="20"/>
        </w:rPr>
        <w:t>,</w:t>
      </w:r>
      <w:r w:rsidRPr="0023027E">
        <w:rPr>
          <w:rFonts w:cs="Arial"/>
          <w:szCs w:val="20"/>
        </w:rPr>
        <w:t xml:space="preserve"> k</w:t>
      </w:r>
      <w:r>
        <w:rPr>
          <w:rFonts w:cs="Arial"/>
          <w:szCs w:val="20"/>
        </w:rPr>
        <w:t>ak</w:t>
      </w:r>
      <w:r w:rsidRPr="0023027E">
        <w:rPr>
          <w:rFonts w:cs="Arial"/>
          <w:szCs w:val="20"/>
        </w:rPr>
        <w:t>o</w:t>
      </w:r>
      <w:r>
        <w:rPr>
          <w:rFonts w:cs="Arial"/>
          <w:szCs w:val="20"/>
        </w:rPr>
        <w:t>r</w:t>
      </w:r>
      <w:r w:rsidRPr="0023027E">
        <w:rPr>
          <w:rFonts w:cs="Arial"/>
          <w:szCs w:val="20"/>
        </w:rPr>
        <w:t xml:space="preserve"> je določeno v točki b) četrtega odstavka 7. člena Uredbe 2023/2859/EU. Identifikator pravnih subjektov je standardizirana koda, ki se bo uporabljal za enolično identifikacijo pravnih oseb in ga natančneje opredeljuje Izvedbena uredba Komisije (EU) 2025/1338 z dne 10. julija 2025 o določitvi izvedbenih tehničnih standardov za uporabo Uredbe (EU) 2023/2859 Evropskega parlamenta in Sveta v zvezi s funkcional</w:t>
      </w:r>
      <w:r w:rsidRPr="003F4D4F">
        <w:rPr>
          <w:rFonts w:cs="Arial"/>
          <w:szCs w:val="20"/>
        </w:rPr>
        <w:t>nostmi evropske enotne točke dostopa (UL L št. 2025/1338 z dne 11. 7. 2025; v nadaljnjem bes</w:t>
      </w:r>
      <w:r w:rsidRPr="0023027E">
        <w:rPr>
          <w:rFonts w:cs="Arial"/>
          <w:szCs w:val="20"/>
        </w:rPr>
        <w:t>edilu: Uredba 2025/1338/EU). Identifikator pravnih subjektov je ključen za izboljšanje preglednosti in sledenja v finančnih sistemih</w:t>
      </w:r>
      <w:r>
        <w:rPr>
          <w:rFonts w:cs="Arial"/>
          <w:szCs w:val="20"/>
        </w:rPr>
        <w:t>. To</w:t>
      </w:r>
      <w:r w:rsidRPr="0023027E">
        <w:rPr>
          <w:rFonts w:cs="Arial"/>
          <w:szCs w:val="20"/>
        </w:rPr>
        <w:t xml:space="preserve"> regulatorjem in drugim deležnikom</w:t>
      </w:r>
      <w:r w:rsidRPr="001F572E">
        <w:rPr>
          <w:rFonts w:cs="Arial"/>
          <w:szCs w:val="20"/>
        </w:rPr>
        <w:t xml:space="preserve"> </w:t>
      </w:r>
      <w:r w:rsidRPr="0023027E">
        <w:rPr>
          <w:rFonts w:cs="Arial"/>
          <w:szCs w:val="20"/>
        </w:rPr>
        <w:t>omogoča, da hitro in natančno identificirajo pravne subjekte, vključen</w:t>
      </w:r>
      <w:r>
        <w:rPr>
          <w:rFonts w:cs="Arial"/>
          <w:szCs w:val="20"/>
        </w:rPr>
        <w:t>e</w:t>
      </w:r>
      <w:r w:rsidRPr="0023027E">
        <w:rPr>
          <w:rFonts w:cs="Arial"/>
          <w:szCs w:val="20"/>
        </w:rPr>
        <w:t xml:space="preserve"> v finančne transakcije, kar zmanjšuje tveganja, povezana z nejasnostjo ali prikrivanjem identitete;</w:t>
      </w:r>
    </w:p>
    <w:p w14:paraId="528A8182" w14:textId="77777777" w:rsidR="00D6490B" w:rsidRPr="0023027E" w:rsidRDefault="00D6490B" w:rsidP="00D6490B">
      <w:pPr>
        <w:pStyle w:val="Odstavekseznama"/>
        <w:numPr>
          <w:ilvl w:val="0"/>
          <w:numId w:val="65"/>
        </w:numPr>
        <w:spacing w:after="160" w:line="259" w:lineRule="auto"/>
        <w:jc w:val="both"/>
        <w:rPr>
          <w:rFonts w:cs="Arial"/>
          <w:szCs w:val="20"/>
        </w:rPr>
      </w:pPr>
      <w:r w:rsidRPr="0023027E">
        <w:rPr>
          <w:rFonts w:cs="Arial"/>
          <w:szCs w:val="20"/>
        </w:rPr>
        <w:t xml:space="preserve">velikost vzajemnega sklada po kategorijah v skladu s točko d) četrtega odstavka 7. člena Uredbe 2023/2859/EU. Te kategorije so natančneje opredeljene v Uredbi 2025/1338/EU (na primer mala in srednja podjetja, velika podjetja, </w:t>
      </w:r>
      <w:proofErr w:type="spellStart"/>
      <w:r w:rsidRPr="0023027E">
        <w:rPr>
          <w:rFonts w:cs="Arial"/>
          <w:szCs w:val="20"/>
        </w:rPr>
        <w:t>mikropodjetja</w:t>
      </w:r>
      <w:proofErr w:type="spellEnd"/>
      <w:r w:rsidRPr="0023027E">
        <w:rPr>
          <w:rFonts w:cs="Arial"/>
          <w:szCs w:val="20"/>
        </w:rPr>
        <w:t>). Namen je razvrstitev subjektov glede na njihovo velikost;</w:t>
      </w:r>
    </w:p>
    <w:p w14:paraId="26972C00" w14:textId="77777777" w:rsidR="00D6490B" w:rsidRPr="0023027E" w:rsidRDefault="00D6490B" w:rsidP="00D6490B">
      <w:pPr>
        <w:pStyle w:val="Odstavekseznama"/>
        <w:numPr>
          <w:ilvl w:val="0"/>
          <w:numId w:val="65"/>
        </w:numPr>
        <w:spacing w:after="160" w:line="259" w:lineRule="auto"/>
        <w:jc w:val="both"/>
        <w:rPr>
          <w:rFonts w:cs="Arial"/>
          <w:szCs w:val="20"/>
        </w:rPr>
      </w:pPr>
      <w:r w:rsidRPr="0023027E">
        <w:rPr>
          <w:rFonts w:cs="Arial"/>
          <w:szCs w:val="20"/>
        </w:rPr>
        <w:t xml:space="preserve">vrsta informacij glede na razvrstitev na podlagi točke c) četrtega odstavka 7. člena Uredbe 2023/2859/EU. To pomeni, da morajo biti podatki označeni glede na vrsto ali kategorijo. To </w:t>
      </w:r>
      <w:r>
        <w:rPr>
          <w:rFonts w:cs="Arial"/>
          <w:szCs w:val="20"/>
        </w:rPr>
        <w:t>prejemnikom</w:t>
      </w:r>
      <w:r w:rsidRPr="0023027E">
        <w:rPr>
          <w:rFonts w:cs="Arial"/>
          <w:szCs w:val="20"/>
        </w:rPr>
        <w:t xml:space="preserve"> omogoča lažje razumevanje in obdelavo podatkov. Vrste informacij so natančneje opredeljene v Uredbi 2025/1338/EU;</w:t>
      </w:r>
    </w:p>
    <w:p w14:paraId="107FB254" w14:textId="77777777" w:rsidR="00D6490B" w:rsidRPr="0023027E" w:rsidRDefault="00D6490B" w:rsidP="00D6490B">
      <w:pPr>
        <w:pStyle w:val="Odstavekseznama"/>
        <w:numPr>
          <w:ilvl w:val="0"/>
          <w:numId w:val="65"/>
        </w:numPr>
        <w:spacing w:after="160" w:line="259" w:lineRule="auto"/>
        <w:jc w:val="both"/>
        <w:rPr>
          <w:rFonts w:cs="Arial"/>
          <w:szCs w:val="20"/>
        </w:rPr>
      </w:pPr>
      <w:r w:rsidRPr="0023027E">
        <w:rPr>
          <w:rFonts w:cs="Arial"/>
          <w:szCs w:val="20"/>
        </w:rPr>
        <w:t xml:space="preserve">oznaka, ali informacije vsebujejo osebne podatke: </w:t>
      </w:r>
      <w:r>
        <w:rPr>
          <w:rFonts w:cs="Arial"/>
          <w:szCs w:val="20"/>
        </w:rPr>
        <w:t>i</w:t>
      </w:r>
      <w:r w:rsidRPr="0023027E">
        <w:rPr>
          <w:rFonts w:cs="Arial"/>
          <w:szCs w:val="20"/>
        </w:rPr>
        <w:t>nformacije morajo biti označene, če vsebujejo osebne podatke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podatke o posameznikih, kot so imena, naslovi, identifikacijske številke). Ta zahteva je pomembna za skladnost z zakonodajo o varstvu podatkov, saj osebni podatki zahtevajo posebno obravnavo in varstvo.</w:t>
      </w:r>
    </w:p>
    <w:p w14:paraId="0DE8E815" w14:textId="77777777" w:rsidR="00D6490B" w:rsidRPr="0023027E" w:rsidRDefault="00D6490B" w:rsidP="00D6490B">
      <w:pPr>
        <w:spacing w:line="276" w:lineRule="auto"/>
        <w:jc w:val="both"/>
        <w:rPr>
          <w:rFonts w:cs="Arial"/>
          <w:szCs w:val="20"/>
        </w:rPr>
      </w:pPr>
    </w:p>
    <w:p w14:paraId="3B1C1D82" w14:textId="77777777" w:rsidR="00D6490B" w:rsidRPr="0023027E" w:rsidRDefault="00D6490B" w:rsidP="00D6490B">
      <w:pPr>
        <w:spacing w:line="276" w:lineRule="auto"/>
        <w:jc w:val="both"/>
        <w:rPr>
          <w:rFonts w:cs="Arial"/>
          <w:szCs w:val="20"/>
        </w:rPr>
      </w:pPr>
      <w:r w:rsidRPr="0023027E">
        <w:rPr>
          <w:rFonts w:cs="Arial"/>
          <w:szCs w:val="20"/>
        </w:rPr>
        <w:t xml:space="preserve">Metapodatki so ključni za </w:t>
      </w:r>
      <w:r>
        <w:rPr>
          <w:rFonts w:cs="Arial"/>
          <w:szCs w:val="20"/>
        </w:rPr>
        <w:t>organiziranje</w:t>
      </w:r>
      <w:r w:rsidRPr="0023027E">
        <w:rPr>
          <w:rFonts w:cs="Arial"/>
          <w:szCs w:val="20"/>
        </w:rPr>
        <w:t xml:space="preserve"> in </w:t>
      </w:r>
      <w:r>
        <w:rPr>
          <w:rFonts w:cs="Arial"/>
          <w:szCs w:val="20"/>
        </w:rPr>
        <w:t>kategoriziranje</w:t>
      </w:r>
      <w:r w:rsidRPr="0023027E">
        <w:rPr>
          <w:rFonts w:cs="Arial"/>
          <w:szCs w:val="20"/>
        </w:rPr>
        <w:t xml:space="preserve"> informacij na ESAP. Z njimi se podatki označijo z dodatnimi informacijami, kar omogoča lažje iskanje in filtriranje. Metapodatki zagotavljajo, da so informacije strukturirane in dostopne na način, prilagojen potrebam uporabnikov, ter povečujejo preglednost in učinkovitost ESAP. Pri tem je pomembno tudi načelo </w:t>
      </w:r>
      <w:r>
        <w:rPr>
          <w:rFonts w:cs="Arial"/>
          <w:szCs w:val="20"/>
        </w:rPr>
        <w:t>»</w:t>
      </w:r>
      <w:r w:rsidRPr="0023027E">
        <w:rPr>
          <w:rFonts w:cs="Arial"/>
          <w:szCs w:val="20"/>
        </w:rPr>
        <w:t>enkratnega vnosa</w:t>
      </w:r>
      <w:r>
        <w:rPr>
          <w:rFonts w:cs="Arial"/>
          <w:szCs w:val="20"/>
        </w:rPr>
        <w:t>«</w:t>
      </w:r>
      <w:r w:rsidRPr="0023027E">
        <w:rPr>
          <w:rFonts w:cs="Arial"/>
          <w:szCs w:val="20"/>
        </w:rPr>
        <w:t xml:space="preserve"> (</w:t>
      </w:r>
      <w:r w:rsidRPr="0023027E">
        <w:rPr>
          <w:rFonts w:cs="Arial"/>
          <w:i/>
          <w:iCs/>
          <w:szCs w:val="20"/>
        </w:rPr>
        <w:t xml:space="preserve">file </w:t>
      </w:r>
      <w:proofErr w:type="spellStart"/>
      <w:r w:rsidRPr="0023027E">
        <w:rPr>
          <w:rFonts w:cs="Arial"/>
          <w:i/>
          <w:iCs/>
          <w:szCs w:val="20"/>
        </w:rPr>
        <w:t>once</w:t>
      </w:r>
      <w:proofErr w:type="spellEnd"/>
      <w:r w:rsidRPr="0023027E">
        <w:rPr>
          <w:rFonts w:cs="Arial"/>
          <w:i/>
          <w:iCs/>
          <w:szCs w:val="20"/>
        </w:rPr>
        <w:t xml:space="preserve"> </w:t>
      </w:r>
      <w:proofErr w:type="spellStart"/>
      <w:r w:rsidRPr="0023027E">
        <w:rPr>
          <w:rFonts w:cs="Arial"/>
          <w:i/>
          <w:iCs/>
          <w:szCs w:val="20"/>
        </w:rPr>
        <w:t>principle</w:t>
      </w:r>
      <w:proofErr w:type="spellEnd"/>
      <w:r w:rsidRPr="0023027E">
        <w:rPr>
          <w:rFonts w:cs="Arial"/>
          <w:szCs w:val="20"/>
        </w:rPr>
        <w:t xml:space="preserve">), kar pomeni, da subjekti podatke, ki jih že objavljajo v skladu z </w:t>
      </w:r>
      <w:r>
        <w:rPr>
          <w:rFonts w:cs="Arial"/>
          <w:szCs w:val="20"/>
        </w:rPr>
        <w:t>veljavno</w:t>
      </w:r>
      <w:r w:rsidRPr="0023027E">
        <w:rPr>
          <w:rFonts w:cs="Arial"/>
          <w:szCs w:val="20"/>
        </w:rPr>
        <w:t xml:space="preserve"> zakonodajo, predložijo v standardiziranem formatu brez dodatnih obveznosti. Zahteve po izv</w:t>
      </w:r>
      <w:r>
        <w:rPr>
          <w:rFonts w:cs="Arial"/>
          <w:szCs w:val="20"/>
        </w:rPr>
        <w:t>oz</w:t>
      </w:r>
      <w:r w:rsidRPr="0023027E">
        <w:rPr>
          <w:rFonts w:cs="Arial"/>
          <w:szCs w:val="20"/>
        </w:rPr>
        <w:t xml:space="preserve">u podatkov in metapodatkih zagotavljajo, da se ti podatki učinkovito </w:t>
      </w:r>
      <w:r>
        <w:rPr>
          <w:rFonts w:cs="Arial"/>
          <w:szCs w:val="20"/>
        </w:rPr>
        <w:t>vključijo</w:t>
      </w:r>
      <w:r w:rsidRPr="0023027E">
        <w:rPr>
          <w:rFonts w:cs="Arial"/>
          <w:szCs w:val="20"/>
        </w:rPr>
        <w:t xml:space="preserve"> v centralizirano platformo ESAP, kar zmanjšuje administrativno breme in povečuje dostopnost.</w:t>
      </w:r>
    </w:p>
    <w:p w14:paraId="40A4E0B0" w14:textId="77777777" w:rsidR="00D6490B" w:rsidRPr="0023027E" w:rsidRDefault="00D6490B" w:rsidP="00D6490B">
      <w:pPr>
        <w:spacing w:line="276" w:lineRule="auto"/>
        <w:jc w:val="both"/>
        <w:rPr>
          <w:rFonts w:cs="Arial"/>
          <w:szCs w:val="20"/>
        </w:rPr>
      </w:pPr>
    </w:p>
    <w:p w14:paraId="104C9F53" w14:textId="77777777" w:rsidR="00D6490B" w:rsidRPr="0023027E" w:rsidRDefault="00D6490B" w:rsidP="00D6490B">
      <w:pPr>
        <w:spacing w:line="276" w:lineRule="auto"/>
        <w:jc w:val="both"/>
        <w:rPr>
          <w:rFonts w:cs="Arial"/>
          <w:szCs w:val="20"/>
        </w:rPr>
      </w:pPr>
      <w:r w:rsidRPr="0023027E">
        <w:rPr>
          <w:rFonts w:cs="Arial"/>
          <w:szCs w:val="20"/>
        </w:rPr>
        <w:t xml:space="preserve">Uporaba metapodatkov in standardiziranih formatov omogoča tehnično </w:t>
      </w:r>
      <w:proofErr w:type="spellStart"/>
      <w:r w:rsidRPr="0023027E">
        <w:rPr>
          <w:rFonts w:cs="Arial"/>
          <w:szCs w:val="20"/>
        </w:rPr>
        <w:t>interoperabilnost</w:t>
      </w:r>
      <w:proofErr w:type="spellEnd"/>
      <w:r w:rsidRPr="0023027E">
        <w:rPr>
          <w:rFonts w:cs="Arial"/>
          <w:szCs w:val="20"/>
        </w:rPr>
        <w:t xml:space="preserve"> med različnimi sistemi zbiranja podatkov na nacionalni ravni in ESAP, ki ga upravlja ESMA. To omogoča nemoten</w:t>
      </w:r>
      <w:r>
        <w:rPr>
          <w:rFonts w:cs="Arial"/>
          <w:szCs w:val="20"/>
        </w:rPr>
        <w:t>i</w:t>
      </w:r>
      <w:r w:rsidRPr="0023027E">
        <w:rPr>
          <w:rFonts w:cs="Arial"/>
          <w:szCs w:val="20"/>
        </w:rPr>
        <w:t xml:space="preserve"> prenos podatkov, kar povečuje učinkovitost in zmanjšuje stroške.</w:t>
      </w:r>
    </w:p>
    <w:p w14:paraId="6688EF65" w14:textId="77777777" w:rsidR="00D6490B" w:rsidRPr="0023027E" w:rsidRDefault="00D6490B" w:rsidP="00D6490B">
      <w:pPr>
        <w:spacing w:line="276" w:lineRule="auto"/>
        <w:jc w:val="both"/>
        <w:rPr>
          <w:rFonts w:cs="Arial"/>
          <w:szCs w:val="20"/>
        </w:rPr>
      </w:pPr>
    </w:p>
    <w:p w14:paraId="2E54D108" w14:textId="77777777" w:rsidR="00D6490B" w:rsidRPr="0023027E" w:rsidRDefault="00D6490B" w:rsidP="00D6490B">
      <w:pPr>
        <w:spacing w:line="276" w:lineRule="auto"/>
        <w:jc w:val="both"/>
        <w:rPr>
          <w:rFonts w:cs="Arial"/>
          <w:szCs w:val="20"/>
        </w:rPr>
      </w:pPr>
      <w:r w:rsidRPr="0023027E">
        <w:rPr>
          <w:rFonts w:cs="Arial"/>
          <w:szCs w:val="20"/>
        </w:rPr>
        <w:t xml:space="preserve">Določa se tudi, da </w:t>
      </w:r>
      <w:r w:rsidRPr="0023027E">
        <w:rPr>
          <w:rFonts w:cs="Arial"/>
          <w:color w:val="000000" w:themeColor="text1"/>
          <w:szCs w:val="20"/>
        </w:rPr>
        <w:t>družba za upravljanje za vzajemne sklade, ki jih upravlja</w:t>
      </w:r>
      <w:r>
        <w:rPr>
          <w:rFonts w:cs="Arial"/>
          <w:color w:val="000000" w:themeColor="text1"/>
          <w:szCs w:val="20"/>
        </w:rPr>
        <w:t>,</w:t>
      </w:r>
      <w:r w:rsidRPr="0023027E">
        <w:rPr>
          <w:rFonts w:cs="Arial"/>
          <w:szCs w:val="20"/>
        </w:rPr>
        <w:t xml:space="preserve"> pridobi identifikator pravnih subjektov, k</w:t>
      </w:r>
      <w:r>
        <w:rPr>
          <w:rFonts w:cs="Arial"/>
          <w:szCs w:val="20"/>
        </w:rPr>
        <w:t>ak</w:t>
      </w:r>
      <w:r w:rsidRPr="0023027E">
        <w:rPr>
          <w:rFonts w:cs="Arial"/>
          <w:szCs w:val="20"/>
        </w:rPr>
        <w:t>o</w:t>
      </w:r>
      <w:r>
        <w:rPr>
          <w:rFonts w:cs="Arial"/>
          <w:szCs w:val="20"/>
        </w:rPr>
        <w:t>r</w:t>
      </w:r>
      <w:r w:rsidRPr="0023027E">
        <w:rPr>
          <w:rFonts w:cs="Arial"/>
          <w:szCs w:val="20"/>
        </w:rPr>
        <w:t xml:space="preserve"> je določen v Uredbi 2023/2859/EU, če tega identifikatorja še nimajo.</w:t>
      </w:r>
    </w:p>
    <w:p w14:paraId="7A02807A" w14:textId="77777777" w:rsidR="00CB20A1" w:rsidRPr="0023027E" w:rsidRDefault="00CB20A1" w:rsidP="00BC4B47">
      <w:pPr>
        <w:spacing w:line="276" w:lineRule="auto"/>
        <w:jc w:val="both"/>
        <w:rPr>
          <w:rFonts w:cs="Arial"/>
          <w:szCs w:val="20"/>
        </w:rPr>
      </w:pPr>
    </w:p>
    <w:p w14:paraId="4D07D21D" w14:textId="52FC867C" w:rsidR="00FE0F83" w:rsidRPr="0023027E" w:rsidRDefault="00FE0F83" w:rsidP="00FE0F83">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20</w:t>
      </w:r>
      <w:r w:rsidR="00CB20A1" w:rsidRPr="0023027E">
        <w:rPr>
          <w:rFonts w:cs="Arial"/>
          <w:b/>
          <w:bCs/>
          <w:szCs w:val="20"/>
        </w:rPr>
        <w:t xml:space="preserve">. </w:t>
      </w:r>
      <w:r w:rsidRPr="0023027E">
        <w:rPr>
          <w:rFonts w:cs="Arial"/>
          <w:b/>
          <w:bCs/>
          <w:szCs w:val="20"/>
        </w:rPr>
        <w:t>členu</w:t>
      </w:r>
    </w:p>
    <w:p w14:paraId="1ACEE74B" w14:textId="77777777" w:rsidR="00D6490B" w:rsidRPr="0023027E" w:rsidRDefault="00D6490B" w:rsidP="00D6490B">
      <w:pPr>
        <w:spacing w:line="276" w:lineRule="auto"/>
        <w:jc w:val="both"/>
        <w:rPr>
          <w:rFonts w:cs="Arial"/>
          <w:szCs w:val="20"/>
        </w:rPr>
      </w:pPr>
      <w:r w:rsidRPr="0023027E">
        <w:rPr>
          <w:rFonts w:cs="Arial"/>
          <w:szCs w:val="20"/>
        </w:rPr>
        <w:lastRenderedPageBreak/>
        <w:t>S tem členom se predlaga dopolnitev prvega odstavka 512. člena ZISDU-3 na način, da se določijo sankcije za kršitev obveznosti predložitve informacij ali če te informacije niso predložene v zahtevani obliki ali če subjekt ne pridobi identifikatorja pravnih subjektov.</w:t>
      </w:r>
    </w:p>
    <w:p w14:paraId="0E8BE504" w14:textId="77777777" w:rsidR="00D6490B" w:rsidRPr="0023027E" w:rsidRDefault="00D6490B" w:rsidP="00D6490B">
      <w:pPr>
        <w:spacing w:line="276" w:lineRule="auto"/>
        <w:jc w:val="both"/>
        <w:rPr>
          <w:rFonts w:cs="Arial"/>
          <w:szCs w:val="20"/>
        </w:rPr>
      </w:pPr>
    </w:p>
    <w:p w14:paraId="0EDD5A11" w14:textId="1652BC48" w:rsidR="00FE0F83" w:rsidRPr="0023027E" w:rsidRDefault="00D6490B" w:rsidP="00C20D91">
      <w:pPr>
        <w:spacing w:line="276" w:lineRule="auto"/>
        <w:jc w:val="both"/>
        <w:rPr>
          <w:rFonts w:cs="Arial"/>
          <w:szCs w:val="20"/>
        </w:rPr>
      </w:pPr>
      <w:r w:rsidRPr="0023027E">
        <w:rPr>
          <w:rFonts w:cs="Arial"/>
          <w:szCs w:val="20"/>
        </w:rPr>
        <w:t xml:space="preserve">Podrobneje v obrazložitvi k </w:t>
      </w:r>
      <w:r w:rsidR="00B403C3">
        <w:t>6</w:t>
      </w:r>
      <w:r w:rsidRPr="0023027E">
        <w:rPr>
          <w:rFonts w:cs="Arial"/>
          <w:szCs w:val="20"/>
        </w:rPr>
        <w:t>. členu predloga zakona.</w:t>
      </w:r>
    </w:p>
    <w:p w14:paraId="5CD4ED9B" w14:textId="77777777" w:rsidR="00CB20A1" w:rsidRPr="0023027E" w:rsidRDefault="00CB20A1" w:rsidP="00CB20A1">
      <w:pPr>
        <w:spacing w:line="240" w:lineRule="auto"/>
        <w:jc w:val="both"/>
        <w:rPr>
          <w:rFonts w:cs="Arial"/>
          <w:szCs w:val="20"/>
        </w:rPr>
      </w:pPr>
    </w:p>
    <w:p w14:paraId="6FAC2C52" w14:textId="5F84BAB1" w:rsidR="00FE0F83" w:rsidRPr="0023027E" w:rsidRDefault="00FE0F83" w:rsidP="00FE0F83">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21</w:t>
      </w:r>
      <w:r w:rsidR="00CB20A1" w:rsidRPr="0023027E">
        <w:rPr>
          <w:rFonts w:cs="Arial"/>
          <w:b/>
          <w:bCs/>
          <w:szCs w:val="20"/>
        </w:rPr>
        <w:t xml:space="preserve">. </w:t>
      </w:r>
      <w:r w:rsidRPr="0023027E">
        <w:rPr>
          <w:rFonts w:cs="Arial"/>
          <w:b/>
          <w:bCs/>
          <w:szCs w:val="20"/>
        </w:rPr>
        <w:t>členu</w:t>
      </w:r>
    </w:p>
    <w:p w14:paraId="10E6DC95" w14:textId="77777777" w:rsidR="00D6490B" w:rsidRPr="00D6490B" w:rsidRDefault="00D6490B" w:rsidP="00D6490B">
      <w:pPr>
        <w:spacing w:line="276" w:lineRule="auto"/>
        <w:jc w:val="both"/>
        <w:rPr>
          <w:rFonts w:cs="Arial"/>
          <w:szCs w:val="20"/>
        </w:rPr>
      </w:pPr>
      <w:r w:rsidRPr="00D6490B">
        <w:rPr>
          <w:rFonts w:cs="Arial"/>
          <w:szCs w:val="20"/>
        </w:rPr>
        <w:t>Predlaga se sprememba 2. člena Zakona o upravljavcih alternativnih investicijskih skladov (Uradni list RS, št. 32/15, 77/18, 161/21 in 101/22 – ZOAIS; v nadaljnjem besedilu: ZUAIS) z navedbo aktov EU, ki se s tem zakonom prenašajo v slovenski pravni red oziroma se z njimi ureja njihovo izvajanje. Predlaga se dopolnitev navedb dveh direktiv in treh uredb.</w:t>
      </w:r>
    </w:p>
    <w:p w14:paraId="03A90CEF" w14:textId="77777777" w:rsidR="00D6490B" w:rsidRPr="00D6490B" w:rsidRDefault="00D6490B" w:rsidP="00D6490B">
      <w:pPr>
        <w:spacing w:line="276" w:lineRule="auto"/>
        <w:jc w:val="both"/>
        <w:rPr>
          <w:rFonts w:cs="Arial"/>
          <w:szCs w:val="20"/>
        </w:rPr>
      </w:pPr>
    </w:p>
    <w:p w14:paraId="5CB87059" w14:textId="4206E963" w:rsidR="00FE0F83" w:rsidRDefault="00D6490B" w:rsidP="00D6490B">
      <w:pPr>
        <w:spacing w:line="276" w:lineRule="auto"/>
        <w:jc w:val="both"/>
        <w:rPr>
          <w:rFonts w:cs="Arial"/>
          <w:szCs w:val="20"/>
        </w:rPr>
      </w:pPr>
      <w:r w:rsidRPr="00D6490B">
        <w:rPr>
          <w:rFonts w:cs="Arial"/>
          <w:szCs w:val="20"/>
        </w:rPr>
        <w:t>Sprememba je potrebna, da se zagotovi skladnost s spremenjenimi pravnimi akti EU, s čimer se ohranjata pravna pravilnost in usklajenost domače zakonodaje s predpisi EU. Namen uskladitve je zagotoviti jasnost, natančnost in doslednost pri sklicevanju na akte EU ter preprečiti morebitne neskladnosti pri izvajanju predpisa.</w:t>
      </w:r>
    </w:p>
    <w:p w14:paraId="7B97C23E" w14:textId="77777777" w:rsidR="00D6490B" w:rsidRPr="0023027E" w:rsidRDefault="00D6490B" w:rsidP="00C64B3F">
      <w:pPr>
        <w:spacing w:line="240" w:lineRule="auto"/>
        <w:jc w:val="both"/>
        <w:rPr>
          <w:rFonts w:cs="Arial"/>
          <w:szCs w:val="20"/>
        </w:rPr>
      </w:pPr>
    </w:p>
    <w:p w14:paraId="2ABAF9A6" w14:textId="3EACCE9E" w:rsidR="00FE0F83" w:rsidRPr="0023027E" w:rsidRDefault="00FE0F83" w:rsidP="00FE0F83">
      <w:pPr>
        <w:spacing w:line="276" w:lineRule="auto"/>
        <w:jc w:val="both"/>
        <w:rPr>
          <w:rFonts w:cs="Arial"/>
          <w:b/>
          <w:bCs/>
          <w:szCs w:val="20"/>
        </w:rPr>
      </w:pPr>
      <w:r w:rsidRPr="0023027E">
        <w:rPr>
          <w:rFonts w:cs="Arial"/>
          <w:b/>
          <w:bCs/>
          <w:szCs w:val="20"/>
        </w:rPr>
        <w:t xml:space="preserve">K </w:t>
      </w:r>
      <w:r w:rsidR="00B403C3" w:rsidRPr="00B403C3">
        <w:rPr>
          <w:rFonts w:cs="Arial"/>
          <w:b/>
          <w:bCs/>
          <w:szCs w:val="20"/>
        </w:rPr>
        <w:t>22</w:t>
      </w:r>
      <w:r w:rsidR="00D269A1" w:rsidRPr="0023027E">
        <w:rPr>
          <w:rFonts w:cs="Arial"/>
          <w:b/>
          <w:bCs/>
          <w:szCs w:val="20"/>
        </w:rPr>
        <w:t xml:space="preserve">. </w:t>
      </w:r>
      <w:r w:rsidRPr="0023027E">
        <w:rPr>
          <w:rFonts w:cs="Arial"/>
          <w:b/>
          <w:bCs/>
          <w:szCs w:val="20"/>
        </w:rPr>
        <w:t>členu</w:t>
      </w:r>
    </w:p>
    <w:p w14:paraId="099FE897" w14:textId="77777777" w:rsidR="009D7834" w:rsidRPr="0023027E" w:rsidRDefault="009D7834" w:rsidP="009D7834">
      <w:pPr>
        <w:spacing w:line="276" w:lineRule="auto"/>
        <w:jc w:val="both"/>
        <w:rPr>
          <w:rFonts w:cs="Arial"/>
          <w:szCs w:val="20"/>
        </w:rPr>
      </w:pPr>
      <w:r w:rsidRPr="0023027E">
        <w:rPr>
          <w:rFonts w:cs="Arial"/>
          <w:szCs w:val="20"/>
        </w:rPr>
        <w:t>S tem členom se dodaja nov</w:t>
      </w:r>
      <w:r>
        <w:rPr>
          <w:rFonts w:cs="Arial"/>
          <w:szCs w:val="20"/>
        </w:rPr>
        <w:t>i</w:t>
      </w:r>
      <w:r w:rsidRPr="0023027E">
        <w:rPr>
          <w:rFonts w:cs="Arial"/>
          <w:szCs w:val="20"/>
        </w:rPr>
        <w:t xml:space="preserve"> drugi odstavek 134. člena ZUAIS, ki prenaša 8. člen Direktive 2023/2864/EU oziroma novi 69.b člen Direktive 2011/61/EU Evropskega parlamenta in Sveta z dne 8. junija 2011 o upraviteljih alternativnih investicijskih skladov in spremembah direktiv 2003/41/ES in 2009/65/ES ter uredb (ES) št. 1060/2009 in (EU) št. 1095/2010 (UL L št. 174 z dne 1. 7. 2011, str. 1;), </w:t>
      </w:r>
      <w:r>
        <w:rPr>
          <w:rFonts w:cs="Arial"/>
          <w:szCs w:val="20"/>
        </w:rPr>
        <w:t>na</w:t>
      </w:r>
      <w:r w:rsidRPr="0023027E">
        <w:rPr>
          <w:rFonts w:cs="Arial"/>
          <w:szCs w:val="20"/>
        </w:rPr>
        <w:t>zadnj</w:t>
      </w:r>
      <w:r>
        <w:rPr>
          <w:rFonts w:cs="Arial"/>
          <w:szCs w:val="20"/>
        </w:rPr>
        <w:t>e</w:t>
      </w:r>
      <w:r w:rsidRPr="0023027E">
        <w:rPr>
          <w:rFonts w:cs="Arial"/>
          <w:szCs w:val="20"/>
        </w:rPr>
        <w:t xml:space="preserve"> spremenjen</w:t>
      </w:r>
      <w:r>
        <w:rPr>
          <w:rFonts w:cs="Arial"/>
          <w:szCs w:val="20"/>
        </w:rPr>
        <w:t>e</w:t>
      </w:r>
      <w:r w:rsidRPr="0023027E">
        <w:rPr>
          <w:rFonts w:cs="Arial"/>
          <w:szCs w:val="20"/>
        </w:rPr>
        <w:t xml:space="preserve"> z Direktivo (EU) 2023/2864 Evropskega parlamenta in Sveta o spremembi nekaterih direktiv glede vzpostavitve in delovanja evropske enotne točke dostopa (UL L št. 2023/2864 z dne 20. 12. 2023), (v nadaljnjem besedilu: Direktiva 2011/61/EU). </w:t>
      </w:r>
    </w:p>
    <w:p w14:paraId="56AA8D92" w14:textId="77777777" w:rsidR="009D7834" w:rsidRPr="0023027E" w:rsidRDefault="009D7834" w:rsidP="009D7834">
      <w:pPr>
        <w:spacing w:line="276" w:lineRule="auto"/>
        <w:jc w:val="both"/>
        <w:rPr>
          <w:rFonts w:cs="Arial"/>
          <w:szCs w:val="20"/>
        </w:rPr>
      </w:pPr>
    </w:p>
    <w:p w14:paraId="6805F407" w14:textId="77777777" w:rsidR="009D7834" w:rsidRPr="0023027E" w:rsidRDefault="009D7834" w:rsidP="009D7834">
      <w:pPr>
        <w:spacing w:line="276" w:lineRule="auto"/>
        <w:jc w:val="both"/>
        <w:rPr>
          <w:rFonts w:cs="Arial"/>
          <w:szCs w:val="20"/>
        </w:rPr>
      </w:pPr>
      <w:r w:rsidRPr="0023027E">
        <w:rPr>
          <w:rFonts w:cs="Arial"/>
          <w:szCs w:val="20"/>
        </w:rPr>
        <w:t>Določa se, da ATVP predloži ESMA informacije iz prvega odstavka 134. člena ZUAIS. Določa</w:t>
      </w:r>
      <w:r>
        <w:rPr>
          <w:rFonts w:cs="Arial"/>
          <w:szCs w:val="20"/>
        </w:rPr>
        <w:t>jo</w:t>
      </w:r>
      <w:r w:rsidRPr="0023027E">
        <w:rPr>
          <w:rFonts w:cs="Arial"/>
          <w:szCs w:val="20"/>
        </w:rPr>
        <w:t xml:space="preserve"> se tudi zahteve za podatke, ki se predložijo na ESAP. </w:t>
      </w:r>
      <w:r>
        <w:rPr>
          <w:rFonts w:cs="Arial"/>
          <w:szCs w:val="20"/>
        </w:rPr>
        <w:t>Kakor i</w:t>
      </w:r>
      <w:r w:rsidRPr="0023027E">
        <w:rPr>
          <w:rFonts w:cs="Arial"/>
          <w:szCs w:val="20"/>
        </w:rPr>
        <w:t>zhaja iz Direktive 2023/2864/EU</w:t>
      </w:r>
      <w:r>
        <w:rPr>
          <w:rFonts w:cs="Arial"/>
          <w:szCs w:val="20"/>
        </w:rPr>
        <w:t>,</w:t>
      </w:r>
      <w:r w:rsidRPr="0023027E">
        <w:rPr>
          <w:rFonts w:cs="Arial"/>
          <w:szCs w:val="20"/>
        </w:rPr>
        <w:t xml:space="preserve"> </w:t>
      </w:r>
      <w:r>
        <w:rPr>
          <w:rFonts w:cs="Arial"/>
          <w:szCs w:val="20"/>
        </w:rPr>
        <w:t>je treba</w:t>
      </w:r>
      <w:r w:rsidRPr="0023027E">
        <w:rPr>
          <w:rFonts w:cs="Arial"/>
          <w:szCs w:val="20"/>
        </w:rPr>
        <w:t xml:space="preserve"> podatk</w:t>
      </w:r>
      <w:r>
        <w:rPr>
          <w:rFonts w:cs="Arial"/>
          <w:szCs w:val="20"/>
        </w:rPr>
        <w:t>e</w:t>
      </w:r>
      <w:r w:rsidRPr="0023027E">
        <w:rPr>
          <w:rFonts w:cs="Arial"/>
          <w:szCs w:val="20"/>
        </w:rPr>
        <w:t xml:space="preserve"> predloži</w:t>
      </w:r>
      <w:r>
        <w:rPr>
          <w:rFonts w:cs="Arial"/>
          <w:szCs w:val="20"/>
        </w:rPr>
        <w:t>ti</w:t>
      </w:r>
      <w:r w:rsidRPr="0023027E">
        <w:rPr>
          <w:rFonts w:cs="Arial"/>
          <w:szCs w:val="20"/>
        </w:rPr>
        <w:t xml:space="preserve"> v formatu, ki omogoča</w:t>
      </w:r>
      <w:r>
        <w:rPr>
          <w:rFonts w:cs="Arial"/>
          <w:szCs w:val="20"/>
        </w:rPr>
        <w:t xml:space="preserve"> njihov</w:t>
      </w:r>
      <w:r w:rsidRPr="0023027E">
        <w:rPr>
          <w:rFonts w:cs="Arial"/>
          <w:szCs w:val="20"/>
        </w:rPr>
        <w:t xml:space="preserve"> izv</w:t>
      </w:r>
      <w:r>
        <w:rPr>
          <w:rFonts w:cs="Arial"/>
          <w:szCs w:val="20"/>
        </w:rPr>
        <w:t>oz</w:t>
      </w:r>
      <w:r w:rsidRPr="0023027E">
        <w:rPr>
          <w:rFonts w:cs="Arial"/>
          <w:szCs w:val="20"/>
        </w:rPr>
        <w:t xml:space="preserve"> (</w:t>
      </w:r>
      <w:r w:rsidRPr="0023027E">
        <w:rPr>
          <w:rFonts w:cs="Arial"/>
          <w:i/>
          <w:iCs/>
          <w:szCs w:val="20"/>
        </w:rPr>
        <w:t xml:space="preserve">data </w:t>
      </w:r>
      <w:proofErr w:type="spellStart"/>
      <w:r w:rsidRPr="0023027E">
        <w:rPr>
          <w:rFonts w:cs="Arial"/>
          <w:i/>
          <w:iCs/>
          <w:szCs w:val="20"/>
        </w:rPr>
        <w:t>extractable</w:t>
      </w:r>
      <w:proofErr w:type="spellEnd"/>
      <w:r w:rsidRPr="0023027E">
        <w:rPr>
          <w:rFonts w:cs="Arial"/>
          <w:i/>
          <w:iCs/>
          <w:szCs w:val="20"/>
        </w:rPr>
        <w:t xml:space="preserve"> format</w:t>
      </w:r>
      <w:r w:rsidRPr="0023027E">
        <w:rPr>
          <w:rFonts w:cs="Arial"/>
          <w:szCs w:val="20"/>
        </w:rPr>
        <w:t>)</w:t>
      </w:r>
      <w:r>
        <w:rPr>
          <w:rFonts w:cs="Arial"/>
          <w:szCs w:val="20"/>
        </w:rPr>
        <w:t>,</w:t>
      </w:r>
      <w:r w:rsidRPr="0023027E">
        <w:rPr>
          <w:rFonts w:cs="Arial"/>
          <w:szCs w:val="20"/>
        </w:rPr>
        <w:t xml:space="preserve"> ali kjer je to določeno z zakonodajo EU, v strojno berljiv</w:t>
      </w:r>
      <w:r>
        <w:rPr>
          <w:rFonts w:cs="Arial"/>
          <w:szCs w:val="20"/>
        </w:rPr>
        <w:t>i</w:t>
      </w:r>
      <w:r w:rsidRPr="0023027E">
        <w:rPr>
          <w:rFonts w:cs="Arial"/>
          <w:szCs w:val="20"/>
        </w:rPr>
        <w:t xml:space="preserve"> </w:t>
      </w:r>
      <w:r>
        <w:rPr>
          <w:rFonts w:cs="Arial"/>
          <w:szCs w:val="20"/>
        </w:rPr>
        <w:t>obliki</w:t>
      </w:r>
      <w:r w:rsidRPr="0023027E">
        <w:rPr>
          <w:rFonts w:cs="Arial"/>
          <w:szCs w:val="20"/>
        </w:rPr>
        <w:t xml:space="preserve"> (</w:t>
      </w:r>
      <w:proofErr w:type="spellStart"/>
      <w:r w:rsidRPr="0023027E">
        <w:rPr>
          <w:rFonts w:cs="Arial"/>
          <w:i/>
          <w:iCs/>
          <w:szCs w:val="20"/>
        </w:rPr>
        <w:t>machine-readable</w:t>
      </w:r>
      <w:proofErr w:type="spellEnd"/>
      <w:r w:rsidRPr="0023027E">
        <w:rPr>
          <w:rFonts w:cs="Arial"/>
          <w:i/>
          <w:iCs/>
          <w:szCs w:val="20"/>
        </w:rPr>
        <w:t xml:space="preserve"> format</w:t>
      </w:r>
      <w:r w:rsidRPr="0023027E">
        <w:rPr>
          <w:rFonts w:cs="Arial"/>
          <w:szCs w:val="20"/>
        </w:rPr>
        <w:t>). T</w:t>
      </w:r>
      <w:r>
        <w:rPr>
          <w:rFonts w:cs="Arial"/>
          <w:szCs w:val="20"/>
        </w:rPr>
        <w:t>ak</w:t>
      </w:r>
      <w:r w:rsidRPr="0023027E">
        <w:rPr>
          <w:rFonts w:cs="Arial"/>
          <w:szCs w:val="20"/>
        </w:rPr>
        <w:t xml:space="preserve">o so podatki digitalno uporabni, kar omogoča </w:t>
      </w:r>
      <w:r>
        <w:rPr>
          <w:rFonts w:cs="Arial"/>
          <w:szCs w:val="20"/>
        </w:rPr>
        <w:t xml:space="preserve">njihovo </w:t>
      </w:r>
      <w:r w:rsidRPr="0023027E">
        <w:rPr>
          <w:rFonts w:cs="Arial"/>
          <w:szCs w:val="20"/>
        </w:rPr>
        <w:t>avtomatizirano obdelavo, analizo in primerjavo. Standardiziran</w:t>
      </w:r>
      <w:r>
        <w:rPr>
          <w:rFonts w:cs="Arial"/>
          <w:szCs w:val="20"/>
        </w:rPr>
        <w:t>i</w:t>
      </w:r>
      <w:r w:rsidRPr="0023027E">
        <w:rPr>
          <w:rFonts w:cs="Arial"/>
          <w:szCs w:val="20"/>
        </w:rPr>
        <w:t xml:space="preserve"> format olajša uporabnikom (na primer vlagatelji, analitiki in regulatorji) dostop do podatkov </w:t>
      </w:r>
      <w:r>
        <w:rPr>
          <w:rFonts w:cs="Arial"/>
          <w:szCs w:val="20"/>
        </w:rPr>
        <w:t>in</w:t>
      </w:r>
      <w:r w:rsidRPr="0023027E">
        <w:rPr>
          <w:rFonts w:cs="Arial"/>
          <w:szCs w:val="20"/>
        </w:rPr>
        <w:t xml:space="preserve"> njihovo uporabo.</w:t>
      </w:r>
    </w:p>
    <w:p w14:paraId="476F9027" w14:textId="77777777" w:rsidR="009D7834" w:rsidRPr="0023027E" w:rsidRDefault="009D7834" w:rsidP="009D7834">
      <w:pPr>
        <w:spacing w:line="276" w:lineRule="auto"/>
        <w:jc w:val="both"/>
        <w:rPr>
          <w:rFonts w:cs="Arial"/>
          <w:szCs w:val="20"/>
        </w:rPr>
      </w:pPr>
    </w:p>
    <w:p w14:paraId="1DF9F951" w14:textId="77777777" w:rsidR="009D7834" w:rsidRPr="0023027E" w:rsidRDefault="009D7834" w:rsidP="009D7834">
      <w:pPr>
        <w:spacing w:after="160" w:line="259" w:lineRule="auto"/>
        <w:jc w:val="both"/>
        <w:rPr>
          <w:rFonts w:cs="Arial"/>
          <w:szCs w:val="20"/>
        </w:rPr>
      </w:pPr>
      <w:r w:rsidRPr="0023027E">
        <w:rPr>
          <w:rFonts w:cs="Arial"/>
          <w:szCs w:val="20"/>
        </w:rPr>
        <w:t>Informacije morajo vsebovati metapodatke, ki zagotavljajo dodatne podatke o nadzorovani osebi in naravi pred</w:t>
      </w:r>
      <w:r>
        <w:rPr>
          <w:rFonts w:cs="Arial"/>
          <w:szCs w:val="20"/>
        </w:rPr>
        <w:t>l</w:t>
      </w:r>
      <w:r w:rsidRPr="0023027E">
        <w:rPr>
          <w:rFonts w:cs="Arial"/>
          <w:szCs w:val="20"/>
        </w:rPr>
        <w:t>o</w:t>
      </w:r>
      <w:r>
        <w:rPr>
          <w:rFonts w:cs="Arial"/>
          <w:szCs w:val="20"/>
        </w:rPr>
        <w:t>že</w:t>
      </w:r>
      <w:r w:rsidRPr="0023027E">
        <w:rPr>
          <w:rFonts w:cs="Arial"/>
          <w:szCs w:val="20"/>
        </w:rPr>
        <w:t>nih podatkov. Ti metapodatki so:</w:t>
      </w:r>
    </w:p>
    <w:p w14:paraId="19DE6767" w14:textId="77777777" w:rsidR="009D7834" w:rsidRPr="0023027E" w:rsidRDefault="009D7834" w:rsidP="009D7834">
      <w:pPr>
        <w:pStyle w:val="Odstavekseznama"/>
        <w:numPr>
          <w:ilvl w:val="0"/>
          <w:numId w:val="65"/>
        </w:numPr>
        <w:spacing w:after="160" w:line="259" w:lineRule="auto"/>
        <w:jc w:val="both"/>
        <w:rPr>
          <w:rFonts w:cs="Arial"/>
          <w:szCs w:val="20"/>
        </w:rPr>
      </w:pPr>
      <w:r w:rsidRPr="0023027E">
        <w:rPr>
          <w:rFonts w:cs="Arial"/>
          <w:szCs w:val="20"/>
        </w:rPr>
        <w:t>vsa imena upravljavca AIS in seznam AIS, ki jih upravlja ali trži, na katerega se nanašajo informacije, kar vključuje uradno ime pravnega subjekta ali druga imena, pod katerimi ta oseba posluje. Namen je jasna identifikacija subjekta, da se prepreči zmeda pri subjektih z enakimi ali podobnimi imeni;</w:t>
      </w:r>
    </w:p>
    <w:p w14:paraId="04319F22" w14:textId="77777777" w:rsidR="009D7834" w:rsidRPr="0023027E" w:rsidRDefault="009D7834" w:rsidP="009D7834">
      <w:pPr>
        <w:pStyle w:val="Odstavekseznama"/>
        <w:numPr>
          <w:ilvl w:val="0"/>
          <w:numId w:val="65"/>
        </w:numPr>
        <w:spacing w:after="160" w:line="259" w:lineRule="auto"/>
        <w:jc w:val="both"/>
        <w:rPr>
          <w:rFonts w:cs="Arial"/>
          <w:szCs w:val="20"/>
        </w:rPr>
      </w:pPr>
      <w:r w:rsidRPr="0023027E">
        <w:rPr>
          <w:rFonts w:cs="Arial"/>
          <w:szCs w:val="20"/>
        </w:rPr>
        <w:t>če obstaja, identifikator pravnih subjektov</w:t>
      </w:r>
      <w:r>
        <w:rPr>
          <w:rFonts w:cs="Arial"/>
          <w:szCs w:val="20"/>
        </w:rPr>
        <w:t>,</w:t>
      </w:r>
      <w:r w:rsidRPr="0023027E">
        <w:rPr>
          <w:rFonts w:cs="Arial"/>
          <w:szCs w:val="20"/>
        </w:rPr>
        <w:t xml:space="preserve"> k</w:t>
      </w:r>
      <w:r>
        <w:rPr>
          <w:rFonts w:cs="Arial"/>
          <w:szCs w:val="20"/>
        </w:rPr>
        <w:t>ak</w:t>
      </w:r>
      <w:r w:rsidRPr="0023027E">
        <w:rPr>
          <w:rFonts w:cs="Arial"/>
          <w:szCs w:val="20"/>
        </w:rPr>
        <w:t>o</w:t>
      </w:r>
      <w:r>
        <w:rPr>
          <w:rFonts w:cs="Arial"/>
          <w:szCs w:val="20"/>
        </w:rPr>
        <w:t>r</w:t>
      </w:r>
      <w:r w:rsidRPr="0023027E">
        <w:rPr>
          <w:rFonts w:cs="Arial"/>
          <w:szCs w:val="20"/>
        </w:rPr>
        <w:t xml:space="preserve"> je določeno v točki b) četrtega odstavka 7. člena Uredbe 2023/2859/EU. Identifikator pravnih subjektov je standardizirana koda, ki se bo uporabljal za enolično identifikacijo pravnih oseb in ga natančneje opredeljuje Izvedbena uredba Komisije (EU) 2025/1338 z dne 10. julija 2025 o določitvi izvedbenih tehničnih standardov za uporabo Uredbe (EU) 2023/2859 Evropskega parlamenta in Sveta v zvezi s funkcionalnostmi evropske enotne točke dostopa (UL L št. 2025/1338 z dne 11. 7. 2025</w:t>
      </w:r>
      <w:r>
        <w:rPr>
          <w:rFonts w:cs="Arial"/>
          <w:szCs w:val="20"/>
        </w:rPr>
        <w:t xml:space="preserve">; </w:t>
      </w:r>
      <w:r w:rsidRPr="0023027E">
        <w:rPr>
          <w:rFonts w:cs="Arial"/>
          <w:szCs w:val="20"/>
        </w:rPr>
        <w:t>v nadaljnjem besedilu: Uredba 2025/1338/EU). Identifikator pravnih subjektov je ključen za izboljšanje preglednosti in sledenja v finančnih sistemih</w:t>
      </w:r>
      <w:r>
        <w:rPr>
          <w:rFonts w:cs="Arial"/>
          <w:szCs w:val="20"/>
        </w:rPr>
        <w:t>. To</w:t>
      </w:r>
      <w:r w:rsidRPr="0023027E">
        <w:rPr>
          <w:rFonts w:cs="Arial"/>
          <w:szCs w:val="20"/>
        </w:rPr>
        <w:t xml:space="preserve"> regulatorjem in drugim deležnikom</w:t>
      </w:r>
      <w:r w:rsidRPr="009C2623">
        <w:rPr>
          <w:rFonts w:cs="Arial"/>
          <w:szCs w:val="20"/>
        </w:rPr>
        <w:t xml:space="preserve"> </w:t>
      </w:r>
      <w:r w:rsidRPr="0023027E">
        <w:rPr>
          <w:rFonts w:cs="Arial"/>
          <w:szCs w:val="20"/>
        </w:rPr>
        <w:t>omogoča, da hitro in natančno identificirajo pravne subjekte, vključen</w:t>
      </w:r>
      <w:r>
        <w:rPr>
          <w:rFonts w:cs="Arial"/>
          <w:szCs w:val="20"/>
        </w:rPr>
        <w:t>e</w:t>
      </w:r>
      <w:r w:rsidRPr="0023027E">
        <w:rPr>
          <w:rFonts w:cs="Arial"/>
          <w:szCs w:val="20"/>
        </w:rPr>
        <w:t xml:space="preserve"> v finančne transakcije, kar zmanjšuje tveganja, povezana z nejasnostjo ali prikrivanjem identitete;</w:t>
      </w:r>
    </w:p>
    <w:p w14:paraId="7EB27E1D" w14:textId="77777777" w:rsidR="009D7834" w:rsidRPr="0023027E" w:rsidRDefault="009D7834" w:rsidP="009D7834">
      <w:pPr>
        <w:pStyle w:val="Odstavekseznama"/>
        <w:numPr>
          <w:ilvl w:val="0"/>
          <w:numId w:val="65"/>
        </w:numPr>
        <w:spacing w:after="160" w:line="259" w:lineRule="auto"/>
        <w:jc w:val="both"/>
        <w:rPr>
          <w:rFonts w:cs="Arial"/>
          <w:szCs w:val="20"/>
        </w:rPr>
      </w:pPr>
      <w:r w:rsidRPr="0023027E">
        <w:rPr>
          <w:rFonts w:cs="Arial"/>
          <w:szCs w:val="20"/>
        </w:rPr>
        <w:lastRenderedPageBreak/>
        <w:t xml:space="preserve">vrsta informacij glede na razvrstitev na podlagi točke c) četrtega odstavka 7. člena Uredbe 2023/2859/EU. To pomeni, da morajo biti podatki označeni glede na vrsto ali kategorijo. To </w:t>
      </w:r>
      <w:r>
        <w:rPr>
          <w:rFonts w:cs="Arial"/>
          <w:szCs w:val="20"/>
        </w:rPr>
        <w:t>prejemnikom</w:t>
      </w:r>
      <w:r w:rsidRPr="0023027E">
        <w:rPr>
          <w:rFonts w:cs="Arial"/>
          <w:szCs w:val="20"/>
        </w:rPr>
        <w:t xml:space="preserve"> omogoča lažje razumevanje in obdelavo podatkov. Vrste informacij so natančneje opredeljene v Uredbi 2025/1338/EU;</w:t>
      </w:r>
    </w:p>
    <w:p w14:paraId="209D2988" w14:textId="77777777" w:rsidR="009D7834" w:rsidRPr="0023027E" w:rsidRDefault="009D7834" w:rsidP="009D7834">
      <w:pPr>
        <w:pStyle w:val="Odstavekseznama"/>
        <w:numPr>
          <w:ilvl w:val="0"/>
          <w:numId w:val="65"/>
        </w:numPr>
        <w:spacing w:after="160" w:line="259" w:lineRule="auto"/>
        <w:jc w:val="both"/>
        <w:rPr>
          <w:rFonts w:cs="Arial"/>
          <w:szCs w:val="20"/>
        </w:rPr>
      </w:pPr>
      <w:r w:rsidRPr="0023027E">
        <w:rPr>
          <w:rFonts w:cs="Arial"/>
          <w:szCs w:val="20"/>
        </w:rPr>
        <w:t xml:space="preserve">oznaka, ali informacije vsebujejo osebne podatke: </w:t>
      </w:r>
      <w:r>
        <w:rPr>
          <w:rFonts w:cs="Arial"/>
          <w:szCs w:val="20"/>
        </w:rPr>
        <w:t>i</w:t>
      </w:r>
      <w:r w:rsidRPr="0023027E">
        <w:rPr>
          <w:rFonts w:cs="Arial"/>
          <w:szCs w:val="20"/>
        </w:rPr>
        <w:t>nformacije morajo biti označene, če vsebujejo osebne podatke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podatke o posameznikih, kot so imena, naslovi, identifikacijske številke). Ta zahteva je pomembna za skladnost z zakonodajo o varstvu podatkov, saj osebni podatki zahtevajo posebno obravnavo in varstvo.</w:t>
      </w:r>
    </w:p>
    <w:p w14:paraId="484EF7C9" w14:textId="77777777" w:rsidR="009D7834" w:rsidRPr="0023027E" w:rsidRDefault="009D7834" w:rsidP="009D7834">
      <w:pPr>
        <w:spacing w:line="276" w:lineRule="auto"/>
        <w:jc w:val="both"/>
        <w:rPr>
          <w:rFonts w:cs="Arial"/>
          <w:szCs w:val="20"/>
        </w:rPr>
      </w:pPr>
    </w:p>
    <w:p w14:paraId="1884A866" w14:textId="77777777" w:rsidR="009D7834" w:rsidRPr="0023027E" w:rsidRDefault="009D7834" w:rsidP="009D7834">
      <w:pPr>
        <w:spacing w:line="276" w:lineRule="auto"/>
        <w:jc w:val="both"/>
        <w:rPr>
          <w:rFonts w:cs="Arial"/>
          <w:szCs w:val="20"/>
        </w:rPr>
      </w:pPr>
      <w:r w:rsidRPr="0023027E">
        <w:rPr>
          <w:rFonts w:cs="Arial"/>
          <w:szCs w:val="20"/>
        </w:rPr>
        <w:t>Metapodatki so ključni za organiz</w:t>
      </w:r>
      <w:r>
        <w:rPr>
          <w:rFonts w:cs="Arial"/>
          <w:szCs w:val="20"/>
        </w:rPr>
        <w:t>iranje</w:t>
      </w:r>
      <w:r w:rsidRPr="0023027E">
        <w:rPr>
          <w:rFonts w:cs="Arial"/>
          <w:szCs w:val="20"/>
        </w:rPr>
        <w:t xml:space="preserve"> in kategoriz</w:t>
      </w:r>
      <w:r>
        <w:rPr>
          <w:rFonts w:cs="Arial"/>
          <w:szCs w:val="20"/>
        </w:rPr>
        <w:t>iranje</w:t>
      </w:r>
      <w:r w:rsidRPr="0023027E">
        <w:rPr>
          <w:rFonts w:cs="Arial"/>
          <w:szCs w:val="20"/>
        </w:rPr>
        <w:t xml:space="preserve"> informacij na ESAP. Z njimi se podatki označijo z dodatnimi informacijami, kar omogoča lažje iskanje in filtriranje. Metapodatki zagotavljajo, da so informacije strukturirane in dostopne na način, prilagojen potrebam uporabnikov, ter povečujejo preglednost in učinkovitost ESAP. Pri tem je pomembno tudi načelo </w:t>
      </w:r>
      <w:r>
        <w:rPr>
          <w:rFonts w:cs="Arial"/>
          <w:szCs w:val="20"/>
        </w:rPr>
        <w:t>»</w:t>
      </w:r>
      <w:r w:rsidRPr="0023027E">
        <w:rPr>
          <w:rFonts w:cs="Arial"/>
          <w:szCs w:val="20"/>
        </w:rPr>
        <w:t>enkratnega vnosa</w:t>
      </w:r>
      <w:r>
        <w:rPr>
          <w:rFonts w:cs="Arial"/>
          <w:szCs w:val="20"/>
        </w:rPr>
        <w:t>«</w:t>
      </w:r>
      <w:r w:rsidRPr="0023027E">
        <w:rPr>
          <w:rFonts w:cs="Arial"/>
          <w:szCs w:val="20"/>
        </w:rPr>
        <w:t xml:space="preserve"> (</w:t>
      </w:r>
      <w:r w:rsidRPr="0023027E">
        <w:rPr>
          <w:rFonts w:cs="Arial"/>
          <w:i/>
          <w:iCs/>
          <w:szCs w:val="20"/>
        </w:rPr>
        <w:t xml:space="preserve">file </w:t>
      </w:r>
      <w:proofErr w:type="spellStart"/>
      <w:r w:rsidRPr="0023027E">
        <w:rPr>
          <w:rFonts w:cs="Arial"/>
          <w:i/>
          <w:iCs/>
          <w:szCs w:val="20"/>
        </w:rPr>
        <w:t>once</w:t>
      </w:r>
      <w:proofErr w:type="spellEnd"/>
      <w:r w:rsidRPr="0023027E">
        <w:rPr>
          <w:rFonts w:cs="Arial"/>
          <w:i/>
          <w:iCs/>
          <w:szCs w:val="20"/>
        </w:rPr>
        <w:t xml:space="preserve"> </w:t>
      </w:r>
      <w:proofErr w:type="spellStart"/>
      <w:r w:rsidRPr="0023027E">
        <w:rPr>
          <w:rFonts w:cs="Arial"/>
          <w:i/>
          <w:iCs/>
          <w:szCs w:val="20"/>
        </w:rPr>
        <w:t>principle</w:t>
      </w:r>
      <w:proofErr w:type="spellEnd"/>
      <w:r w:rsidRPr="0023027E">
        <w:rPr>
          <w:rFonts w:cs="Arial"/>
          <w:szCs w:val="20"/>
        </w:rPr>
        <w:t xml:space="preserve">), kar pomeni, da subjekti podatke, ki jih že objavljajo v skladu z </w:t>
      </w:r>
      <w:r>
        <w:rPr>
          <w:rFonts w:cs="Arial"/>
          <w:szCs w:val="20"/>
        </w:rPr>
        <w:t>veljavno</w:t>
      </w:r>
      <w:r w:rsidRPr="0023027E">
        <w:rPr>
          <w:rFonts w:cs="Arial"/>
          <w:szCs w:val="20"/>
        </w:rPr>
        <w:t xml:space="preserve"> zakonodajo, predložijo v standardiziranem formatu brez dodatnih obveznosti. Zahteve po </w:t>
      </w:r>
      <w:r>
        <w:rPr>
          <w:rFonts w:cs="Arial"/>
          <w:szCs w:val="20"/>
        </w:rPr>
        <w:t>izvozu</w:t>
      </w:r>
      <w:r w:rsidRPr="0023027E">
        <w:rPr>
          <w:rFonts w:cs="Arial"/>
          <w:szCs w:val="20"/>
        </w:rPr>
        <w:t xml:space="preserve"> podatkov in metapodatkih zagotavljajo, da se ti podatki učinkovito </w:t>
      </w:r>
      <w:r>
        <w:rPr>
          <w:rFonts w:cs="Arial"/>
          <w:szCs w:val="20"/>
        </w:rPr>
        <w:t>vključijo</w:t>
      </w:r>
      <w:r w:rsidRPr="0023027E">
        <w:rPr>
          <w:rFonts w:cs="Arial"/>
          <w:szCs w:val="20"/>
        </w:rPr>
        <w:t xml:space="preserve"> v centralizirano platformo ESAP, kar zmanjšuje administrativno breme in povečuje dostopnost.</w:t>
      </w:r>
    </w:p>
    <w:p w14:paraId="343D0462" w14:textId="77777777" w:rsidR="009D7834" w:rsidRPr="0023027E" w:rsidRDefault="009D7834" w:rsidP="009D7834">
      <w:pPr>
        <w:spacing w:line="276" w:lineRule="auto"/>
        <w:jc w:val="both"/>
        <w:rPr>
          <w:rFonts w:cs="Arial"/>
          <w:szCs w:val="20"/>
        </w:rPr>
      </w:pPr>
    </w:p>
    <w:p w14:paraId="23DDE757" w14:textId="77777777" w:rsidR="009D7834" w:rsidRPr="0023027E" w:rsidRDefault="009D7834" w:rsidP="009D7834">
      <w:pPr>
        <w:spacing w:line="276" w:lineRule="auto"/>
        <w:jc w:val="both"/>
        <w:rPr>
          <w:rFonts w:cs="Arial"/>
          <w:szCs w:val="20"/>
        </w:rPr>
      </w:pPr>
      <w:r w:rsidRPr="0023027E">
        <w:rPr>
          <w:rFonts w:cs="Arial"/>
          <w:szCs w:val="20"/>
        </w:rPr>
        <w:t xml:space="preserve">Uporaba metapodatkov in standardiziranih formatov omogoča tehnično </w:t>
      </w:r>
      <w:proofErr w:type="spellStart"/>
      <w:r w:rsidRPr="0023027E">
        <w:rPr>
          <w:rFonts w:cs="Arial"/>
          <w:szCs w:val="20"/>
        </w:rPr>
        <w:t>interoperabilnost</w:t>
      </w:r>
      <w:proofErr w:type="spellEnd"/>
      <w:r w:rsidRPr="0023027E">
        <w:rPr>
          <w:rFonts w:cs="Arial"/>
          <w:szCs w:val="20"/>
        </w:rPr>
        <w:t xml:space="preserve"> med različnimi sistemi zbiranja podatkov na nacionalni ravni in ESAP, ki ga upravlja ESMA. To omogoča </w:t>
      </w:r>
      <w:r w:rsidRPr="003F4D4F">
        <w:rPr>
          <w:rFonts w:cs="Arial"/>
          <w:szCs w:val="20"/>
        </w:rPr>
        <w:t>nemoten</w:t>
      </w:r>
      <w:r w:rsidRPr="0023027E">
        <w:rPr>
          <w:rFonts w:cs="Arial"/>
          <w:szCs w:val="20"/>
        </w:rPr>
        <w:t xml:space="preserve"> prenos podatkov, kar povečuje učinkovitost in zmanjšuje stroške.</w:t>
      </w:r>
    </w:p>
    <w:p w14:paraId="1391B818" w14:textId="77777777" w:rsidR="00FE0F83" w:rsidRPr="0023027E" w:rsidRDefault="00FE0F83" w:rsidP="00C64B3F">
      <w:pPr>
        <w:spacing w:line="240" w:lineRule="auto"/>
        <w:jc w:val="both"/>
        <w:rPr>
          <w:rFonts w:cs="Arial"/>
          <w:szCs w:val="20"/>
        </w:rPr>
      </w:pPr>
    </w:p>
    <w:p w14:paraId="1F543A17" w14:textId="29ABFC25" w:rsidR="003F4DC5" w:rsidRPr="0023027E" w:rsidRDefault="003F4DC5" w:rsidP="003F4DC5">
      <w:pPr>
        <w:spacing w:line="276" w:lineRule="auto"/>
        <w:jc w:val="both"/>
        <w:rPr>
          <w:rFonts w:cs="Arial"/>
          <w:b/>
          <w:bCs/>
          <w:szCs w:val="20"/>
        </w:rPr>
      </w:pPr>
      <w:r w:rsidRPr="0023027E">
        <w:rPr>
          <w:rFonts w:cs="Arial"/>
          <w:b/>
          <w:bCs/>
          <w:szCs w:val="20"/>
        </w:rPr>
        <w:t xml:space="preserve">K </w:t>
      </w:r>
      <w:r w:rsidR="00294FB5">
        <w:rPr>
          <w:rFonts w:cs="Arial"/>
          <w:b/>
          <w:bCs/>
          <w:szCs w:val="20"/>
        </w:rPr>
        <w:t>23</w:t>
      </w:r>
      <w:r w:rsidRPr="0023027E">
        <w:rPr>
          <w:rFonts w:cs="Arial"/>
          <w:b/>
          <w:bCs/>
          <w:szCs w:val="20"/>
        </w:rPr>
        <w:t>. členu</w:t>
      </w:r>
    </w:p>
    <w:p w14:paraId="7CFFE50C" w14:textId="7906573B" w:rsidR="003F4DC5" w:rsidRPr="003F4DC5" w:rsidRDefault="003F4DC5" w:rsidP="003F4DC5">
      <w:pPr>
        <w:spacing w:line="276" w:lineRule="auto"/>
        <w:jc w:val="both"/>
        <w:rPr>
          <w:rFonts w:cs="Arial"/>
          <w:szCs w:val="20"/>
        </w:rPr>
      </w:pPr>
      <w:r w:rsidRPr="003F4DC5">
        <w:rPr>
          <w:rFonts w:cs="Arial"/>
          <w:szCs w:val="20"/>
        </w:rPr>
        <w:t xml:space="preserve">Predlaga se sprememba 3. točke 1. člena Zakona o bonitetnem nadzoru investicijskih podjetij (Uradni list RS, št. 123/21); v nadaljnjem besedilu: ZBNIP), v delu, ki se sklicuje na akt EU. Predlaga se dopolnitev navedbe </w:t>
      </w:r>
      <w:r>
        <w:rPr>
          <w:rFonts w:cs="Arial"/>
          <w:szCs w:val="20"/>
        </w:rPr>
        <w:t>uredbe</w:t>
      </w:r>
      <w:r w:rsidRPr="003F4DC5">
        <w:rPr>
          <w:rFonts w:cs="Arial"/>
          <w:szCs w:val="20"/>
        </w:rPr>
        <w:t>.</w:t>
      </w:r>
    </w:p>
    <w:p w14:paraId="0002F27A" w14:textId="77777777" w:rsidR="003F4DC5" w:rsidRPr="003F4DC5" w:rsidRDefault="003F4DC5" w:rsidP="003F4DC5">
      <w:pPr>
        <w:spacing w:line="276" w:lineRule="auto"/>
        <w:jc w:val="both"/>
        <w:rPr>
          <w:rFonts w:cs="Arial"/>
          <w:szCs w:val="20"/>
        </w:rPr>
      </w:pPr>
    </w:p>
    <w:p w14:paraId="32A1F475" w14:textId="0C1CE234" w:rsidR="003F4DC5" w:rsidRDefault="003F4DC5" w:rsidP="003F4DC5">
      <w:pPr>
        <w:spacing w:line="276" w:lineRule="auto"/>
        <w:jc w:val="both"/>
        <w:rPr>
          <w:rFonts w:cs="Arial"/>
          <w:szCs w:val="20"/>
        </w:rPr>
      </w:pPr>
      <w:r w:rsidRPr="003F4DC5">
        <w:rPr>
          <w:rFonts w:cs="Arial"/>
          <w:szCs w:val="20"/>
        </w:rPr>
        <w:t>Sprememba je potrebna, da se zagotovi skladnost z veljavnimi pravnimi akti EU, ki so bili spremenjeni, s čimer se ohranjata pravna pravilnost in usklajenost nacionalne zakonodaje predpisi EU. Namen uskladitve je zagotoviti jasnost, natančnost in doslednost pri sklicevanju na akte EU ter preprečiti morebitne neskladnosti pri izvajanju predpisa.</w:t>
      </w:r>
    </w:p>
    <w:p w14:paraId="6CE210D1" w14:textId="77777777" w:rsidR="00FE0F83" w:rsidRPr="0023027E" w:rsidRDefault="00FE0F83" w:rsidP="00C64B3F">
      <w:pPr>
        <w:spacing w:line="240" w:lineRule="auto"/>
        <w:jc w:val="both"/>
        <w:rPr>
          <w:rFonts w:cs="Arial"/>
          <w:szCs w:val="20"/>
        </w:rPr>
      </w:pPr>
    </w:p>
    <w:p w14:paraId="37AC02BC" w14:textId="38288801" w:rsidR="00FE0F83" w:rsidRPr="0023027E" w:rsidRDefault="00FE0F83" w:rsidP="00FE0F83">
      <w:pPr>
        <w:spacing w:line="276" w:lineRule="auto"/>
        <w:jc w:val="both"/>
        <w:rPr>
          <w:rFonts w:cs="Arial"/>
          <w:b/>
          <w:bCs/>
          <w:szCs w:val="20"/>
        </w:rPr>
      </w:pPr>
      <w:r w:rsidRPr="0023027E">
        <w:rPr>
          <w:rFonts w:cs="Arial"/>
          <w:b/>
          <w:bCs/>
          <w:szCs w:val="20"/>
        </w:rPr>
        <w:t xml:space="preserve">K </w:t>
      </w:r>
      <w:r w:rsidR="00294FB5">
        <w:rPr>
          <w:rFonts w:cs="Arial"/>
          <w:b/>
          <w:bCs/>
          <w:szCs w:val="20"/>
        </w:rPr>
        <w:t>24</w:t>
      </w:r>
      <w:r w:rsidR="00515F83" w:rsidRPr="0023027E">
        <w:rPr>
          <w:rFonts w:cs="Arial"/>
          <w:b/>
          <w:bCs/>
          <w:szCs w:val="20"/>
        </w:rPr>
        <w:t xml:space="preserve">. </w:t>
      </w:r>
      <w:r w:rsidRPr="0023027E">
        <w:rPr>
          <w:rFonts w:cs="Arial"/>
          <w:b/>
          <w:bCs/>
          <w:szCs w:val="20"/>
        </w:rPr>
        <w:t>členu</w:t>
      </w:r>
    </w:p>
    <w:p w14:paraId="5FE0152E" w14:textId="77777777" w:rsidR="00D231D9" w:rsidRPr="0023027E" w:rsidRDefault="00D231D9" w:rsidP="00D231D9">
      <w:pPr>
        <w:spacing w:line="276" w:lineRule="auto"/>
        <w:jc w:val="both"/>
        <w:rPr>
          <w:rFonts w:cs="Arial"/>
          <w:szCs w:val="20"/>
        </w:rPr>
      </w:pPr>
      <w:r w:rsidRPr="0023027E">
        <w:rPr>
          <w:rFonts w:cs="Arial"/>
          <w:szCs w:val="20"/>
        </w:rPr>
        <w:t xml:space="preserve">Predlaga se sprememba 3. člena Zakona o bonitetnem nadzoru investicijskih podjetij (Uradni list RS, št. 123/21; v nadaljnjem besedilu: ZBNIP), ki navaja akte EU, katerih izvajanje se ureja s tem zakonom. Predlaga se dopolnitev navedb uredbe. </w:t>
      </w:r>
    </w:p>
    <w:p w14:paraId="32997116" w14:textId="77777777" w:rsidR="00D231D9" w:rsidRPr="0023027E" w:rsidRDefault="00D231D9" w:rsidP="00D231D9">
      <w:pPr>
        <w:spacing w:line="276" w:lineRule="auto"/>
        <w:jc w:val="both"/>
        <w:rPr>
          <w:rFonts w:cs="Arial"/>
          <w:szCs w:val="20"/>
        </w:rPr>
      </w:pPr>
    </w:p>
    <w:p w14:paraId="439417A2" w14:textId="77777777" w:rsidR="00D231D9" w:rsidRPr="0023027E" w:rsidRDefault="00D231D9" w:rsidP="00D231D9">
      <w:pPr>
        <w:spacing w:line="276" w:lineRule="auto"/>
        <w:jc w:val="both"/>
        <w:rPr>
          <w:rFonts w:cs="Arial"/>
          <w:szCs w:val="20"/>
        </w:rPr>
      </w:pPr>
      <w:r w:rsidRPr="0023027E">
        <w:rPr>
          <w:rFonts w:cs="Arial"/>
          <w:szCs w:val="20"/>
        </w:rPr>
        <w:t xml:space="preserve">Sprememba je potrebna, da se zagotovi skladnost </w:t>
      </w:r>
      <w:r>
        <w:rPr>
          <w:rFonts w:cs="Arial"/>
          <w:szCs w:val="20"/>
        </w:rPr>
        <w:t>s spremenjenimi</w:t>
      </w:r>
      <w:r w:rsidRPr="0023027E">
        <w:rPr>
          <w:rFonts w:cs="Arial"/>
          <w:szCs w:val="20"/>
        </w:rPr>
        <w:t xml:space="preserve"> pravnimi akti EU, s čimer se ohranjata pravna pravilnost in usklajenost </w:t>
      </w:r>
      <w:r>
        <w:rPr>
          <w:rFonts w:cs="Arial"/>
          <w:szCs w:val="20"/>
        </w:rPr>
        <w:t>dom</w:t>
      </w:r>
      <w:r w:rsidRPr="0023027E">
        <w:rPr>
          <w:rFonts w:cs="Arial"/>
          <w:szCs w:val="20"/>
        </w:rPr>
        <w:t>a</w:t>
      </w:r>
      <w:r>
        <w:rPr>
          <w:rFonts w:cs="Arial"/>
          <w:szCs w:val="20"/>
        </w:rPr>
        <w:t>č</w:t>
      </w:r>
      <w:r w:rsidRPr="0023027E">
        <w:rPr>
          <w:rFonts w:cs="Arial"/>
          <w:szCs w:val="20"/>
        </w:rPr>
        <w:t xml:space="preserve">e zakonodaje </w:t>
      </w:r>
      <w:r>
        <w:rPr>
          <w:rFonts w:cs="Arial"/>
          <w:szCs w:val="20"/>
        </w:rPr>
        <w:t xml:space="preserve">s </w:t>
      </w:r>
      <w:r w:rsidRPr="0023027E">
        <w:rPr>
          <w:rFonts w:cs="Arial"/>
          <w:szCs w:val="20"/>
        </w:rPr>
        <w:t>predpisi EU. Namen uskladitve je zagotoviti jasnost, natančnost in doslednost pri sklicevanju na akte EU ter preprečiti morebitne neskladnosti pri izvajanju predpisa.</w:t>
      </w:r>
    </w:p>
    <w:p w14:paraId="623319F6" w14:textId="77777777" w:rsidR="00FE0F83" w:rsidRPr="0023027E" w:rsidRDefault="00FE0F83" w:rsidP="00C64B3F">
      <w:pPr>
        <w:spacing w:line="240" w:lineRule="auto"/>
        <w:jc w:val="both"/>
        <w:rPr>
          <w:rFonts w:cs="Arial"/>
          <w:szCs w:val="20"/>
        </w:rPr>
      </w:pPr>
    </w:p>
    <w:p w14:paraId="5D77CE9A" w14:textId="29C9B218" w:rsidR="00FE0F83" w:rsidRPr="0023027E" w:rsidRDefault="00FE0F83" w:rsidP="00FE0F83">
      <w:pPr>
        <w:spacing w:line="276" w:lineRule="auto"/>
        <w:jc w:val="both"/>
        <w:rPr>
          <w:rFonts w:cs="Arial"/>
          <w:b/>
          <w:bCs/>
          <w:szCs w:val="20"/>
        </w:rPr>
      </w:pPr>
      <w:r w:rsidRPr="0023027E">
        <w:rPr>
          <w:rFonts w:cs="Arial"/>
          <w:b/>
          <w:bCs/>
          <w:szCs w:val="20"/>
        </w:rPr>
        <w:t xml:space="preserve">K </w:t>
      </w:r>
      <w:r w:rsidR="00294FB5">
        <w:rPr>
          <w:rFonts w:cs="Arial"/>
          <w:b/>
          <w:bCs/>
          <w:szCs w:val="20"/>
        </w:rPr>
        <w:t>25</w:t>
      </w:r>
      <w:r w:rsidR="00515F83" w:rsidRPr="0023027E">
        <w:rPr>
          <w:rFonts w:cs="Arial"/>
          <w:b/>
          <w:bCs/>
          <w:szCs w:val="20"/>
        </w:rPr>
        <w:t xml:space="preserve">. </w:t>
      </w:r>
      <w:r w:rsidRPr="0023027E">
        <w:rPr>
          <w:rFonts w:cs="Arial"/>
          <w:b/>
          <w:bCs/>
          <w:szCs w:val="20"/>
        </w:rPr>
        <w:t>členu</w:t>
      </w:r>
    </w:p>
    <w:p w14:paraId="0724D91E" w14:textId="77777777" w:rsidR="00D231D9" w:rsidRPr="0023027E" w:rsidRDefault="00D231D9" w:rsidP="00D231D9">
      <w:pPr>
        <w:spacing w:line="276" w:lineRule="auto"/>
        <w:jc w:val="both"/>
        <w:rPr>
          <w:rFonts w:cs="Arial"/>
          <w:szCs w:val="20"/>
        </w:rPr>
      </w:pPr>
      <w:r w:rsidRPr="0023027E">
        <w:rPr>
          <w:rFonts w:cs="Arial"/>
          <w:szCs w:val="20"/>
        </w:rPr>
        <w:t>S tem členom se dodaja nov</w:t>
      </w:r>
      <w:r>
        <w:rPr>
          <w:rFonts w:cs="Arial"/>
          <w:szCs w:val="20"/>
        </w:rPr>
        <w:t>i</w:t>
      </w:r>
      <w:r w:rsidRPr="0023027E">
        <w:rPr>
          <w:rFonts w:cs="Arial"/>
          <w:szCs w:val="20"/>
        </w:rPr>
        <w:t xml:space="preserve"> peti odstavek 21. člena ZBNIP, ki prenaša 15. člen Direktive 2023/2864/EU oziroma novi 44.a člen Direktive (EU) 2019/2034 Evropskega parlamenta in Sveta z dne 27. novembra 2019 o bonitetnem nadzoru investicijskih podjetij ter o spremembi direktiv 2002/87/ES, 2009/65/ES, 2011/61/EU, 2013/36/EU, 2014/59/EU in 2014/65/EU (UL L št. 314 z dne 5. 12. 2019, str. 64), </w:t>
      </w:r>
      <w:r>
        <w:rPr>
          <w:rFonts w:cs="Arial"/>
          <w:szCs w:val="20"/>
        </w:rPr>
        <w:t>na</w:t>
      </w:r>
      <w:r w:rsidRPr="0023027E">
        <w:rPr>
          <w:rFonts w:cs="Arial"/>
          <w:szCs w:val="20"/>
        </w:rPr>
        <w:t>zadnj</w:t>
      </w:r>
      <w:r>
        <w:rPr>
          <w:rFonts w:cs="Arial"/>
          <w:szCs w:val="20"/>
        </w:rPr>
        <w:t>e</w:t>
      </w:r>
      <w:r w:rsidRPr="0023027E">
        <w:rPr>
          <w:rFonts w:cs="Arial"/>
          <w:szCs w:val="20"/>
        </w:rPr>
        <w:t xml:space="preserve"> spremenjen</w:t>
      </w:r>
      <w:r>
        <w:rPr>
          <w:rFonts w:cs="Arial"/>
          <w:szCs w:val="20"/>
        </w:rPr>
        <w:t>e</w:t>
      </w:r>
      <w:r w:rsidRPr="0023027E">
        <w:rPr>
          <w:rFonts w:cs="Arial"/>
          <w:szCs w:val="20"/>
        </w:rPr>
        <w:t xml:space="preserve"> z Delegirano uredbo Komisije (EU) 2023/1668 z dne 25. maja 2023 o dopolnitvi Direktive (EU) 2019/2034 Evropskega parlamenta in Sveta v zvezi z regulativnimi tehničnimi standardi za določitev merjenja tveganj ali elementov tveganj, ki niso pokriti ali zadostno pokriti s kapitalskimi zahtevami iz delov 3 in 4 Uredbe (EU) 2019/2033 </w:t>
      </w:r>
      <w:r w:rsidRPr="0023027E">
        <w:rPr>
          <w:rFonts w:cs="Arial"/>
          <w:szCs w:val="20"/>
        </w:rPr>
        <w:lastRenderedPageBreak/>
        <w:t xml:space="preserve">Evropskega parlamenta in Sveta, ter okvirnih kvalitativnih metrik za zneske dodatnega kapitala (UL L št. 214 z dne 31. 8. 2023, str. 1), (v nadaljnjem besedilu: Direktiva 2019/2034/EU). </w:t>
      </w:r>
    </w:p>
    <w:p w14:paraId="2BA9FBD6" w14:textId="77777777" w:rsidR="00D231D9" w:rsidRPr="0023027E" w:rsidRDefault="00D231D9" w:rsidP="00D231D9">
      <w:pPr>
        <w:spacing w:line="276" w:lineRule="auto"/>
        <w:jc w:val="both"/>
        <w:rPr>
          <w:rFonts w:cs="Arial"/>
          <w:szCs w:val="20"/>
        </w:rPr>
      </w:pPr>
    </w:p>
    <w:p w14:paraId="332F1377" w14:textId="77777777" w:rsidR="00D231D9" w:rsidRPr="0023027E" w:rsidRDefault="00D231D9" w:rsidP="00D231D9">
      <w:pPr>
        <w:spacing w:line="276" w:lineRule="auto"/>
        <w:jc w:val="both"/>
        <w:rPr>
          <w:rFonts w:cs="Arial"/>
          <w:szCs w:val="20"/>
        </w:rPr>
      </w:pPr>
      <w:r w:rsidRPr="0023027E">
        <w:rPr>
          <w:rFonts w:cs="Arial"/>
          <w:szCs w:val="20"/>
        </w:rPr>
        <w:t>Določa se, da je ATVP organ za zbiranje podatkov za predložitev ESAP in da ESAP predloži informacije iz 21. člena ZBNIP. Določa</w:t>
      </w:r>
      <w:r>
        <w:rPr>
          <w:rFonts w:cs="Arial"/>
          <w:szCs w:val="20"/>
        </w:rPr>
        <w:t>jo</w:t>
      </w:r>
      <w:r w:rsidRPr="0023027E">
        <w:rPr>
          <w:rFonts w:cs="Arial"/>
          <w:szCs w:val="20"/>
        </w:rPr>
        <w:t xml:space="preserve"> se tudi zahteve za podatke, ki se predložijo na ESAP. </w:t>
      </w:r>
      <w:r>
        <w:rPr>
          <w:rFonts w:cs="Arial"/>
          <w:szCs w:val="20"/>
        </w:rPr>
        <w:t>Kakor i</w:t>
      </w:r>
      <w:r w:rsidRPr="0023027E">
        <w:rPr>
          <w:rFonts w:cs="Arial"/>
          <w:szCs w:val="20"/>
        </w:rPr>
        <w:t xml:space="preserve">zhaja iz Direktive 2023/2864/EU, </w:t>
      </w:r>
      <w:r>
        <w:rPr>
          <w:rFonts w:cs="Arial"/>
          <w:szCs w:val="20"/>
        </w:rPr>
        <w:t>j</w:t>
      </w:r>
      <w:r w:rsidRPr="0023027E">
        <w:rPr>
          <w:rFonts w:cs="Arial"/>
          <w:szCs w:val="20"/>
        </w:rPr>
        <w:t xml:space="preserve">e </w:t>
      </w:r>
      <w:r>
        <w:rPr>
          <w:rFonts w:cs="Arial"/>
          <w:szCs w:val="20"/>
        </w:rPr>
        <w:t xml:space="preserve">treba </w:t>
      </w:r>
      <w:r w:rsidRPr="0023027E">
        <w:rPr>
          <w:rFonts w:cs="Arial"/>
          <w:szCs w:val="20"/>
        </w:rPr>
        <w:t>podatk</w:t>
      </w:r>
      <w:r>
        <w:rPr>
          <w:rFonts w:cs="Arial"/>
          <w:szCs w:val="20"/>
        </w:rPr>
        <w:t>e</w:t>
      </w:r>
      <w:r w:rsidRPr="0023027E">
        <w:rPr>
          <w:rFonts w:cs="Arial"/>
          <w:szCs w:val="20"/>
        </w:rPr>
        <w:t xml:space="preserve"> predloži</w:t>
      </w:r>
      <w:r>
        <w:rPr>
          <w:rFonts w:cs="Arial"/>
          <w:szCs w:val="20"/>
        </w:rPr>
        <w:t>ti</w:t>
      </w:r>
      <w:r w:rsidRPr="0023027E">
        <w:rPr>
          <w:rFonts w:cs="Arial"/>
          <w:szCs w:val="20"/>
        </w:rPr>
        <w:t xml:space="preserve"> v formatu, ki omogoča </w:t>
      </w:r>
      <w:r>
        <w:rPr>
          <w:rFonts w:cs="Arial"/>
          <w:szCs w:val="20"/>
        </w:rPr>
        <w:t xml:space="preserve">njihov </w:t>
      </w:r>
      <w:r w:rsidRPr="0023027E">
        <w:rPr>
          <w:rFonts w:cs="Arial"/>
          <w:szCs w:val="20"/>
        </w:rPr>
        <w:t>izv</w:t>
      </w:r>
      <w:r>
        <w:rPr>
          <w:rFonts w:cs="Arial"/>
          <w:szCs w:val="20"/>
        </w:rPr>
        <w:t>oz</w:t>
      </w:r>
      <w:r w:rsidRPr="0023027E">
        <w:rPr>
          <w:rFonts w:cs="Arial"/>
          <w:szCs w:val="20"/>
        </w:rPr>
        <w:t xml:space="preserve"> (</w:t>
      </w:r>
      <w:r w:rsidRPr="0023027E">
        <w:rPr>
          <w:rFonts w:cs="Arial"/>
          <w:i/>
          <w:iCs/>
          <w:szCs w:val="20"/>
        </w:rPr>
        <w:t xml:space="preserve">data </w:t>
      </w:r>
      <w:proofErr w:type="spellStart"/>
      <w:r w:rsidRPr="0023027E">
        <w:rPr>
          <w:rFonts w:cs="Arial"/>
          <w:i/>
          <w:iCs/>
          <w:szCs w:val="20"/>
        </w:rPr>
        <w:t>extractable</w:t>
      </w:r>
      <w:proofErr w:type="spellEnd"/>
      <w:r w:rsidRPr="0023027E">
        <w:rPr>
          <w:rFonts w:cs="Arial"/>
          <w:i/>
          <w:iCs/>
          <w:szCs w:val="20"/>
        </w:rPr>
        <w:t xml:space="preserve"> format</w:t>
      </w:r>
      <w:r w:rsidRPr="0023027E">
        <w:rPr>
          <w:rFonts w:cs="Arial"/>
          <w:szCs w:val="20"/>
        </w:rPr>
        <w:t>)</w:t>
      </w:r>
      <w:r>
        <w:rPr>
          <w:rFonts w:cs="Arial"/>
          <w:szCs w:val="20"/>
        </w:rPr>
        <w:t>,</w:t>
      </w:r>
      <w:r w:rsidRPr="0023027E">
        <w:rPr>
          <w:rFonts w:cs="Arial"/>
          <w:szCs w:val="20"/>
        </w:rPr>
        <w:t xml:space="preserve"> ali kjer je to določeno z zakonodajo EU, v strojno berljiv</w:t>
      </w:r>
      <w:r>
        <w:rPr>
          <w:rFonts w:cs="Arial"/>
          <w:szCs w:val="20"/>
        </w:rPr>
        <w:t>i</w:t>
      </w:r>
      <w:r w:rsidRPr="0023027E">
        <w:rPr>
          <w:rFonts w:cs="Arial"/>
          <w:szCs w:val="20"/>
        </w:rPr>
        <w:t xml:space="preserve"> </w:t>
      </w:r>
      <w:r>
        <w:rPr>
          <w:rFonts w:cs="Arial"/>
          <w:szCs w:val="20"/>
        </w:rPr>
        <w:t>obliki</w:t>
      </w:r>
      <w:r w:rsidRPr="0023027E">
        <w:rPr>
          <w:rFonts w:cs="Arial"/>
          <w:szCs w:val="20"/>
        </w:rPr>
        <w:t xml:space="preserve"> (</w:t>
      </w:r>
      <w:proofErr w:type="spellStart"/>
      <w:r w:rsidRPr="0023027E">
        <w:rPr>
          <w:rFonts w:cs="Arial"/>
          <w:i/>
          <w:iCs/>
          <w:szCs w:val="20"/>
        </w:rPr>
        <w:t>machine-readable</w:t>
      </w:r>
      <w:proofErr w:type="spellEnd"/>
      <w:r w:rsidRPr="0023027E">
        <w:rPr>
          <w:rFonts w:cs="Arial"/>
          <w:i/>
          <w:iCs/>
          <w:szCs w:val="20"/>
        </w:rPr>
        <w:t xml:space="preserve"> format</w:t>
      </w:r>
      <w:r w:rsidRPr="0023027E">
        <w:rPr>
          <w:rFonts w:cs="Arial"/>
          <w:szCs w:val="20"/>
        </w:rPr>
        <w:t>). T</w:t>
      </w:r>
      <w:r>
        <w:rPr>
          <w:rFonts w:cs="Arial"/>
          <w:szCs w:val="20"/>
        </w:rPr>
        <w:t>ak</w:t>
      </w:r>
      <w:r w:rsidRPr="0023027E">
        <w:rPr>
          <w:rFonts w:cs="Arial"/>
          <w:szCs w:val="20"/>
        </w:rPr>
        <w:t xml:space="preserve">o so podatki digitalno uporabni, kar omogoča </w:t>
      </w:r>
      <w:r>
        <w:rPr>
          <w:rFonts w:cs="Arial"/>
          <w:szCs w:val="20"/>
        </w:rPr>
        <w:t xml:space="preserve">njihovo </w:t>
      </w:r>
      <w:r w:rsidRPr="0023027E">
        <w:rPr>
          <w:rFonts w:cs="Arial"/>
          <w:szCs w:val="20"/>
        </w:rPr>
        <w:t>avtomatizirano obdelavo, analizo in primerjavo. Standardiziran</w:t>
      </w:r>
      <w:r>
        <w:rPr>
          <w:rFonts w:cs="Arial"/>
          <w:szCs w:val="20"/>
        </w:rPr>
        <w:t>i</w:t>
      </w:r>
      <w:r w:rsidRPr="0023027E">
        <w:rPr>
          <w:rFonts w:cs="Arial"/>
          <w:szCs w:val="20"/>
        </w:rPr>
        <w:t xml:space="preserve"> format olajša uporabnikom (na primer vlagatelji, analitiki in regulatorji) dostop do podatkov </w:t>
      </w:r>
      <w:r>
        <w:rPr>
          <w:rFonts w:cs="Arial"/>
          <w:szCs w:val="20"/>
        </w:rPr>
        <w:t>in</w:t>
      </w:r>
      <w:r w:rsidRPr="0023027E">
        <w:rPr>
          <w:rFonts w:cs="Arial"/>
          <w:szCs w:val="20"/>
        </w:rPr>
        <w:t xml:space="preserve"> njihovo uporabo.</w:t>
      </w:r>
    </w:p>
    <w:p w14:paraId="300A8417" w14:textId="77777777" w:rsidR="00D231D9" w:rsidRPr="0023027E" w:rsidRDefault="00D231D9" w:rsidP="00D231D9">
      <w:pPr>
        <w:spacing w:line="276" w:lineRule="auto"/>
        <w:jc w:val="both"/>
        <w:rPr>
          <w:rFonts w:cs="Arial"/>
          <w:szCs w:val="20"/>
        </w:rPr>
      </w:pPr>
    </w:p>
    <w:p w14:paraId="1E7A2140" w14:textId="77777777" w:rsidR="00D231D9" w:rsidRPr="0023027E" w:rsidRDefault="00D231D9" w:rsidP="00D231D9">
      <w:pPr>
        <w:spacing w:after="160" w:line="259" w:lineRule="auto"/>
        <w:jc w:val="both"/>
        <w:rPr>
          <w:rFonts w:cs="Arial"/>
          <w:szCs w:val="20"/>
        </w:rPr>
      </w:pPr>
      <w:r w:rsidRPr="0023027E">
        <w:rPr>
          <w:rFonts w:cs="Arial"/>
          <w:szCs w:val="20"/>
        </w:rPr>
        <w:t>Informacije morajo vsebovati metapodatke, ki zagotavljajo dodatne podatke o nadzorovani osebi in naravi pred</w:t>
      </w:r>
      <w:r>
        <w:rPr>
          <w:rFonts w:cs="Arial"/>
          <w:szCs w:val="20"/>
        </w:rPr>
        <w:t>l</w:t>
      </w:r>
      <w:r w:rsidRPr="0023027E">
        <w:rPr>
          <w:rFonts w:cs="Arial"/>
          <w:szCs w:val="20"/>
        </w:rPr>
        <w:t>o</w:t>
      </w:r>
      <w:r>
        <w:rPr>
          <w:rFonts w:cs="Arial"/>
          <w:szCs w:val="20"/>
        </w:rPr>
        <w:t>že</w:t>
      </w:r>
      <w:r w:rsidRPr="0023027E">
        <w:rPr>
          <w:rFonts w:cs="Arial"/>
          <w:szCs w:val="20"/>
        </w:rPr>
        <w:t>nih podatkov. Ti metapodatki so:</w:t>
      </w:r>
    </w:p>
    <w:p w14:paraId="4E5A653F" w14:textId="77777777" w:rsidR="00D231D9" w:rsidRPr="0023027E" w:rsidRDefault="00D231D9" w:rsidP="00D231D9">
      <w:pPr>
        <w:pStyle w:val="Odstavekseznama"/>
        <w:numPr>
          <w:ilvl w:val="0"/>
          <w:numId w:val="65"/>
        </w:numPr>
        <w:spacing w:after="160" w:line="259" w:lineRule="auto"/>
        <w:jc w:val="both"/>
        <w:rPr>
          <w:rFonts w:cs="Arial"/>
          <w:szCs w:val="20"/>
        </w:rPr>
      </w:pPr>
      <w:r w:rsidRPr="0023027E">
        <w:rPr>
          <w:rFonts w:cs="Arial"/>
          <w:szCs w:val="20"/>
        </w:rPr>
        <w:t>vsa imena investicijskega podjetja, na katero se informacije nanašajo, kar vključuje uradno ime pravnega subjekta ali druga imena, pod katerimi ta oseba posluje. Namen je jasna identifikacija subjekta, da se prepreči zmeda pri subjektih z enakimi ali podobnimi imeni;</w:t>
      </w:r>
    </w:p>
    <w:p w14:paraId="7CEB0949" w14:textId="77777777" w:rsidR="00D231D9" w:rsidRPr="0023027E" w:rsidRDefault="00D231D9" w:rsidP="00D231D9">
      <w:pPr>
        <w:pStyle w:val="Odstavekseznama"/>
        <w:numPr>
          <w:ilvl w:val="0"/>
          <w:numId w:val="65"/>
        </w:numPr>
        <w:spacing w:after="160" w:line="259" w:lineRule="auto"/>
        <w:jc w:val="both"/>
        <w:rPr>
          <w:rFonts w:cs="Arial"/>
          <w:szCs w:val="20"/>
        </w:rPr>
      </w:pPr>
      <w:r w:rsidRPr="0023027E">
        <w:rPr>
          <w:rFonts w:cs="Arial"/>
          <w:szCs w:val="20"/>
        </w:rPr>
        <w:t>če obstaja, identifikator pravnih subjektov</w:t>
      </w:r>
      <w:r>
        <w:rPr>
          <w:rFonts w:cs="Arial"/>
          <w:szCs w:val="20"/>
        </w:rPr>
        <w:t>,</w:t>
      </w:r>
      <w:r w:rsidRPr="0023027E">
        <w:rPr>
          <w:rFonts w:cs="Arial"/>
          <w:szCs w:val="20"/>
        </w:rPr>
        <w:t xml:space="preserve"> k</w:t>
      </w:r>
      <w:r>
        <w:rPr>
          <w:rFonts w:cs="Arial"/>
          <w:szCs w:val="20"/>
        </w:rPr>
        <w:t>ak</w:t>
      </w:r>
      <w:r w:rsidRPr="0023027E">
        <w:rPr>
          <w:rFonts w:cs="Arial"/>
          <w:szCs w:val="20"/>
        </w:rPr>
        <w:t>o</w:t>
      </w:r>
      <w:r>
        <w:rPr>
          <w:rFonts w:cs="Arial"/>
          <w:szCs w:val="20"/>
        </w:rPr>
        <w:t>r</w:t>
      </w:r>
      <w:r w:rsidRPr="0023027E">
        <w:rPr>
          <w:rFonts w:cs="Arial"/>
          <w:szCs w:val="20"/>
        </w:rPr>
        <w:t xml:space="preserve"> je določeno v točki b) četrtega odstavka 7. člena Uredbe 2023/2859/EU. Identifikator pravnih subjektov je standardizirana koda, ki se bo uporabljal za enolično identifikacijo pravnih oseb in ga natančneje opredeljuje Izvedbena uredba Komisije (EU) 2025/1338 z dne 10. julija 2025 o določitvi izvedbenih tehničnih standardov za uporabo Uredbe (EU) 2023/2859 Evropskega parlamenta in Sveta v zvezi s funkcionalnostmi evropske enotne točke dostopa (UL L št. 2025/1338 z dne 11. 7. 2025</w:t>
      </w:r>
      <w:r>
        <w:rPr>
          <w:rFonts w:cs="Arial"/>
          <w:szCs w:val="20"/>
        </w:rPr>
        <w:t>;</w:t>
      </w:r>
      <w:r w:rsidRPr="0023027E">
        <w:rPr>
          <w:rFonts w:cs="Arial"/>
          <w:szCs w:val="20"/>
        </w:rPr>
        <w:t xml:space="preserve"> v nadaljnjem besedilu: Uredba 2025/1338/EU). Identifikator pravnih subjektov je ključen za izboljšanje preglednosti in sledenja v finančnih sistemih</w:t>
      </w:r>
      <w:r>
        <w:rPr>
          <w:rFonts w:cs="Arial"/>
          <w:szCs w:val="20"/>
        </w:rPr>
        <w:t>. To</w:t>
      </w:r>
      <w:r w:rsidRPr="0023027E">
        <w:rPr>
          <w:rFonts w:cs="Arial"/>
          <w:szCs w:val="20"/>
        </w:rPr>
        <w:t xml:space="preserve"> regulatorjem in drugim deležnikom</w:t>
      </w:r>
      <w:r w:rsidRPr="00E336A5">
        <w:rPr>
          <w:rFonts w:cs="Arial"/>
          <w:szCs w:val="20"/>
        </w:rPr>
        <w:t xml:space="preserve"> </w:t>
      </w:r>
      <w:r w:rsidRPr="0023027E">
        <w:rPr>
          <w:rFonts w:cs="Arial"/>
          <w:szCs w:val="20"/>
        </w:rPr>
        <w:t>omogoča, da hitro in natančno identificirajo pravne subjekte, vključen</w:t>
      </w:r>
      <w:r>
        <w:rPr>
          <w:rFonts w:cs="Arial"/>
          <w:szCs w:val="20"/>
        </w:rPr>
        <w:t>e</w:t>
      </w:r>
      <w:r w:rsidRPr="0023027E">
        <w:rPr>
          <w:rFonts w:cs="Arial"/>
          <w:szCs w:val="20"/>
        </w:rPr>
        <w:t xml:space="preserve"> v finančne transakcije, kar zmanjšuje tveganja, povezana z nejasnostjo ali prikrivanjem identitete;</w:t>
      </w:r>
    </w:p>
    <w:p w14:paraId="5FD028D5" w14:textId="77777777" w:rsidR="00D231D9" w:rsidRPr="0023027E" w:rsidRDefault="00D231D9" w:rsidP="00D231D9">
      <w:pPr>
        <w:pStyle w:val="Odstavekseznama"/>
        <w:numPr>
          <w:ilvl w:val="0"/>
          <w:numId w:val="65"/>
        </w:numPr>
        <w:spacing w:after="160" w:line="259" w:lineRule="auto"/>
        <w:jc w:val="both"/>
        <w:rPr>
          <w:rFonts w:cs="Arial"/>
          <w:szCs w:val="20"/>
        </w:rPr>
      </w:pPr>
      <w:r w:rsidRPr="0023027E">
        <w:rPr>
          <w:rFonts w:cs="Arial"/>
          <w:szCs w:val="20"/>
        </w:rPr>
        <w:t>vrsta informacij glede na razvrstitev na podlagi točke c) četrtega odstavka 7. člena Uredbe 2023/2859/EU. To pomeni, da morajo biti podatki označeni glede na vrsto ali kategorijo. To prejemnikov omogoča lažje razumevanje in obdelavo podatkov. Vrste informacij so natančneje opredeljene v Uredbi 2025/1338/EU;</w:t>
      </w:r>
    </w:p>
    <w:p w14:paraId="4FBB6232" w14:textId="77777777" w:rsidR="00D231D9" w:rsidRPr="0023027E" w:rsidRDefault="00D231D9" w:rsidP="00D231D9">
      <w:pPr>
        <w:pStyle w:val="Odstavekseznama"/>
        <w:numPr>
          <w:ilvl w:val="0"/>
          <w:numId w:val="65"/>
        </w:numPr>
        <w:spacing w:after="160" w:line="259" w:lineRule="auto"/>
        <w:jc w:val="both"/>
        <w:rPr>
          <w:rFonts w:cs="Arial"/>
          <w:szCs w:val="20"/>
        </w:rPr>
      </w:pPr>
      <w:r w:rsidRPr="0023027E">
        <w:rPr>
          <w:rFonts w:cs="Arial"/>
          <w:szCs w:val="20"/>
        </w:rPr>
        <w:t xml:space="preserve">oznaka, ali informacije vsebujejo osebne podatke: </w:t>
      </w:r>
      <w:r>
        <w:rPr>
          <w:rFonts w:cs="Arial"/>
          <w:szCs w:val="20"/>
        </w:rPr>
        <w:t>i</w:t>
      </w:r>
      <w:r w:rsidRPr="0023027E">
        <w:rPr>
          <w:rFonts w:cs="Arial"/>
          <w:szCs w:val="20"/>
        </w:rPr>
        <w:t>nformacije morajo biti označene, če vsebujejo osebne podatke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podatke o posameznikih, kot so imena, naslovi, identifikacijske številke). Ta zahteva je pomembna za skladnost z zakonodajo o varstvu podatkov, saj osebni podatki zahtevajo posebno obravnavo in varstvo.</w:t>
      </w:r>
    </w:p>
    <w:p w14:paraId="62B30ACD" w14:textId="77777777" w:rsidR="00D231D9" w:rsidRPr="0023027E" w:rsidRDefault="00D231D9" w:rsidP="00D231D9">
      <w:pPr>
        <w:spacing w:line="276" w:lineRule="auto"/>
        <w:jc w:val="both"/>
        <w:rPr>
          <w:rFonts w:cs="Arial"/>
          <w:szCs w:val="20"/>
        </w:rPr>
      </w:pPr>
    </w:p>
    <w:p w14:paraId="09B2573B" w14:textId="77777777" w:rsidR="00D231D9" w:rsidRPr="0023027E" w:rsidRDefault="00D231D9" w:rsidP="00D231D9">
      <w:pPr>
        <w:spacing w:line="276" w:lineRule="auto"/>
        <w:jc w:val="both"/>
        <w:rPr>
          <w:rFonts w:cs="Arial"/>
          <w:szCs w:val="20"/>
        </w:rPr>
      </w:pPr>
      <w:r w:rsidRPr="0023027E">
        <w:rPr>
          <w:rFonts w:cs="Arial"/>
          <w:szCs w:val="20"/>
        </w:rPr>
        <w:t>Metapodatki so ključni za organiz</w:t>
      </w:r>
      <w:r>
        <w:rPr>
          <w:rFonts w:cs="Arial"/>
          <w:szCs w:val="20"/>
        </w:rPr>
        <w:t>iranje</w:t>
      </w:r>
      <w:r w:rsidRPr="0023027E">
        <w:rPr>
          <w:rFonts w:cs="Arial"/>
          <w:szCs w:val="20"/>
        </w:rPr>
        <w:t xml:space="preserve"> in kategoriz</w:t>
      </w:r>
      <w:r>
        <w:rPr>
          <w:rFonts w:cs="Arial"/>
          <w:szCs w:val="20"/>
        </w:rPr>
        <w:t>iranje</w:t>
      </w:r>
      <w:r w:rsidRPr="0023027E">
        <w:rPr>
          <w:rFonts w:cs="Arial"/>
          <w:szCs w:val="20"/>
        </w:rPr>
        <w:t xml:space="preserve"> informacij na ESAP. Z njimi se podatki označijo z dodatnimi informacijami, kar omogoča lažje iskanje in filtriranje. Metapodatki zagotavljajo, da so informacije strukturirane in dostopne na način, prilagojen potrebam uporabnikov, ter povečujejo preglednost in učinkovitost ESAP. Pri tem je pomembno tudi načelo </w:t>
      </w:r>
      <w:r>
        <w:rPr>
          <w:rFonts w:cs="Arial"/>
          <w:szCs w:val="20"/>
        </w:rPr>
        <w:t>»</w:t>
      </w:r>
      <w:r w:rsidRPr="0023027E">
        <w:rPr>
          <w:rFonts w:cs="Arial"/>
          <w:szCs w:val="20"/>
        </w:rPr>
        <w:t>enkratnega vnosa</w:t>
      </w:r>
      <w:r>
        <w:rPr>
          <w:rFonts w:cs="Arial"/>
          <w:szCs w:val="20"/>
        </w:rPr>
        <w:t>«</w:t>
      </w:r>
      <w:r w:rsidRPr="0023027E">
        <w:rPr>
          <w:rFonts w:cs="Arial"/>
          <w:szCs w:val="20"/>
        </w:rPr>
        <w:t xml:space="preserve"> (</w:t>
      </w:r>
      <w:r w:rsidRPr="0023027E">
        <w:rPr>
          <w:rFonts w:cs="Arial"/>
          <w:i/>
          <w:iCs/>
          <w:szCs w:val="20"/>
        </w:rPr>
        <w:t xml:space="preserve">file </w:t>
      </w:r>
      <w:proofErr w:type="spellStart"/>
      <w:r w:rsidRPr="0023027E">
        <w:rPr>
          <w:rFonts w:cs="Arial"/>
          <w:i/>
          <w:iCs/>
          <w:szCs w:val="20"/>
        </w:rPr>
        <w:t>once</w:t>
      </w:r>
      <w:proofErr w:type="spellEnd"/>
      <w:r w:rsidRPr="0023027E">
        <w:rPr>
          <w:rFonts w:cs="Arial"/>
          <w:i/>
          <w:iCs/>
          <w:szCs w:val="20"/>
        </w:rPr>
        <w:t xml:space="preserve"> </w:t>
      </w:r>
      <w:proofErr w:type="spellStart"/>
      <w:r w:rsidRPr="0023027E">
        <w:rPr>
          <w:rFonts w:cs="Arial"/>
          <w:i/>
          <w:iCs/>
          <w:szCs w:val="20"/>
        </w:rPr>
        <w:t>principle</w:t>
      </w:r>
      <w:proofErr w:type="spellEnd"/>
      <w:r w:rsidRPr="0023027E">
        <w:rPr>
          <w:rFonts w:cs="Arial"/>
          <w:szCs w:val="20"/>
        </w:rPr>
        <w:t xml:space="preserve">), kar pomeni, da subjekti podatke, ki jih že objavljajo v skladu z </w:t>
      </w:r>
      <w:r>
        <w:rPr>
          <w:rFonts w:cs="Arial"/>
          <w:szCs w:val="20"/>
        </w:rPr>
        <w:t>veljavno</w:t>
      </w:r>
      <w:r w:rsidRPr="0023027E">
        <w:rPr>
          <w:rFonts w:cs="Arial"/>
          <w:szCs w:val="20"/>
        </w:rPr>
        <w:t xml:space="preserve"> zakonodajo, predložijo v standardiziranem formatu brez dodatnih obveznosti. Zahteve po izv</w:t>
      </w:r>
      <w:r>
        <w:rPr>
          <w:rFonts w:cs="Arial"/>
          <w:szCs w:val="20"/>
        </w:rPr>
        <w:t>oz</w:t>
      </w:r>
      <w:r w:rsidRPr="0023027E">
        <w:rPr>
          <w:rFonts w:cs="Arial"/>
          <w:szCs w:val="20"/>
        </w:rPr>
        <w:t xml:space="preserve">u podatkov in metapodatkih zagotavljajo, da se ti podatki učinkovito </w:t>
      </w:r>
      <w:r>
        <w:rPr>
          <w:rFonts w:cs="Arial"/>
          <w:szCs w:val="20"/>
        </w:rPr>
        <w:t>vključijo</w:t>
      </w:r>
      <w:r w:rsidRPr="0023027E">
        <w:rPr>
          <w:rFonts w:cs="Arial"/>
          <w:szCs w:val="20"/>
        </w:rPr>
        <w:t xml:space="preserve"> v centralizirano platformo ESAP, kar zmanjšuje administrativno breme in povečuje dostopnost.</w:t>
      </w:r>
    </w:p>
    <w:p w14:paraId="19C93679" w14:textId="77777777" w:rsidR="00D231D9" w:rsidRPr="0023027E" w:rsidRDefault="00D231D9" w:rsidP="00D231D9">
      <w:pPr>
        <w:spacing w:line="276" w:lineRule="auto"/>
        <w:jc w:val="both"/>
        <w:rPr>
          <w:rFonts w:cs="Arial"/>
          <w:szCs w:val="20"/>
        </w:rPr>
      </w:pPr>
    </w:p>
    <w:p w14:paraId="573B70BC" w14:textId="77777777" w:rsidR="00D231D9" w:rsidRPr="0023027E" w:rsidRDefault="00D231D9" w:rsidP="00D231D9">
      <w:pPr>
        <w:spacing w:line="276" w:lineRule="auto"/>
        <w:jc w:val="both"/>
        <w:rPr>
          <w:rFonts w:cs="Arial"/>
          <w:szCs w:val="20"/>
        </w:rPr>
      </w:pPr>
      <w:r w:rsidRPr="0023027E">
        <w:rPr>
          <w:rFonts w:cs="Arial"/>
          <w:szCs w:val="20"/>
        </w:rPr>
        <w:t xml:space="preserve">Uporaba metapodatkov in standardiziranih formatov omogoča tehnično </w:t>
      </w:r>
      <w:proofErr w:type="spellStart"/>
      <w:r w:rsidRPr="0023027E">
        <w:rPr>
          <w:rFonts w:cs="Arial"/>
          <w:szCs w:val="20"/>
        </w:rPr>
        <w:t>interoperabilnost</w:t>
      </w:r>
      <w:proofErr w:type="spellEnd"/>
      <w:r w:rsidRPr="0023027E">
        <w:rPr>
          <w:rFonts w:cs="Arial"/>
          <w:szCs w:val="20"/>
        </w:rPr>
        <w:t xml:space="preserve"> med različnimi sistemi zbiranja podatkov na nacionalni ravni in ESAP, ki ga upravlja ESMA. To omogoča nemoten prenos podatkov, kar povečuje učinkovitost in zmanjšuje stroške.</w:t>
      </w:r>
    </w:p>
    <w:p w14:paraId="5154D029" w14:textId="77777777" w:rsidR="00FE0F83" w:rsidRPr="0023027E" w:rsidRDefault="00FE0F83" w:rsidP="00C64B3F">
      <w:pPr>
        <w:spacing w:line="240" w:lineRule="auto"/>
        <w:jc w:val="both"/>
        <w:rPr>
          <w:rFonts w:cs="Arial"/>
          <w:szCs w:val="20"/>
        </w:rPr>
      </w:pPr>
    </w:p>
    <w:p w14:paraId="3DC2A510" w14:textId="2D570B12" w:rsidR="00FE0F83" w:rsidRPr="0023027E" w:rsidRDefault="00FE0F83" w:rsidP="00FE0F83">
      <w:pPr>
        <w:spacing w:line="276" w:lineRule="auto"/>
        <w:jc w:val="both"/>
        <w:rPr>
          <w:rFonts w:cs="Arial"/>
          <w:b/>
          <w:bCs/>
          <w:szCs w:val="20"/>
        </w:rPr>
      </w:pPr>
      <w:r w:rsidRPr="0023027E">
        <w:rPr>
          <w:rFonts w:cs="Arial"/>
          <w:b/>
          <w:bCs/>
          <w:szCs w:val="20"/>
        </w:rPr>
        <w:t xml:space="preserve">K </w:t>
      </w:r>
      <w:r w:rsidR="00294FB5">
        <w:rPr>
          <w:rFonts w:cs="Arial"/>
          <w:b/>
          <w:bCs/>
          <w:szCs w:val="20"/>
        </w:rPr>
        <w:t>26</w:t>
      </w:r>
      <w:r w:rsidR="00515F83" w:rsidRPr="0023027E">
        <w:rPr>
          <w:rFonts w:cs="Arial"/>
          <w:b/>
          <w:bCs/>
          <w:szCs w:val="20"/>
        </w:rPr>
        <w:t xml:space="preserve">. </w:t>
      </w:r>
      <w:r w:rsidRPr="0023027E">
        <w:rPr>
          <w:rFonts w:cs="Arial"/>
          <w:b/>
          <w:bCs/>
          <w:szCs w:val="20"/>
        </w:rPr>
        <w:t>členu</w:t>
      </w:r>
    </w:p>
    <w:p w14:paraId="6F432D6D" w14:textId="77777777" w:rsidR="00FE0F83" w:rsidRPr="0023027E" w:rsidRDefault="00393DF7" w:rsidP="00FE0F83">
      <w:pPr>
        <w:spacing w:line="276" w:lineRule="auto"/>
        <w:jc w:val="both"/>
        <w:rPr>
          <w:rFonts w:cs="Arial"/>
          <w:szCs w:val="20"/>
        </w:rPr>
      </w:pPr>
      <w:r w:rsidRPr="0023027E">
        <w:rPr>
          <w:rFonts w:cs="Arial"/>
          <w:szCs w:val="20"/>
        </w:rPr>
        <w:lastRenderedPageBreak/>
        <w:t xml:space="preserve">Predlagana </w:t>
      </w:r>
      <w:r w:rsidR="005133FA" w:rsidRPr="0023027E">
        <w:rPr>
          <w:rFonts w:cs="Arial"/>
          <w:szCs w:val="20"/>
        </w:rPr>
        <w:t xml:space="preserve">dopolnitev </w:t>
      </w:r>
      <w:r w:rsidRPr="0023027E">
        <w:rPr>
          <w:rFonts w:cs="Arial"/>
          <w:szCs w:val="20"/>
        </w:rPr>
        <w:t>60. člena ZBNIP z dodanima drugim in tretjim odstavkom uvaja obveznosti borznoposredniških družb ali obvladujočih podjetij glede predložitve informacij organu za zbiranje podatkov (ATVP).</w:t>
      </w:r>
    </w:p>
    <w:p w14:paraId="7F32ADE6" w14:textId="77777777" w:rsidR="00393DF7" w:rsidRPr="0023027E" w:rsidRDefault="00393DF7" w:rsidP="00FE0F83">
      <w:pPr>
        <w:spacing w:line="276" w:lineRule="auto"/>
        <w:jc w:val="both"/>
        <w:rPr>
          <w:rFonts w:cs="Arial"/>
          <w:szCs w:val="20"/>
        </w:rPr>
      </w:pPr>
    </w:p>
    <w:p w14:paraId="05EACE42" w14:textId="77777777" w:rsidR="00D231D9" w:rsidRPr="0023027E" w:rsidRDefault="00D231D9" w:rsidP="00D231D9">
      <w:pPr>
        <w:spacing w:line="276" w:lineRule="auto"/>
        <w:jc w:val="both"/>
        <w:rPr>
          <w:rFonts w:cs="Arial"/>
          <w:szCs w:val="20"/>
        </w:rPr>
      </w:pPr>
      <w:r w:rsidRPr="0023027E">
        <w:rPr>
          <w:rFonts w:cs="Arial"/>
          <w:szCs w:val="20"/>
        </w:rPr>
        <w:t>V novem drugem odstavku 60. člena ZBNIP se določa</w:t>
      </w:r>
      <w:r>
        <w:rPr>
          <w:rFonts w:cs="Arial"/>
          <w:szCs w:val="20"/>
        </w:rPr>
        <w:t>jo</w:t>
      </w:r>
      <w:r w:rsidRPr="0023027E">
        <w:rPr>
          <w:rFonts w:cs="Arial"/>
          <w:szCs w:val="20"/>
        </w:rPr>
        <w:t xml:space="preserve"> zahteve za podatke, ki se predložijo ESAP. </w:t>
      </w:r>
      <w:r>
        <w:rPr>
          <w:rFonts w:cs="Arial"/>
          <w:szCs w:val="20"/>
        </w:rPr>
        <w:t>Kakor i</w:t>
      </w:r>
      <w:r w:rsidRPr="0023027E">
        <w:rPr>
          <w:rFonts w:cs="Arial"/>
          <w:szCs w:val="20"/>
        </w:rPr>
        <w:t xml:space="preserve">zhaja iz Direktive 2023/2864/EU, </w:t>
      </w:r>
      <w:r>
        <w:rPr>
          <w:rFonts w:cs="Arial"/>
          <w:szCs w:val="20"/>
        </w:rPr>
        <w:t>j</w:t>
      </w:r>
      <w:r w:rsidRPr="0023027E">
        <w:rPr>
          <w:rFonts w:cs="Arial"/>
          <w:szCs w:val="20"/>
        </w:rPr>
        <w:t xml:space="preserve">e </w:t>
      </w:r>
      <w:r>
        <w:rPr>
          <w:rFonts w:cs="Arial"/>
          <w:szCs w:val="20"/>
        </w:rPr>
        <w:t xml:space="preserve">treba </w:t>
      </w:r>
      <w:r w:rsidRPr="0023027E">
        <w:rPr>
          <w:rFonts w:cs="Arial"/>
          <w:szCs w:val="20"/>
        </w:rPr>
        <w:t>podatk</w:t>
      </w:r>
      <w:r>
        <w:rPr>
          <w:rFonts w:cs="Arial"/>
          <w:szCs w:val="20"/>
        </w:rPr>
        <w:t>e</w:t>
      </w:r>
      <w:r w:rsidRPr="0023027E">
        <w:rPr>
          <w:rFonts w:cs="Arial"/>
          <w:szCs w:val="20"/>
        </w:rPr>
        <w:t xml:space="preserve"> predloži</w:t>
      </w:r>
      <w:r>
        <w:rPr>
          <w:rFonts w:cs="Arial"/>
          <w:szCs w:val="20"/>
        </w:rPr>
        <w:t>ti</w:t>
      </w:r>
      <w:r w:rsidRPr="0023027E">
        <w:rPr>
          <w:rFonts w:cs="Arial"/>
          <w:szCs w:val="20"/>
        </w:rPr>
        <w:t xml:space="preserve"> v formatu, ki omogoča </w:t>
      </w:r>
      <w:r>
        <w:rPr>
          <w:rFonts w:cs="Arial"/>
          <w:szCs w:val="20"/>
        </w:rPr>
        <w:t xml:space="preserve">njihov </w:t>
      </w:r>
      <w:r w:rsidRPr="0023027E">
        <w:rPr>
          <w:rFonts w:cs="Arial"/>
          <w:szCs w:val="20"/>
        </w:rPr>
        <w:t>izvo</w:t>
      </w:r>
      <w:r>
        <w:rPr>
          <w:rFonts w:cs="Arial"/>
          <w:szCs w:val="20"/>
        </w:rPr>
        <w:t>z</w:t>
      </w:r>
      <w:r w:rsidRPr="0023027E">
        <w:rPr>
          <w:rFonts w:cs="Arial"/>
          <w:szCs w:val="20"/>
        </w:rPr>
        <w:t xml:space="preserve"> (</w:t>
      </w:r>
      <w:r w:rsidRPr="0023027E">
        <w:rPr>
          <w:rFonts w:cs="Arial"/>
          <w:i/>
          <w:iCs/>
          <w:szCs w:val="20"/>
        </w:rPr>
        <w:t xml:space="preserve">data </w:t>
      </w:r>
      <w:proofErr w:type="spellStart"/>
      <w:r w:rsidRPr="0023027E">
        <w:rPr>
          <w:rFonts w:cs="Arial"/>
          <w:i/>
          <w:iCs/>
          <w:szCs w:val="20"/>
        </w:rPr>
        <w:t>extractable</w:t>
      </w:r>
      <w:proofErr w:type="spellEnd"/>
      <w:r w:rsidRPr="0023027E">
        <w:rPr>
          <w:rFonts w:cs="Arial"/>
          <w:i/>
          <w:iCs/>
          <w:szCs w:val="20"/>
        </w:rPr>
        <w:t xml:space="preserve"> format</w:t>
      </w:r>
      <w:r w:rsidRPr="0023027E">
        <w:rPr>
          <w:rFonts w:cs="Arial"/>
          <w:szCs w:val="20"/>
        </w:rPr>
        <w:t>), ali kjer je to določeno z zakonodajo EU, v strojno berljiv</w:t>
      </w:r>
      <w:r>
        <w:rPr>
          <w:rFonts w:cs="Arial"/>
          <w:szCs w:val="20"/>
        </w:rPr>
        <w:t>i</w:t>
      </w:r>
      <w:r w:rsidRPr="0023027E">
        <w:rPr>
          <w:rFonts w:cs="Arial"/>
          <w:szCs w:val="20"/>
        </w:rPr>
        <w:t xml:space="preserve"> </w:t>
      </w:r>
      <w:r>
        <w:rPr>
          <w:rFonts w:cs="Arial"/>
          <w:szCs w:val="20"/>
        </w:rPr>
        <w:t>obliki</w:t>
      </w:r>
      <w:r w:rsidRPr="0023027E">
        <w:rPr>
          <w:rFonts w:cs="Arial"/>
          <w:szCs w:val="20"/>
        </w:rPr>
        <w:t xml:space="preserve"> (</w:t>
      </w:r>
      <w:proofErr w:type="spellStart"/>
      <w:r w:rsidRPr="0023027E">
        <w:rPr>
          <w:rFonts w:cs="Arial"/>
          <w:i/>
          <w:iCs/>
          <w:szCs w:val="20"/>
        </w:rPr>
        <w:t>machine-readable</w:t>
      </w:r>
      <w:proofErr w:type="spellEnd"/>
      <w:r w:rsidRPr="0023027E">
        <w:rPr>
          <w:rFonts w:cs="Arial"/>
          <w:i/>
          <w:iCs/>
          <w:szCs w:val="20"/>
        </w:rPr>
        <w:t xml:space="preserve"> format</w:t>
      </w:r>
      <w:r w:rsidRPr="0023027E">
        <w:rPr>
          <w:rFonts w:cs="Arial"/>
          <w:szCs w:val="20"/>
        </w:rPr>
        <w:t>). T</w:t>
      </w:r>
      <w:r>
        <w:rPr>
          <w:rFonts w:cs="Arial"/>
          <w:szCs w:val="20"/>
        </w:rPr>
        <w:t>ak</w:t>
      </w:r>
      <w:r w:rsidRPr="0023027E">
        <w:rPr>
          <w:rFonts w:cs="Arial"/>
          <w:szCs w:val="20"/>
        </w:rPr>
        <w:t xml:space="preserve">o so podatki digitalno uporabni, kar omogoča </w:t>
      </w:r>
      <w:r>
        <w:rPr>
          <w:rFonts w:cs="Arial"/>
          <w:szCs w:val="20"/>
        </w:rPr>
        <w:t xml:space="preserve">njihovo </w:t>
      </w:r>
      <w:r w:rsidRPr="0023027E">
        <w:rPr>
          <w:rFonts w:cs="Arial"/>
          <w:szCs w:val="20"/>
        </w:rPr>
        <w:t>avtomatizirano obdelavo, analizo in primerjavo. Standardiziran</w:t>
      </w:r>
      <w:r>
        <w:rPr>
          <w:rFonts w:cs="Arial"/>
          <w:szCs w:val="20"/>
        </w:rPr>
        <w:t>i</w:t>
      </w:r>
      <w:r w:rsidRPr="0023027E">
        <w:rPr>
          <w:rFonts w:cs="Arial"/>
          <w:szCs w:val="20"/>
        </w:rPr>
        <w:t xml:space="preserve"> format olajša uporabnikom (na primer vlagatelji, analitiki in regulatorji) dostop do podatkov </w:t>
      </w:r>
      <w:r>
        <w:rPr>
          <w:rFonts w:cs="Arial"/>
          <w:szCs w:val="20"/>
        </w:rPr>
        <w:t>in</w:t>
      </w:r>
      <w:r w:rsidRPr="0023027E">
        <w:rPr>
          <w:rFonts w:cs="Arial"/>
          <w:szCs w:val="20"/>
        </w:rPr>
        <w:t xml:space="preserve"> njihovo uporabo.</w:t>
      </w:r>
    </w:p>
    <w:p w14:paraId="1BF75B8C" w14:textId="77777777" w:rsidR="00D231D9" w:rsidRPr="0023027E" w:rsidRDefault="00D231D9" w:rsidP="00D231D9">
      <w:pPr>
        <w:spacing w:line="276" w:lineRule="auto"/>
        <w:jc w:val="both"/>
        <w:rPr>
          <w:rFonts w:cs="Arial"/>
          <w:szCs w:val="20"/>
        </w:rPr>
      </w:pPr>
    </w:p>
    <w:p w14:paraId="7B7FCBB8" w14:textId="77777777" w:rsidR="00D231D9" w:rsidRPr="0023027E" w:rsidRDefault="00D231D9" w:rsidP="00D231D9">
      <w:pPr>
        <w:spacing w:after="160" w:line="259" w:lineRule="auto"/>
        <w:jc w:val="both"/>
        <w:rPr>
          <w:rFonts w:cs="Arial"/>
          <w:szCs w:val="20"/>
        </w:rPr>
      </w:pPr>
      <w:r w:rsidRPr="0023027E">
        <w:rPr>
          <w:rFonts w:cs="Arial"/>
          <w:szCs w:val="20"/>
        </w:rPr>
        <w:t>Informacije morajo vsebovati metapodatke, ki zagotavljajo dodatne podatke o nadzorovani osebi in naravi pred</w:t>
      </w:r>
      <w:r>
        <w:rPr>
          <w:rFonts w:cs="Arial"/>
          <w:szCs w:val="20"/>
        </w:rPr>
        <w:t>l</w:t>
      </w:r>
      <w:r w:rsidRPr="0023027E">
        <w:rPr>
          <w:rFonts w:cs="Arial"/>
          <w:szCs w:val="20"/>
        </w:rPr>
        <w:t>o</w:t>
      </w:r>
      <w:r>
        <w:rPr>
          <w:rFonts w:cs="Arial"/>
          <w:szCs w:val="20"/>
        </w:rPr>
        <w:t>že</w:t>
      </w:r>
      <w:r w:rsidRPr="0023027E">
        <w:rPr>
          <w:rFonts w:cs="Arial"/>
          <w:szCs w:val="20"/>
        </w:rPr>
        <w:t>nih podatkov. Ti metapodatki so:</w:t>
      </w:r>
    </w:p>
    <w:p w14:paraId="70B74515" w14:textId="77777777" w:rsidR="00D231D9" w:rsidRPr="0023027E" w:rsidRDefault="00D231D9" w:rsidP="00D231D9">
      <w:pPr>
        <w:pStyle w:val="Odstavekseznama"/>
        <w:numPr>
          <w:ilvl w:val="0"/>
          <w:numId w:val="65"/>
        </w:numPr>
        <w:spacing w:after="160" w:line="259" w:lineRule="auto"/>
        <w:jc w:val="both"/>
        <w:rPr>
          <w:rFonts w:cs="Arial"/>
          <w:szCs w:val="20"/>
        </w:rPr>
      </w:pPr>
      <w:r w:rsidRPr="0023027E">
        <w:rPr>
          <w:rFonts w:cs="Arial"/>
          <w:szCs w:val="20"/>
        </w:rPr>
        <w:t>vsa imena borznoposredniške družbe ali obvladujočega podjetja, na katero se informacije nanašajo, kar vključuje uradno ime pravnega subjekta ali druga imena, pod katerimi ta oseba posluje. Namen je jasna identifikacija subjekta, da se prepreči zmeda pri subjektih z enakimi ali podobnimi imeni;</w:t>
      </w:r>
    </w:p>
    <w:p w14:paraId="41E21E8E" w14:textId="77777777" w:rsidR="00D231D9" w:rsidRPr="0023027E" w:rsidRDefault="00D231D9" w:rsidP="00D231D9">
      <w:pPr>
        <w:pStyle w:val="Odstavekseznama"/>
        <w:numPr>
          <w:ilvl w:val="0"/>
          <w:numId w:val="65"/>
        </w:numPr>
        <w:spacing w:after="160" w:line="259" w:lineRule="auto"/>
        <w:jc w:val="both"/>
        <w:rPr>
          <w:rFonts w:cs="Arial"/>
          <w:szCs w:val="20"/>
        </w:rPr>
      </w:pPr>
      <w:r w:rsidRPr="0023027E">
        <w:rPr>
          <w:rFonts w:cs="Arial"/>
          <w:szCs w:val="20"/>
        </w:rPr>
        <w:t>identifikator pravnih subjektov</w:t>
      </w:r>
      <w:r>
        <w:rPr>
          <w:rFonts w:cs="Arial"/>
          <w:szCs w:val="20"/>
        </w:rPr>
        <w:t>,</w:t>
      </w:r>
      <w:r w:rsidRPr="0023027E">
        <w:rPr>
          <w:rFonts w:cs="Arial"/>
          <w:szCs w:val="20"/>
        </w:rPr>
        <w:t xml:space="preserve"> k</w:t>
      </w:r>
      <w:r>
        <w:rPr>
          <w:rFonts w:cs="Arial"/>
          <w:szCs w:val="20"/>
        </w:rPr>
        <w:t>ak</w:t>
      </w:r>
      <w:r w:rsidRPr="0023027E">
        <w:rPr>
          <w:rFonts w:cs="Arial"/>
          <w:szCs w:val="20"/>
        </w:rPr>
        <w:t>o</w:t>
      </w:r>
      <w:r>
        <w:rPr>
          <w:rFonts w:cs="Arial"/>
          <w:szCs w:val="20"/>
        </w:rPr>
        <w:t>r</w:t>
      </w:r>
      <w:r w:rsidRPr="0023027E">
        <w:rPr>
          <w:rFonts w:cs="Arial"/>
          <w:szCs w:val="20"/>
        </w:rPr>
        <w:t xml:space="preserve"> je določeno v točki b) četrtega odstavka 7. člena Uredbe 2023/2859/EU. Identifikator pravnih subjektov je standardizirana koda, ki se bo uporabljal za enolično identifikacijo pravnih oseb in ga natančneje opredeljuje Izvedbena uredba Komisije (EU) 2025/1338 z dne 10. julija 2025 o določitvi izvedbenih tehničnih standardov za uporabo Uredbe (EU) 2023/2859 Evropskega parlamenta in Sveta v zvezi s funkcionalnostmi evropske enotne točke dostopa (UL L št. 2025/1338 z dne 11. 7. 2025</w:t>
      </w:r>
      <w:r>
        <w:rPr>
          <w:rFonts w:cs="Arial"/>
          <w:szCs w:val="20"/>
        </w:rPr>
        <w:t xml:space="preserve">; </w:t>
      </w:r>
      <w:r w:rsidRPr="0023027E">
        <w:rPr>
          <w:rFonts w:cs="Arial"/>
          <w:szCs w:val="20"/>
        </w:rPr>
        <w:t>v nadaljnjem besedilu: Uredba 2025/1338/EU). Identifikator pravnih subjektov je ključen za izboljšanje preglednosti in sledenja v finančnih sistemih</w:t>
      </w:r>
      <w:r>
        <w:rPr>
          <w:rFonts w:cs="Arial"/>
          <w:szCs w:val="20"/>
        </w:rPr>
        <w:t>. To</w:t>
      </w:r>
      <w:r w:rsidRPr="0023027E">
        <w:rPr>
          <w:rFonts w:cs="Arial"/>
          <w:szCs w:val="20"/>
        </w:rPr>
        <w:t xml:space="preserve"> regulatorjem in drugim deležnikom</w:t>
      </w:r>
      <w:r w:rsidRPr="0047153B">
        <w:rPr>
          <w:rFonts w:cs="Arial"/>
          <w:szCs w:val="20"/>
        </w:rPr>
        <w:t xml:space="preserve"> </w:t>
      </w:r>
      <w:r w:rsidRPr="0023027E">
        <w:rPr>
          <w:rFonts w:cs="Arial"/>
          <w:szCs w:val="20"/>
        </w:rPr>
        <w:t>omogoča, da hitro in natančno identificirajo pravne subjekte, vključen</w:t>
      </w:r>
      <w:r>
        <w:rPr>
          <w:rFonts w:cs="Arial"/>
          <w:szCs w:val="20"/>
        </w:rPr>
        <w:t>e</w:t>
      </w:r>
      <w:r w:rsidRPr="0023027E">
        <w:rPr>
          <w:rFonts w:cs="Arial"/>
          <w:szCs w:val="20"/>
        </w:rPr>
        <w:t xml:space="preserve"> v finančne transakcije, kar zmanjšuje tveganja, povezana z nejasnostjo ali prikrivanjem identitete;</w:t>
      </w:r>
    </w:p>
    <w:p w14:paraId="1ABB0508" w14:textId="77777777" w:rsidR="00D231D9" w:rsidRPr="0023027E" w:rsidRDefault="00D231D9" w:rsidP="00D231D9">
      <w:pPr>
        <w:pStyle w:val="Odstavekseznama"/>
        <w:numPr>
          <w:ilvl w:val="0"/>
          <w:numId w:val="65"/>
        </w:numPr>
        <w:spacing w:after="160" w:line="259" w:lineRule="auto"/>
        <w:jc w:val="both"/>
        <w:rPr>
          <w:rFonts w:cs="Arial"/>
          <w:szCs w:val="20"/>
        </w:rPr>
      </w:pPr>
      <w:r w:rsidRPr="0023027E">
        <w:rPr>
          <w:rFonts w:cs="Arial"/>
          <w:szCs w:val="20"/>
        </w:rPr>
        <w:t xml:space="preserve">velikost </w:t>
      </w:r>
      <w:r w:rsidRPr="0023027E">
        <w:rPr>
          <w:rFonts w:eastAsia="Arial" w:cs="Arial"/>
          <w:szCs w:val="20"/>
        </w:rPr>
        <w:t>borznoposredniške družbe ali obvladujočega podjetja</w:t>
      </w:r>
      <w:r w:rsidRPr="0023027E">
        <w:rPr>
          <w:rFonts w:cs="Arial"/>
          <w:szCs w:val="20"/>
        </w:rPr>
        <w:t xml:space="preserve"> po kategorijah v skladu s točko d) četrtega odstavka 7. člena Uredbe 2023/2859/EU. Te kategorije so natančneje opredeljene v Uredbi 2025/1338/EU (na primer mala in srednja podjetja, velika podjetja, </w:t>
      </w:r>
      <w:proofErr w:type="spellStart"/>
      <w:r w:rsidRPr="0023027E">
        <w:rPr>
          <w:rFonts w:cs="Arial"/>
          <w:szCs w:val="20"/>
        </w:rPr>
        <w:t>mikropodjetja</w:t>
      </w:r>
      <w:proofErr w:type="spellEnd"/>
      <w:r w:rsidRPr="0023027E">
        <w:rPr>
          <w:rFonts w:cs="Arial"/>
          <w:szCs w:val="20"/>
        </w:rPr>
        <w:t>). Namen je razvrstitev subjektov glede na njihovo velikost;</w:t>
      </w:r>
    </w:p>
    <w:p w14:paraId="13BCB669" w14:textId="77777777" w:rsidR="00D231D9" w:rsidRPr="0023027E" w:rsidRDefault="00D231D9" w:rsidP="00D231D9">
      <w:pPr>
        <w:pStyle w:val="Odstavekseznama"/>
        <w:numPr>
          <w:ilvl w:val="0"/>
          <w:numId w:val="65"/>
        </w:numPr>
        <w:spacing w:after="160" w:line="259" w:lineRule="auto"/>
        <w:jc w:val="both"/>
        <w:rPr>
          <w:rFonts w:cs="Arial"/>
          <w:szCs w:val="20"/>
        </w:rPr>
      </w:pPr>
      <w:r w:rsidRPr="0023027E">
        <w:rPr>
          <w:rFonts w:cs="Arial"/>
          <w:szCs w:val="20"/>
        </w:rPr>
        <w:t xml:space="preserve">vrsta informacij glede na razvrstitev na podlagi točke c) četrtega odstavka 7. člena Uredbe 2023/2859/EU. To pomeni, da morajo biti podatki označeni glede na vrsto ali kategorijo. To </w:t>
      </w:r>
      <w:r>
        <w:rPr>
          <w:rFonts w:cs="Arial"/>
          <w:szCs w:val="20"/>
        </w:rPr>
        <w:t>prejemnikom</w:t>
      </w:r>
      <w:r w:rsidRPr="0023027E">
        <w:rPr>
          <w:rFonts w:cs="Arial"/>
          <w:szCs w:val="20"/>
        </w:rPr>
        <w:t xml:space="preserve"> omogoča lažje razumevanje in obdelavo podatkov. Vrste informacij so natančneje opredeljene v Uredbi 2025/1338/EU;</w:t>
      </w:r>
    </w:p>
    <w:p w14:paraId="49AE9DF4" w14:textId="77777777" w:rsidR="00D231D9" w:rsidRPr="0023027E" w:rsidRDefault="00D231D9" w:rsidP="00D231D9">
      <w:pPr>
        <w:pStyle w:val="Odstavekseznama"/>
        <w:numPr>
          <w:ilvl w:val="0"/>
          <w:numId w:val="65"/>
        </w:numPr>
        <w:spacing w:after="160" w:line="259" w:lineRule="auto"/>
        <w:jc w:val="both"/>
        <w:rPr>
          <w:rFonts w:cs="Arial"/>
          <w:szCs w:val="20"/>
        </w:rPr>
      </w:pPr>
      <w:r w:rsidRPr="0023027E">
        <w:rPr>
          <w:rFonts w:cs="Arial"/>
          <w:szCs w:val="20"/>
        </w:rPr>
        <w:t xml:space="preserve">oznaka, ali informacije vsebujejo osebne podatke: </w:t>
      </w:r>
      <w:r>
        <w:rPr>
          <w:rFonts w:cs="Arial"/>
          <w:szCs w:val="20"/>
        </w:rPr>
        <w:t>i</w:t>
      </w:r>
      <w:r w:rsidRPr="0023027E">
        <w:rPr>
          <w:rFonts w:cs="Arial"/>
          <w:szCs w:val="20"/>
        </w:rPr>
        <w:t>nformacije morajo biti označene, če vsebujejo osebne podatke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podatke o posameznikih, kot so imena, naslovi, identifikacijske številke). Ta zahteva je pomembna za skladnost z zakonodajo o varstvu podatkov, saj osebni podatki zahtevajo posebno obravnavo in varstvo.</w:t>
      </w:r>
    </w:p>
    <w:p w14:paraId="4AEE823D" w14:textId="77777777" w:rsidR="00D231D9" w:rsidRPr="0023027E" w:rsidRDefault="00D231D9" w:rsidP="00D231D9">
      <w:pPr>
        <w:spacing w:line="276" w:lineRule="auto"/>
        <w:jc w:val="both"/>
        <w:rPr>
          <w:rFonts w:cs="Arial"/>
          <w:szCs w:val="20"/>
        </w:rPr>
      </w:pPr>
    </w:p>
    <w:p w14:paraId="3B074DE1" w14:textId="77777777" w:rsidR="00D231D9" w:rsidRPr="0023027E" w:rsidRDefault="00D231D9" w:rsidP="00D231D9">
      <w:pPr>
        <w:spacing w:line="276" w:lineRule="auto"/>
        <w:jc w:val="both"/>
        <w:rPr>
          <w:rFonts w:cs="Arial"/>
          <w:szCs w:val="20"/>
        </w:rPr>
      </w:pPr>
      <w:r w:rsidRPr="0023027E">
        <w:rPr>
          <w:rFonts w:cs="Arial"/>
          <w:szCs w:val="20"/>
        </w:rPr>
        <w:t>Metapodatki so ključni za organiz</w:t>
      </w:r>
      <w:r>
        <w:rPr>
          <w:rFonts w:cs="Arial"/>
          <w:szCs w:val="20"/>
        </w:rPr>
        <w:t>iranje</w:t>
      </w:r>
      <w:r w:rsidRPr="0023027E">
        <w:rPr>
          <w:rFonts w:cs="Arial"/>
          <w:szCs w:val="20"/>
        </w:rPr>
        <w:t xml:space="preserve"> in kategoriz</w:t>
      </w:r>
      <w:r>
        <w:rPr>
          <w:rFonts w:cs="Arial"/>
          <w:szCs w:val="20"/>
        </w:rPr>
        <w:t>iranje</w:t>
      </w:r>
      <w:r w:rsidRPr="0023027E">
        <w:rPr>
          <w:rFonts w:cs="Arial"/>
          <w:szCs w:val="20"/>
        </w:rPr>
        <w:t xml:space="preserve"> informacij na ESAP. Z njimi se podatki označijo z dodatnimi informacijami, kar omogoča lažje iskanje in filtriranje. Metapodatki zagotavljajo, da so informacije strukturirane in dostopne na način, prilagojen potrebam uporabnikov, ter povečujejo preglednost in učinkovitost ESAP. Pri tem je pomembno tudi načelo </w:t>
      </w:r>
      <w:r>
        <w:rPr>
          <w:rFonts w:cs="Arial"/>
          <w:szCs w:val="20"/>
        </w:rPr>
        <w:t>»</w:t>
      </w:r>
      <w:r w:rsidRPr="0023027E">
        <w:rPr>
          <w:rFonts w:cs="Arial"/>
          <w:szCs w:val="20"/>
        </w:rPr>
        <w:t>enkratnega vnosa</w:t>
      </w:r>
      <w:r>
        <w:rPr>
          <w:rFonts w:cs="Arial"/>
          <w:szCs w:val="20"/>
        </w:rPr>
        <w:t>«</w:t>
      </w:r>
      <w:r w:rsidRPr="0023027E">
        <w:rPr>
          <w:rFonts w:cs="Arial"/>
          <w:szCs w:val="20"/>
        </w:rPr>
        <w:t xml:space="preserve"> (</w:t>
      </w:r>
      <w:r w:rsidRPr="0023027E">
        <w:rPr>
          <w:rFonts w:cs="Arial"/>
          <w:i/>
          <w:iCs/>
          <w:szCs w:val="20"/>
        </w:rPr>
        <w:t xml:space="preserve">file </w:t>
      </w:r>
      <w:proofErr w:type="spellStart"/>
      <w:r w:rsidRPr="0023027E">
        <w:rPr>
          <w:rFonts w:cs="Arial"/>
          <w:i/>
          <w:iCs/>
          <w:szCs w:val="20"/>
        </w:rPr>
        <w:t>once</w:t>
      </w:r>
      <w:proofErr w:type="spellEnd"/>
      <w:r w:rsidRPr="0023027E">
        <w:rPr>
          <w:rFonts w:cs="Arial"/>
          <w:i/>
          <w:iCs/>
          <w:szCs w:val="20"/>
        </w:rPr>
        <w:t xml:space="preserve"> </w:t>
      </w:r>
      <w:proofErr w:type="spellStart"/>
      <w:r w:rsidRPr="0023027E">
        <w:rPr>
          <w:rFonts w:cs="Arial"/>
          <w:i/>
          <w:iCs/>
          <w:szCs w:val="20"/>
        </w:rPr>
        <w:t>principle</w:t>
      </w:r>
      <w:proofErr w:type="spellEnd"/>
      <w:r w:rsidRPr="0023027E">
        <w:rPr>
          <w:rFonts w:cs="Arial"/>
          <w:szCs w:val="20"/>
        </w:rPr>
        <w:t xml:space="preserve">), kar pomeni, da subjekti podatke, ki jih že objavljajo v skladu z </w:t>
      </w:r>
      <w:r>
        <w:rPr>
          <w:rFonts w:cs="Arial"/>
          <w:szCs w:val="20"/>
        </w:rPr>
        <w:t>veljavno</w:t>
      </w:r>
      <w:r w:rsidRPr="0023027E">
        <w:rPr>
          <w:rFonts w:cs="Arial"/>
          <w:szCs w:val="20"/>
        </w:rPr>
        <w:t xml:space="preserve"> zakonodajo, predložijo v standardiziranem formatu brez dodatnih obveznosti. Zahteve po izv</w:t>
      </w:r>
      <w:r>
        <w:rPr>
          <w:rFonts w:cs="Arial"/>
          <w:szCs w:val="20"/>
        </w:rPr>
        <w:t>oz</w:t>
      </w:r>
      <w:r w:rsidRPr="0023027E">
        <w:rPr>
          <w:rFonts w:cs="Arial"/>
          <w:szCs w:val="20"/>
        </w:rPr>
        <w:t xml:space="preserve">u podatkov in metapodatkih zagotavljajo, da se ti podatki učinkovito </w:t>
      </w:r>
      <w:r>
        <w:rPr>
          <w:rFonts w:cs="Arial"/>
          <w:szCs w:val="20"/>
        </w:rPr>
        <w:t>vključijo</w:t>
      </w:r>
      <w:r w:rsidRPr="0023027E">
        <w:rPr>
          <w:rFonts w:cs="Arial"/>
          <w:szCs w:val="20"/>
        </w:rPr>
        <w:t xml:space="preserve"> v centralizirano platformo ESAP, kar zmanjšuje administrativno breme in povečuje dostopnost.</w:t>
      </w:r>
    </w:p>
    <w:p w14:paraId="224383E9" w14:textId="77777777" w:rsidR="00D231D9" w:rsidRPr="0023027E" w:rsidRDefault="00D231D9" w:rsidP="00D231D9">
      <w:pPr>
        <w:spacing w:line="276" w:lineRule="auto"/>
        <w:jc w:val="both"/>
        <w:rPr>
          <w:rFonts w:cs="Arial"/>
          <w:szCs w:val="20"/>
        </w:rPr>
      </w:pPr>
    </w:p>
    <w:p w14:paraId="13284CF3" w14:textId="77777777" w:rsidR="00D231D9" w:rsidRPr="0023027E" w:rsidRDefault="00D231D9" w:rsidP="00D231D9">
      <w:pPr>
        <w:spacing w:line="276" w:lineRule="auto"/>
        <w:jc w:val="both"/>
        <w:rPr>
          <w:rFonts w:cs="Arial"/>
          <w:szCs w:val="20"/>
        </w:rPr>
      </w:pPr>
      <w:r w:rsidRPr="0023027E">
        <w:rPr>
          <w:rFonts w:cs="Arial"/>
          <w:szCs w:val="20"/>
        </w:rPr>
        <w:lastRenderedPageBreak/>
        <w:t xml:space="preserve">Uporaba metapodatkov in standardiziranih formatov omogoča tehnično </w:t>
      </w:r>
      <w:proofErr w:type="spellStart"/>
      <w:r w:rsidRPr="0023027E">
        <w:rPr>
          <w:rFonts w:cs="Arial"/>
          <w:szCs w:val="20"/>
        </w:rPr>
        <w:t>interoperabilnost</w:t>
      </w:r>
      <w:proofErr w:type="spellEnd"/>
      <w:r w:rsidRPr="0023027E">
        <w:rPr>
          <w:rFonts w:cs="Arial"/>
          <w:szCs w:val="20"/>
        </w:rPr>
        <w:t xml:space="preserve"> med različnimi sistemi zbiranja podatkov na nacionalni ravni in ESAP, ki ga upravlja ESMA. To omogoča nemoten prenos podatkov, kar povečuje učinkovitost in zmanjšuje stroške.</w:t>
      </w:r>
    </w:p>
    <w:p w14:paraId="0C1CCED0" w14:textId="77777777" w:rsidR="00D231D9" w:rsidRPr="0023027E" w:rsidRDefault="00D231D9" w:rsidP="00D231D9">
      <w:pPr>
        <w:spacing w:line="276" w:lineRule="auto"/>
        <w:jc w:val="both"/>
        <w:rPr>
          <w:rFonts w:cs="Arial"/>
          <w:szCs w:val="20"/>
        </w:rPr>
      </w:pPr>
    </w:p>
    <w:p w14:paraId="4836AE72" w14:textId="77777777" w:rsidR="00D231D9" w:rsidRPr="0023027E" w:rsidRDefault="00D231D9" w:rsidP="00D231D9">
      <w:pPr>
        <w:spacing w:line="276" w:lineRule="auto"/>
        <w:jc w:val="both"/>
        <w:rPr>
          <w:rFonts w:cs="Arial"/>
          <w:szCs w:val="20"/>
        </w:rPr>
      </w:pPr>
      <w:r w:rsidRPr="0023027E">
        <w:rPr>
          <w:rFonts w:cs="Arial"/>
          <w:szCs w:val="20"/>
        </w:rPr>
        <w:t xml:space="preserve">Določa se tudi, da borznoposredniška </w:t>
      </w:r>
      <w:r w:rsidRPr="0023027E">
        <w:rPr>
          <w:rFonts w:cs="Arial"/>
          <w:color w:val="000000" w:themeColor="text1"/>
          <w:szCs w:val="20"/>
        </w:rPr>
        <w:t>družba</w:t>
      </w:r>
      <w:r w:rsidRPr="0023027E">
        <w:rPr>
          <w:rFonts w:cs="Arial"/>
          <w:szCs w:val="20"/>
        </w:rPr>
        <w:t xml:space="preserve"> pridobi identifikator pravnih subjektov, k</w:t>
      </w:r>
      <w:r>
        <w:rPr>
          <w:rFonts w:cs="Arial"/>
          <w:szCs w:val="20"/>
        </w:rPr>
        <w:t>ak</w:t>
      </w:r>
      <w:r w:rsidRPr="0023027E">
        <w:rPr>
          <w:rFonts w:cs="Arial"/>
          <w:szCs w:val="20"/>
        </w:rPr>
        <w:t>o</w:t>
      </w:r>
      <w:r>
        <w:rPr>
          <w:rFonts w:cs="Arial"/>
          <w:szCs w:val="20"/>
        </w:rPr>
        <w:t>r</w:t>
      </w:r>
      <w:r w:rsidRPr="0023027E">
        <w:rPr>
          <w:rFonts w:cs="Arial"/>
          <w:szCs w:val="20"/>
        </w:rPr>
        <w:t xml:space="preserve"> je določen v Uredbi 2023/2859/EU, če tega identifikatorja še nima.</w:t>
      </w:r>
    </w:p>
    <w:p w14:paraId="1B9F54C2" w14:textId="77777777" w:rsidR="00393DF7" w:rsidRPr="0023027E" w:rsidRDefault="00393DF7" w:rsidP="00FE0F83">
      <w:pPr>
        <w:spacing w:line="276" w:lineRule="auto"/>
        <w:jc w:val="both"/>
        <w:rPr>
          <w:rFonts w:cs="Arial"/>
          <w:szCs w:val="20"/>
        </w:rPr>
      </w:pPr>
    </w:p>
    <w:p w14:paraId="4A835770" w14:textId="12EA0D38" w:rsidR="00FE0F83" w:rsidRPr="0023027E" w:rsidRDefault="00FE0F83" w:rsidP="00FE0F83">
      <w:pPr>
        <w:spacing w:line="276" w:lineRule="auto"/>
        <w:jc w:val="both"/>
        <w:rPr>
          <w:rFonts w:cs="Arial"/>
          <w:b/>
          <w:bCs/>
          <w:szCs w:val="20"/>
        </w:rPr>
      </w:pPr>
      <w:r w:rsidRPr="0023027E">
        <w:rPr>
          <w:rFonts w:cs="Arial"/>
          <w:b/>
          <w:bCs/>
          <w:szCs w:val="20"/>
        </w:rPr>
        <w:t xml:space="preserve">K </w:t>
      </w:r>
      <w:r w:rsidR="00294FB5">
        <w:rPr>
          <w:rFonts w:cs="Arial"/>
          <w:b/>
          <w:bCs/>
          <w:szCs w:val="20"/>
        </w:rPr>
        <w:t>27</w:t>
      </w:r>
      <w:r w:rsidR="00515F83" w:rsidRPr="0023027E">
        <w:rPr>
          <w:rFonts w:cs="Arial"/>
          <w:b/>
          <w:bCs/>
          <w:szCs w:val="20"/>
        </w:rPr>
        <w:t xml:space="preserve">. </w:t>
      </w:r>
      <w:r w:rsidRPr="0023027E">
        <w:rPr>
          <w:rFonts w:cs="Arial"/>
          <w:b/>
          <w:bCs/>
          <w:szCs w:val="20"/>
        </w:rPr>
        <w:t>členu</w:t>
      </w:r>
    </w:p>
    <w:p w14:paraId="7E2832B8" w14:textId="77777777" w:rsidR="00D231D9" w:rsidRPr="0023027E" w:rsidRDefault="00D231D9" w:rsidP="00D231D9">
      <w:pPr>
        <w:spacing w:line="276" w:lineRule="auto"/>
        <w:jc w:val="both"/>
        <w:rPr>
          <w:rFonts w:cs="Arial"/>
          <w:szCs w:val="20"/>
        </w:rPr>
      </w:pPr>
      <w:r w:rsidRPr="0023027E">
        <w:rPr>
          <w:rFonts w:cs="Arial"/>
          <w:szCs w:val="20"/>
        </w:rPr>
        <w:t xml:space="preserve">S tem členom se predlaga dopolnitev prvega odstavka 74. člena ZBNIP </w:t>
      </w:r>
      <w:r>
        <w:rPr>
          <w:rFonts w:cs="Arial"/>
          <w:szCs w:val="20"/>
        </w:rPr>
        <w:t>tako</w:t>
      </w:r>
      <w:r w:rsidRPr="0023027E">
        <w:rPr>
          <w:rFonts w:cs="Arial"/>
          <w:szCs w:val="20"/>
        </w:rPr>
        <w:t>, da se določijo sankcije za kršitev obveznosti predložitve informacij ali če te informacije niso predložene v zahtevani obliki ali če subjekt ne pridobi identifikatorja pravnih subjektov.</w:t>
      </w:r>
    </w:p>
    <w:p w14:paraId="672EBB65" w14:textId="77777777" w:rsidR="00D231D9" w:rsidRPr="0023027E" w:rsidRDefault="00D231D9" w:rsidP="00D231D9">
      <w:pPr>
        <w:spacing w:line="276" w:lineRule="auto"/>
        <w:jc w:val="both"/>
        <w:rPr>
          <w:rFonts w:cs="Arial"/>
          <w:szCs w:val="20"/>
        </w:rPr>
      </w:pPr>
    </w:p>
    <w:p w14:paraId="06D809F5" w14:textId="3424DCFE" w:rsidR="00D231D9" w:rsidRPr="0023027E" w:rsidRDefault="00D231D9" w:rsidP="00D231D9">
      <w:pPr>
        <w:spacing w:line="276" w:lineRule="auto"/>
        <w:jc w:val="both"/>
        <w:rPr>
          <w:rFonts w:cs="Arial"/>
          <w:szCs w:val="20"/>
        </w:rPr>
      </w:pPr>
      <w:r w:rsidRPr="0023027E">
        <w:rPr>
          <w:rFonts w:cs="Arial"/>
          <w:szCs w:val="20"/>
        </w:rPr>
        <w:t xml:space="preserve">Podrobneje v obrazložitvi k </w:t>
      </w:r>
      <w:r w:rsidR="00B403C3">
        <w:t>6</w:t>
      </w:r>
      <w:r w:rsidRPr="0023027E">
        <w:rPr>
          <w:rFonts w:cs="Arial"/>
          <w:szCs w:val="20"/>
        </w:rPr>
        <w:t>. členu predloga zakona.</w:t>
      </w:r>
    </w:p>
    <w:p w14:paraId="09DC4953" w14:textId="77777777" w:rsidR="00FD35DE" w:rsidRPr="0023027E" w:rsidRDefault="00FD35DE" w:rsidP="000D7EE4">
      <w:pPr>
        <w:spacing w:line="276" w:lineRule="auto"/>
        <w:jc w:val="both"/>
        <w:rPr>
          <w:rFonts w:cs="Arial"/>
          <w:szCs w:val="20"/>
        </w:rPr>
      </w:pPr>
    </w:p>
    <w:p w14:paraId="62F5A70E" w14:textId="1F9B4369" w:rsidR="00FD35DE" w:rsidRPr="0023027E" w:rsidRDefault="00FD35DE" w:rsidP="00B00E7D">
      <w:pPr>
        <w:keepNext/>
        <w:keepLines/>
        <w:widowControl w:val="0"/>
        <w:spacing w:line="276" w:lineRule="auto"/>
        <w:jc w:val="both"/>
        <w:rPr>
          <w:rFonts w:cs="Arial"/>
          <w:b/>
          <w:bCs/>
          <w:szCs w:val="20"/>
        </w:rPr>
      </w:pPr>
      <w:r w:rsidRPr="0023027E">
        <w:rPr>
          <w:rFonts w:cs="Arial"/>
          <w:b/>
          <w:bCs/>
          <w:szCs w:val="20"/>
        </w:rPr>
        <w:t xml:space="preserve">K </w:t>
      </w:r>
      <w:r w:rsidR="00294FB5">
        <w:rPr>
          <w:rFonts w:cs="Arial"/>
          <w:b/>
          <w:bCs/>
          <w:szCs w:val="20"/>
        </w:rPr>
        <w:t>28</w:t>
      </w:r>
      <w:r w:rsidR="00515F83" w:rsidRPr="0023027E">
        <w:rPr>
          <w:rFonts w:cs="Arial"/>
          <w:b/>
          <w:bCs/>
          <w:szCs w:val="20"/>
        </w:rPr>
        <w:t xml:space="preserve">. </w:t>
      </w:r>
      <w:r w:rsidRPr="0023027E">
        <w:rPr>
          <w:rFonts w:cs="Arial"/>
          <w:b/>
          <w:bCs/>
          <w:szCs w:val="20"/>
        </w:rPr>
        <w:t>členu</w:t>
      </w:r>
      <w:r w:rsidR="0094058A" w:rsidRPr="0023027E">
        <w:rPr>
          <w:rFonts w:cs="Arial"/>
          <w:b/>
          <w:bCs/>
          <w:szCs w:val="20"/>
        </w:rPr>
        <w:t xml:space="preserve"> </w:t>
      </w:r>
    </w:p>
    <w:p w14:paraId="07AB14AA" w14:textId="77777777" w:rsidR="00D66309" w:rsidRPr="0023027E" w:rsidRDefault="00D66309" w:rsidP="00D66309">
      <w:pPr>
        <w:keepNext/>
        <w:keepLines/>
        <w:widowControl w:val="0"/>
        <w:spacing w:line="276" w:lineRule="auto"/>
        <w:jc w:val="both"/>
        <w:rPr>
          <w:rFonts w:cs="Arial"/>
          <w:szCs w:val="20"/>
        </w:rPr>
      </w:pPr>
      <w:r w:rsidRPr="0023027E">
        <w:rPr>
          <w:rFonts w:cs="Arial"/>
          <w:szCs w:val="20"/>
        </w:rPr>
        <w:t>Predlaga se sprememba 2. člena Zakona o hipotekarni in komunalni obveznici (Uradni list RS, št. 123/21; v nadaljnjem besedilu: ZHKO-2)</w:t>
      </w:r>
      <w:r>
        <w:rPr>
          <w:rFonts w:cs="Arial"/>
          <w:szCs w:val="20"/>
        </w:rPr>
        <w:t xml:space="preserve"> z</w:t>
      </w:r>
      <w:r w:rsidRPr="0023027E">
        <w:rPr>
          <w:rFonts w:cs="Arial"/>
          <w:szCs w:val="20"/>
        </w:rPr>
        <w:t xml:space="preserve"> nav</w:t>
      </w:r>
      <w:r>
        <w:rPr>
          <w:rFonts w:cs="Arial"/>
          <w:szCs w:val="20"/>
        </w:rPr>
        <w:t>edbo</w:t>
      </w:r>
      <w:r w:rsidRPr="0023027E">
        <w:rPr>
          <w:rFonts w:cs="Arial"/>
          <w:szCs w:val="20"/>
        </w:rPr>
        <w:t xml:space="preserve"> akt</w:t>
      </w:r>
      <w:r>
        <w:rPr>
          <w:rFonts w:cs="Arial"/>
          <w:szCs w:val="20"/>
        </w:rPr>
        <w:t>ov</w:t>
      </w:r>
      <w:r w:rsidRPr="0023027E">
        <w:rPr>
          <w:rFonts w:cs="Arial"/>
          <w:szCs w:val="20"/>
        </w:rPr>
        <w:t xml:space="preserve"> EU, ki se s tem zakonom prenašajo v slovenski pravni red </w:t>
      </w:r>
      <w:r w:rsidRPr="00CC78F7">
        <w:rPr>
          <w:rFonts w:cs="Arial"/>
          <w:szCs w:val="20"/>
        </w:rPr>
        <w:t xml:space="preserve">oziroma se </w:t>
      </w:r>
      <w:r>
        <w:rPr>
          <w:rFonts w:cs="Arial"/>
          <w:szCs w:val="20"/>
        </w:rPr>
        <w:t xml:space="preserve">z njim </w:t>
      </w:r>
      <w:r w:rsidRPr="00CC78F7">
        <w:rPr>
          <w:rFonts w:cs="Arial"/>
          <w:szCs w:val="20"/>
        </w:rPr>
        <w:t>ureja njihovo</w:t>
      </w:r>
      <w:r w:rsidRPr="0023027E">
        <w:rPr>
          <w:rFonts w:cs="Arial"/>
          <w:szCs w:val="20"/>
        </w:rPr>
        <w:t xml:space="preserve"> izvajanje. Predlaga se dopolnitev navedbe direktive.</w:t>
      </w:r>
    </w:p>
    <w:p w14:paraId="49448218" w14:textId="77777777" w:rsidR="00D66309" w:rsidRPr="0023027E" w:rsidRDefault="00D66309" w:rsidP="00D66309">
      <w:pPr>
        <w:spacing w:line="276" w:lineRule="auto"/>
        <w:jc w:val="both"/>
        <w:rPr>
          <w:rFonts w:cs="Arial"/>
          <w:szCs w:val="20"/>
        </w:rPr>
      </w:pPr>
    </w:p>
    <w:p w14:paraId="643F9F5E" w14:textId="77777777" w:rsidR="00D66309" w:rsidRPr="0023027E" w:rsidRDefault="00D66309" w:rsidP="00D66309">
      <w:pPr>
        <w:spacing w:line="276" w:lineRule="auto"/>
        <w:jc w:val="both"/>
        <w:rPr>
          <w:rFonts w:cs="Arial"/>
          <w:szCs w:val="20"/>
        </w:rPr>
      </w:pPr>
      <w:r w:rsidRPr="0023027E">
        <w:rPr>
          <w:rFonts w:cs="Arial"/>
          <w:szCs w:val="20"/>
        </w:rPr>
        <w:t xml:space="preserve">Sprememba je potrebna, da se zagotovi skladnost </w:t>
      </w:r>
      <w:r>
        <w:rPr>
          <w:rFonts w:cs="Arial"/>
          <w:szCs w:val="20"/>
        </w:rPr>
        <w:t xml:space="preserve">s spremenjenimi </w:t>
      </w:r>
      <w:r w:rsidRPr="0023027E">
        <w:rPr>
          <w:rFonts w:cs="Arial"/>
          <w:szCs w:val="20"/>
        </w:rPr>
        <w:t xml:space="preserve">pravnimi akti EU, s čimer se ohranjata pravna pravilnost in usklajenost </w:t>
      </w:r>
      <w:r>
        <w:rPr>
          <w:rFonts w:cs="Arial"/>
          <w:szCs w:val="20"/>
        </w:rPr>
        <w:t>domače</w:t>
      </w:r>
      <w:r w:rsidRPr="0023027E">
        <w:rPr>
          <w:rFonts w:cs="Arial"/>
          <w:szCs w:val="20"/>
        </w:rPr>
        <w:t xml:space="preserve"> zakonodaje </w:t>
      </w:r>
      <w:r>
        <w:rPr>
          <w:rFonts w:cs="Arial"/>
          <w:szCs w:val="20"/>
        </w:rPr>
        <w:t xml:space="preserve">s </w:t>
      </w:r>
      <w:r w:rsidRPr="0023027E">
        <w:rPr>
          <w:rFonts w:cs="Arial"/>
          <w:szCs w:val="20"/>
        </w:rPr>
        <w:t>predpisi EU. Namen uskladitve je zagotoviti jasnost, natančnost in doslednost pri sklicevanju na akte EU ter preprečiti morebitne neskladnosti pri izvajanju predpisa.</w:t>
      </w:r>
    </w:p>
    <w:p w14:paraId="332A1664" w14:textId="77777777" w:rsidR="00FE0F83" w:rsidRPr="0023027E" w:rsidRDefault="00FE0F83" w:rsidP="00C64B3F">
      <w:pPr>
        <w:spacing w:line="240" w:lineRule="auto"/>
        <w:jc w:val="both"/>
        <w:rPr>
          <w:rFonts w:cs="Arial"/>
          <w:szCs w:val="20"/>
        </w:rPr>
      </w:pPr>
    </w:p>
    <w:p w14:paraId="70A9D12B" w14:textId="331B010B" w:rsidR="00FE0F83" w:rsidRPr="0023027E" w:rsidRDefault="00FE0F83" w:rsidP="00FE0F83">
      <w:pPr>
        <w:spacing w:line="276" w:lineRule="auto"/>
        <w:jc w:val="both"/>
        <w:rPr>
          <w:rFonts w:cs="Arial"/>
          <w:b/>
          <w:bCs/>
          <w:szCs w:val="20"/>
        </w:rPr>
      </w:pPr>
      <w:r w:rsidRPr="0023027E">
        <w:rPr>
          <w:rFonts w:cs="Arial"/>
          <w:b/>
          <w:bCs/>
          <w:szCs w:val="20"/>
        </w:rPr>
        <w:t xml:space="preserve">K </w:t>
      </w:r>
      <w:r w:rsidR="00294FB5">
        <w:rPr>
          <w:rFonts w:cs="Arial"/>
          <w:b/>
          <w:bCs/>
          <w:szCs w:val="20"/>
        </w:rPr>
        <w:t>29</w:t>
      </w:r>
      <w:r w:rsidR="00515F83" w:rsidRPr="0023027E">
        <w:rPr>
          <w:rFonts w:cs="Arial"/>
          <w:b/>
          <w:bCs/>
          <w:szCs w:val="20"/>
        </w:rPr>
        <w:t xml:space="preserve">. </w:t>
      </w:r>
      <w:r w:rsidRPr="0023027E">
        <w:rPr>
          <w:rFonts w:cs="Arial"/>
          <w:b/>
          <w:bCs/>
          <w:szCs w:val="20"/>
        </w:rPr>
        <w:t>členu</w:t>
      </w:r>
    </w:p>
    <w:p w14:paraId="35188B4C" w14:textId="77777777" w:rsidR="00D66309" w:rsidRPr="0023027E" w:rsidRDefault="00D66309" w:rsidP="00D66309">
      <w:pPr>
        <w:spacing w:line="276" w:lineRule="auto"/>
        <w:jc w:val="both"/>
        <w:rPr>
          <w:rFonts w:cs="Arial"/>
          <w:szCs w:val="20"/>
        </w:rPr>
      </w:pPr>
      <w:r w:rsidRPr="0023027E">
        <w:rPr>
          <w:rFonts w:cs="Arial"/>
          <w:szCs w:val="20"/>
        </w:rPr>
        <w:t>S tem členom se dodajajo nov</w:t>
      </w:r>
      <w:r>
        <w:rPr>
          <w:rFonts w:cs="Arial"/>
          <w:szCs w:val="20"/>
        </w:rPr>
        <w:t>i</w:t>
      </w:r>
      <w:r w:rsidRPr="0023027E">
        <w:rPr>
          <w:rFonts w:cs="Arial"/>
          <w:szCs w:val="20"/>
        </w:rPr>
        <w:t xml:space="preserve"> peti, šesti in sedmi odstavek 37. člena ZHKO-2, ki prenaša 16. člen Direktive 2023/2864/EU oziroma novi 26.a člen Direktive (EU) 2019/2162 Evropskega parlamenta in Sveta z dne 27. novembra 2019 o izdajanju kritih obveznic in javnem nadzoru kritih obveznic ter o spremembi direktiv 2009/65/ES in 2014/59/EU (UL L št. 328 z dne 18. 12. 2019, str. 29), </w:t>
      </w:r>
      <w:r>
        <w:rPr>
          <w:rFonts w:cs="Arial"/>
          <w:szCs w:val="20"/>
        </w:rPr>
        <w:t>na</w:t>
      </w:r>
      <w:r w:rsidRPr="0023027E">
        <w:rPr>
          <w:rFonts w:cs="Arial"/>
          <w:szCs w:val="20"/>
        </w:rPr>
        <w:t>zadnj</w:t>
      </w:r>
      <w:r>
        <w:rPr>
          <w:rFonts w:cs="Arial"/>
          <w:szCs w:val="20"/>
        </w:rPr>
        <w:t>e</w:t>
      </w:r>
      <w:r w:rsidRPr="0023027E">
        <w:rPr>
          <w:rFonts w:cs="Arial"/>
          <w:szCs w:val="20"/>
        </w:rPr>
        <w:t xml:space="preserve"> spremenjene z Direktivo (EU) 2023/2864 Evropskega parlamenta in Sveta </w:t>
      </w:r>
      <w:r w:rsidRPr="004C2B64">
        <w:rPr>
          <w:rFonts w:cs="Arial"/>
          <w:szCs w:val="20"/>
        </w:rPr>
        <w:t xml:space="preserve">z dne 13. decembra 2023 </w:t>
      </w:r>
      <w:r w:rsidRPr="0023027E">
        <w:rPr>
          <w:rFonts w:cs="Arial"/>
          <w:szCs w:val="20"/>
        </w:rPr>
        <w:t xml:space="preserve">o spremembi nekaterih direktiv glede vzpostavitve in delovanja evropske enotne točke dostopa (UL L št. 2023/2864 z dne 20. 12. 2023), (v nadaljnjem besedilu: Direktiva 2019/2162/EU). </w:t>
      </w:r>
    </w:p>
    <w:p w14:paraId="09A4B9FB" w14:textId="77777777" w:rsidR="00D66309" w:rsidRPr="0023027E" w:rsidRDefault="00D66309" w:rsidP="00D66309">
      <w:pPr>
        <w:spacing w:line="276" w:lineRule="auto"/>
        <w:jc w:val="both"/>
        <w:rPr>
          <w:rFonts w:cs="Arial"/>
          <w:szCs w:val="20"/>
        </w:rPr>
      </w:pPr>
    </w:p>
    <w:p w14:paraId="0F7F7DB8" w14:textId="77777777" w:rsidR="00D66309" w:rsidRPr="0023027E" w:rsidRDefault="00D66309" w:rsidP="00D66309">
      <w:pPr>
        <w:spacing w:line="276" w:lineRule="auto"/>
        <w:jc w:val="both"/>
        <w:rPr>
          <w:rFonts w:cs="Arial"/>
          <w:szCs w:val="20"/>
        </w:rPr>
      </w:pPr>
      <w:r w:rsidRPr="0023027E">
        <w:rPr>
          <w:rFonts w:cs="Arial"/>
          <w:szCs w:val="20"/>
        </w:rPr>
        <w:t>Predlagana dopolnitev v novem petem odstavku 37. člena ZHKO-2 določa obveznost izdajatelja (kreditne institucije, ki je pridobila dovoljenje Banke Slovenije za program hipotekarnih obveznic oziroma program komunalnih obveznic v skladu z ZHKO-2), da pri objavi katerih koli informacij iz 37. člena ZHKO-2 te informacije hkrati predloži Banki Slovenije, ki je organ za zbiranje podatkov. Banka Slovenije informacije iz prejšnjega stavka predloži ESAP.</w:t>
      </w:r>
    </w:p>
    <w:p w14:paraId="2906C3C7" w14:textId="77777777" w:rsidR="00D66309" w:rsidRPr="0023027E" w:rsidRDefault="00D66309" w:rsidP="00D66309">
      <w:pPr>
        <w:spacing w:line="276" w:lineRule="auto"/>
        <w:jc w:val="both"/>
        <w:rPr>
          <w:rFonts w:cs="Arial"/>
          <w:szCs w:val="20"/>
        </w:rPr>
      </w:pPr>
    </w:p>
    <w:p w14:paraId="03916B29" w14:textId="77777777" w:rsidR="00D66309" w:rsidRPr="0023027E" w:rsidRDefault="00D66309" w:rsidP="00D66309">
      <w:pPr>
        <w:spacing w:line="276" w:lineRule="auto"/>
        <w:jc w:val="both"/>
        <w:rPr>
          <w:rFonts w:cs="Arial"/>
          <w:szCs w:val="20"/>
        </w:rPr>
      </w:pPr>
      <w:r w:rsidRPr="0023027E">
        <w:rPr>
          <w:rFonts w:cs="Arial"/>
          <w:szCs w:val="20"/>
        </w:rPr>
        <w:t>V novem šestem odstavku 37. člena ZHKO-2 se določa</w:t>
      </w:r>
      <w:r>
        <w:rPr>
          <w:rFonts w:cs="Arial"/>
          <w:szCs w:val="20"/>
        </w:rPr>
        <w:t>jo</w:t>
      </w:r>
      <w:r w:rsidRPr="0023027E">
        <w:rPr>
          <w:rFonts w:cs="Arial"/>
          <w:szCs w:val="20"/>
        </w:rPr>
        <w:t xml:space="preserve"> zahteve za podatke, ki se predložijo ESAP. </w:t>
      </w:r>
      <w:r>
        <w:rPr>
          <w:rFonts w:cs="Arial"/>
          <w:szCs w:val="20"/>
        </w:rPr>
        <w:t>Kakor i</w:t>
      </w:r>
      <w:r w:rsidRPr="0023027E">
        <w:rPr>
          <w:rFonts w:cs="Arial"/>
          <w:szCs w:val="20"/>
        </w:rPr>
        <w:t xml:space="preserve">zhaja iz Direktive 2023/2864/EU, </w:t>
      </w:r>
      <w:r>
        <w:rPr>
          <w:rFonts w:cs="Arial"/>
          <w:szCs w:val="20"/>
        </w:rPr>
        <w:t>je treba</w:t>
      </w:r>
      <w:r w:rsidRPr="0023027E">
        <w:rPr>
          <w:rFonts w:cs="Arial"/>
          <w:szCs w:val="20"/>
        </w:rPr>
        <w:t xml:space="preserve"> podatk</w:t>
      </w:r>
      <w:r>
        <w:rPr>
          <w:rFonts w:cs="Arial"/>
          <w:szCs w:val="20"/>
        </w:rPr>
        <w:t>e</w:t>
      </w:r>
      <w:r w:rsidRPr="0023027E">
        <w:rPr>
          <w:rFonts w:cs="Arial"/>
          <w:szCs w:val="20"/>
        </w:rPr>
        <w:t xml:space="preserve"> predloži</w:t>
      </w:r>
      <w:r>
        <w:rPr>
          <w:rFonts w:cs="Arial"/>
          <w:szCs w:val="20"/>
        </w:rPr>
        <w:t>ti</w:t>
      </w:r>
      <w:r w:rsidRPr="0023027E">
        <w:rPr>
          <w:rFonts w:cs="Arial"/>
          <w:szCs w:val="20"/>
        </w:rPr>
        <w:t xml:space="preserve"> v formatu, ki omogoča </w:t>
      </w:r>
      <w:r>
        <w:rPr>
          <w:rFonts w:cs="Arial"/>
          <w:szCs w:val="20"/>
        </w:rPr>
        <w:t xml:space="preserve">njihov </w:t>
      </w:r>
      <w:r w:rsidRPr="0023027E">
        <w:rPr>
          <w:rFonts w:cs="Arial"/>
          <w:szCs w:val="20"/>
        </w:rPr>
        <w:t>izv</w:t>
      </w:r>
      <w:r>
        <w:rPr>
          <w:rFonts w:cs="Arial"/>
          <w:szCs w:val="20"/>
        </w:rPr>
        <w:t>oz</w:t>
      </w:r>
      <w:r w:rsidRPr="0023027E">
        <w:rPr>
          <w:rFonts w:cs="Arial"/>
          <w:szCs w:val="20"/>
        </w:rPr>
        <w:t xml:space="preserve"> (</w:t>
      </w:r>
      <w:r w:rsidRPr="0023027E">
        <w:rPr>
          <w:rFonts w:cs="Arial"/>
          <w:i/>
          <w:iCs/>
          <w:szCs w:val="20"/>
        </w:rPr>
        <w:t xml:space="preserve">data </w:t>
      </w:r>
      <w:proofErr w:type="spellStart"/>
      <w:r w:rsidRPr="0023027E">
        <w:rPr>
          <w:rFonts w:cs="Arial"/>
          <w:i/>
          <w:iCs/>
          <w:szCs w:val="20"/>
        </w:rPr>
        <w:t>extractable</w:t>
      </w:r>
      <w:proofErr w:type="spellEnd"/>
      <w:r w:rsidRPr="0023027E">
        <w:rPr>
          <w:rFonts w:cs="Arial"/>
          <w:i/>
          <w:iCs/>
          <w:szCs w:val="20"/>
        </w:rPr>
        <w:t xml:space="preserve"> format</w:t>
      </w:r>
      <w:r w:rsidRPr="0023027E">
        <w:rPr>
          <w:rFonts w:cs="Arial"/>
          <w:szCs w:val="20"/>
        </w:rPr>
        <w:t>)</w:t>
      </w:r>
      <w:r>
        <w:rPr>
          <w:rFonts w:cs="Arial"/>
          <w:szCs w:val="20"/>
        </w:rPr>
        <w:t xml:space="preserve">, </w:t>
      </w:r>
      <w:r w:rsidRPr="0023027E">
        <w:rPr>
          <w:rFonts w:cs="Arial"/>
          <w:szCs w:val="20"/>
        </w:rPr>
        <w:t>ali kjer je to določeno z zakonodajo EU, v strojno berljiv</w:t>
      </w:r>
      <w:r>
        <w:rPr>
          <w:rFonts w:cs="Arial"/>
          <w:szCs w:val="20"/>
        </w:rPr>
        <w:t>i</w:t>
      </w:r>
      <w:r w:rsidRPr="0023027E">
        <w:rPr>
          <w:rFonts w:cs="Arial"/>
          <w:szCs w:val="20"/>
        </w:rPr>
        <w:t xml:space="preserve"> </w:t>
      </w:r>
      <w:r>
        <w:rPr>
          <w:rFonts w:cs="Arial"/>
          <w:szCs w:val="20"/>
        </w:rPr>
        <w:t>obliki</w:t>
      </w:r>
      <w:r w:rsidRPr="0023027E">
        <w:rPr>
          <w:rFonts w:cs="Arial"/>
          <w:szCs w:val="20"/>
        </w:rPr>
        <w:t xml:space="preserve"> (</w:t>
      </w:r>
      <w:proofErr w:type="spellStart"/>
      <w:r w:rsidRPr="0023027E">
        <w:rPr>
          <w:rFonts w:cs="Arial"/>
          <w:i/>
          <w:iCs/>
          <w:szCs w:val="20"/>
        </w:rPr>
        <w:t>machine-readable</w:t>
      </w:r>
      <w:proofErr w:type="spellEnd"/>
      <w:r w:rsidRPr="0023027E">
        <w:rPr>
          <w:rFonts w:cs="Arial"/>
          <w:i/>
          <w:iCs/>
          <w:szCs w:val="20"/>
        </w:rPr>
        <w:t xml:space="preserve"> format</w:t>
      </w:r>
      <w:r w:rsidRPr="0023027E">
        <w:rPr>
          <w:rFonts w:cs="Arial"/>
          <w:szCs w:val="20"/>
        </w:rPr>
        <w:t>). T</w:t>
      </w:r>
      <w:r>
        <w:rPr>
          <w:rFonts w:cs="Arial"/>
          <w:szCs w:val="20"/>
        </w:rPr>
        <w:t>ak</w:t>
      </w:r>
      <w:r w:rsidRPr="0023027E">
        <w:rPr>
          <w:rFonts w:cs="Arial"/>
          <w:szCs w:val="20"/>
        </w:rPr>
        <w:t xml:space="preserve">o so podatki digitalno uporabni, kar omogoča </w:t>
      </w:r>
      <w:r>
        <w:rPr>
          <w:rFonts w:cs="Arial"/>
          <w:szCs w:val="20"/>
        </w:rPr>
        <w:t xml:space="preserve">njihovo </w:t>
      </w:r>
      <w:r w:rsidRPr="0023027E">
        <w:rPr>
          <w:rFonts w:cs="Arial"/>
          <w:szCs w:val="20"/>
        </w:rPr>
        <w:t>avtomatizirano obdelavo, analizo in primerjavo. Standardiziran</w:t>
      </w:r>
      <w:r>
        <w:rPr>
          <w:rFonts w:cs="Arial"/>
          <w:szCs w:val="20"/>
        </w:rPr>
        <w:t>i</w:t>
      </w:r>
      <w:r w:rsidRPr="0023027E">
        <w:rPr>
          <w:rFonts w:cs="Arial"/>
          <w:szCs w:val="20"/>
        </w:rPr>
        <w:t xml:space="preserve"> format olajša uporabnikom (na primer vlagatelji, analitiki in regulatorji) dostop do podatkov </w:t>
      </w:r>
      <w:r>
        <w:rPr>
          <w:rFonts w:cs="Arial"/>
          <w:szCs w:val="20"/>
        </w:rPr>
        <w:t>in</w:t>
      </w:r>
      <w:r w:rsidRPr="0023027E">
        <w:rPr>
          <w:rFonts w:cs="Arial"/>
          <w:szCs w:val="20"/>
        </w:rPr>
        <w:t xml:space="preserve"> njihovo uporabo.</w:t>
      </w:r>
    </w:p>
    <w:p w14:paraId="7CC8AA67" w14:textId="77777777" w:rsidR="00D66309" w:rsidRPr="0023027E" w:rsidRDefault="00D66309" w:rsidP="00D66309">
      <w:pPr>
        <w:spacing w:line="276" w:lineRule="auto"/>
        <w:jc w:val="both"/>
        <w:rPr>
          <w:rFonts w:cs="Arial"/>
          <w:szCs w:val="20"/>
        </w:rPr>
      </w:pPr>
    </w:p>
    <w:p w14:paraId="393E3F8F" w14:textId="77777777" w:rsidR="00D66309" w:rsidRPr="0023027E" w:rsidRDefault="00D66309" w:rsidP="00D66309">
      <w:pPr>
        <w:spacing w:after="160" w:line="259" w:lineRule="auto"/>
        <w:jc w:val="both"/>
        <w:rPr>
          <w:rFonts w:cs="Arial"/>
          <w:szCs w:val="20"/>
        </w:rPr>
      </w:pPr>
      <w:r w:rsidRPr="0023027E">
        <w:rPr>
          <w:rFonts w:cs="Arial"/>
          <w:szCs w:val="20"/>
        </w:rPr>
        <w:t>Informacije morajo vsebovati metapodatke, ki zagotavljajo dodatne podatke o nadzorovani osebi in naravi pred</w:t>
      </w:r>
      <w:r>
        <w:rPr>
          <w:rFonts w:cs="Arial"/>
          <w:szCs w:val="20"/>
        </w:rPr>
        <w:t>l</w:t>
      </w:r>
      <w:r w:rsidRPr="0023027E">
        <w:rPr>
          <w:rFonts w:cs="Arial"/>
          <w:szCs w:val="20"/>
        </w:rPr>
        <w:t>o</w:t>
      </w:r>
      <w:r>
        <w:rPr>
          <w:rFonts w:cs="Arial"/>
          <w:szCs w:val="20"/>
        </w:rPr>
        <w:t>že</w:t>
      </w:r>
      <w:r w:rsidRPr="0023027E">
        <w:rPr>
          <w:rFonts w:cs="Arial"/>
          <w:szCs w:val="20"/>
        </w:rPr>
        <w:t>nih podatkov. Ti metapodatki so:</w:t>
      </w:r>
    </w:p>
    <w:p w14:paraId="24191A75" w14:textId="54A674F1" w:rsidR="00D66309" w:rsidRPr="0023027E" w:rsidRDefault="00D66309" w:rsidP="00D66309">
      <w:pPr>
        <w:pStyle w:val="Odstavekseznama"/>
        <w:numPr>
          <w:ilvl w:val="0"/>
          <w:numId w:val="65"/>
        </w:numPr>
        <w:spacing w:after="160" w:line="259" w:lineRule="auto"/>
        <w:jc w:val="both"/>
        <w:rPr>
          <w:rFonts w:cs="Arial"/>
          <w:szCs w:val="20"/>
        </w:rPr>
      </w:pPr>
      <w:r w:rsidRPr="0023027E">
        <w:rPr>
          <w:rFonts w:cs="Arial"/>
          <w:szCs w:val="20"/>
        </w:rPr>
        <w:lastRenderedPageBreak/>
        <w:t>vsa imena izdajatelja, na kater</w:t>
      </w:r>
      <w:r>
        <w:rPr>
          <w:rFonts w:cs="Arial"/>
          <w:szCs w:val="20"/>
        </w:rPr>
        <w:t>ega</w:t>
      </w:r>
      <w:r w:rsidRPr="0023027E">
        <w:rPr>
          <w:rFonts w:cs="Arial"/>
          <w:szCs w:val="20"/>
        </w:rPr>
        <w:t xml:space="preserve"> se informacije nanašajo, kar vključuje uradno ime pravnega subjekta ali druga imena, pod </w:t>
      </w:r>
      <w:r w:rsidRPr="00AC73A5">
        <w:rPr>
          <w:rFonts w:cs="Arial"/>
          <w:szCs w:val="20"/>
        </w:rPr>
        <w:t xml:space="preserve">katerimi ta </w:t>
      </w:r>
      <w:r>
        <w:rPr>
          <w:rFonts w:cs="Arial"/>
          <w:szCs w:val="20"/>
        </w:rPr>
        <w:t>subjekt</w:t>
      </w:r>
      <w:r w:rsidRPr="0023027E">
        <w:rPr>
          <w:rFonts w:cs="Arial"/>
          <w:szCs w:val="20"/>
        </w:rPr>
        <w:t xml:space="preserve"> posluje. Namen je jasna identifikacija subjekta, da se prepreči zmeda pri subjektih z enakimi ali podobnimi imeni;</w:t>
      </w:r>
    </w:p>
    <w:p w14:paraId="7218B53F" w14:textId="77777777" w:rsidR="00D66309" w:rsidRPr="0023027E" w:rsidRDefault="00D66309" w:rsidP="00D66309">
      <w:pPr>
        <w:pStyle w:val="Odstavekseznama"/>
        <w:numPr>
          <w:ilvl w:val="0"/>
          <w:numId w:val="65"/>
        </w:numPr>
        <w:spacing w:after="160" w:line="259" w:lineRule="auto"/>
        <w:jc w:val="both"/>
        <w:rPr>
          <w:rFonts w:cs="Arial"/>
          <w:szCs w:val="20"/>
        </w:rPr>
      </w:pPr>
      <w:r w:rsidRPr="0023027E">
        <w:rPr>
          <w:rFonts w:cs="Arial"/>
          <w:szCs w:val="20"/>
        </w:rPr>
        <w:t>identifikator pravnih subjektov</w:t>
      </w:r>
      <w:r>
        <w:rPr>
          <w:rFonts w:cs="Arial"/>
          <w:szCs w:val="20"/>
        </w:rPr>
        <w:t>,</w:t>
      </w:r>
      <w:r w:rsidRPr="0023027E">
        <w:rPr>
          <w:rFonts w:cs="Arial"/>
          <w:szCs w:val="20"/>
        </w:rPr>
        <w:t xml:space="preserve"> k</w:t>
      </w:r>
      <w:r>
        <w:rPr>
          <w:rFonts w:cs="Arial"/>
          <w:szCs w:val="20"/>
        </w:rPr>
        <w:t>ak</w:t>
      </w:r>
      <w:r w:rsidRPr="0023027E">
        <w:rPr>
          <w:rFonts w:cs="Arial"/>
          <w:szCs w:val="20"/>
        </w:rPr>
        <w:t>o</w:t>
      </w:r>
      <w:r>
        <w:rPr>
          <w:rFonts w:cs="Arial"/>
          <w:szCs w:val="20"/>
        </w:rPr>
        <w:t>r</w:t>
      </w:r>
      <w:r w:rsidRPr="0023027E">
        <w:rPr>
          <w:rFonts w:cs="Arial"/>
          <w:szCs w:val="20"/>
        </w:rPr>
        <w:t xml:space="preserve"> je določeno v točki b) četrtega odstavka 7. člena Uredbe 2023/2859/EU. Identifikator pravnih subjektov je standardizirana koda, ki se bo uporabljal za enolično identifikacijo pravnih oseb in ga natančneje opredeljuje Izvedbena uredba Komisije (EU) 2025/1338 z dne 10. julija 2025 o določitvi izvedbenih tehničnih standardov za uporabo Uredbe (EU) 2023/2859 Evropskega parlamenta in Sveta v zvezi s funkcionalnostmi evropske enotne točke dostopa (UL L št. 2025/1338 z dne 11. 7. 2025</w:t>
      </w:r>
      <w:r>
        <w:rPr>
          <w:rFonts w:cs="Arial"/>
          <w:szCs w:val="20"/>
        </w:rPr>
        <w:t>;</w:t>
      </w:r>
      <w:r w:rsidRPr="0023027E">
        <w:rPr>
          <w:rFonts w:cs="Arial"/>
          <w:szCs w:val="20"/>
        </w:rPr>
        <w:t xml:space="preserve"> v nadaljnjem besedilu: Uredba 2025/1338/EU). Identifikator pravnih subjektov je ključen za izboljšanje preglednosti in sledenja v finančnih sistemih</w:t>
      </w:r>
      <w:r>
        <w:rPr>
          <w:rFonts w:cs="Arial"/>
          <w:szCs w:val="20"/>
        </w:rPr>
        <w:t>. To</w:t>
      </w:r>
      <w:r w:rsidRPr="0023027E">
        <w:rPr>
          <w:rFonts w:cs="Arial"/>
          <w:szCs w:val="20"/>
        </w:rPr>
        <w:t xml:space="preserve"> omogoča regulatorjem in drugim deležnikom, da hitro in natančno identificirajo pravne subjekte, vključen</w:t>
      </w:r>
      <w:r>
        <w:rPr>
          <w:rFonts w:cs="Arial"/>
          <w:szCs w:val="20"/>
        </w:rPr>
        <w:t>e</w:t>
      </w:r>
      <w:r w:rsidRPr="0023027E">
        <w:rPr>
          <w:rFonts w:cs="Arial"/>
          <w:szCs w:val="20"/>
        </w:rPr>
        <w:t xml:space="preserve"> v finančne transakcije, kar zmanjšuje tveganja, povezana z nejasnostjo ali prikrivanjem identitete;</w:t>
      </w:r>
    </w:p>
    <w:p w14:paraId="38EE1B50" w14:textId="77777777" w:rsidR="00D66309" w:rsidRPr="0023027E" w:rsidRDefault="00D66309" w:rsidP="00D66309">
      <w:pPr>
        <w:pStyle w:val="Odstavekseznama"/>
        <w:numPr>
          <w:ilvl w:val="0"/>
          <w:numId w:val="65"/>
        </w:numPr>
        <w:spacing w:after="160" w:line="259" w:lineRule="auto"/>
        <w:jc w:val="both"/>
        <w:rPr>
          <w:rFonts w:cs="Arial"/>
          <w:szCs w:val="20"/>
        </w:rPr>
      </w:pPr>
      <w:r w:rsidRPr="0023027E">
        <w:rPr>
          <w:rFonts w:cs="Arial"/>
          <w:szCs w:val="20"/>
        </w:rPr>
        <w:t xml:space="preserve">velikost </w:t>
      </w:r>
      <w:r w:rsidRPr="0023027E">
        <w:rPr>
          <w:rFonts w:eastAsia="Arial" w:cs="Arial"/>
          <w:szCs w:val="20"/>
        </w:rPr>
        <w:t>izdajatelja</w:t>
      </w:r>
      <w:r w:rsidRPr="0023027E">
        <w:rPr>
          <w:rFonts w:cs="Arial"/>
          <w:szCs w:val="20"/>
        </w:rPr>
        <w:t xml:space="preserve"> po kategorijah v skladu s točko d) četrtega odstavka 7. člena Uredbe 2023/2859/EU. Te kategorije so natančneje opredeljene v Uredbi 2025/1338/EU (na primer mala in srednja podjetja, velika podjetja, </w:t>
      </w:r>
      <w:proofErr w:type="spellStart"/>
      <w:r w:rsidRPr="0023027E">
        <w:rPr>
          <w:rFonts w:cs="Arial"/>
          <w:szCs w:val="20"/>
        </w:rPr>
        <w:t>mikropodjetja</w:t>
      </w:r>
      <w:proofErr w:type="spellEnd"/>
      <w:r w:rsidRPr="0023027E">
        <w:rPr>
          <w:rFonts w:cs="Arial"/>
          <w:szCs w:val="20"/>
        </w:rPr>
        <w:t>). Namen je razvrstitev subjektov glede na njihovo velikost;</w:t>
      </w:r>
    </w:p>
    <w:p w14:paraId="219A956B" w14:textId="77777777" w:rsidR="00D66309" w:rsidRPr="0023027E" w:rsidRDefault="00D66309" w:rsidP="00D66309">
      <w:pPr>
        <w:pStyle w:val="Odstavekseznama"/>
        <w:numPr>
          <w:ilvl w:val="0"/>
          <w:numId w:val="65"/>
        </w:numPr>
        <w:spacing w:after="160" w:line="259" w:lineRule="auto"/>
        <w:jc w:val="both"/>
        <w:rPr>
          <w:rFonts w:cs="Arial"/>
          <w:szCs w:val="20"/>
        </w:rPr>
      </w:pPr>
      <w:r w:rsidRPr="0023027E">
        <w:rPr>
          <w:rFonts w:cs="Arial"/>
          <w:szCs w:val="20"/>
        </w:rPr>
        <w:t xml:space="preserve">vrsta informacij glede na razvrstitev na podlagi točke c) četrtega odstavka 7. člena Uredbe 2023/2859/EU. To pomeni, da morajo biti podatki označeni glede na vrsto ali kategorijo. To </w:t>
      </w:r>
      <w:r>
        <w:rPr>
          <w:rFonts w:cs="Arial"/>
          <w:szCs w:val="20"/>
        </w:rPr>
        <w:t>prejemnikom</w:t>
      </w:r>
      <w:r w:rsidRPr="0023027E">
        <w:rPr>
          <w:rFonts w:cs="Arial"/>
          <w:szCs w:val="20"/>
        </w:rPr>
        <w:t xml:space="preserve"> omogoča lažje razumevanje in obdelavo podatkov. Vrste informacij so natančneje opredeljene v Uredbi 2025/1338/EU;</w:t>
      </w:r>
    </w:p>
    <w:p w14:paraId="4262FD0B" w14:textId="77777777" w:rsidR="00D66309" w:rsidRPr="0023027E" w:rsidRDefault="00D66309" w:rsidP="00D66309">
      <w:pPr>
        <w:pStyle w:val="Odstavekseznama"/>
        <w:numPr>
          <w:ilvl w:val="0"/>
          <w:numId w:val="65"/>
        </w:numPr>
        <w:spacing w:after="160" w:line="259" w:lineRule="auto"/>
        <w:jc w:val="both"/>
        <w:rPr>
          <w:rFonts w:cs="Arial"/>
          <w:szCs w:val="20"/>
        </w:rPr>
      </w:pPr>
      <w:r w:rsidRPr="0023027E">
        <w:rPr>
          <w:rFonts w:cs="Arial"/>
          <w:szCs w:val="20"/>
        </w:rPr>
        <w:t xml:space="preserve">oznaka, ali informacije vsebujejo osebne podatke: </w:t>
      </w:r>
      <w:r>
        <w:rPr>
          <w:rFonts w:cs="Arial"/>
          <w:szCs w:val="20"/>
        </w:rPr>
        <w:t>i</w:t>
      </w:r>
      <w:r w:rsidRPr="0023027E">
        <w:rPr>
          <w:rFonts w:cs="Arial"/>
          <w:szCs w:val="20"/>
        </w:rPr>
        <w:t>nformacije morajo biti označene, če vsebujejo osebne podatke (n</w:t>
      </w:r>
      <w:r>
        <w:rPr>
          <w:rFonts w:cs="Arial"/>
          <w:szCs w:val="20"/>
        </w:rPr>
        <w:t xml:space="preserve">a </w:t>
      </w:r>
      <w:r w:rsidRPr="0023027E">
        <w:rPr>
          <w:rFonts w:cs="Arial"/>
          <w:szCs w:val="20"/>
        </w:rPr>
        <w:t>pr</w:t>
      </w:r>
      <w:r>
        <w:rPr>
          <w:rFonts w:cs="Arial"/>
          <w:szCs w:val="20"/>
        </w:rPr>
        <w:t>imer</w:t>
      </w:r>
      <w:r w:rsidRPr="0023027E">
        <w:rPr>
          <w:rFonts w:cs="Arial"/>
          <w:szCs w:val="20"/>
        </w:rPr>
        <w:t xml:space="preserve"> podatke o posameznikih, kot so imena, naslovi, identifikacijske številke). Ta zahteva je pomembna za skladnost z zakonodajo o varstvu podatkov, saj osebni podatki zahtevajo posebno obravnavo in varstvo.</w:t>
      </w:r>
    </w:p>
    <w:p w14:paraId="6A925A4C" w14:textId="77777777" w:rsidR="00D66309" w:rsidRPr="0023027E" w:rsidRDefault="00D66309" w:rsidP="00D66309">
      <w:pPr>
        <w:spacing w:line="276" w:lineRule="auto"/>
        <w:jc w:val="both"/>
        <w:rPr>
          <w:rFonts w:cs="Arial"/>
          <w:szCs w:val="20"/>
        </w:rPr>
      </w:pPr>
    </w:p>
    <w:p w14:paraId="0B9F0482" w14:textId="77777777" w:rsidR="00D66309" w:rsidRPr="0023027E" w:rsidRDefault="00D66309" w:rsidP="00D66309">
      <w:pPr>
        <w:spacing w:line="276" w:lineRule="auto"/>
        <w:jc w:val="both"/>
        <w:rPr>
          <w:rFonts w:cs="Arial"/>
          <w:szCs w:val="20"/>
        </w:rPr>
      </w:pPr>
      <w:r w:rsidRPr="0023027E">
        <w:rPr>
          <w:rFonts w:cs="Arial"/>
          <w:szCs w:val="20"/>
        </w:rPr>
        <w:t>Metapodatki so ključni za organiz</w:t>
      </w:r>
      <w:r>
        <w:rPr>
          <w:rFonts w:cs="Arial"/>
          <w:szCs w:val="20"/>
        </w:rPr>
        <w:t>iranje</w:t>
      </w:r>
      <w:r w:rsidRPr="0023027E">
        <w:rPr>
          <w:rFonts w:cs="Arial"/>
          <w:szCs w:val="20"/>
        </w:rPr>
        <w:t xml:space="preserve"> in kategoriz</w:t>
      </w:r>
      <w:r>
        <w:rPr>
          <w:rFonts w:cs="Arial"/>
          <w:szCs w:val="20"/>
        </w:rPr>
        <w:t>iranje</w:t>
      </w:r>
      <w:r w:rsidRPr="0023027E">
        <w:rPr>
          <w:rFonts w:cs="Arial"/>
          <w:szCs w:val="20"/>
        </w:rPr>
        <w:t xml:space="preserve"> informacij na ESAP. Z njimi se podatki označijo z dodatnimi informacijami, kar omogoča lažje iskanje in filtriranje. Metapodatki zagotavljajo, da so informacije strukturirane in dostopne na način, prilagojen potrebam uporabnikov, ter povečujejo preglednost in učinkovitost ESAP. Pri tem je pomembno tudi načelo </w:t>
      </w:r>
      <w:r>
        <w:rPr>
          <w:rFonts w:cs="Arial"/>
          <w:szCs w:val="20"/>
        </w:rPr>
        <w:t>»</w:t>
      </w:r>
      <w:r w:rsidRPr="0023027E">
        <w:rPr>
          <w:rFonts w:cs="Arial"/>
          <w:szCs w:val="20"/>
        </w:rPr>
        <w:t>enkratnega vnosa</w:t>
      </w:r>
      <w:r>
        <w:rPr>
          <w:rFonts w:cs="Arial"/>
          <w:szCs w:val="20"/>
        </w:rPr>
        <w:t>«</w:t>
      </w:r>
      <w:r w:rsidRPr="0023027E">
        <w:rPr>
          <w:rFonts w:cs="Arial"/>
          <w:szCs w:val="20"/>
        </w:rPr>
        <w:t xml:space="preserve"> (</w:t>
      </w:r>
      <w:r w:rsidRPr="0023027E">
        <w:rPr>
          <w:rFonts w:cs="Arial"/>
          <w:i/>
          <w:iCs/>
          <w:szCs w:val="20"/>
        </w:rPr>
        <w:t xml:space="preserve">file </w:t>
      </w:r>
      <w:proofErr w:type="spellStart"/>
      <w:r w:rsidRPr="0023027E">
        <w:rPr>
          <w:rFonts w:cs="Arial"/>
          <w:i/>
          <w:iCs/>
          <w:szCs w:val="20"/>
        </w:rPr>
        <w:t>once</w:t>
      </w:r>
      <w:proofErr w:type="spellEnd"/>
      <w:r w:rsidRPr="0023027E">
        <w:rPr>
          <w:rFonts w:cs="Arial"/>
          <w:i/>
          <w:iCs/>
          <w:szCs w:val="20"/>
        </w:rPr>
        <w:t xml:space="preserve"> </w:t>
      </w:r>
      <w:proofErr w:type="spellStart"/>
      <w:r w:rsidRPr="0023027E">
        <w:rPr>
          <w:rFonts w:cs="Arial"/>
          <w:i/>
          <w:iCs/>
          <w:szCs w:val="20"/>
        </w:rPr>
        <w:t>principle</w:t>
      </w:r>
      <w:proofErr w:type="spellEnd"/>
      <w:r w:rsidRPr="0023027E">
        <w:rPr>
          <w:rFonts w:cs="Arial"/>
          <w:szCs w:val="20"/>
        </w:rPr>
        <w:t xml:space="preserve">), kar pomeni, da subjekti podatke, ki jih že objavljajo v skladu z </w:t>
      </w:r>
      <w:r>
        <w:rPr>
          <w:rFonts w:cs="Arial"/>
          <w:szCs w:val="20"/>
        </w:rPr>
        <w:t>veljavno</w:t>
      </w:r>
      <w:r w:rsidRPr="0023027E">
        <w:rPr>
          <w:rFonts w:cs="Arial"/>
          <w:szCs w:val="20"/>
        </w:rPr>
        <w:t xml:space="preserve"> zakonodajo, predložijo v standardiziranem formatu brez dodatnih obveznosti. Zahteve po </w:t>
      </w:r>
      <w:r>
        <w:rPr>
          <w:rFonts w:cs="Arial"/>
          <w:szCs w:val="20"/>
        </w:rPr>
        <w:t>izvozu</w:t>
      </w:r>
      <w:r w:rsidRPr="0023027E">
        <w:rPr>
          <w:rFonts w:cs="Arial"/>
          <w:szCs w:val="20"/>
        </w:rPr>
        <w:t xml:space="preserve"> podatkov in metapodatkih zagotavljajo, da se ti podatki učinkovito </w:t>
      </w:r>
      <w:r>
        <w:rPr>
          <w:rFonts w:cs="Arial"/>
          <w:szCs w:val="20"/>
        </w:rPr>
        <w:t>vključijo</w:t>
      </w:r>
      <w:r w:rsidRPr="0023027E">
        <w:rPr>
          <w:rFonts w:cs="Arial"/>
          <w:szCs w:val="20"/>
        </w:rPr>
        <w:t xml:space="preserve"> v centralizirano platformo ESAP, kar zmanjšuje administrativno breme in povečuje dostopnost.</w:t>
      </w:r>
    </w:p>
    <w:p w14:paraId="6E7C9C1B" w14:textId="77777777" w:rsidR="00D66309" w:rsidRPr="0023027E" w:rsidRDefault="00D66309" w:rsidP="00D66309">
      <w:pPr>
        <w:spacing w:line="276" w:lineRule="auto"/>
        <w:jc w:val="both"/>
        <w:rPr>
          <w:rFonts w:cs="Arial"/>
          <w:szCs w:val="20"/>
        </w:rPr>
      </w:pPr>
    </w:p>
    <w:p w14:paraId="3D7DB072" w14:textId="77777777" w:rsidR="00D66309" w:rsidRPr="0023027E" w:rsidRDefault="00D66309" w:rsidP="00D66309">
      <w:pPr>
        <w:spacing w:line="276" w:lineRule="auto"/>
        <w:jc w:val="both"/>
        <w:rPr>
          <w:rFonts w:cs="Arial"/>
          <w:szCs w:val="20"/>
        </w:rPr>
      </w:pPr>
      <w:r w:rsidRPr="0023027E">
        <w:rPr>
          <w:rFonts w:cs="Arial"/>
          <w:szCs w:val="20"/>
        </w:rPr>
        <w:t xml:space="preserve">Uporaba metapodatkov in standardiziranih formatov omogoča tehnično </w:t>
      </w:r>
      <w:proofErr w:type="spellStart"/>
      <w:r w:rsidRPr="0023027E">
        <w:rPr>
          <w:rFonts w:cs="Arial"/>
          <w:szCs w:val="20"/>
        </w:rPr>
        <w:t>interoperabilnost</w:t>
      </w:r>
      <w:proofErr w:type="spellEnd"/>
      <w:r w:rsidRPr="0023027E">
        <w:rPr>
          <w:rFonts w:cs="Arial"/>
          <w:szCs w:val="20"/>
        </w:rPr>
        <w:t xml:space="preserve"> med različnimi sistemi zbiranja podatkov na nacionalni ravni in ESAP, ki ga upravlja ESMA. To omogoča nemoten prenos podatkov, kar povečuje učinkovitost in zmanjšuje stroške.</w:t>
      </w:r>
    </w:p>
    <w:p w14:paraId="19E6C9FA" w14:textId="77777777" w:rsidR="00D66309" w:rsidRPr="0023027E" w:rsidRDefault="00D66309" w:rsidP="00D66309">
      <w:pPr>
        <w:spacing w:line="276" w:lineRule="auto"/>
        <w:jc w:val="both"/>
        <w:rPr>
          <w:rFonts w:cs="Arial"/>
          <w:szCs w:val="20"/>
        </w:rPr>
      </w:pPr>
    </w:p>
    <w:p w14:paraId="45DF3703" w14:textId="77777777" w:rsidR="00D66309" w:rsidRPr="0023027E" w:rsidRDefault="00D66309" w:rsidP="00D66309">
      <w:pPr>
        <w:spacing w:line="276" w:lineRule="auto"/>
        <w:jc w:val="both"/>
        <w:rPr>
          <w:rFonts w:cs="Arial"/>
          <w:szCs w:val="20"/>
        </w:rPr>
      </w:pPr>
      <w:r w:rsidRPr="0023027E">
        <w:rPr>
          <w:rFonts w:cs="Arial"/>
          <w:szCs w:val="20"/>
        </w:rPr>
        <w:t xml:space="preserve">Določa se tudi, da </w:t>
      </w:r>
      <w:r w:rsidRPr="0023027E">
        <w:rPr>
          <w:rFonts w:cs="Arial"/>
          <w:color w:val="000000" w:themeColor="text1"/>
          <w:szCs w:val="20"/>
        </w:rPr>
        <w:t>izdajatelj pridobi</w:t>
      </w:r>
      <w:r w:rsidRPr="0023027E">
        <w:rPr>
          <w:rFonts w:cs="Arial"/>
          <w:szCs w:val="20"/>
        </w:rPr>
        <w:t xml:space="preserve"> identifikator pravnih subjektov, k</w:t>
      </w:r>
      <w:r>
        <w:rPr>
          <w:rFonts w:cs="Arial"/>
          <w:szCs w:val="20"/>
        </w:rPr>
        <w:t>ak</w:t>
      </w:r>
      <w:r w:rsidRPr="0023027E">
        <w:rPr>
          <w:rFonts w:cs="Arial"/>
          <w:szCs w:val="20"/>
        </w:rPr>
        <w:t>o</w:t>
      </w:r>
      <w:r>
        <w:rPr>
          <w:rFonts w:cs="Arial"/>
          <w:szCs w:val="20"/>
        </w:rPr>
        <w:t>r</w:t>
      </w:r>
      <w:r w:rsidRPr="0023027E">
        <w:rPr>
          <w:rFonts w:cs="Arial"/>
          <w:szCs w:val="20"/>
        </w:rPr>
        <w:t xml:space="preserve"> je določen v Uredbi 2023/2859/EU, če tega identifikatorja še nima.</w:t>
      </w:r>
    </w:p>
    <w:p w14:paraId="402C0D8D" w14:textId="77777777" w:rsidR="00FE0F83" w:rsidRPr="0023027E" w:rsidRDefault="00FE0F83" w:rsidP="00C64B3F">
      <w:pPr>
        <w:spacing w:line="240" w:lineRule="auto"/>
        <w:jc w:val="both"/>
        <w:rPr>
          <w:rFonts w:cs="Arial"/>
          <w:szCs w:val="20"/>
        </w:rPr>
      </w:pPr>
    </w:p>
    <w:p w14:paraId="7510B1A9" w14:textId="728B5DF5" w:rsidR="00FE0F83" w:rsidRPr="0023027E" w:rsidRDefault="00FE0F83" w:rsidP="00FE0F83">
      <w:pPr>
        <w:spacing w:line="276" w:lineRule="auto"/>
        <w:jc w:val="both"/>
        <w:rPr>
          <w:rFonts w:cs="Arial"/>
          <w:b/>
          <w:bCs/>
          <w:szCs w:val="20"/>
        </w:rPr>
      </w:pPr>
      <w:r w:rsidRPr="0023027E">
        <w:rPr>
          <w:rFonts w:cs="Arial"/>
          <w:b/>
          <w:bCs/>
          <w:szCs w:val="20"/>
        </w:rPr>
        <w:t xml:space="preserve">K </w:t>
      </w:r>
      <w:r w:rsidR="00294FB5">
        <w:rPr>
          <w:rFonts w:cs="Arial"/>
          <w:b/>
          <w:bCs/>
          <w:szCs w:val="20"/>
        </w:rPr>
        <w:t>30</w:t>
      </w:r>
      <w:r w:rsidR="00515F83" w:rsidRPr="0023027E">
        <w:rPr>
          <w:rFonts w:cs="Arial"/>
          <w:b/>
          <w:bCs/>
          <w:szCs w:val="20"/>
        </w:rPr>
        <w:t xml:space="preserve">. </w:t>
      </w:r>
      <w:r w:rsidRPr="0023027E">
        <w:rPr>
          <w:rFonts w:cs="Arial"/>
          <w:b/>
          <w:bCs/>
          <w:szCs w:val="20"/>
        </w:rPr>
        <w:t>členu</w:t>
      </w:r>
    </w:p>
    <w:p w14:paraId="722E05EB" w14:textId="729E1C39" w:rsidR="00D66309" w:rsidRPr="0023027E" w:rsidRDefault="00D66309" w:rsidP="00D66309">
      <w:pPr>
        <w:jc w:val="both"/>
        <w:rPr>
          <w:rFonts w:cs="Arial"/>
          <w:szCs w:val="20"/>
        </w:rPr>
      </w:pPr>
      <w:r w:rsidRPr="0023027E">
        <w:rPr>
          <w:rFonts w:cs="Arial"/>
          <w:szCs w:val="20"/>
        </w:rPr>
        <w:t>S tem členom se 42. člen ZHKO-2 dopolnjuje z novim petim odstavkom, ki določa obveznost Banke Slovenije glede predložitve informacij ESAP. Namen tega odstavka je zagotoviti, da Banka Slovenije podatke, ki jih zbira v okviru svojih pristojnosti, pred</w:t>
      </w:r>
      <w:r>
        <w:rPr>
          <w:rFonts w:cs="Arial"/>
          <w:szCs w:val="20"/>
        </w:rPr>
        <w:t>loži</w:t>
      </w:r>
      <w:r w:rsidRPr="0023027E">
        <w:rPr>
          <w:rFonts w:cs="Arial"/>
          <w:szCs w:val="20"/>
        </w:rPr>
        <w:t xml:space="preserve"> v standardiziranem formatu, primernem za vključitev v ESAP. Podrobneje o standardiziranem formatu v obrazložitvi k </w:t>
      </w:r>
      <w:r w:rsidR="00B403C3" w:rsidRPr="00B403C3">
        <w:rPr>
          <w:rFonts w:cs="Arial"/>
          <w:szCs w:val="20"/>
        </w:rPr>
        <w:t>33</w:t>
      </w:r>
      <w:r w:rsidRPr="0023027E">
        <w:rPr>
          <w:rFonts w:cs="Arial"/>
          <w:szCs w:val="20"/>
        </w:rPr>
        <w:t xml:space="preserve">. členu predloga zakona. </w:t>
      </w:r>
    </w:p>
    <w:p w14:paraId="74048115" w14:textId="77777777" w:rsidR="00E56384" w:rsidRPr="0023027E" w:rsidRDefault="00E56384" w:rsidP="00034E1A">
      <w:pPr>
        <w:spacing w:line="276" w:lineRule="auto"/>
        <w:jc w:val="both"/>
        <w:rPr>
          <w:rFonts w:cs="Arial"/>
          <w:szCs w:val="20"/>
        </w:rPr>
      </w:pPr>
    </w:p>
    <w:p w14:paraId="6BD8F92A" w14:textId="40228DFA" w:rsidR="00814AD5" w:rsidRPr="0023027E" w:rsidRDefault="00814AD5" w:rsidP="00814AD5">
      <w:pPr>
        <w:spacing w:line="276" w:lineRule="auto"/>
        <w:jc w:val="both"/>
        <w:rPr>
          <w:rFonts w:cs="Arial"/>
          <w:b/>
          <w:bCs/>
          <w:szCs w:val="20"/>
        </w:rPr>
      </w:pPr>
      <w:r w:rsidRPr="0023027E">
        <w:rPr>
          <w:rFonts w:cs="Arial"/>
          <w:b/>
          <w:bCs/>
          <w:szCs w:val="20"/>
        </w:rPr>
        <w:t xml:space="preserve">K </w:t>
      </w:r>
      <w:r w:rsidR="00294FB5">
        <w:rPr>
          <w:rFonts w:cs="Arial"/>
          <w:b/>
          <w:bCs/>
          <w:szCs w:val="20"/>
        </w:rPr>
        <w:t>31</w:t>
      </w:r>
      <w:r w:rsidR="00515F83" w:rsidRPr="0023027E">
        <w:rPr>
          <w:rFonts w:cs="Arial"/>
          <w:b/>
          <w:bCs/>
          <w:szCs w:val="20"/>
        </w:rPr>
        <w:t xml:space="preserve">. </w:t>
      </w:r>
      <w:r w:rsidRPr="0023027E">
        <w:rPr>
          <w:rFonts w:cs="Arial"/>
          <w:b/>
          <w:bCs/>
          <w:szCs w:val="20"/>
        </w:rPr>
        <w:t>členu</w:t>
      </w:r>
    </w:p>
    <w:p w14:paraId="295DCB94" w14:textId="0AD9471A" w:rsidR="00D66309" w:rsidRPr="0023027E" w:rsidRDefault="00D66309" w:rsidP="00D66309">
      <w:pPr>
        <w:jc w:val="both"/>
        <w:rPr>
          <w:rFonts w:cs="Arial"/>
          <w:szCs w:val="20"/>
        </w:rPr>
      </w:pPr>
      <w:r w:rsidRPr="0023027E">
        <w:rPr>
          <w:rFonts w:cs="Arial"/>
          <w:szCs w:val="20"/>
        </w:rPr>
        <w:lastRenderedPageBreak/>
        <w:t xml:space="preserve">S tem členom se 43. člen ZHKO-2 dopolnjuje z novim tretjim odstavkom, ki določa obveznost Banke Slovenije glede predložitve informacij ESAP. Namen tega odstavka je zagotoviti, da Banka Slovenije podatke, ki jih zbira v okviru svojih pristojnosti, </w:t>
      </w:r>
      <w:r>
        <w:rPr>
          <w:rFonts w:cs="Arial"/>
          <w:szCs w:val="20"/>
        </w:rPr>
        <w:t xml:space="preserve">predloži </w:t>
      </w:r>
      <w:r w:rsidRPr="0023027E">
        <w:rPr>
          <w:rFonts w:cs="Arial"/>
          <w:szCs w:val="20"/>
        </w:rPr>
        <w:t xml:space="preserve">v standardiziranem formatu, primernem za vključitev v ESAP. Podrobneje o standardiziranem formatu v obrazložitvi k </w:t>
      </w:r>
      <w:r w:rsidR="00B403C3" w:rsidRPr="00B403C3">
        <w:rPr>
          <w:rFonts w:cs="Arial"/>
          <w:szCs w:val="20"/>
        </w:rPr>
        <w:t>33</w:t>
      </w:r>
      <w:r w:rsidRPr="0023027E">
        <w:rPr>
          <w:rFonts w:cs="Arial"/>
          <w:szCs w:val="20"/>
        </w:rPr>
        <w:t xml:space="preserve">. členu predloga zakona. </w:t>
      </w:r>
    </w:p>
    <w:p w14:paraId="6EC46B08" w14:textId="77777777" w:rsidR="00FE0F83" w:rsidRPr="0023027E" w:rsidRDefault="00FE0F83" w:rsidP="00C64B3F">
      <w:pPr>
        <w:spacing w:line="240" w:lineRule="auto"/>
        <w:jc w:val="both"/>
        <w:rPr>
          <w:rFonts w:cs="Arial"/>
          <w:szCs w:val="20"/>
        </w:rPr>
      </w:pPr>
    </w:p>
    <w:p w14:paraId="004AFB56" w14:textId="26663907" w:rsidR="00FE0F83" w:rsidRPr="0023027E" w:rsidRDefault="00FE0F83" w:rsidP="00FE0F83">
      <w:pPr>
        <w:spacing w:line="276" w:lineRule="auto"/>
        <w:jc w:val="both"/>
        <w:rPr>
          <w:rFonts w:cs="Arial"/>
          <w:b/>
          <w:bCs/>
          <w:szCs w:val="20"/>
        </w:rPr>
      </w:pPr>
      <w:r w:rsidRPr="0023027E">
        <w:rPr>
          <w:rFonts w:cs="Arial"/>
          <w:b/>
          <w:bCs/>
          <w:szCs w:val="20"/>
        </w:rPr>
        <w:t xml:space="preserve">K </w:t>
      </w:r>
      <w:r w:rsidR="00294FB5">
        <w:rPr>
          <w:rFonts w:cs="Arial"/>
          <w:b/>
          <w:bCs/>
          <w:szCs w:val="20"/>
        </w:rPr>
        <w:t>32</w:t>
      </w:r>
      <w:r w:rsidR="00011D1D" w:rsidRPr="0023027E">
        <w:rPr>
          <w:rFonts w:cs="Arial"/>
          <w:b/>
          <w:bCs/>
          <w:szCs w:val="20"/>
        </w:rPr>
        <w:t xml:space="preserve">. </w:t>
      </w:r>
      <w:r w:rsidRPr="0023027E">
        <w:rPr>
          <w:rFonts w:cs="Arial"/>
          <w:b/>
          <w:bCs/>
          <w:szCs w:val="20"/>
        </w:rPr>
        <w:t>členu</w:t>
      </w:r>
    </w:p>
    <w:p w14:paraId="67EFBF1A" w14:textId="77777777" w:rsidR="00D66309" w:rsidRPr="0023027E" w:rsidRDefault="00D66309" w:rsidP="00D66309">
      <w:pPr>
        <w:spacing w:line="276" w:lineRule="auto"/>
        <w:jc w:val="both"/>
        <w:rPr>
          <w:rFonts w:cs="Arial"/>
          <w:szCs w:val="20"/>
        </w:rPr>
      </w:pPr>
      <w:r w:rsidRPr="0023027E">
        <w:rPr>
          <w:rFonts w:cs="Arial"/>
          <w:szCs w:val="20"/>
        </w:rPr>
        <w:t>S tem členom se predlaga dopolnitev prvega odstavka 49. člena ZHKO-2</w:t>
      </w:r>
      <w:r>
        <w:rPr>
          <w:rFonts w:cs="Arial"/>
          <w:szCs w:val="20"/>
        </w:rPr>
        <w:t xml:space="preserve"> tako</w:t>
      </w:r>
      <w:r w:rsidRPr="0023027E">
        <w:rPr>
          <w:rFonts w:cs="Arial"/>
          <w:szCs w:val="20"/>
        </w:rPr>
        <w:t>, da se določijo sankcije za kršitev obveznosti predložitve informacij ali če te informacije niso predložene v zahtevani obliki ali če subjekt ne pridobi identifikatorja pravnih subjektov.</w:t>
      </w:r>
    </w:p>
    <w:p w14:paraId="738327D4" w14:textId="77777777" w:rsidR="00D66309" w:rsidRPr="0023027E" w:rsidRDefault="00D66309" w:rsidP="00D66309">
      <w:pPr>
        <w:spacing w:line="276" w:lineRule="auto"/>
        <w:jc w:val="both"/>
        <w:rPr>
          <w:rFonts w:cs="Arial"/>
          <w:szCs w:val="20"/>
        </w:rPr>
      </w:pPr>
    </w:p>
    <w:p w14:paraId="099BD2A0" w14:textId="458BF490" w:rsidR="00D66309" w:rsidRPr="0023027E" w:rsidRDefault="00D66309" w:rsidP="00D66309">
      <w:pPr>
        <w:spacing w:line="276" w:lineRule="auto"/>
        <w:jc w:val="both"/>
        <w:rPr>
          <w:rFonts w:cs="Arial"/>
          <w:szCs w:val="20"/>
        </w:rPr>
      </w:pPr>
      <w:r w:rsidRPr="0023027E">
        <w:rPr>
          <w:rFonts w:cs="Arial"/>
          <w:szCs w:val="20"/>
        </w:rPr>
        <w:t xml:space="preserve">Podrobneje v obrazložitvi k </w:t>
      </w:r>
      <w:r w:rsidR="00B403C3">
        <w:t>6</w:t>
      </w:r>
      <w:r w:rsidRPr="0023027E">
        <w:rPr>
          <w:rFonts w:cs="Arial"/>
          <w:szCs w:val="20"/>
        </w:rPr>
        <w:t>. členu predloga zakona.</w:t>
      </w:r>
    </w:p>
    <w:p w14:paraId="29DBD2C2" w14:textId="77777777" w:rsidR="00E77635" w:rsidRPr="0023027E" w:rsidRDefault="00E77635" w:rsidP="00011D1D">
      <w:pPr>
        <w:spacing w:line="276" w:lineRule="auto"/>
        <w:jc w:val="both"/>
        <w:rPr>
          <w:rFonts w:cs="Arial"/>
          <w:szCs w:val="20"/>
        </w:rPr>
      </w:pPr>
    </w:p>
    <w:p w14:paraId="713117BE" w14:textId="234B542D" w:rsidR="00E77635" w:rsidRPr="0023027E" w:rsidRDefault="00E77635" w:rsidP="00E77635">
      <w:pPr>
        <w:spacing w:line="276" w:lineRule="auto"/>
        <w:jc w:val="both"/>
        <w:rPr>
          <w:rFonts w:cs="Arial"/>
          <w:b/>
          <w:bCs/>
          <w:szCs w:val="20"/>
        </w:rPr>
      </w:pPr>
      <w:r w:rsidRPr="0023027E">
        <w:rPr>
          <w:rFonts w:cs="Arial"/>
          <w:b/>
          <w:bCs/>
          <w:szCs w:val="20"/>
        </w:rPr>
        <w:t xml:space="preserve">K </w:t>
      </w:r>
      <w:r w:rsidR="00294FB5">
        <w:rPr>
          <w:rFonts w:cs="Arial"/>
          <w:b/>
          <w:bCs/>
          <w:szCs w:val="20"/>
        </w:rPr>
        <w:t>33</w:t>
      </w:r>
      <w:r w:rsidRPr="0023027E">
        <w:rPr>
          <w:rFonts w:cs="Arial"/>
          <w:b/>
          <w:bCs/>
          <w:szCs w:val="20"/>
        </w:rPr>
        <w:t>. členu</w:t>
      </w:r>
    </w:p>
    <w:p w14:paraId="7D071B91" w14:textId="77777777" w:rsidR="00D66309" w:rsidRPr="0023027E" w:rsidRDefault="00D66309" w:rsidP="00D66309">
      <w:pPr>
        <w:spacing w:line="276" w:lineRule="auto"/>
        <w:jc w:val="both"/>
        <w:rPr>
          <w:rFonts w:cs="Arial"/>
          <w:szCs w:val="20"/>
        </w:rPr>
      </w:pPr>
      <w:r w:rsidRPr="0023027E">
        <w:rPr>
          <w:rFonts w:cs="Arial"/>
          <w:szCs w:val="20"/>
        </w:rPr>
        <w:t xml:space="preserve">Predlaga se sprememba 1. člena Zakona o izvajanju Uredbe (EU) o dokumentih s ključnimi informacijami o paketnih naložbenih produktih za male vlagatelje in zavarovalnih naložbenih produktih (Uradni list RS, št. 30/18; v nadaljnjem besedilu: ZIUDPNP), ki navaja akt EU, katerega izvajanje se ureja s tem zakonom. Predlaga se dopolnitev navedbe uredbe. </w:t>
      </w:r>
    </w:p>
    <w:p w14:paraId="14B98A7B" w14:textId="77777777" w:rsidR="00D66309" w:rsidRPr="0023027E" w:rsidRDefault="00D66309" w:rsidP="00D66309">
      <w:pPr>
        <w:spacing w:line="276" w:lineRule="auto"/>
        <w:jc w:val="both"/>
        <w:rPr>
          <w:rFonts w:cs="Arial"/>
          <w:szCs w:val="20"/>
        </w:rPr>
      </w:pPr>
    </w:p>
    <w:p w14:paraId="2D024D74" w14:textId="77777777" w:rsidR="00D66309" w:rsidRPr="0023027E" w:rsidRDefault="00D66309" w:rsidP="00D66309">
      <w:pPr>
        <w:spacing w:line="276" w:lineRule="auto"/>
        <w:jc w:val="both"/>
        <w:rPr>
          <w:rFonts w:cs="Arial"/>
          <w:szCs w:val="20"/>
        </w:rPr>
      </w:pPr>
      <w:r w:rsidRPr="0023027E">
        <w:rPr>
          <w:rFonts w:cs="Arial"/>
          <w:szCs w:val="20"/>
        </w:rPr>
        <w:t xml:space="preserve">Sprememba je potrebna, da se zagotovi skladnost </w:t>
      </w:r>
      <w:r>
        <w:rPr>
          <w:rFonts w:cs="Arial"/>
          <w:szCs w:val="20"/>
        </w:rPr>
        <w:t>s spremenjenimi</w:t>
      </w:r>
      <w:r w:rsidRPr="0023027E">
        <w:rPr>
          <w:rFonts w:cs="Arial"/>
          <w:szCs w:val="20"/>
        </w:rPr>
        <w:t xml:space="preserve"> pravnimi akti EU, s čimer se ohranjata pravna pravilnost in </w:t>
      </w:r>
      <w:r w:rsidRPr="00AC73A5">
        <w:rPr>
          <w:rFonts w:cs="Arial"/>
          <w:szCs w:val="20"/>
        </w:rPr>
        <w:t>usklajenost dom</w:t>
      </w:r>
      <w:r w:rsidRPr="0052326B">
        <w:rPr>
          <w:rFonts w:cs="Arial"/>
          <w:szCs w:val="20"/>
        </w:rPr>
        <w:t>ač</w:t>
      </w:r>
      <w:r w:rsidRPr="00861292">
        <w:rPr>
          <w:rFonts w:cs="Arial"/>
          <w:szCs w:val="20"/>
        </w:rPr>
        <w:t xml:space="preserve">e zakonodaje s </w:t>
      </w:r>
      <w:r w:rsidRPr="00224FEF">
        <w:rPr>
          <w:rFonts w:cs="Arial"/>
          <w:szCs w:val="20"/>
        </w:rPr>
        <w:t>predpisi EU</w:t>
      </w:r>
      <w:r w:rsidRPr="0023027E">
        <w:rPr>
          <w:rFonts w:cs="Arial"/>
          <w:szCs w:val="20"/>
        </w:rPr>
        <w:t>. Namen uskladitve je zagotoviti jasnost, natančnost in doslednost pri sklicevanju na akte EU ter preprečiti morebitne neskladnosti pri izvajanju predpisa.</w:t>
      </w:r>
    </w:p>
    <w:p w14:paraId="2D31D30F" w14:textId="77777777" w:rsidR="00E77635" w:rsidRPr="0023027E" w:rsidRDefault="00E77635" w:rsidP="00011D1D">
      <w:pPr>
        <w:spacing w:line="276" w:lineRule="auto"/>
        <w:jc w:val="both"/>
        <w:rPr>
          <w:rFonts w:cs="Arial"/>
          <w:szCs w:val="20"/>
        </w:rPr>
      </w:pPr>
    </w:p>
    <w:p w14:paraId="6B7AB891" w14:textId="5667F243" w:rsidR="00FE0F83" w:rsidRPr="0023027E" w:rsidRDefault="00FE0F83" w:rsidP="00FE0F83">
      <w:pPr>
        <w:spacing w:line="276" w:lineRule="auto"/>
        <w:jc w:val="both"/>
        <w:rPr>
          <w:rFonts w:cs="Arial"/>
          <w:b/>
          <w:bCs/>
          <w:szCs w:val="20"/>
        </w:rPr>
      </w:pPr>
      <w:r w:rsidRPr="0023027E">
        <w:rPr>
          <w:rFonts w:cs="Arial"/>
          <w:b/>
          <w:bCs/>
          <w:szCs w:val="20"/>
        </w:rPr>
        <w:t xml:space="preserve">K </w:t>
      </w:r>
      <w:r w:rsidR="00294FB5">
        <w:rPr>
          <w:rFonts w:cs="Arial"/>
          <w:b/>
          <w:bCs/>
          <w:szCs w:val="20"/>
        </w:rPr>
        <w:t>34</w:t>
      </w:r>
      <w:r w:rsidR="00272F60" w:rsidRPr="0023027E">
        <w:rPr>
          <w:rFonts w:cs="Arial"/>
          <w:b/>
          <w:bCs/>
          <w:szCs w:val="20"/>
        </w:rPr>
        <w:t xml:space="preserve">. </w:t>
      </w:r>
      <w:r w:rsidRPr="0023027E">
        <w:rPr>
          <w:rFonts w:cs="Arial"/>
          <w:b/>
          <w:bCs/>
          <w:szCs w:val="20"/>
        </w:rPr>
        <w:t>členu</w:t>
      </w:r>
    </w:p>
    <w:p w14:paraId="428519A8" w14:textId="77777777" w:rsidR="00D66309" w:rsidRDefault="00D66309" w:rsidP="00D66309">
      <w:pPr>
        <w:jc w:val="both"/>
        <w:rPr>
          <w:rFonts w:cs="Arial"/>
          <w:szCs w:val="20"/>
        </w:rPr>
      </w:pPr>
      <w:r w:rsidRPr="0023027E">
        <w:rPr>
          <w:rFonts w:cs="Arial"/>
          <w:szCs w:val="20"/>
        </w:rPr>
        <w:t>S tem členom se dodaja nov</w:t>
      </w:r>
      <w:r>
        <w:rPr>
          <w:rFonts w:cs="Arial"/>
          <w:szCs w:val="20"/>
        </w:rPr>
        <w:t>i</w:t>
      </w:r>
      <w:r w:rsidRPr="0023027E">
        <w:rPr>
          <w:rFonts w:cs="Arial"/>
          <w:szCs w:val="20"/>
        </w:rPr>
        <w:t xml:space="preserve"> </w:t>
      </w:r>
      <w:r>
        <w:rPr>
          <w:rFonts w:cs="Arial"/>
          <w:szCs w:val="20"/>
        </w:rPr>
        <w:t>2.a</w:t>
      </w:r>
      <w:r w:rsidRPr="0023027E">
        <w:rPr>
          <w:rFonts w:cs="Arial"/>
          <w:szCs w:val="20"/>
        </w:rPr>
        <w:t xml:space="preserve"> člen ZIUDPNP, ki ureja izvajanje 15. člena Uredbe 2023/2869/EU. Z novim </w:t>
      </w:r>
      <w:r>
        <w:rPr>
          <w:rFonts w:cs="Arial"/>
          <w:szCs w:val="20"/>
        </w:rPr>
        <w:t>2.a</w:t>
      </w:r>
      <w:r w:rsidRPr="0023027E">
        <w:rPr>
          <w:rFonts w:cs="Arial"/>
          <w:szCs w:val="20"/>
        </w:rPr>
        <w:t xml:space="preserve"> člen</w:t>
      </w:r>
      <w:r>
        <w:rPr>
          <w:rFonts w:cs="Arial"/>
          <w:szCs w:val="20"/>
        </w:rPr>
        <w:t>om</w:t>
      </w:r>
      <w:r w:rsidRPr="0023027E">
        <w:rPr>
          <w:rFonts w:cs="Arial"/>
          <w:szCs w:val="20"/>
        </w:rPr>
        <w:t xml:space="preserve"> ZIUDPNP se določa pristojni organ (Banka Slovenije, ATVP in AZN) v zvezi z zbiranjem in </w:t>
      </w:r>
      <w:r>
        <w:rPr>
          <w:rFonts w:cs="Arial"/>
          <w:szCs w:val="20"/>
        </w:rPr>
        <w:t>pošiljanjem</w:t>
      </w:r>
      <w:r w:rsidRPr="0023027E">
        <w:rPr>
          <w:rFonts w:cs="Arial"/>
          <w:szCs w:val="20"/>
        </w:rPr>
        <w:t xml:space="preserve"> informacij ESAP.</w:t>
      </w:r>
    </w:p>
    <w:p w14:paraId="07360F83" w14:textId="77777777" w:rsidR="00D66309" w:rsidRDefault="00D66309" w:rsidP="00D66309">
      <w:pPr>
        <w:spacing w:line="276" w:lineRule="auto"/>
        <w:jc w:val="both"/>
        <w:rPr>
          <w:rFonts w:cs="Arial"/>
          <w:szCs w:val="20"/>
        </w:rPr>
      </w:pPr>
    </w:p>
    <w:p w14:paraId="3FFDC106" w14:textId="77777777" w:rsidR="00D66309" w:rsidRPr="0023027E" w:rsidRDefault="00D66309" w:rsidP="00D66309">
      <w:pPr>
        <w:spacing w:line="276" w:lineRule="auto"/>
        <w:jc w:val="both"/>
        <w:rPr>
          <w:rFonts w:cs="Arial"/>
          <w:szCs w:val="20"/>
        </w:rPr>
      </w:pPr>
      <w:r>
        <w:rPr>
          <w:rFonts w:cs="Arial"/>
          <w:szCs w:val="20"/>
        </w:rPr>
        <w:t xml:space="preserve">15. člen Uredbe </w:t>
      </w:r>
      <w:r w:rsidRPr="0023027E">
        <w:rPr>
          <w:rFonts w:cs="Arial"/>
          <w:szCs w:val="20"/>
        </w:rPr>
        <w:t>2023/2869/EU</w:t>
      </w:r>
      <w:r>
        <w:rPr>
          <w:rFonts w:cs="Arial"/>
          <w:szCs w:val="20"/>
        </w:rPr>
        <w:t xml:space="preserve"> določa</w:t>
      </w:r>
      <w:r w:rsidRPr="00637B0B">
        <w:rPr>
          <w:rFonts w:cs="Arial"/>
          <w:szCs w:val="20"/>
        </w:rPr>
        <w:t xml:space="preserve"> neposredn</w:t>
      </w:r>
      <w:r>
        <w:rPr>
          <w:rFonts w:cs="Arial"/>
          <w:szCs w:val="20"/>
        </w:rPr>
        <w:t>o</w:t>
      </w:r>
      <w:r w:rsidRPr="00637B0B">
        <w:rPr>
          <w:rFonts w:cs="Arial"/>
          <w:szCs w:val="20"/>
        </w:rPr>
        <w:t xml:space="preserve"> obveznost ponudnika, da vsako informacijo, ki jo mora že </w:t>
      </w:r>
      <w:r>
        <w:rPr>
          <w:rFonts w:cs="Arial"/>
          <w:szCs w:val="20"/>
        </w:rPr>
        <w:t xml:space="preserve">zdaj </w:t>
      </w:r>
      <w:r w:rsidRPr="00637B0B">
        <w:rPr>
          <w:rFonts w:cs="Arial"/>
          <w:szCs w:val="20"/>
        </w:rPr>
        <w:t>javno objaviti, hkrati pošlje v strojno berljiv</w:t>
      </w:r>
      <w:r>
        <w:rPr>
          <w:rFonts w:cs="Arial"/>
          <w:szCs w:val="20"/>
        </w:rPr>
        <w:t>i</w:t>
      </w:r>
      <w:r w:rsidRPr="00637B0B">
        <w:rPr>
          <w:rFonts w:cs="Arial"/>
          <w:szCs w:val="20"/>
        </w:rPr>
        <w:t xml:space="preserve"> </w:t>
      </w:r>
      <w:r>
        <w:rPr>
          <w:rFonts w:cs="Arial"/>
          <w:szCs w:val="20"/>
        </w:rPr>
        <w:t>obliki</w:t>
      </w:r>
      <w:r w:rsidRPr="00637B0B">
        <w:rPr>
          <w:rFonts w:cs="Arial"/>
          <w:szCs w:val="20"/>
        </w:rPr>
        <w:t xml:space="preserve"> in z obveznimi metapodatki (ime, LEI, vrsta dokumenta, oznaka osebnih podatkov) pristojnemu nacionalnemu organu za zbiranje. Države članice morajo do 9. januarja 2028 tak organ imenovati in prijaviti ESMA, sicer kršijo pravo EU. Za podatke, ki jih že prejema</w:t>
      </w:r>
      <w:r>
        <w:rPr>
          <w:rFonts w:cs="Arial"/>
          <w:szCs w:val="20"/>
        </w:rPr>
        <w:t>jo</w:t>
      </w:r>
      <w:r w:rsidRPr="00637B0B">
        <w:rPr>
          <w:rFonts w:cs="Arial"/>
          <w:szCs w:val="20"/>
        </w:rPr>
        <w:t xml:space="preserve"> EIOPA in nacionalni nadzorniki, </w:t>
      </w:r>
      <w:r>
        <w:rPr>
          <w:rFonts w:cs="Arial"/>
          <w:szCs w:val="20"/>
        </w:rPr>
        <w:t>so ti</w:t>
      </w:r>
      <w:r w:rsidRPr="00637B0B">
        <w:rPr>
          <w:rFonts w:cs="Arial"/>
          <w:szCs w:val="20"/>
        </w:rPr>
        <w:t xml:space="preserve"> neposredno določ</w:t>
      </w:r>
      <w:r>
        <w:rPr>
          <w:rFonts w:cs="Arial"/>
          <w:szCs w:val="20"/>
        </w:rPr>
        <w:t>eni</w:t>
      </w:r>
      <w:r w:rsidRPr="00637B0B">
        <w:rPr>
          <w:rFonts w:cs="Arial"/>
          <w:szCs w:val="20"/>
        </w:rPr>
        <w:t xml:space="preserve"> za organe, ki jih morajo poslati ESAP. EIOPA pridobi pooblastilo za natančno določitev dodatnih metapodatkov, struktur in strojnih formatov ter za nadzor pravilnosti. </w:t>
      </w:r>
    </w:p>
    <w:p w14:paraId="640D8E4F" w14:textId="77777777" w:rsidR="00FE0F83" w:rsidRPr="0023027E" w:rsidRDefault="00FE0F83" w:rsidP="00C64B3F">
      <w:pPr>
        <w:spacing w:line="240" w:lineRule="auto"/>
        <w:jc w:val="both"/>
        <w:rPr>
          <w:rFonts w:cs="Arial"/>
          <w:szCs w:val="20"/>
        </w:rPr>
      </w:pPr>
    </w:p>
    <w:p w14:paraId="77196807" w14:textId="783DC510" w:rsidR="00FE0F83" w:rsidRPr="0023027E" w:rsidRDefault="00FE0F83" w:rsidP="00FE0F83">
      <w:pPr>
        <w:spacing w:line="276" w:lineRule="auto"/>
        <w:jc w:val="both"/>
        <w:rPr>
          <w:rFonts w:cs="Arial"/>
          <w:b/>
          <w:bCs/>
          <w:szCs w:val="20"/>
        </w:rPr>
      </w:pPr>
      <w:r w:rsidRPr="0023027E">
        <w:rPr>
          <w:rFonts w:cs="Arial"/>
          <w:b/>
          <w:bCs/>
          <w:szCs w:val="20"/>
        </w:rPr>
        <w:t xml:space="preserve">K </w:t>
      </w:r>
      <w:r w:rsidR="00294FB5">
        <w:rPr>
          <w:rFonts w:cs="Arial"/>
          <w:b/>
          <w:bCs/>
          <w:szCs w:val="20"/>
        </w:rPr>
        <w:t>35</w:t>
      </w:r>
      <w:r w:rsidR="00084C36" w:rsidRPr="0023027E">
        <w:rPr>
          <w:rFonts w:cs="Arial"/>
          <w:b/>
          <w:bCs/>
          <w:szCs w:val="20"/>
        </w:rPr>
        <w:t xml:space="preserve">. </w:t>
      </w:r>
      <w:r w:rsidRPr="0023027E">
        <w:rPr>
          <w:rFonts w:cs="Arial"/>
          <w:b/>
          <w:bCs/>
          <w:szCs w:val="20"/>
        </w:rPr>
        <w:t>členu</w:t>
      </w:r>
    </w:p>
    <w:p w14:paraId="47600524" w14:textId="77777777" w:rsidR="00D66309" w:rsidRPr="0023027E" w:rsidRDefault="00D66309" w:rsidP="00D66309">
      <w:pPr>
        <w:spacing w:line="276" w:lineRule="auto"/>
        <w:jc w:val="both"/>
        <w:rPr>
          <w:rFonts w:cs="Arial"/>
          <w:szCs w:val="20"/>
        </w:rPr>
      </w:pPr>
      <w:r w:rsidRPr="0023027E">
        <w:rPr>
          <w:rFonts w:cs="Arial"/>
          <w:szCs w:val="20"/>
        </w:rPr>
        <w:t>Predlaga se sprememba 1. točke 1. člena Zakona o izvajanju uredbe (EU) o vseevropskem osebnem pokojninskem produktu (Uradni list RS, št. 28/23; v nadaljnjem besedilu: ZIUVOPP), ki ureja vsebino zakona. Ker je bilo z Uredbo 2023/2869/EU vsebinsko poseženo v uredbo EU, katere izvajanje ureja ZIUVOPP</w:t>
      </w:r>
      <w:r>
        <w:rPr>
          <w:rFonts w:cs="Arial"/>
          <w:szCs w:val="20"/>
        </w:rPr>
        <w:t>,</w:t>
      </w:r>
      <w:r w:rsidRPr="0023027E">
        <w:rPr>
          <w:rFonts w:cs="Arial"/>
          <w:szCs w:val="20"/>
        </w:rPr>
        <w:t xml:space="preserve"> se posodablja navedba zadnje spremembe tega akta.</w:t>
      </w:r>
    </w:p>
    <w:p w14:paraId="49B221F9" w14:textId="77777777" w:rsidR="00D66309" w:rsidRPr="0023027E" w:rsidRDefault="00D66309" w:rsidP="00D66309">
      <w:pPr>
        <w:spacing w:line="276" w:lineRule="auto"/>
        <w:jc w:val="both"/>
        <w:rPr>
          <w:rFonts w:cs="Arial"/>
          <w:szCs w:val="20"/>
        </w:rPr>
      </w:pPr>
    </w:p>
    <w:p w14:paraId="51CE3CE0" w14:textId="77777777" w:rsidR="00D66309" w:rsidRPr="0023027E" w:rsidRDefault="00D66309" w:rsidP="00D66309">
      <w:pPr>
        <w:spacing w:line="276" w:lineRule="auto"/>
        <w:jc w:val="both"/>
        <w:rPr>
          <w:rFonts w:cs="Arial"/>
          <w:szCs w:val="20"/>
        </w:rPr>
      </w:pPr>
      <w:r w:rsidRPr="0023027E">
        <w:rPr>
          <w:rFonts w:cs="Arial"/>
          <w:szCs w:val="20"/>
        </w:rPr>
        <w:t xml:space="preserve">Sprememba je potrebna, da se zagotovi skladnost </w:t>
      </w:r>
      <w:r>
        <w:rPr>
          <w:rFonts w:cs="Arial"/>
          <w:szCs w:val="20"/>
        </w:rPr>
        <w:t>s spremenjenimi</w:t>
      </w:r>
      <w:r w:rsidRPr="0023027E">
        <w:rPr>
          <w:rFonts w:cs="Arial"/>
          <w:szCs w:val="20"/>
        </w:rPr>
        <w:t xml:space="preserve"> pravnimi akti EU, s čimer se ohranjata pravna pravilnost in usklajenost </w:t>
      </w:r>
      <w:r>
        <w:rPr>
          <w:rFonts w:cs="Arial"/>
          <w:szCs w:val="20"/>
        </w:rPr>
        <w:t>domače</w:t>
      </w:r>
      <w:r w:rsidRPr="0023027E">
        <w:rPr>
          <w:rFonts w:cs="Arial"/>
          <w:szCs w:val="20"/>
        </w:rPr>
        <w:t xml:space="preserve"> zakonodaje </w:t>
      </w:r>
      <w:r>
        <w:rPr>
          <w:rFonts w:cs="Arial"/>
          <w:szCs w:val="20"/>
        </w:rPr>
        <w:t xml:space="preserve">s </w:t>
      </w:r>
      <w:r w:rsidRPr="0023027E">
        <w:rPr>
          <w:rFonts w:cs="Arial"/>
          <w:szCs w:val="20"/>
        </w:rPr>
        <w:t>predpisi EU. Namen uskladitve je zagotoviti jasnost, natančnost in doslednost pri sklicevanju na akte EU ter preprečiti morebitne neskladnosti pri izvajanju predpisa.</w:t>
      </w:r>
    </w:p>
    <w:p w14:paraId="0EB6E332" w14:textId="77777777" w:rsidR="00FE0F83" w:rsidRPr="0023027E" w:rsidRDefault="00FE0F83" w:rsidP="00C64B3F">
      <w:pPr>
        <w:spacing w:line="240" w:lineRule="auto"/>
        <w:jc w:val="both"/>
        <w:rPr>
          <w:rFonts w:cs="Arial"/>
          <w:szCs w:val="20"/>
        </w:rPr>
      </w:pPr>
    </w:p>
    <w:p w14:paraId="1936BE26" w14:textId="224CE182" w:rsidR="00FE0F83" w:rsidRPr="0023027E" w:rsidRDefault="00FE0F83" w:rsidP="00FE0F83">
      <w:pPr>
        <w:spacing w:line="276" w:lineRule="auto"/>
        <w:jc w:val="both"/>
        <w:rPr>
          <w:rFonts w:cs="Arial"/>
          <w:b/>
          <w:bCs/>
          <w:szCs w:val="20"/>
        </w:rPr>
      </w:pPr>
      <w:r w:rsidRPr="0023027E">
        <w:rPr>
          <w:rFonts w:cs="Arial"/>
          <w:b/>
          <w:bCs/>
          <w:szCs w:val="20"/>
        </w:rPr>
        <w:t xml:space="preserve">K </w:t>
      </w:r>
      <w:r w:rsidR="00294FB5">
        <w:rPr>
          <w:rFonts w:cs="Arial"/>
          <w:b/>
          <w:bCs/>
          <w:szCs w:val="20"/>
        </w:rPr>
        <w:t>36</w:t>
      </w:r>
      <w:r w:rsidR="00084C36" w:rsidRPr="0023027E">
        <w:rPr>
          <w:rFonts w:cs="Arial"/>
          <w:b/>
          <w:bCs/>
          <w:szCs w:val="20"/>
        </w:rPr>
        <w:t xml:space="preserve">. </w:t>
      </w:r>
      <w:r w:rsidRPr="0023027E">
        <w:rPr>
          <w:rFonts w:cs="Arial"/>
          <w:b/>
          <w:bCs/>
          <w:szCs w:val="20"/>
        </w:rPr>
        <w:t>členu</w:t>
      </w:r>
    </w:p>
    <w:p w14:paraId="1C3F17F9" w14:textId="77777777" w:rsidR="00D66309" w:rsidRDefault="00D66309" w:rsidP="00D66309">
      <w:pPr>
        <w:jc w:val="both"/>
        <w:rPr>
          <w:rFonts w:cs="Arial"/>
          <w:szCs w:val="20"/>
        </w:rPr>
      </w:pPr>
      <w:r w:rsidRPr="0023027E">
        <w:rPr>
          <w:rFonts w:cs="Arial"/>
          <w:szCs w:val="20"/>
        </w:rPr>
        <w:t>S tem členom se dodaja nov</w:t>
      </w:r>
      <w:r>
        <w:rPr>
          <w:rFonts w:cs="Arial"/>
          <w:szCs w:val="20"/>
        </w:rPr>
        <w:t>i</w:t>
      </w:r>
      <w:r w:rsidRPr="0023027E">
        <w:rPr>
          <w:rFonts w:cs="Arial"/>
          <w:szCs w:val="20"/>
        </w:rPr>
        <w:t xml:space="preserve"> 6.a člen ZIUVOPP, ki ureja izvajanje 17. člena Uredbe 2023/2869/EU. Z novim 6.a členom ZIUVOPP</w:t>
      </w:r>
      <w:r w:rsidRPr="0023027E" w:rsidDel="00E27CDD">
        <w:rPr>
          <w:rFonts w:cs="Arial"/>
          <w:szCs w:val="20"/>
        </w:rPr>
        <w:t xml:space="preserve"> </w:t>
      </w:r>
      <w:r w:rsidRPr="0023027E">
        <w:rPr>
          <w:rFonts w:cs="Arial"/>
          <w:szCs w:val="20"/>
        </w:rPr>
        <w:t xml:space="preserve">se določa pristojni organ (AZN) v zvezi z zbiranjem in </w:t>
      </w:r>
      <w:r>
        <w:rPr>
          <w:rFonts w:cs="Arial"/>
          <w:szCs w:val="20"/>
        </w:rPr>
        <w:t>pošiljanjem</w:t>
      </w:r>
      <w:r w:rsidRPr="0023027E">
        <w:rPr>
          <w:rFonts w:cs="Arial"/>
          <w:szCs w:val="20"/>
        </w:rPr>
        <w:t xml:space="preserve"> informacij ESAP.</w:t>
      </w:r>
    </w:p>
    <w:p w14:paraId="3B87672D" w14:textId="77777777" w:rsidR="00D66309" w:rsidRDefault="00D66309" w:rsidP="00D66309">
      <w:pPr>
        <w:jc w:val="both"/>
        <w:rPr>
          <w:rFonts w:cs="Arial"/>
          <w:szCs w:val="20"/>
        </w:rPr>
      </w:pPr>
    </w:p>
    <w:p w14:paraId="548DFA45" w14:textId="2EEA78E0" w:rsidR="00D66309" w:rsidRPr="0023027E" w:rsidRDefault="00D66309" w:rsidP="00D66309">
      <w:pPr>
        <w:spacing w:line="276" w:lineRule="auto"/>
        <w:jc w:val="both"/>
        <w:rPr>
          <w:rFonts w:cs="Arial"/>
          <w:szCs w:val="20"/>
        </w:rPr>
      </w:pPr>
      <w:r>
        <w:rPr>
          <w:rFonts w:cs="Arial"/>
          <w:szCs w:val="20"/>
        </w:rPr>
        <w:t xml:space="preserve">17. člen Uredbe </w:t>
      </w:r>
      <w:r w:rsidRPr="0023027E">
        <w:rPr>
          <w:rFonts w:cs="Arial"/>
          <w:szCs w:val="20"/>
        </w:rPr>
        <w:t>2023/2869/EU</w:t>
      </w:r>
      <w:r>
        <w:rPr>
          <w:rFonts w:cs="Arial"/>
          <w:szCs w:val="20"/>
        </w:rPr>
        <w:t xml:space="preserve"> z</w:t>
      </w:r>
      <w:r w:rsidRPr="001D5DE8">
        <w:rPr>
          <w:rFonts w:cs="Arial"/>
          <w:szCs w:val="20"/>
        </w:rPr>
        <w:t>agotavlja, da bodo vse obvezne informacije o trajnosti takoj dostopne na ESAP. Ključni mehanizem je neposredna obveznost udeležencev finančnega trga in finančnih svetovalcev, da vsako objavljeno informacijo hkrati pošljejo v strojno berljiv</w:t>
      </w:r>
      <w:r>
        <w:rPr>
          <w:rFonts w:cs="Arial"/>
          <w:szCs w:val="20"/>
        </w:rPr>
        <w:t>i</w:t>
      </w:r>
      <w:r w:rsidRPr="001D5DE8">
        <w:rPr>
          <w:rFonts w:cs="Arial"/>
          <w:szCs w:val="20"/>
        </w:rPr>
        <w:t xml:space="preserve"> </w:t>
      </w:r>
      <w:r>
        <w:rPr>
          <w:rFonts w:cs="Arial"/>
          <w:szCs w:val="20"/>
        </w:rPr>
        <w:t>obliki</w:t>
      </w:r>
      <w:r w:rsidRPr="001D5DE8">
        <w:rPr>
          <w:rFonts w:cs="Arial"/>
          <w:szCs w:val="20"/>
        </w:rPr>
        <w:t xml:space="preserve"> in z obveznimi metapodatki pristojnemu nacionalnemu organu za zbiranje. Pravne osebe morajo pridobiti </w:t>
      </w:r>
      <w:r>
        <w:rPr>
          <w:rFonts w:cs="Arial"/>
          <w:szCs w:val="20"/>
        </w:rPr>
        <w:t>številko</w:t>
      </w:r>
      <w:r w:rsidRPr="001D5DE8">
        <w:rPr>
          <w:rFonts w:cs="Arial"/>
          <w:szCs w:val="20"/>
        </w:rPr>
        <w:t xml:space="preserve"> LEI. Države članice morajo do 9. januarja 2028 imenovati in prijaviti ESMA vsaj en tak organ, sicer kršijo pravo EU. EBA, EIOPA in ESMA </w:t>
      </w:r>
      <w:r>
        <w:rPr>
          <w:rFonts w:cs="Arial"/>
          <w:szCs w:val="20"/>
        </w:rPr>
        <w:t>v okviru</w:t>
      </w:r>
      <w:r w:rsidRPr="001D5DE8">
        <w:rPr>
          <w:rFonts w:cs="Arial"/>
          <w:szCs w:val="20"/>
        </w:rPr>
        <w:t xml:space="preserve"> skupnega odbora določijo dodatne metapodatke, strukturo podatkov </w:t>
      </w:r>
      <w:r w:rsidRPr="00224FEF">
        <w:rPr>
          <w:rFonts w:cs="Arial"/>
          <w:szCs w:val="20"/>
        </w:rPr>
        <w:t xml:space="preserve">in obvezne strojne </w:t>
      </w:r>
      <w:r>
        <w:rPr>
          <w:rFonts w:cs="Arial"/>
          <w:szCs w:val="20"/>
        </w:rPr>
        <w:t xml:space="preserve">berljive </w:t>
      </w:r>
      <w:r w:rsidRPr="00224FEF">
        <w:rPr>
          <w:rFonts w:cs="Arial"/>
          <w:szCs w:val="20"/>
        </w:rPr>
        <w:t>formate ter</w:t>
      </w:r>
      <w:r w:rsidRPr="001D5DE8">
        <w:rPr>
          <w:rFonts w:cs="Arial"/>
          <w:szCs w:val="20"/>
        </w:rPr>
        <w:t xml:space="preserve"> izvedejo terenske teste. </w:t>
      </w:r>
    </w:p>
    <w:p w14:paraId="238CC043" w14:textId="77777777" w:rsidR="00814AD5" w:rsidRPr="0023027E" w:rsidRDefault="00814AD5" w:rsidP="004D30F5">
      <w:pPr>
        <w:spacing w:line="276" w:lineRule="auto"/>
        <w:jc w:val="both"/>
        <w:rPr>
          <w:rFonts w:cs="Arial"/>
          <w:szCs w:val="20"/>
        </w:rPr>
      </w:pPr>
    </w:p>
    <w:p w14:paraId="69B890FF" w14:textId="5467434A" w:rsidR="00011D1D" w:rsidRPr="0023027E" w:rsidRDefault="00011D1D" w:rsidP="00011D1D">
      <w:pPr>
        <w:spacing w:line="276" w:lineRule="auto"/>
        <w:jc w:val="both"/>
        <w:rPr>
          <w:rFonts w:cs="Arial"/>
          <w:b/>
          <w:bCs/>
          <w:szCs w:val="20"/>
        </w:rPr>
      </w:pPr>
      <w:r w:rsidRPr="0023027E">
        <w:rPr>
          <w:rFonts w:cs="Arial"/>
          <w:b/>
          <w:bCs/>
          <w:szCs w:val="20"/>
        </w:rPr>
        <w:t xml:space="preserve">K </w:t>
      </w:r>
      <w:r w:rsidR="00294FB5">
        <w:rPr>
          <w:rFonts w:cs="Arial"/>
          <w:b/>
          <w:bCs/>
          <w:szCs w:val="20"/>
        </w:rPr>
        <w:t>37</w:t>
      </w:r>
      <w:r w:rsidR="00084C36" w:rsidRPr="0023027E">
        <w:rPr>
          <w:rFonts w:cs="Arial"/>
          <w:b/>
          <w:bCs/>
          <w:szCs w:val="20"/>
        </w:rPr>
        <w:t xml:space="preserve">. </w:t>
      </w:r>
      <w:r w:rsidRPr="0023027E">
        <w:rPr>
          <w:rFonts w:cs="Arial"/>
          <w:b/>
          <w:bCs/>
          <w:szCs w:val="20"/>
        </w:rPr>
        <w:t>členu</w:t>
      </w:r>
    </w:p>
    <w:p w14:paraId="44721A98" w14:textId="77777777" w:rsidR="00D66309" w:rsidRPr="0023027E" w:rsidRDefault="00D66309" w:rsidP="00D66309">
      <w:pPr>
        <w:spacing w:line="276" w:lineRule="auto"/>
        <w:jc w:val="both"/>
        <w:rPr>
          <w:rFonts w:cs="Arial"/>
          <w:szCs w:val="20"/>
        </w:rPr>
      </w:pPr>
      <w:r w:rsidRPr="0023027E">
        <w:rPr>
          <w:rFonts w:cs="Arial"/>
          <w:szCs w:val="20"/>
        </w:rPr>
        <w:t xml:space="preserve">Predlaga se sprememba 1. člena Zakona o izvajanju Uredbe (EU) o trgih </w:t>
      </w:r>
      <w:proofErr w:type="spellStart"/>
      <w:r w:rsidRPr="0023027E">
        <w:rPr>
          <w:rFonts w:cs="Arial"/>
          <w:szCs w:val="20"/>
        </w:rPr>
        <w:t>kriptosredstev</w:t>
      </w:r>
      <w:proofErr w:type="spellEnd"/>
      <w:r w:rsidRPr="0023027E">
        <w:rPr>
          <w:rFonts w:cs="Arial"/>
          <w:szCs w:val="20"/>
        </w:rPr>
        <w:t xml:space="preserve"> (Uradni list RS, št. 95/24; v nadaljnjem besedilu: ZIUTK), ki ureja vsebino zakona. Ker je bilo z Uredbo 2023/2869/EU vsebinsko poseženo v uredbo EU, katere izvajanje ureja </w:t>
      </w:r>
      <w:r>
        <w:rPr>
          <w:rFonts w:cs="Arial"/>
          <w:szCs w:val="20"/>
        </w:rPr>
        <w:t>ZIUTK,</w:t>
      </w:r>
      <w:r w:rsidRPr="0023027E">
        <w:rPr>
          <w:rFonts w:cs="Arial"/>
          <w:szCs w:val="20"/>
        </w:rPr>
        <w:t xml:space="preserve"> se posodablja navedba spremembe tega akta.</w:t>
      </w:r>
    </w:p>
    <w:p w14:paraId="687313BB" w14:textId="77777777" w:rsidR="00D66309" w:rsidRPr="0023027E" w:rsidRDefault="00D66309" w:rsidP="00D66309">
      <w:pPr>
        <w:spacing w:line="276" w:lineRule="auto"/>
        <w:jc w:val="both"/>
        <w:rPr>
          <w:rFonts w:cs="Arial"/>
          <w:szCs w:val="20"/>
        </w:rPr>
      </w:pPr>
    </w:p>
    <w:p w14:paraId="21C8D6F6" w14:textId="77777777" w:rsidR="00D66309" w:rsidRPr="0023027E" w:rsidRDefault="00D66309" w:rsidP="00D66309">
      <w:pPr>
        <w:spacing w:line="276" w:lineRule="auto"/>
        <w:jc w:val="both"/>
        <w:rPr>
          <w:rFonts w:cs="Arial"/>
          <w:szCs w:val="20"/>
        </w:rPr>
      </w:pPr>
      <w:r w:rsidRPr="0023027E">
        <w:rPr>
          <w:rFonts w:cs="Arial"/>
          <w:szCs w:val="20"/>
        </w:rPr>
        <w:t xml:space="preserve">Sprememba je potrebna, da se zagotovi skladnost </w:t>
      </w:r>
      <w:r>
        <w:rPr>
          <w:rFonts w:cs="Arial"/>
          <w:szCs w:val="20"/>
        </w:rPr>
        <w:t>s spremenjenimi</w:t>
      </w:r>
      <w:r w:rsidRPr="0023027E">
        <w:rPr>
          <w:rFonts w:cs="Arial"/>
          <w:szCs w:val="20"/>
        </w:rPr>
        <w:t xml:space="preserve"> pravnimi akti EU, s čimer se ohranjata pravna pravilnost in usklajenost </w:t>
      </w:r>
      <w:r>
        <w:rPr>
          <w:rFonts w:cs="Arial"/>
          <w:szCs w:val="20"/>
        </w:rPr>
        <w:t>domače</w:t>
      </w:r>
      <w:r w:rsidRPr="0023027E">
        <w:rPr>
          <w:rFonts w:cs="Arial"/>
          <w:szCs w:val="20"/>
        </w:rPr>
        <w:t xml:space="preserve"> zakonodaje </w:t>
      </w:r>
      <w:r>
        <w:rPr>
          <w:rFonts w:cs="Arial"/>
          <w:szCs w:val="20"/>
        </w:rPr>
        <w:t xml:space="preserve">s </w:t>
      </w:r>
      <w:r w:rsidRPr="0023027E">
        <w:rPr>
          <w:rFonts w:cs="Arial"/>
          <w:szCs w:val="20"/>
        </w:rPr>
        <w:t>predpisi EU. Namen uskladitve je zagotoviti jasnost, natančnost in doslednost pri sklicevanju na akte EU ter preprečiti morebitne neskladnosti pri izvajanju predpisa.</w:t>
      </w:r>
    </w:p>
    <w:p w14:paraId="06097BCB" w14:textId="77777777" w:rsidR="00011D1D" w:rsidRPr="0023027E" w:rsidRDefault="00011D1D" w:rsidP="00011D1D">
      <w:pPr>
        <w:spacing w:line="240" w:lineRule="auto"/>
        <w:jc w:val="both"/>
        <w:rPr>
          <w:rFonts w:cs="Arial"/>
          <w:szCs w:val="20"/>
        </w:rPr>
      </w:pPr>
    </w:p>
    <w:p w14:paraId="34DED38B" w14:textId="40AFFE4A" w:rsidR="00011D1D" w:rsidRPr="0023027E" w:rsidRDefault="00011D1D" w:rsidP="00011D1D">
      <w:pPr>
        <w:spacing w:line="276" w:lineRule="auto"/>
        <w:jc w:val="both"/>
        <w:rPr>
          <w:rFonts w:cs="Arial"/>
          <w:b/>
          <w:bCs/>
          <w:szCs w:val="20"/>
        </w:rPr>
      </w:pPr>
      <w:r w:rsidRPr="0023027E">
        <w:rPr>
          <w:rFonts w:cs="Arial"/>
          <w:b/>
          <w:bCs/>
          <w:szCs w:val="20"/>
        </w:rPr>
        <w:t xml:space="preserve">K </w:t>
      </w:r>
      <w:r w:rsidR="00294FB5">
        <w:rPr>
          <w:rFonts w:cs="Arial"/>
          <w:b/>
          <w:bCs/>
          <w:szCs w:val="20"/>
        </w:rPr>
        <w:t>38</w:t>
      </w:r>
      <w:r w:rsidR="00084C36" w:rsidRPr="0023027E">
        <w:rPr>
          <w:rFonts w:cs="Arial"/>
          <w:b/>
          <w:bCs/>
          <w:szCs w:val="20"/>
        </w:rPr>
        <w:t xml:space="preserve">. </w:t>
      </w:r>
      <w:r w:rsidRPr="0023027E">
        <w:rPr>
          <w:rFonts w:cs="Arial"/>
          <w:b/>
          <w:bCs/>
          <w:szCs w:val="20"/>
        </w:rPr>
        <w:t>členu</w:t>
      </w:r>
    </w:p>
    <w:p w14:paraId="2D6ADEC9" w14:textId="77777777" w:rsidR="007F7F51" w:rsidRDefault="007F7F51" w:rsidP="007F7F51">
      <w:pPr>
        <w:jc w:val="both"/>
        <w:rPr>
          <w:rFonts w:cs="Arial"/>
          <w:szCs w:val="20"/>
        </w:rPr>
      </w:pPr>
      <w:r w:rsidRPr="0023027E">
        <w:rPr>
          <w:rFonts w:cs="Arial"/>
          <w:szCs w:val="20"/>
        </w:rPr>
        <w:t>S tem členom se dodaja nov</w:t>
      </w:r>
      <w:r>
        <w:rPr>
          <w:rFonts w:cs="Arial"/>
          <w:szCs w:val="20"/>
        </w:rPr>
        <w:t>i</w:t>
      </w:r>
      <w:r w:rsidRPr="0023027E">
        <w:rPr>
          <w:rFonts w:cs="Arial"/>
          <w:szCs w:val="20"/>
        </w:rPr>
        <w:t xml:space="preserve"> </w:t>
      </w:r>
      <w:r>
        <w:rPr>
          <w:rFonts w:cs="Arial"/>
          <w:szCs w:val="20"/>
        </w:rPr>
        <w:t>4</w:t>
      </w:r>
      <w:r w:rsidRPr="0023027E">
        <w:rPr>
          <w:rFonts w:cs="Arial"/>
          <w:szCs w:val="20"/>
        </w:rPr>
        <w:t xml:space="preserve">.a člen ZIUTK, ki ureja izvajanje 18. člena Uredbe 2023/2869/EU. Z novim </w:t>
      </w:r>
      <w:r>
        <w:rPr>
          <w:rFonts w:cs="Arial"/>
          <w:szCs w:val="20"/>
        </w:rPr>
        <w:t>4</w:t>
      </w:r>
      <w:r w:rsidRPr="0023027E">
        <w:rPr>
          <w:rFonts w:cs="Arial"/>
          <w:szCs w:val="20"/>
        </w:rPr>
        <w:t xml:space="preserve">.a členom ZIUTK se določa pristojni organ (Banka Slovenije in ATVP) v zvezi z zbiranjem in </w:t>
      </w:r>
      <w:r>
        <w:rPr>
          <w:rFonts w:cs="Arial"/>
          <w:szCs w:val="20"/>
        </w:rPr>
        <w:t>pošiljanjem</w:t>
      </w:r>
      <w:r w:rsidRPr="0023027E">
        <w:rPr>
          <w:rFonts w:cs="Arial"/>
          <w:szCs w:val="20"/>
        </w:rPr>
        <w:t xml:space="preserve"> informacij ESAP.</w:t>
      </w:r>
    </w:p>
    <w:p w14:paraId="77F180A9" w14:textId="77777777" w:rsidR="007F7F51" w:rsidRDefault="007F7F51" w:rsidP="007F7F51">
      <w:pPr>
        <w:jc w:val="both"/>
        <w:rPr>
          <w:rFonts w:cs="Arial"/>
          <w:szCs w:val="20"/>
        </w:rPr>
      </w:pPr>
    </w:p>
    <w:p w14:paraId="06E1C3B7" w14:textId="77777777" w:rsidR="007F7F51" w:rsidRPr="0023027E" w:rsidRDefault="007F7F51" w:rsidP="007F7F51">
      <w:pPr>
        <w:jc w:val="both"/>
        <w:rPr>
          <w:rFonts w:cs="Arial"/>
          <w:szCs w:val="20"/>
        </w:rPr>
      </w:pPr>
      <w:r>
        <w:rPr>
          <w:rFonts w:cs="Arial"/>
          <w:szCs w:val="20"/>
        </w:rPr>
        <w:t xml:space="preserve">18. člen Uredbe </w:t>
      </w:r>
      <w:r w:rsidRPr="0023027E">
        <w:rPr>
          <w:rFonts w:cs="Arial"/>
          <w:szCs w:val="20"/>
        </w:rPr>
        <w:t>2023/2869/EU</w:t>
      </w:r>
      <w:r>
        <w:rPr>
          <w:rFonts w:cs="Arial"/>
          <w:szCs w:val="20"/>
        </w:rPr>
        <w:t xml:space="preserve"> določa</w:t>
      </w:r>
      <w:r w:rsidRPr="001D5DE8">
        <w:rPr>
          <w:rFonts w:cs="Arial"/>
          <w:szCs w:val="20"/>
        </w:rPr>
        <w:t xml:space="preserve"> neposredn</w:t>
      </w:r>
      <w:r>
        <w:rPr>
          <w:rFonts w:cs="Arial"/>
          <w:szCs w:val="20"/>
        </w:rPr>
        <w:t>o</w:t>
      </w:r>
      <w:r w:rsidRPr="001D5DE8">
        <w:rPr>
          <w:rFonts w:cs="Arial"/>
          <w:szCs w:val="20"/>
        </w:rPr>
        <w:t xml:space="preserve"> obveznost izdajatelja, ponudnika ali osebe, ki zaprosi za uvrstitev, da informacij</w:t>
      </w:r>
      <w:r>
        <w:rPr>
          <w:rFonts w:cs="Arial"/>
          <w:szCs w:val="20"/>
        </w:rPr>
        <w:t>e</w:t>
      </w:r>
      <w:r w:rsidRPr="001D5DE8">
        <w:rPr>
          <w:rFonts w:cs="Arial"/>
          <w:szCs w:val="20"/>
        </w:rPr>
        <w:t xml:space="preserve"> pošlje v strojno berljiv</w:t>
      </w:r>
      <w:r>
        <w:rPr>
          <w:rFonts w:cs="Arial"/>
          <w:szCs w:val="20"/>
        </w:rPr>
        <w:t>i</w:t>
      </w:r>
      <w:r w:rsidRPr="001D5DE8">
        <w:rPr>
          <w:rFonts w:cs="Arial"/>
          <w:szCs w:val="20"/>
        </w:rPr>
        <w:t xml:space="preserve"> </w:t>
      </w:r>
      <w:r>
        <w:rPr>
          <w:rFonts w:cs="Arial"/>
          <w:szCs w:val="20"/>
        </w:rPr>
        <w:t>obliki</w:t>
      </w:r>
      <w:r w:rsidRPr="001D5DE8">
        <w:rPr>
          <w:rFonts w:cs="Arial"/>
          <w:szCs w:val="20"/>
        </w:rPr>
        <w:t xml:space="preserve"> z obveznimi metapodatki pristojnemu nacionalnemu organu za zbiranje. Države članice morajo do 9. januarja 2030 imenovati in prijaviti ESMA tak organ, sicer kršijo pravo EU. </w:t>
      </w:r>
    </w:p>
    <w:p w14:paraId="6612EADD" w14:textId="77777777" w:rsidR="00084C36" w:rsidRPr="0023027E" w:rsidRDefault="00084C36" w:rsidP="00011D1D">
      <w:pPr>
        <w:spacing w:line="276" w:lineRule="auto"/>
        <w:jc w:val="both"/>
        <w:rPr>
          <w:rFonts w:cs="Arial"/>
          <w:b/>
          <w:bCs/>
          <w:szCs w:val="20"/>
        </w:rPr>
      </w:pPr>
    </w:p>
    <w:p w14:paraId="7EC9091B" w14:textId="76D8DF79" w:rsidR="00084C36" w:rsidRPr="0023027E" w:rsidRDefault="00084C36" w:rsidP="00084C36">
      <w:pPr>
        <w:spacing w:line="276" w:lineRule="auto"/>
        <w:jc w:val="both"/>
        <w:rPr>
          <w:rFonts w:cs="Arial"/>
          <w:b/>
          <w:bCs/>
          <w:szCs w:val="20"/>
        </w:rPr>
      </w:pPr>
      <w:r w:rsidRPr="0023027E">
        <w:rPr>
          <w:rFonts w:cs="Arial"/>
          <w:b/>
          <w:bCs/>
          <w:szCs w:val="20"/>
        </w:rPr>
        <w:t xml:space="preserve">K </w:t>
      </w:r>
      <w:r w:rsidR="00294FB5">
        <w:rPr>
          <w:rFonts w:cs="Arial"/>
          <w:b/>
          <w:bCs/>
          <w:szCs w:val="20"/>
        </w:rPr>
        <w:t>39</w:t>
      </w:r>
      <w:r w:rsidR="00E77635" w:rsidRPr="0023027E">
        <w:rPr>
          <w:rFonts w:cs="Arial"/>
          <w:b/>
          <w:bCs/>
          <w:szCs w:val="20"/>
        </w:rPr>
        <w:t xml:space="preserve">. </w:t>
      </w:r>
      <w:r w:rsidRPr="0023027E">
        <w:rPr>
          <w:rFonts w:cs="Arial"/>
          <w:b/>
          <w:bCs/>
          <w:szCs w:val="20"/>
        </w:rPr>
        <w:t>členu</w:t>
      </w:r>
    </w:p>
    <w:p w14:paraId="1BF69080" w14:textId="77777777" w:rsidR="007F7F51" w:rsidRDefault="007F7F51" w:rsidP="007F7F51">
      <w:pPr>
        <w:jc w:val="both"/>
        <w:rPr>
          <w:rFonts w:cs="Arial"/>
          <w:szCs w:val="20"/>
        </w:rPr>
      </w:pPr>
      <w:r w:rsidRPr="0023027E">
        <w:rPr>
          <w:rFonts w:cs="Arial"/>
          <w:szCs w:val="20"/>
        </w:rPr>
        <w:t>S tem členom se dodaja nov</w:t>
      </w:r>
      <w:r>
        <w:rPr>
          <w:rFonts w:cs="Arial"/>
          <w:szCs w:val="20"/>
        </w:rPr>
        <w:t>i</w:t>
      </w:r>
      <w:r w:rsidRPr="0023027E">
        <w:rPr>
          <w:rFonts w:cs="Arial"/>
          <w:szCs w:val="20"/>
        </w:rPr>
        <w:t xml:space="preserve"> 4.a člen Zakon</w:t>
      </w:r>
      <w:r>
        <w:rPr>
          <w:rFonts w:cs="Arial"/>
          <w:szCs w:val="20"/>
        </w:rPr>
        <w:t>a</w:t>
      </w:r>
      <w:r w:rsidRPr="0023027E">
        <w:rPr>
          <w:rFonts w:cs="Arial"/>
          <w:szCs w:val="20"/>
        </w:rPr>
        <w:t xml:space="preserve"> o izvajanju Uredbe (EU) o evropskih zelenih obveznicah in neobveznih razkritjih za obveznice, ki se tržijo kot </w:t>
      </w:r>
      <w:proofErr w:type="spellStart"/>
      <w:r w:rsidRPr="0023027E">
        <w:rPr>
          <w:rFonts w:cs="Arial"/>
          <w:szCs w:val="20"/>
        </w:rPr>
        <w:t>okoljsko</w:t>
      </w:r>
      <w:proofErr w:type="spellEnd"/>
      <w:r w:rsidRPr="0023027E">
        <w:rPr>
          <w:rFonts w:cs="Arial"/>
          <w:szCs w:val="20"/>
        </w:rPr>
        <w:t xml:space="preserve"> trajnostne obveznice, in za obveznice, povezane s </w:t>
      </w:r>
      <w:proofErr w:type="spellStart"/>
      <w:r w:rsidRPr="0023027E">
        <w:rPr>
          <w:rFonts w:cs="Arial"/>
          <w:szCs w:val="20"/>
        </w:rPr>
        <w:t>trajnostnostjo</w:t>
      </w:r>
      <w:proofErr w:type="spellEnd"/>
      <w:r w:rsidRPr="0023027E">
        <w:rPr>
          <w:rFonts w:cs="Arial"/>
          <w:szCs w:val="20"/>
        </w:rPr>
        <w:t xml:space="preserve"> (Uradni list RS, št. 24/25), ki ureja izvajanje 19. člena Uredbe 2023/2869/EU. Z novim 4.a členom se določa pristojni organ (Banka Slovenije, ATVP in AZN) v zvezi z zbiranjem in </w:t>
      </w:r>
      <w:r>
        <w:rPr>
          <w:rFonts w:cs="Arial"/>
          <w:szCs w:val="20"/>
        </w:rPr>
        <w:t>pošiljanjem</w:t>
      </w:r>
      <w:r w:rsidRPr="0023027E">
        <w:rPr>
          <w:rFonts w:cs="Arial"/>
          <w:szCs w:val="20"/>
        </w:rPr>
        <w:t xml:space="preserve"> informacij ESAP.</w:t>
      </w:r>
    </w:p>
    <w:p w14:paraId="5D122EAD" w14:textId="77777777" w:rsidR="007F7F51" w:rsidRDefault="007F7F51" w:rsidP="007F7F51">
      <w:pPr>
        <w:jc w:val="both"/>
        <w:rPr>
          <w:rFonts w:cs="Arial"/>
          <w:szCs w:val="20"/>
        </w:rPr>
      </w:pPr>
    </w:p>
    <w:p w14:paraId="1D959B2F" w14:textId="0A21E073" w:rsidR="007F7F51" w:rsidRPr="00593929" w:rsidRDefault="007F7F51" w:rsidP="007F7F51">
      <w:pPr>
        <w:jc w:val="both"/>
        <w:rPr>
          <w:rFonts w:cs="Arial"/>
          <w:szCs w:val="20"/>
        </w:rPr>
      </w:pPr>
      <w:r>
        <w:rPr>
          <w:rFonts w:cs="Arial"/>
          <w:szCs w:val="20"/>
        </w:rPr>
        <w:t xml:space="preserve">19. člen Uredbe </w:t>
      </w:r>
      <w:r w:rsidRPr="0023027E">
        <w:rPr>
          <w:rFonts w:cs="Arial"/>
          <w:szCs w:val="20"/>
        </w:rPr>
        <w:t>2023/2869/EU</w:t>
      </w:r>
      <w:r>
        <w:rPr>
          <w:rFonts w:cs="Arial"/>
          <w:szCs w:val="20"/>
        </w:rPr>
        <w:t xml:space="preserve"> </w:t>
      </w:r>
      <w:r w:rsidRPr="00593929">
        <w:rPr>
          <w:rFonts w:cs="Arial"/>
          <w:szCs w:val="20"/>
        </w:rPr>
        <w:t>neposredn</w:t>
      </w:r>
      <w:r>
        <w:rPr>
          <w:rFonts w:cs="Arial"/>
          <w:szCs w:val="20"/>
        </w:rPr>
        <w:t>o</w:t>
      </w:r>
      <w:r w:rsidRPr="00593929">
        <w:rPr>
          <w:rFonts w:cs="Arial"/>
          <w:szCs w:val="20"/>
        </w:rPr>
        <w:t xml:space="preserve"> obveznost izdajatelja, da ob objavi informativnega lista, poročil o dodelitvi in vplivu ter razkritij te dokumente hkrati pošlje v strojno berljiv</w:t>
      </w:r>
      <w:r>
        <w:rPr>
          <w:rFonts w:cs="Arial"/>
          <w:szCs w:val="20"/>
        </w:rPr>
        <w:t>i</w:t>
      </w:r>
      <w:r w:rsidRPr="00593929">
        <w:rPr>
          <w:rFonts w:cs="Arial"/>
          <w:szCs w:val="20"/>
        </w:rPr>
        <w:t xml:space="preserve"> </w:t>
      </w:r>
      <w:r>
        <w:rPr>
          <w:rFonts w:cs="Arial"/>
          <w:szCs w:val="20"/>
        </w:rPr>
        <w:t>obliki</w:t>
      </w:r>
      <w:r w:rsidRPr="00593929">
        <w:rPr>
          <w:rFonts w:cs="Arial"/>
          <w:szCs w:val="20"/>
        </w:rPr>
        <w:t xml:space="preserve"> z obveznimi metapodatki. </w:t>
      </w:r>
      <w:r>
        <w:rPr>
          <w:rFonts w:cs="Arial"/>
          <w:szCs w:val="20"/>
        </w:rPr>
        <w:t>D</w:t>
      </w:r>
      <w:r w:rsidRPr="00593929">
        <w:rPr>
          <w:rFonts w:cs="Arial"/>
          <w:szCs w:val="20"/>
        </w:rPr>
        <w:t xml:space="preserve">ržave članice morajo do 9. januarja 2030 imenovati in prijaviti ESMA nacionalni organ, sicer kršijo pravo EU. ESMA </w:t>
      </w:r>
      <w:r>
        <w:rPr>
          <w:rFonts w:cs="Arial"/>
          <w:szCs w:val="20"/>
        </w:rPr>
        <w:t>ima</w:t>
      </w:r>
      <w:r w:rsidRPr="00593929">
        <w:rPr>
          <w:rFonts w:cs="Arial"/>
          <w:szCs w:val="20"/>
        </w:rPr>
        <w:t xml:space="preserve"> pooblastilo za določitev dodatnih metapodatkov, struktur in </w:t>
      </w:r>
      <w:r w:rsidRPr="00AC73A5">
        <w:rPr>
          <w:rFonts w:cs="Arial"/>
          <w:szCs w:val="20"/>
        </w:rPr>
        <w:t xml:space="preserve">obveznih strojnih </w:t>
      </w:r>
      <w:r>
        <w:rPr>
          <w:rFonts w:cs="Arial"/>
          <w:szCs w:val="20"/>
        </w:rPr>
        <w:t xml:space="preserve">berljivih </w:t>
      </w:r>
      <w:r w:rsidRPr="00AC73A5">
        <w:rPr>
          <w:rFonts w:cs="Arial"/>
          <w:szCs w:val="20"/>
        </w:rPr>
        <w:t>formatov</w:t>
      </w:r>
      <w:r w:rsidRPr="00593929">
        <w:rPr>
          <w:rFonts w:cs="Arial"/>
          <w:szCs w:val="20"/>
        </w:rPr>
        <w:t xml:space="preserve"> ter za terenske teste in smernice o pravilnosti. </w:t>
      </w:r>
    </w:p>
    <w:p w14:paraId="0F878686" w14:textId="77777777" w:rsidR="0023649D" w:rsidRPr="0023027E" w:rsidRDefault="0023649D" w:rsidP="00FE0F83">
      <w:pPr>
        <w:spacing w:line="276" w:lineRule="auto"/>
        <w:jc w:val="both"/>
        <w:rPr>
          <w:rFonts w:cs="Arial"/>
          <w:b/>
          <w:bCs/>
          <w:szCs w:val="20"/>
        </w:rPr>
      </w:pPr>
    </w:p>
    <w:p w14:paraId="5D4083E7" w14:textId="18040AE1" w:rsidR="00FE0F83" w:rsidRPr="0023027E" w:rsidRDefault="00FE0F83" w:rsidP="00FE0F83">
      <w:pPr>
        <w:spacing w:line="276" w:lineRule="auto"/>
        <w:jc w:val="both"/>
        <w:rPr>
          <w:rFonts w:cs="Arial"/>
          <w:b/>
          <w:bCs/>
          <w:szCs w:val="20"/>
        </w:rPr>
      </w:pPr>
      <w:r w:rsidRPr="0023027E">
        <w:rPr>
          <w:rFonts w:cs="Arial"/>
          <w:b/>
          <w:bCs/>
          <w:szCs w:val="20"/>
        </w:rPr>
        <w:t xml:space="preserve">K </w:t>
      </w:r>
      <w:r w:rsidR="00294FB5">
        <w:rPr>
          <w:rFonts w:cs="Arial"/>
          <w:b/>
          <w:bCs/>
          <w:szCs w:val="20"/>
        </w:rPr>
        <w:t>40</w:t>
      </w:r>
      <w:r w:rsidR="003A61C3" w:rsidRPr="0023027E">
        <w:rPr>
          <w:rFonts w:cs="Arial"/>
          <w:b/>
          <w:bCs/>
          <w:szCs w:val="20"/>
        </w:rPr>
        <w:t xml:space="preserve">. </w:t>
      </w:r>
      <w:r w:rsidRPr="0023027E">
        <w:rPr>
          <w:rFonts w:cs="Arial"/>
          <w:b/>
          <w:bCs/>
          <w:szCs w:val="20"/>
        </w:rPr>
        <w:t>členu</w:t>
      </w:r>
    </w:p>
    <w:p w14:paraId="249BBCA4" w14:textId="205FCDC3" w:rsidR="007F7F51" w:rsidRPr="0023027E" w:rsidRDefault="007F7F51" w:rsidP="007F7F51">
      <w:pPr>
        <w:jc w:val="both"/>
        <w:rPr>
          <w:rFonts w:cs="Arial"/>
          <w:szCs w:val="20"/>
        </w:rPr>
      </w:pPr>
      <w:bookmarkStart w:id="73" w:name="_Hlk207373380"/>
      <w:r>
        <w:rPr>
          <w:rFonts w:cs="Arial"/>
          <w:szCs w:val="20"/>
        </w:rPr>
        <w:t>V 44</w:t>
      </w:r>
      <w:r w:rsidRPr="0023027E">
        <w:rPr>
          <w:rFonts w:cs="Arial"/>
          <w:szCs w:val="20"/>
        </w:rPr>
        <w:t>. člen</w:t>
      </w:r>
      <w:r>
        <w:rPr>
          <w:rFonts w:cs="Arial"/>
          <w:szCs w:val="20"/>
        </w:rPr>
        <w:t>u</w:t>
      </w:r>
      <w:r w:rsidRPr="0023027E">
        <w:rPr>
          <w:rFonts w:cs="Arial"/>
          <w:szCs w:val="20"/>
        </w:rPr>
        <w:t xml:space="preserve"> predlog zakona določa časovni okvir za začetek uporabe posameznih členov predloga, ki spreminjajo ali dopolnjujejo več drugih zakonov. Namen člena je zagotoviti postopen prehod na uveljavitev novih pravil, kar je to potrebno zaradi uskladitve z zahtevami Direktive 2023/2864/EU in Uredbe</w:t>
      </w:r>
      <w:r>
        <w:rPr>
          <w:rFonts w:cs="Arial"/>
          <w:szCs w:val="20"/>
        </w:rPr>
        <w:t xml:space="preserve"> </w:t>
      </w:r>
      <w:r w:rsidRPr="0023027E">
        <w:rPr>
          <w:rFonts w:cs="Arial"/>
          <w:szCs w:val="20"/>
        </w:rPr>
        <w:t xml:space="preserve">2023/2869/EU, ki določata roke za </w:t>
      </w:r>
      <w:r>
        <w:rPr>
          <w:rFonts w:cs="Arial"/>
          <w:szCs w:val="20"/>
        </w:rPr>
        <w:t>uveljavitev</w:t>
      </w:r>
      <w:r w:rsidRPr="0023027E">
        <w:rPr>
          <w:rFonts w:cs="Arial"/>
          <w:szCs w:val="20"/>
        </w:rPr>
        <w:t>. Takojšnja uporaba vseh določb ne bi bila izvedljiva, saj subjekti, ki jih te določbe zadevajo, potrebujejo čas za prilagoditev.</w:t>
      </w:r>
    </w:p>
    <w:p w14:paraId="05A0B1EE" w14:textId="77777777" w:rsidR="007F7F51" w:rsidRPr="0023027E" w:rsidRDefault="007F7F51" w:rsidP="007F7F51">
      <w:pPr>
        <w:jc w:val="both"/>
        <w:rPr>
          <w:rFonts w:cs="Arial"/>
          <w:szCs w:val="20"/>
        </w:rPr>
      </w:pPr>
    </w:p>
    <w:p w14:paraId="00D69C7B" w14:textId="77777777" w:rsidR="007F7F51" w:rsidRPr="0023027E" w:rsidRDefault="007F7F51" w:rsidP="007F7F51">
      <w:pPr>
        <w:jc w:val="both"/>
        <w:rPr>
          <w:rFonts w:cs="Arial"/>
          <w:szCs w:val="20"/>
        </w:rPr>
      </w:pPr>
      <w:r w:rsidRPr="0023027E">
        <w:rPr>
          <w:rFonts w:cs="Arial"/>
          <w:szCs w:val="20"/>
        </w:rPr>
        <w:lastRenderedPageBreak/>
        <w:t xml:space="preserve">Prvi odstavek določa določbe člene, ki se začnejo uporabljati 10. januarja 2028. Drugi odstavek določa </w:t>
      </w:r>
      <w:r>
        <w:rPr>
          <w:rFonts w:cs="Arial"/>
          <w:szCs w:val="20"/>
        </w:rPr>
        <w:t>poz</w:t>
      </w:r>
      <w:r w:rsidRPr="0023027E">
        <w:rPr>
          <w:rFonts w:cs="Arial"/>
          <w:szCs w:val="20"/>
        </w:rPr>
        <w:t xml:space="preserve">nejši datum, </w:t>
      </w:r>
      <w:r>
        <w:rPr>
          <w:rFonts w:cs="Arial"/>
          <w:szCs w:val="20"/>
        </w:rPr>
        <w:t xml:space="preserve">tj. </w:t>
      </w:r>
      <w:r w:rsidRPr="0023027E">
        <w:rPr>
          <w:rFonts w:cs="Arial"/>
          <w:szCs w:val="20"/>
        </w:rPr>
        <w:t>10. januar 2030, za uporabo določb, ki posegajo v druge zakon</w:t>
      </w:r>
      <w:r>
        <w:rPr>
          <w:rFonts w:cs="Arial"/>
          <w:szCs w:val="20"/>
        </w:rPr>
        <w:t>e</w:t>
      </w:r>
      <w:r w:rsidRPr="0023027E">
        <w:rPr>
          <w:rFonts w:cs="Arial"/>
          <w:szCs w:val="20"/>
        </w:rPr>
        <w:t xml:space="preserve">, ki so predmet dopolnitev ali sprememb s predlogom zakona. </w:t>
      </w:r>
      <w:r>
        <w:rPr>
          <w:rFonts w:cs="Arial"/>
          <w:szCs w:val="20"/>
        </w:rPr>
        <w:t>Preložitev</w:t>
      </w:r>
      <w:r w:rsidRPr="0023027E">
        <w:rPr>
          <w:rFonts w:cs="Arial"/>
          <w:szCs w:val="20"/>
        </w:rPr>
        <w:t xml:space="preserve"> je potrebn</w:t>
      </w:r>
      <w:r>
        <w:rPr>
          <w:rFonts w:cs="Arial"/>
          <w:szCs w:val="20"/>
        </w:rPr>
        <w:t>a</w:t>
      </w:r>
      <w:r w:rsidRPr="0023027E">
        <w:rPr>
          <w:rFonts w:cs="Arial"/>
          <w:szCs w:val="20"/>
        </w:rPr>
        <w:t>, ker Direktiv</w:t>
      </w:r>
      <w:r>
        <w:rPr>
          <w:rFonts w:cs="Arial"/>
          <w:szCs w:val="20"/>
        </w:rPr>
        <w:t>a</w:t>
      </w:r>
      <w:r w:rsidRPr="0023027E">
        <w:rPr>
          <w:rFonts w:cs="Arial"/>
          <w:szCs w:val="20"/>
        </w:rPr>
        <w:t xml:space="preserve"> 2023/2864/EU in Uredb</w:t>
      </w:r>
      <w:r>
        <w:rPr>
          <w:rFonts w:cs="Arial"/>
          <w:szCs w:val="20"/>
        </w:rPr>
        <w:t xml:space="preserve">a </w:t>
      </w:r>
      <w:r w:rsidRPr="0023027E">
        <w:rPr>
          <w:rFonts w:cs="Arial"/>
          <w:szCs w:val="20"/>
        </w:rPr>
        <w:t>2023/2869/EU predpisujeta postopen</w:t>
      </w:r>
      <w:r>
        <w:rPr>
          <w:rFonts w:cs="Arial"/>
          <w:szCs w:val="20"/>
        </w:rPr>
        <w:t xml:space="preserve"> prehod na uveljavitev</w:t>
      </w:r>
      <w:r w:rsidRPr="0023027E">
        <w:rPr>
          <w:rFonts w:cs="Arial"/>
          <w:szCs w:val="20"/>
        </w:rPr>
        <w:t xml:space="preserve">, kar </w:t>
      </w:r>
      <w:r>
        <w:rPr>
          <w:rFonts w:cs="Arial"/>
          <w:szCs w:val="20"/>
        </w:rPr>
        <w:t>naslovnikom zakona</w:t>
      </w:r>
      <w:r w:rsidRPr="00653BC6">
        <w:rPr>
          <w:rFonts w:cs="Arial"/>
          <w:szCs w:val="20"/>
        </w:rPr>
        <w:t xml:space="preserve"> </w:t>
      </w:r>
      <w:r w:rsidRPr="0023027E">
        <w:rPr>
          <w:rFonts w:cs="Arial"/>
          <w:szCs w:val="20"/>
        </w:rPr>
        <w:t>omogoča, da prilagodijo svoje procese, organizacijo ali administrativne postopke.</w:t>
      </w:r>
    </w:p>
    <w:bookmarkEnd w:id="73"/>
    <w:p w14:paraId="53A6089E" w14:textId="77777777" w:rsidR="00D348C3" w:rsidRPr="0023027E" w:rsidRDefault="00D348C3" w:rsidP="00C64B3F">
      <w:pPr>
        <w:spacing w:line="240" w:lineRule="auto"/>
        <w:jc w:val="both"/>
        <w:rPr>
          <w:rFonts w:cs="Arial"/>
          <w:szCs w:val="20"/>
        </w:rPr>
      </w:pPr>
    </w:p>
    <w:p w14:paraId="23A58545" w14:textId="10402003" w:rsidR="0023649D" w:rsidRPr="0023027E" w:rsidRDefault="0023649D" w:rsidP="0023649D">
      <w:pPr>
        <w:spacing w:line="276" w:lineRule="auto"/>
        <w:jc w:val="both"/>
        <w:rPr>
          <w:rFonts w:cs="Arial"/>
          <w:b/>
          <w:bCs/>
          <w:szCs w:val="20"/>
        </w:rPr>
      </w:pPr>
      <w:r w:rsidRPr="0023027E">
        <w:rPr>
          <w:rFonts w:cs="Arial"/>
          <w:b/>
          <w:bCs/>
          <w:szCs w:val="20"/>
        </w:rPr>
        <w:t xml:space="preserve">K </w:t>
      </w:r>
      <w:r w:rsidR="00294FB5">
        <w:rPr>
          <w:rFonts w:cs="Arial"/>
          <w:b/>
          <w:bCs/>
          <w:szCs w:val="20"/>
        </w:rPr>
        <w:t>41</w:t>
      </w:r>
      <w:r w:rsidR="003A61C3" w:rsidRPr="0023027E">
        <w:rPr>
          <w:rFonts w:cs="Arial"/>
          <w:b/>
          <w:bCs/>
          <w:szCs w:val="20"/>
        </w:rPr>
        <w:t xml:space="preserve">. </w:t>
      </w:r>
      <w:r w:rsidRPr="0023027E">
        <w:rPr>
          <w:rFonts w:cs="Arial"/>
          <w:b/>
          <w:bCs/>
          <w:szCs w:val="20"/>
        </w:rPr>
        <w:t>členu</w:t>
      </w:r>
    </w:p>
    <w:p w14:paraId="1FF662D0" w14:textId="77777777" w:rsidR="0023649D" w:rsidRPr="0023027E" w:rsidRDefault="0023649D" w:rsidP="00C64B3F">
      <w:pPr>
        <w:spacing w:line="240" w:lineRule="auto"/>
        <w:jc w:val="both"/>
        <w:rPr>
          <w:rFonts w:cs="Arial"/>
          <w:szCs w:val="20"/>
        </w:rPr>
      </w:pPr>
      <w:r w:rsidRPr="0023027E">
        <w:rPr>
          <w:rFonts w:cs="Arial"/>
          <w:szCs w:val="20"/>
        </w:rPr>
        <w:t xml:space="preserve">Določa se začetek veljavnosti zakona, kar je </w:t>
      </w:r>
      <w:r w:rsidRPr="0023027E">
        <w:rPr>
          <w:rFonts w:eastAsiaTheme="majorEastAsia" w:cs="Arial"/>
          <w:bCs/>
          <w:szCs w:val="20"/>
        </w:rPr>
        <w:t>petnajsti dan po objavi v Uradnem listu Republike Slovenije.</w:t>
      </w:r>
      <w:r w:rsidR="003421AC" w:rsidRPr="0023027E">
        <w:rPr>
          <w:rFonts w:eastAsiaTheme="majorEastAsia" w:cs="Arial"/>
          <w:bCs/>
          <w:szCs w:val="20"/>
        </w:rPr>
        <w:t xml:space="preserve"> </w:t>
      </w:r>
    </w:p>
    <w:p w14:paraId="4A39889F" w14:textId="77777777" w:rsidR="00FE0F83" w:rsidRDefault="00FE0F83" w:rsidP="00C64B3F">
      <w:pPr>
        <w:spacing w:line="240" w:lineRule="auto"/>
        <w:jc w:val="both"/>
        <w:rPr>
          <w:rFonts w:cs="Arial"/>
          <w:szCs w:val="20"/>
        </w:rPr>
      </w:pPr>
    </w:p>
    <w:p w14:paraId="1C3B2B68" w14:textId="77777777" w:rsidR="00FE0F83" w:rsidRDefault="00FE0F83" w:rsidP="00C64B3F">
      <w:pPr>
        <w:spacing w:line="240" w:lineRule="auto"/>
        <w:jc w:val="both"/>
        <w:rPr>
          <w:rFonts w:cs="Arial"/>
          <w:szCs w:val="20"/>
        </w:rPr>
      </w:pPr>
    </w:p>
    <w:p w14:paraId="24FD00FC" w14:textId="77777777" w:rsidR="00FE0F83" w:rsidRDefault="00FE0F83" w:rsidP="00C64B3F">
      <w:pPr>
        <w:spacing w:line="240" w:lineRule="auto"/>
        <w:jc w:val="both"/>
        <w:rPr>
          <w:rFonts w:cs="Arial"/>
          <w:szCs w:val="20"/>
        </w:rPr>
      </w:pPr>
    </w:p>
    <w:p w14:paraId="191B92F9" w14:textId="77777777" w:rsidR="00FE0F83" w:rsidRDefault="00FE0F83" w:rsidP="00C64B3F">
      <w:pPr>
        <w:spacing w:line="240" w:lineRule="auto"/>
        <w:jc w:val="both"/>
        <w:rPr>
          <w:rFonts w:cs="Arial"/>
          <w:szCs w:val="20"/>
        </w:rPr>
      </w:pPr>
    </w:p>
    <w:p w14:paraId="51E2229D" w14:textId="77777777" w:rsidR="00FE0F83" w:rsidRDefault="00FE0F83" w:rsidP="00C64B3F">
      <w:pPr>
        <w:spacing w:line="240" w:lineRule="auto"/>
        <w:jc w:val="both"/>
        <w:rPr>
          <w:rFonts w:cs="Arial"/>
          <w:szCs w:val="20"/>
        </w:rPr>
      </w:pPr>
    </w:p>
    <w:p w14:paraId="6B56B7CD" w14:textId="77777777" w:rsidR="00B32776" w:rsidRDefault="00B32776" w:rsidP="00C64B3F">
      <w:pPr>
        <w:spacing w:line="240" w:lineRule="auto"/>
        <w:jc w:val="both"/>
        <w:rPr>
          <w:rFonts w:cs="Arial"/>
          <w:szCs w:val="20"/>
        </w:rPr>
      </w:pPr>
    </w:p>
    <w:p w14:paraId="78D61A59" w14:textId="77777777" w:rsidR="00325031" w:rsidRDefault="00325031" w:rsidP="00C64B3F">
      <w:pPr>
        <w:spacing w:line="240" w:lineRule="auto"/>
        <w:jc w:val="both"/>
        <w:rPr>
          <w:rFonts w:cs="Arial"/>
          <w:szCs w:val="20"/>
        </w:rPr>
      </w:pPr>
    </w:p>
    <w:p w14:paraId="48BDB14E" w14:textId="77777777" w:rsidR="0053256E" w:rsidRPr="00732B0A" w:rsidRDefault="0053256E" w:rsidP="00C64B3F">
      <w:pPr>
        <w:spacing w:line="240" w:lineRule="auto"/>
        <w:jc w:val="both"/>
        <w:rPr>
          <w:rFonts w:cs="Arial"/>
          <w:szCs w:val="20"/>
        </w:rPr>
      </w:pPr>
    </w:p>
    <w:p w14:paraId="3047E99C" w14:textId="77777777" w:rsidR="001E1871" w:rsidRDefault="001E1871">
      <w:pPr>
        <w:spacing w:line="240" w:lineRule="auto"/>
        <w:rPr>
          <w:rFonts w:eastAsia="Calibri" w:cs="Arial"/>
          <w:b/>
          <w:szCs w:val="20"/>
        </w:rPr>
      </w:pPr>
      <w:r>
        <w:rPr>
          <w:rFonts w:cs="Arial"/>
          <w:b/>
          <w:szCs w:val="20"/>
        </w:rPr>
        <w:br w:type="page"/>
      </w:r>
    </w:p>
    <w:p w14:paraId="51D9CB34" w14:textId="77777777" w:rsidR="00E16CD0" w:rsidRPr="00732B0A" w:rsidRDefault="00E16CD0" w:rsidP="00C64B3F">
      <w:pPr>
        <w:pStyle w:val="Brezrazmikov2"/>
        <w:jc w:val="both"/>
        <w:rPr>
          <w:rFonts w:ascii="Arial" w:hAnsi="Arial" w:cs="Arial"/>
          <w:b/>
          <w:szCs w:val="20"/>
        </w:rPr>
      </w:pPr>
      <w:r w:rsidRPr="00732B0A">
        <w:rPr>
          <w:rFonts w:ascii="Arial" w:hAnsi="Arial" w:cs="Arial"/>
          <w:b/>
          <w:szCs w:val="20"/>
        </w:rPr>
        <w:lastRenderedPageBreak/>
        <w:t>IV. BESEDILO ČLENOV, KI SE SPREMINJAJO</w:t>
      </w:r>
      <w:r w:rsidR="001D4C69">
        <w:rPr>
          <w:rFonts w:ascii="Arial" w:hAnsi="Arial" w:cs="Arial"/>
          <w:b/>
          <w:szCs w:val="20"/>
        </w:rPr>
        <w:t>:</w:t>
      </w:r>
      <w:r w:rsidR="00094811">
        <w:rPr>
          <w:rFonts w:ascii="Arial" w:hAnsi="Arial" w:cs="Arial"/>
          <w:b/>
          <w:szCs w:val="20"/>
        </w:rPr>
        <w:t xml:space="preserve"> </w:t>
      </w:r>
    </w:p>
    <w:p w14:paraId="2B557950" w14:textId="77777777" w:rsidR="001F7CAE" w:rsidRDefault="001F7CAE" w:rsidP="00C64B3F">
      <w:pPr>
        <w:spacing w:line="260" w:lineRule="exact"/>
        <w:jc w:val="both"/>
        <w:rPr>
          <w:rFonts w:cs="Arial"/>
          <w:b/>
          <w:szCs w:val="20"/>
        </w:rPr>
      </w:pPr>
    </w:p>
    <w:p w14:paraId="091BA95D" w14:textId="77777777" w:rsidR="00572B2F" w:rsidRPr="00854A9A" w:rsidRDefault="00572B2F" w:rsidP="00854A9A">
      <w:pPr>
        <w:jc w:val="both"/>
        <w:rPr>
          <w:rFonts w:cs="Arial"/>
          <w:b/>
          <w:bCs/>
          <w:szCs w:val="20"/>
        </w:rPr>
      </w:pPr>
      <w:r w:rsidRPr="00854A9A">
        <w:rPr>
          <w:rFonts w:cs="Arial"/>
          <w:b/>
          <w:bCs/>
          <w:szCs w:val="20"/>
        </w:rPr>
        <w:t>Zakon o finančnih konglomeratih (Uradni list RS, št. 43/06, 87/11 in 56/13)</w:t>
      </w:r>
    </w:p>
    <w:p w14:paraId="053D0A37" w14:textId="77777777" w:rsidR="00572B2F" w:rsidRDefault="00572B2F" w:rsidP="00572B2F">
      <w:pPr>
        <w:jc w:val="both"/>
        <w:rPr>
          <w:rFonts w:cs="Arial"/>
          <w:szCs w:val="20"/>
        </w:rPr>
      </w:pPr>
    </w:p>
    <w:p w14:paraId="11BD80A7" w14:textId="77777777" w:rsidR="006F345D" w:rsidRPr="006F345D" w:rsidRDefault="006F345D" w:rsidP="00854A9A">
      <w:pPr>
        <w:jc w:val="center"/>
        <w:rPr>
          <w:rFonts w:cs="Arial"/>
          <w:b/>
          <w:bCs/>
          <w:szCs w:val="20"/>
        </w:rPr>
      </w:pPr>
      <w:r w:rsidRPr="006F345D">
        <w:rPr>
          <w:rFonts w:cs="Arial"/>
          <w:b/>
          <w:bCs/>
          <w:szCs w:val="20"/>
        </w:rPr>
        <w:t>1. člen</w:t>
      </w:r>
    </w:p>
    <w:p w14:paraId="2DFD41A3" w14:textId="77777777" w:rsidR="006F345D" w:rsidRPr="006F345D" w:rsidRDefault="006F345D" w:rsidP="00854A9A">
      <w:pPr>
        <w:jc w:val="center"/>
        <w:rPr>
          <w:rFonts w:cs="Arial"/>
          <w:b/>
          <w:bCs/>
          <w:szCs w:val="20"/>
        </w:rPr>
      </w:pPr>
      <w:r w:rsidRPr="006F345D">
        <w:rPr>
          <w:rFonts w:cs="Arial"/>
          <w:b/>
          <w:bCs/>
          <w:szCs w:val="20"/>
        </w:rPr>
        <w:t>(vsebina zakona)</w:t>
      </w:r>
    </w:p>
    <w:p w14:paraId="67CBE22E" w14:textId="77777777" w:rsidR="006F345D" w:rsidRPr="006F345D" w:rsidRDefault="006F345D" w:rsidP="006F345D">
      <w:pPr>
        <w:jc w:val="both"/>
        <w:rPr>
          <w:rFonts w:cs="Arial"/>
          <w:szCs w:val="20"/>
        </w:rPr>
      </w:pPr>
      <w:r w:rsidRPr="006F345D">
        <w:rPr>
          <w:rFonts w:cs="Arial"/>
          <w:szCs w:val="20"/>
        </w:rPr>
        <w:t>(1) Ta zakon določa dopolnilni nadzor nad nadzorovanimi osebami, ki so del finančnega konglomerata, v skladu z zahtevami Direktive Evropskega parlamenta in Sveta 2002/87/ES z dne 16. decembra 2002 o dopolnilnem nadzoru kreditnih institucij, zavarovalnic in investicijskih družb v finančnem konglomeratu (UL L št. 35 z dne 11. 2. 2003, str. 1, v nadaljnjem besedilu: direktiva 2002/87/ES), zadnjič spremenjene z Direktivo 2011/89/EU Evropskega parlamenta in Sveta z dne 16. novembra 2011 o spremembah direktiv 98/78/ES, 2002/87/ES, 2006/48/ES in 2009/138/ES glede dopolnilnega nadzora finančnih subjektov v finančnem konglomeratu (UL L št. 326 z dne 8. 12. 2011, str. 113).</w:t>
      </w:r>
    </w:p>
    <w:p w14:paraId="13B0E1FE" w14:textId="77777777" w:rsidR="006F345D" w:rsidRPr="006F345D" w:rsidRDefault="006F345D" w:rsidP="006F345D">
      <w:pPr>
        <w:jc w:val="both"/>
        <w:rPr>
          <w:rFonts w:cs="Arial"/>
          <w:szCs w:val="20"/>
        </w:rPr>
      </w:pPr>
      <w:r w:rsidRPr="006F345D">
        <w:rPr>
          <w:rFonts w:cs="Arial"/>
          <w:szCs w:val="20"/>
        </w:rPr>
        <w:t>(2) Cilji dopolnilnega nadzora so predvsem:</w:t>
      </w:r>
    </w:p>
    <w:p w14:paraId="03DA9A9A" w14:textId="77777777" w:rsidR="006F345D" w:rsidRPr="006F345D" w:rsidRDefault="006F345D" w:rsidP="006F345D">
      <w:pPr>
        <w:jc w:val="both"/>
        <w:rPr>
          <w:rFonts w:cs="Arial"/>
          <w:szCs w:val="20"/>
        </w:rPr>
      </w:pPr>
      <w:r w:rsidRPr="006F345D">
        <w:rPr>
          <w:rFonts w:cs="Arial"/>
          <w:szCs w:val="20"/>
        </w:rPr>
        <w:t>-        zagotoviti obvladovanje tveganj, ki so povezana s poslovanjem nadzorovanih oseb v finančnem konglomeratu in tako zagotavljati večjo stabilnost finančnega sektorja;</w:t>
      </w:r>
    </w:p>
    <w:p w14:paraId="7469CACD" w14:textId="77777777" w:rsidR="006F345D" w:rsidRPr="006F345D" w:rsidRDefault="006F345D" w:rsidP="006F345D">
      <w:pPr>
        <w:jc w:val="both"/>
        <w:rPr>
          <w:rFonts w:cs="Arial"/>
          <w:szCs w:val="20"/>
        </w:rPr>
      </w:pPr>
      <w:r w:rsidRPr="006F345D">
        <w:rPr>
          <w:rFonts w:cs="Arial"/>
          <w:szCs w:val="20"/>
        </w:rPr>
        <w:t>-        ob sodelovanju pristojnih nadzornih organov in koordinatorja povečati učinkovitost nadzora nad nadzorovanimi osebami iz različnih finančnih sektorjev, kadar so le-te del finančnega konglomerata;</w:t>
      </w:r>
    </w:p>
    <w:p w14:paraId="199617E8" w14:textId="77777777" w:rsidR="006F345D" w:rsidRPr="006F345D" w:rsidRDefault="006F345D" w:rsidP="006F345D">
      <w:pPr>
        <w:jc w:val="both"/>
        <w:rPr>
          <w:rFonts w:cs="Arial"/>
          <w:szCs w:val="20"/>
        </w:rPr>
      </w:pPr>
      <w:r w:rsidRPr="006F345D">
        <w:rPr>
          <w:rFonts w:cs="Arial"/>
          <w:szCs w:val="20"/>
        </w:rPr>
        <w:t>-        povečati preglednost in varnost delovanja finančnega trga v Republiki Sloveniji kot sestavnega dela enotnega finančnega trga na območju držav članic Evropskih skupnosti, ki delujejo v okviru Evropske unije (v nadaljnjem besedilu: območja Evropske unije).</w:t>
      </w:r>
    </w:p>
    <w:p w14:paraId="2E1FD575" w14:textId="77777777" w:rsidR="00572B2F" w:rsidRDefault="00572B2F" w:rsidP="00572B2F">
      <w:pPr>
        <w:jc w:val="both"/>
        <w:rPr>
          <w:rFonts w:cs="Arial"/>
          <w:szCs w:val="20"/>
        </w:rPr>
      </w:pPr>
    </w:p>
    <w:p w14:paraId="164CA97F" w14:textId="77777777" w:rsidR="006F345D" w:rsidRPr="006F345D" w:rsidRDefault="006F345D" w:rsidP="00FE3CE8">
      <w:pPr>
        <w:jc w:val="center"/>
        <w:rPr>
          <w:rFonts w:cs="Arial"/>
          <w:b/>
          <w:bCs/>
          <w:szCs w:val="20"/>
        </w:rPr>
      </w:pPr>
      <w:r w:rsidRPr="006F345D">
        <w:rPr>
          <w:rFonts w:cs="Arial"/>
          <w:b/>
          <w:bCs/>
          <w:szCs w:val="20"/>
        </w:rPr>
        <w:t>55. člen</w:t>
      </w:r>
    </w:p>
    <w:p w14:paraId="160F2543" w14:textId="77777777" w:rsidR="006F345D" w:rsidRPr="006F345D" w:rsidRDefault="006F345D" w:rsidP="00FE3CE8">
      <w:pPr>
        <w:jc w:val="center"/>
        <w:rPr>
          <w:rFonts w:cs="Arial"/>
          <w:b/>
          <w:bCs/>
          <w:szCs w:val="20"/>
        </w:rPr>
      </w:pPr>
      <w:r w:rsidRPr="006F345D">
        <w:rPr>
          <w:rFonts w:cs="Arial"/>
          <w:b/>
          <w:bCs/>
          <w:szCs w:val="20"/>
        </w:rPr>
        <w:t>(lažje kršitve nadzorovane osebe)</w:t>
      </w:r>
    </w:p>
    <w:p w14:paraId="5E1530B0" w14:textId="77777777" w:rsidR="006F345D" w:rsidRPr="006F345D" w:rsidRDefault="006F345D" w:rsidP="006F345D">
      <w:pPr>
        <w:jc w:val="both"/>
        <w:rPr>
          <w:rFonts w:cs="Arial"/>
          <w:szCs w:val="20"/>
        </w:rPr>
      </w:pPr>
      <w:r w:rsidRPr="006F345D">
        <w:rPr>
          <w:rFonts w:cs="Arial"/>
          <w:szCs w:val="20"/>
        </w:rPr>
        <w:t>(1) Z globo od 12.500 do 125.000 eurov se za prekršek kaznuje nadzorovana oseba:</w:t>
      </w:r>
    </w:p>
    <w:p w14:paraId="6DF9B65D" w14:textId="77777777" w:rsidR="006F345D" w:rsidRPr="006F345D" w:rsidRDefault="006F345D" w:rsidP="006F345D">
      <w:pPr>
        <w:jc w:val="both"/>
        <w:rPr>
          <w:rFonts w:cs="Arial"/>
          <w:szCs w:val="20"/>
        </w:rPr>
      </w:pPr>
      <w:r w:rsidRPr="006F345D">
        <w:rPr>
          <w:rFonts w:cs="Arial"/>
          <w:szCs w:val="20"/>
        </w:rPr>
        <w:t>1.      če v roku in na način, določen s predpisom iz tretjega odstavka 16. člena tega zakona, ne obvesti nadzornega organa, da je del skupine, ki bi lahko predstavljala finančni konglomerat;</w:t>
      </w:r>
    </w:p>
    <w:p w14:paraId="1FD5F33E" w14:textId="77777777" w:rsidR="006F345D" w:rsidRPr="006F345D" w:rsidRDefault="006F345D" w:rsidP="006F345D">
      <w:pPr>
        <w:jc w:val="both"/>
        <w:rPr>
          <w:rFonts w:cs="Arial"/>
          <w:szCs w:val="20"/>
        </w:rPr>
      </w:pPr>
      <w:r w:rsidRPr="006F345D">
        <w:rPr>
          <w:rFonts w:cs="Arial"/>
          <w:szCs w:val="20"/>
        </w:rPr>
        <w:t>2.      če kot oseba iz drugega odstavka 17. člena tega zakona ali kot oseba na vrhu skupine v nasprotju s petim odstavkom 17. člena tega zakona ne obvesti koordinatorja, da je skupina prenehala izpolnjevati merila za finančni konglomerat;</w:t>
      </w:r>
    </w:p>
    <w:p w14:paraId="6DE142E6" w14:textId="77777777" w:rsidR="006F345D" w:rsidRPr="006F345D" w:rsidRDefault="006F345D" w:rsidP="006F345D">
      <w:pPr>
        <w:jc w:val="both"/>
        <w:rPr>
          <w:rFonts w:cs="Arial"/>
          <w:szCs w:val="20"/>
        </w:rPr>
      </w:pPr>
      <w:r w:rsidRPr="006F345D">
        <w:rPr>
          <w:rFonts w:cs="Arial"/>
          <w:szCs w:val="20"/>
        </w:rPr>
        <w:t>3.      če kot nadrejena oseba oziroma kot oseba iz drugega odstavka 17. člena tega zakona v nasprotju s prvim oziroma drugim odstavkom 17. člena tega zakona ne obvesti vseh nadzorovanih oseb v skupini, da ji je bila vročena odločba o ugotovitvi finančnega konglomerata;</w:t>
      </w:r>
    </w:p>
    <w:p w14:paraId="75D0664A" w14:textId="77777777" w:rsidR="006F345D" w:rsidRPr="006F345D" w:rsidRDefault="006F345D" w:rsidP="006F345D">
      <w:pPr>
        <w:jc w:val="both"/>
        <w:rPr>
          <w:rFonts w:cs="Arial"/>
          <w:szCs w:val="20"/>
        </w:rPr>
      </w:pPr>
      <w:r w:rsidRPr="006F345D">
        <w:rPr>
          <w:rFonts w:cs="Arial"/>
          <w:szCs w:val="20"/>
        </w:rPr>
        <w:t>4.      če v nasprotju z drugim odstavkom 50. člena tega zakona nadzornemu organu ne omogoči dostopa do informacij za potrebe dopolnilnega nadzora;</w:t>
      </w:r>
    </w:p>
    <w:p w14:paraId="56F12516" w14:textId="77777777" w:rsidR="006F345D" w:rsidRPr="006F345D" w:rsidRDefault="006F345D" w:rsidP="006F345D">
      <w:pPr>
        <w:jc w:val="both"/>
        <w:rPr>
          <w:rFonts w:cs="Arial"/>
          <w:szCs w:val="20"/>
        </w:rPr>
      </w:pPr>
      <w:r w:rsidRPr="006F345D">
        <w:rPr>
          <w:rFonts w:cs="Arial"/>
          <w:szCs w:val="20"/>
        </w:rPr>
        <w:t>5.      če v nasprotju s tretjim odstavkom 50. člena tega zakona ovira medsebojno izmenjavo informacij, ki bi lahko bile odločilne za dopolnilni nadzor ter izmenjavo informacij v skladu s tem zakonom in z ESA v skladu s 35. členom uredbe 1093/2010/EU, uredbe 1094/2010/EU oziroma uredbe 1095/2010/EU oziroma preko Skupnega odbora.</w:t>
      </w:r>
    </w:p>
    <w:p w14:paraId="7C288EBC" w14:textId="77777777" w:rsidR="006F345D" w:rsidRPr="006F345D" w:rsidRDefault="006F345D" w:rsidP="006F345D">
      <w:pPr>
        <w:jc w:val="both"/>
        <w:rPr>
          <w:rFonts w:cs="Arial"/>
          <w:szCs w:val="20"/>
        </w:rPr>
      </w:pPr>
      <w:r w:rsidRPr="006F345D">
        <w:rPr>
          <w:rFonts w:cs="Arial"/>
          <w:szCs w:val="20"/>
        </w:rPr>
        <w:t>(2) Z globo od 400 do 4.200 eurov se za prekršek kaznuje odgovorna oseba nadzorovane osebe, ki stori prekršek iz prejšnjega odstavka.</w:t>
      </w:r>
    </w:p>
    <w:p w14:paraId="3AF8C905" w14:textId="77777777" w:rsidR="00572B2F" w:rsidRDefault="00572B2F" w:rsidP="00572B2F">
      <w:pPr>
        <w:jc w:val="both"/>
        <w:rPr>
          <w:rFonts w:cs="Arial"/>
          <w:szCs w:val="20"/>
        </w:rPr>
      </w:pPr>
    </w:p>
    <w:p w14:paraId="75448F11" w14:textId="77777777" w:rsidR="00572B2F" w:rsidRPr="00FE3CE8" w:rsidRDefault="00572B2F" w:rsidP="00A3280F">
      <w:pPr>
        <w:jc w:val="both"/>
        <w:rPr>
          <w:rFonts w:cs="Arial"/>
          <w:b/>
          <w:bCs/>
          <w:szCs w:val="20"/>
        </w:rPr>
      </w:pPr>
      <w:r w:rsidRPr="00FE3CE8">
        <w:rPr>
          <w:rFonts w:cs="Arial"/>
          <w:b/>
          <w:bCs/>
          <w:szCs w:val="20"/>
        </w:rPr>
        <w:t xml:space="preserve">Zakon o prevzemih (Uradni list RS, št. 79/06, 67/07 -- ZTFI, 1/08, 68/08, 35/11 -- ORZPre75, 105/11 -- </w:t>
      </w:r>
      <w:proofErr w:type="spellStart"/>
      <w:r w:rsidRPr="00FE3CE8">
        <w:rPr>
          <w:rFonts w:cs="Arial"/>
          <w:b/>
          <w:bCs/>
          <w:szCs w:val="20"/>
        </w:rPr>
        <w:t>odl</w:t>
      </w:r>
      <w:proofErr w:type="spellEnd"/>
      <w:r w:rsidRPr="00FE3CE8">
        <w:rPr>
          <w:rFonts w:cs="Arial"/>
          <w:b/>
          <w:bCs/>
          <w:szCs w:val="20"/>
        </w:rPr>
        <w:t>. US, 10/12, 38/12, 56/13, 63/13 -- ZS-K, 25/14 in 75/15)</w:t>
      </w:r>
    </w:p>
    <w:p w14:paraId="62317F9A" w14:textId="77777777" w:rsidR="00572B2F" w:rsidRDefault="00572B2F" w:rsidP="00572B2F">
      <w:pPr>
        <w:jc w:val="both"/>
        <w:rPr>
          <w:rFonts w:cs="Arial"/>
          <w:szCs w:val="20"/>
        </w:rPr>
      </w:pPr>
    </w:p>
    <w:p w14:paraId="1FF91DAD" w14:textId="77777777" w:rsidR="00962DD8" w:rsidRPr="00962DD8" w:rsidRDefault="00962DD8" w:rsidP="00FE3CE8">
      <w:pPr>
        <w:jc w:val="center"/>
        <w:rPr>
          <w:rFonts w:cs="Arial"/>
          <w:b/>
          <w:bCs/>
          <w:szCs w:val="20"/>
        </w:rPr>
      </w:pPr>
      <w:r w:rsidRPr="00962DD8">
        <w:rPr>
          <w:rFonts w:cs="Arial"/>
          <w:b/>
          <w:bCs/>
          <w:szCs w:val="20"/>
        </w:rPr>
        <w:t>2. člen</w:t>
      </w:r>
    </w:p>
    <w:p w14:paraId="32F42A73" w14:textId="77777777" w:rsidR="00962DD8" w:rsidRPr="00962DD8" w:rsidRDefault="00962DD8" w:rsidP="00FE3CE8">
      <w:pPr>
        <w:jc w:val="center"/>
        <w:rPr>
          <w:rFonts w:cs="Arial"/>
          <w:b/>
          <w:bCs/>
          <w:szCs w:val="20"/>
        </w:rPr>
      </w:pPr>
      <w:r w:rsidRPr="00962DD8">
        <w:rPr>
          <w:rFonts w:cs="Arial"/>
          <w:b/>
          <w:bCs/>
          <w:szCs w:val="20"/>
        </w:rPr>
        <w:t>(prenos direktiv Evropske skupnosti)</w:t>
      </w:r>
    </w:p>
    <w:p w14:paraId="5C0D44E2" w14:textId="77777777" w:rsidR="00962DD8" w:rsidRPr="00962DD8" w:rsidRDefault="00962DD8" w:rsidP="00962DD8">
      <w:pPr>
        <w:jc w:val="both"/>
        <w:rPr>
          <w:rFonts w:cs="Arial"/>
          <w:szCs w:val="20"/>
        </w:rPr>
      </w:pPr>
      <w:r w:rsidRPr="00962DD8">
        <w:rPr>
          <w:rFonts w:cs="Arial"/>
          <w:szCs w:val="20"/>
        </w:rPr>
        <w:t>S tem zakonom se v pravni red Republike Slovenije prenaša Direktiva 2004/25/ES Evropskega parlamenta in Sveta z dne 21. aprila 2004 o ponudbah za prevzem (UL L št. 142, 30. 4. 2004, str. 12; v nadaljnjem besedilu: Direktiva 2004/25/ES).</w:t>
      </w:r>
    </w:p>
    <w:p w14:paraId="04187A68" w14:textId="77777777" w:rsidR="00962DD8" w:rsidRPr="00962DD8" w:rsidRDefault="00962DD8" w:rsidP="00FE3CE8">
      <w:pPr>
        <w:jc w:val="center"/>
        <w:rPr>
          <w:rFonts w:cs="Arial"/>
          <w:b/>
          <w:bCs/>
          <w:szCs w:val="20"/>
        </w:rPr>
      </w:pPr>
      <w:r w:rsidRPr="00962DD8">
        <w:rPr>
          <w:rFonts w:cs="Arial"/>
          <w:b/>
          <w:bCs/>
          <w:szCs w:val="20"/>
        </w:rPr>
        <w:lastRenderedPageBreak/>
        <w:t>17. člen</w:t>
      </w:r>
    </w:p>
    <w:p w14:paraId="3A1C9543" w14:textId="77777777" w:rsidR="00962DD8" w:rsidRPr="00962DD8" w:rsidRDefault="00962DD8" w:rsidP="00FE3CE8">
      <w:pPr>
        <w:jc w:val="center"/>
        <w:rPr>
          <w:rFonts w:cs="Arial"/>
          <w:b/>
          <w:bCs/>
          <w:szCs w:val="20"/>
        </w:rPr>
      </w:pPr>
      <w:r w:rsidRPr="00962DD8">
        <w:rPr>
          <w:rFonts w:cs="Arial"/>
          <w:b/>
          <w:bCs/>
          <w:szCs w:val="20"/>
        </w:rPr>
        <w:t>(pravična cena)</w:t>
      </w:r>
    </w:p>
    <w:p w14:paraId="75970EFE" w14:textId="77777777" w:rsidR="00962DD8" w:rsidRPr="00962DD8" w:rsidRDefault="00962DD8" w:rsidP="00962DD8">
      <w:pPr>
        <w:jc w:val="both"/>
        <w:rPr>
          <w:rFonts w:cs="Arial"/>
          <w:szCs w:val="20"/>
        </w:rPr>
      </w:pPr>
      <w:r w:rsidRPr="00962DD8">
        <w:rPr>
          <w:rFonts w:cs="Arial"/>
          <w:szCs w:val="20"/>
        </w:rPr>
        <w:t>(1) Cena ali menjalno razmerje za nadomestne vrednostne papirje v prevzemni ponudbi mora biti enako za vse vrednostne papirje posameznega razreda ali vrste vrednostnih papirjev.</w:t>
      </w:r>
    </w:p>
    <w:p w14:paraId="3F271671" w14:textId="77777777" w:rsidR="00962DD8" w:rsidRPr="00962DD8" w:rsidRDefault="00962DD8" w:rsidP="00962DD8">
      <w:pPr>
        <w:jc w:val="both"/>
        <w:rPr>
          <w:rFonts w:cs="Arial"/>
          <w:szCs w:val="20"/>
        </w:rPr>
      </w:pPr>
      <w:r w:rsidRPr="00962DD8">
        <w:rPr>
          <w:rFonts w:cs="Arial"/>
          <w:szCs w:val="20"/>
        </w:rPr>
        <w:t>(2) Cena v prevzemni ponudbi ne sme biti nižja od najvišje cene, po kateri je prevzemnik pridobil vrednostne papirje v obdobju zadnjih 12 mesecev pred objavo te ponudbe.</w:t>
      </w:r>
    </w:p>
    <w:p w14:paraId="5994C3BE" w14:textId="77777777" w:rsidR="00962DD8" w:rsidRPr="00962DD8" w:rsidRDefault="00962DD8" w:rsidP="00962DD8">
      <w:pPr>
        <w:jc w:val="both"/>
        <w:rPr>
          <w:rFonts w:cs="Arial"/>
          <w:szCs w:val="20"/>
        </w:rPr>
      </w:pPr>
      <w:r w:rsidRPr="00962DD8">
        <w:rPr>
          <w:rFonts w:cs="Arial"/>
          <w:szCs w:val="20"/>
        </w:rPr>
        <w:t xml:space="preserve">(3) Če prevzemnik v enem letu po izteku roka za sprejem prevzemne ponudbe, ki je bila uspešna, pridobi vrednostne papirje po ceni, ki je višja od cene v tej ponudbi, je dolžan </w:t>
      </w:r>
      <w:proofErr w:type="spellStart"/>
      <w:r w:rsidRPr="00962DD8">
        <w:rPr>
          <w:rFonts w:cs="Arial"/>
          <w:szCs w:val="20"/>
        </w:rPr>
        <w:t>akceptantom</w:t>
      </w:r>
      <w:proofErr w:type="spellEnd"/>
      <w:r w:rsidRPr="00962DD8">
        <w:rPr>
          <w:rFonts w:cs="Arial"/>
          <w:szCs w:val="20"/>
        </w:rPr>
        <w:t xml:space="preserve"> v denarju izplačati razliko v ceni v osmih dneh od dneva te pridobitve. Od dospelosti do izpolnitve </w:t>
      </w:r>
      <w:proofErr w:type="spellStart"/>
      <w:r w:rsidRPr="00962DD8">
        <w:rPr>
          <w:rFonts w:cs="Arial"/>
          <w:szCs w:val="20"/>
        </w:rPr>
        <w:t>prevzemnikove</w:t>
      </w:r>
      <w:proofErr w:type="spellEnd"/>
      <w:r w:rsidRPr="00962DD8">
        <w:rPr>
          <w:rFonts w:cs="Arial"/>
          <w:szCs w:val="20"/>
        </w:rPr>
        <w:t xml:space="preserve"> obveznosti iz prejšnjega stavka se smiselno uporablja 63. člen tega zakona.</w:t>
      </w:r>
    </w:p>
    <w:p w14:paraId="3B262FEF" w14:textId="77777777" w:rsidR="00962DD8" w:rsidRPr="00962DD8" w:rsidRDefault="00962DD8" w:rsidP="00962DD8">
      <w:pPr>
        <w:jc w:val="both"/>
        <w:rPr>
          <w:rFonts w:cs="Arial"/>
          <w:szCs w:val="20"/>
        </w:rPr>
      </w:pPr>
      <w:r w:rsidRPr="00962DD8">
        <w:rPr>
          <w:rFonts w:cs="Arial"/>
          <w:szCs w:val="20"/>
        </w:rPr>
        <w:t xml:space="preserve">(4) Če prevzemnik v prevzemni ponudbi ponuja nadomestne vrednostne papirje po menjalnem razmerju, po katerem </w:t>
      </w:r>
      <w:proofErr w:type="spellStart"/>
      <w:r w:rsidRPr="00962DD8">
        <w:rPr>
          <w:rFonts w:cs="Arial"/>
          <w:szCs w:val="20"/>
        </w:rPr>
        <w:t>akceptant</w:t>
      </w:r>
      <w:proofErr w:type="spellEnd"/>
      <w:r w:rsidRPr="00962DD8">
        <w:rPr>
          <w:rFonts w:cs="Arial"/>
          <w:szCs w:val="20"/>
        </w:rPr>
        <w:t xml:space="preserve"> za en vrednostni papir prejme manj kakor en nadomestni vrednostni papir, mora </w:t>
      </w:r>
      <w:proofErr w:type="spellStart"/>
      <w:r w:rsidRPr="00962DD8">
        <w:rPr>
          <w:rFonts w:cs="Arial"/>
          <w:szCs w:val="20"/>
        </w:rPr>
        <w:t>akceptantom</w:t>
      </w:r>
      <w:proofErr w:type="spellEnd"/>
      <w:r w:rsidRPr="00962DD8">
        <w:rPr>
          <w:rFonts w:cs="Arial"/>
          <w:szCs w:val="20"/>
        </w:rPr>
        <w:t>, ki ne razpolagajo z ustreznim številom vrednostnih papirjev, da bi lahko za celotno količino vrednostnih papirjev, glede katere bodo sprejeli prevzemno ponudbo, prejeli nadomestne vrednostne papirje, ponuditi izplačilo razlike v denarju (v nadaljnjem besedilu: razlika v ceni).</w:t>
      </w:r>
    </w:p>
    <w:p w14:paraId="4309AA7B" w14:textId="77777777" w:rsidR="00572B2F" w:rsidRDefault="00572B2F" w:rsidP="00572B2F">
      <w:pPr>
        <w:jc w:val="both"/>
        <w:rPr>
          <w:rFonts w:cs="Arial"/>
          <w:szCs w:val="20"/>
        </w:rPr>
      </w:pPr>
    </w:p>
    <w:p w14:paraId="64DE1589" w14:textId="77777777" w:rsidR="00962DD8" w:rsidRPr="00962DD8" w:rsidRDefault="00962DD8" w:rsidP="00FE3CE8">
      <w:pPr>
        <w:jc w:val="center"/>
        <w:rPr>
          <w:rFonts w:cs="Arial"/>
          <w:b/>
          <w:bCs/>
          <w:szCs w:val="20"/>
        </w:rPr>
      </w:pPr>
      <w:r w:rsidRPr="00962DD8">
        <w:rPr>
          <w:rFonts w:cs="Arial"/>
          <w:b/>
          <w:bCs/>
          <w:szCs w:val="20"/>
        </w:rPr>
        <w:t>72. člen</w:t>
      </w:r>
    </w:p>
    <w:p w14:paraId="36ED1557" w14:textId="77777777" w:rsidR="00962DD8" w:rsidRPr="00962DD8" w:rsidRDefault="00962DD8" w:rsidP="00FE3CE8">
      <w:pPr>
        <w:jc w:val="center"/>
        <w:rPr>
          <w:rFonts w:cs="Arial"/>
          <w:b/>
          <w:bCs/>
          <w:szCs w:val="20"/>
        </w:rPr>
      </w:pPr>
      <w:r w:rsidRPr="00962DD8">
        <w:rPr>
          <w:rFonts w:cs="Arial"/>
          <w:b/>
          <w:bCs/>
          <w:szCs w:val="20"/>
        </w:rPr>
        <w:t>(drugi prekrški)</w:t>
      </w:r>
    </w:p>
    <w:p w14:paraId="40588C03" w14:textId="77777777" w:rsidR="00962DD8" w:rsidRPr="00962DD8" w:rsidRDefault="00962DD8" w:rsidP="00962DD8">
      <w:pPr>
        <w:jc w:val="both"/>
        <w:rPr>
          <w:rFonts w:cs="Arial"/>
          <w:szCs w:val="20"/>
        </w:rPr>
      </w:pPr>
      <w:r w:rsidRPr="00962DD8">
        <w:rPr>
          <w:rFonts w:cs="Arial"/>
          <w:szCs w:val="20"/>
        </w:rPr>
        <w:t>(1) Z globo od 4.000 do 40.000 eurov se za prekršek kaznuje pravna oseba, podjetnik ali posameznik, ki samostojno opravlja dejavnost:</w:t>
      </w:r>
    </w:p>
    <w:p w14:paraId="20002E07" w14:textId="77777777" w:rsidR="00962DD8" w:rsidRPr="00962DD8" w:rsidRDefault="00962DD8" w:rsidP="00962DD8">
      <w:pPr>
        <w:jc w:val="both"/>
        <w:rPr>
          <w:rFonts w:cs="Arial"/>
          <w:szCs w:val="20"/>
        </w:rPr>
      </w:pPr>
      <w:r w:rsidRPr="00962DD8">
        <w:rPr>
          <w:rFonts w:cs="Arial"/>
          <w:szCs w:val="20"/>
        </w:rPr>
        <w:t>-       če o nameri, razlogih in načinu organiziranega zbiranja pooblastil predhodno ne obvesti agencije (osmi odstavek 8. člena);</w:t>
      </w:r>
    </w:p>
    <w:p w14:paraId="41F27B57" w14:textId="77777777" w:rsidR="00962DD8" w:rsidRPr="00962DD8" w:rsidRDefault="00962DD8" w:rsidP="00962DD8">
      <w:pPr>
        <w:jc w:val="both"/>
        <w:rPr>
          <w:rFonts w:cs="Arial"/>
          <w:szCs w:val="20"/>
        </w:rPr>
      </w:pPr>
      <w:r w:rsidRPr="00962DD8">
        <w:rPr>
          <w:rFonts w:cs="Arial"/>
          <w:szCs w:val="20"/>
        </w:rPr>
        <w:t>-       če ne objavi podatkov v skladu z 9. členom tega zakona;</w:t>
      </w:r>
    </w:p>
    <w:p w14:paraId="0E72864F" w14:textId="77777777" w:rsidR="00962DD8" w:rsidRPr="00962DD8" w:rsidRDefault="00962DD8" w:rsidP="00962DD8">
      <w:pPr>
        <w:jc w:val="both"/>
        <w:rPr>
          <w:rFonts w:cs="Arial"/>
          <w:szCs w:val="20"/>
        </w:rPr>
      </w:pPr>
      <w:r w:rsidRPr="00962DD8">
        <w:rPr>
          <w:rFonts w:cs="Arial"/>
          <w:szCs w:val="20"/>
        </w:rPr>
        <w:t>-       če kot prevzemnik v prevzemni ponudbi da neustrezno ceno ali menjalno razmerje (17. in peti odstavek 64. člena);</w:t>
      </w:r>
    </w:p>
    <w:p w14:paraId="5A974609" w14:textId="77777777" w:rsidR="00962DD8" w:rsidRPr="00962DD8" w:rsidRDefault="00962DD8" w:rsidP="00962DD8">
      <w:pPr>
        <w:jc w:val="both"/>
        <w:rPr>
          <w:rFonts w:cs="Arial"/>
          <w:szCs w:val="20"/>
        </w:rPr>
      </w:pPr>
      <w:r w:rsidRPr="00962DD8">
        <w:rPr>
          <w:rFonts w:cs="Arial"/>
          <w:szCs w:val="20"/>
        </w:rPr>
        <w:t xml:space="preserve">-       če prevzemna ponudba ne vsebuje bistvenih sestavin ali če vsebuje druge pogoje, razen razveznih in </w:t>
      </w:r>
      <w:proofErr w:type="spellStart"/>
      <w:r w:rsidRPr="00962DD8">
        <w:rPr>
          <w:rFonts w:cs="Arial"/>
          <w:szCs w:val="20"/>
        </w:rPr>
        <w:t>odložnih</w:t>
      </w:r>
      <w:proofErr w:type="spellEnd"/>
      <w:r w:rsidRPr="00962DD8">
        <w:rPr>
          <w:rFonts w:cs="Arial"/>
          <w:szCs w:val="20"/>
        </w:rPr>
        <w:t xml:space="preserve"> pogojev, določenih v tem zakonu (19. člen);</w:t>
      </w:r>
    </w:p>
    <w:p w14:paraId="7866B017" w14:textId="77777777" w:rsidR="00962DD8" w:rsidRPr="00962DD8" w:rsidRDefault="00962DD8" w:rsidP="00962DD8">
      <w:pPr>
        <w:jc w:val="both"/>
        <w:rPr>
          <w:rFonts w:cs="Arial"/>
          <w:szCs w:val="20"/>
        </w:rPr>
      </w:pPr>
      <w:r w:rsidRPr="00962DD8">
        <w:rPr>
          <w:rFonts w:cs="Arial"/>
          <w:szCs w:val="20"/>
        </w:rPr>
        <w:t>-       če prevzemna ponudba ne vsebuje obveznega razveznega pogoja (20. člen);</w:t>
      </w:r>
    </w:p>
    <w:p w14:paraId="167E66FB" w14:textId="77777777" w:rsidR="00962DD8" w:rsidRPr="00962DD8" w:rsidRDefault="00962DD8" w:rsidP="00962DD8">
      <w:pPr>
        <w:jc w:val="both"/>
        <w:rPr>
          <w:rFonts w:cs="Arial"/>
          <w:szCs w:val="20"/>
        </w:rPr>
      </w:pPr>
      <w:r w:rsidRPr="00962DD8">
        <w:rPr>
          <w:rFonts w:cs="Arial"/>
          <w:szCs w:val="20"/>
        </w:rPr>
        <w:t>-       če agencije v roku treh delovnih dni ne obvesti o nastopu okoliščin, na podlagi katerih je oproščena obveznosti dati prevzemno ponudbo, oziroma nemudoma, ko je obveščena o pridobitvi vrednostnih papirjev (šesti odstavek 22. člena);</w:t>
      </w:r>
    </w:p>
    <w:p w14:paraId="0A417225" w14:textId="77777777" w:rsidR="00962DD8" w:rsidRPr="00962DD8" w:rsidRDefault="00962DD8" w:rsidP="00962DD8">
      <w:pPr>
        <w:jc w:val="both"/>
        <w:rPr>
          <w:rFonts w:cs="Arial"/>
          <w:szCs w:val="20"/>
        </w:rPr>
      </w:pPr>
      <w:r w:rsidRPr="00962DD8">
        <w:rPr>
          <w:rFonts w:cs="Arial"/>
          <w:szCs w:val="20"/>
        </w:rPr>
        <w:t>-       če o prevzemni nameri ne obvesti ali ne obvesti v roku agencije, poslovodstva ciljne družbe, organa, pristojnega za varstvo konkurence in predstavnikov delavcev, če teh ni, pa delavcev, ter je ne objavi isti dan (24. člen);</w:t>
      </w:r>
    </w:p>
    <w:p w14:paraId="0BC4A972" w14:textId="77777777" w:rsidR="00962DD8" w:rsidRPr="00962DD8" w:rsidRDefault="00962DD8" w:rsidP="00962DD8">
      <w:pPr>
        <w:jc w:val="both"/>
        <w:rPr>
          <w:rFonts w:cs="Arial"/>
          <w:szCs w:val="20"/>
        </w:rPr>
      </w:pPr>
      <w:r w:rsidRPr="00962DD8">
        <w:rPr>
          <w:rFonts w:cs="Arial"/>
          <w:szCs w:val="20"/>
        </w:rPr>
        <w:t>-       če v dveh delovnih dneh od objave namere ponudbe ne obvesti agencije o dogovorih ali pogajanjih s prevzemnikom ali da le-teh ni bilo in agenciji ne posreduje izjave o morebitnih posrednih ali neposrednih zastavah ali zavarovanjih premoženja ciljne družbe, danih v korist prevzemnika za plačilo vrednostnih papirjev ciljne družbe, oziroma morebitni zavezi, da bodo take zastave ali zavarovanja dana, oziroma agencije ne obvesti o spremembi teh okoliščin najkasneje naslednji delovni dan (25. člen);</w:t>
      </w:r>
    </w:p>
    <w:p w14:paraId="12A53024" w14:textId="77777777" w:rsidR="00962DD8" w:rsidRPr="00962DD8" w:rsidRDefault="00962DD8" w:rsidP="00962DD8">
      <w:pPr>
        <w:jc w:val="both"/>
        <w:rPr>
          <w:rFonts w:cs="Arial"/>
          <w:szCs w:val="20"/>
        </w:rPr>
      </w:pPr>
      <w:r w:rsidRPr="00962DD8">
        <w:rPr>
          <w:rFonts w:cs="Arial"/>
          <w:szCs w:val="20"/>
        </w:rPr>
        <w:t>-       če kot prevzemnik ali kot poslovodstvo ciljne družbe v roku ne posreduje vsebine izjave o prevzemni nameri agenciji in je ne objavi (26. člen);</w:t>
      </w:r>
    </w:p>
    <w:p w14:paraId="6634919E" w14:textId="77777777" w:rsidR="00962DD8" w:rsidRPr="00962DD8" w:rsidRDefault="00962DD8" w:rsidP="00962DD8">
      <w:pPr>
        <w:jc w:val="both"/>
        <w:rPr>
          <w:rFonts w:cs="Arial"/>
          <w:szCs w:val="20"/>
        </w:rPr>
      </w:pPr>
      <w:r w:rsidRPr="00962DD8">
        <w:rPr>
          <w:rFonts w:cs="Arial"/>
          <w:szCs w:val="20"/>
        </w:rPr>
        <w:t>-       če ob spremembi prevzemne ponudbe ravna v nasprotju s prvim odstavkom 30. člena tega zakona;</w:t>
      </w:r>
    </w:p>
    <w:p w14:paraId="09C3519D" w14:textId="77777777" w:rsidR="00962DD8" w:rsidRPr="00962DD8" w:rsidRDefault="00962DD8" w:rsidP="00962DD8">
      <w:pPr>
        <w:jc w:val="both"/>
        <w:rPr>
          <w:rFonts w:cs="Arial"/>
          <w:szCs w:val="20"/>
        </w:rPr>
      </w:pPr>
      <w:r w:rsidRPr="00962DD8">
        <w:rPr>
          <w:rFonts w:cs="Arial"/>
          <w:szCs w:val="20"/>
        </w:rPr>
        <w:t>-       če v desetih dneh po objavi prospekta ne objavi mnenja o prevzemni ponudbi in razlogov za takšno mnenje (prvi odstavek 34. člena);</w:t>
      </w:r>
    </w:p>
    <w:p w14:paraId="251EA723" w14:textId="77777777" w:rsidR="00962DD8" w:rsidRPr="00962DD8" w:rsidRDefault="00962DD8" w:rsidP="00962DD8">
      <w:pPr>
        <w:jc w:val="both"/>
        <w:rPr>
          <w:rFonts w:cs="Arial"/>
          <w:szCs w:val="20"/>
        </w:rPr>
      </w:pPr>
      <w:r w:rsidRPr="00962DD8">
        <w:rPr>
          <w:rFonts w:cs="Arial"/>
          <w:szCs w:val="20"/>
        </w:rPr>
        <w:t>-       če mnenja o prevzemni ponudbi hkrati z njegovo objavo ne posreduje predstavnikom delavcev, če teh ni, pa delavcem (tretji odstavek 34. člena);</w:t>
      </w:r>
    </w:p>
    <w:p w14:paraId="23FEBEE9" w14:textId="77777777" w:rsidR="00962DD8" w:rsidRPr="00962DD8" w:rsidRDefault="00962DD8" w:rsidP="00962DD8">
      <w:pPr>
        <w:jc w:val="both"/>
        <w:rPr>
          <w:rFonts w:cs="Arial"/>
          <w:szCs w:val="20"/>
        </w:rPr>
      </w:pPr>
      <w:r w:rsidRPr="00962DD8">
        <w:rPr>
          <w:rFonts w:cs="Arial"/>
          <w:szCs w:val="20"/>
        </w:rPr>
        <w:t>-       če kot prevzemnik od dneva objave prevzemne ponudbe do izteka roka za sprejem prevzemne ponudbe kupuje vrednostne papirje, na katere se nanaša prevzemna ponudba, zunaj postopka v zvezi s to ponudbo, urejenega v tem zakonu (38. člen);</w:t>
      </w:r>
    </w:p>
    <w:p w14:paraId="7EEEB846" w14:textId="77777777" w:rsidR="00962DD8" w:rsidRPr="00962DD8" w:rsidRDefault="00962DD8" w:rsidP="00962DD8">
      <w:pPr>
        <w:jc w:val="both"/>
        <w:rPr>
          <w:rFonts w:cs="Arial"/>
          <w:szCs w:val="20"/>
        </w:rPr>
      </w:pPr>
      <w:r w:rsidRPr="00962DD8">
        <w:rPr>
          <w:rFonts w:cs="Arial"/>
          <w:szCs w:val="20"/>
        </w:rPr>
        <w:lastRenderedPageBreak/>
        <w:t>-       če do konca roka za sprejem prevzemne ponudbe ne sporoči agenciji podatkov o vseh poslih z vrednostnimi papirji iz 1. točke prvega odstavka 39. člena tega zakona ali da teh poslov ni bilo (39. člen);</w:t>
      </w:r>
    </w:p>
    <w:p w14:paraId="27204826" w14:textId="77777777" w:rsidR="00962DD8" w:rsidRPr="00962DD8" w:rsidRDefault="00962DD8" w:rsidP="00962DD8">
      <w:pPr>
        <w:jc w:val="both"/>
        <w:rPr>
          <w:rFonts w:cs="Arial"/>
          <w:szCs w:val="20"/>
        </w:rPr>
      </w:pPr>
      <w:r w:rsidRPr="00962DD8">
        <w:rPr>
          <w:rFonts w:cs="Arial"/>
          <w:szCs w:val="20"/>
        </w:rPr>
        <w:t>-       če o preklicu prevzemne ponudbe ne obvesti agencije oziroma CDD (tretji odstavek 52. člena);</w:t>
      </w:r>
    </w:p>
    <w:p w14:paraId="1C7C90E1" w14:textId="77777777" w:rsidR="00962DD8" w:rsidRPr="00962DD8" w:rsidRDefault="00962DD8" w:rsidP="00962DD8">
      <w:pPr>
        <w:jc w:val="both"/>
        <w:rPr>
          <w:rFonts w:cs="Arial"/>
          <w:szCs w:val="20"/>
        </w:rPr>
      </w:pPr>
      <w:r w:rsidRPr="00962DD8">
        <w:rPr>
          <w:rFonts w:cs="Arial"/>
          <w:szCs w:val="20"/>
        </w:rPr>
        <w:t>-       če podatkov glede uspešnosti prevzemne ponudbe ne posreduje agenciji oziroma organu, pristojnemu za varstvo konkurence (tretji odstavek 54. člena);</w:t>
      </w:r>
    </w:p>
    <w:p w14:paraId="71CECE9E" w14:textId="77777777" w:rsidR="00962DD8" w:rsidRPr="00962DD8" w:rsidRDefault="00962DD8" w:rsidP="00962DD8">
      <w:pPr>
        <w:jc w:val="both"/>
        <w:rPr>
          <w:rFonts w:cs="Arial"/>
          <w:szCs w:val="20"/>
        </w:rPr>
      </w:pPr>
      <w:r w:rsidRPr="00962DD8">
        <w:rPr>
          <w:rFonts w:cs="Arial"/>
          <w:szCs w:val="20"/>
        </w:rPr>
        <w:t>-       če ne določi pristojnega nadzornega organa v ustreznem roku (65. člen).</w:t>
      </w:r>
    </w:p>
    <w:p w14:paraId="25D97D29" w14:textId="77777777" w:rsidR="00962DD8" w:rsidRPr="00962DD8" w:rsidRDefault="00962DD8" w:rsidP="00962DD8">
      <w:pPr>
        <w:jc w:val="both"/>
        <w:rPr>
          <w:rFonts w:cs="Arial"/>
          <w:szCs w:val="20"/>
        </w:rPr>
      </w:pPr>
      <w:r w:rsidRPr="00962DD8">
        <w:rPr>
          <w:rFonts w:cs="Arial"/>
          <w:szCs w:val="20"/>
        </w:rPr>
        <w:t>(2) Z globo od 150 do 1.500 eurov se za prekršek iz prejšnjega odstavka kaznuje tudi odgovorna oseba pravne osebe, odgovorna oseba podjetnika ali odgovorna oseba posameznika, ki samostojno opravlja dejavnost.</w:t>
      </w:r>
    </w:p>
    <w:p w14:paraId="23A347D1" w14:textId="77777777" w:rsidR="00962DD8" w:rsidRPr="00962DD8" w:rsidRDefault="00962DD8" w:rsidP="00962DD8">
      <w:pPr>
        <w:jc w:val="both"/>
        <w:rPr>
          <w:rFonts w:cs="Arial"/>
          <w:szCs w:val="20"/>
        </w:rPr>
      </w:pPr>
      <w:r w:rsidRPr="00962DD8">
        <w:rPr>
          <w:rFonts w:cs="Arial"/>
          <w:szCs w:val="20"/>
        </w:rPr>
        <w:t>(3) Z globo od 150 do 500 eurov se za prekršek iz prvega odstavka tega člena kaznuje tudi posameznik.</w:t>
      </w:r>
    </w:p>
    <w:p w14:paraId="4A06E010" w14:textId="77777777" w:rsidR="00962DD8" w:rsidRPr="00962DD8" w:rsidRDefault="00962DD8" w:rsidP="00962DD8">
      <w:pPr>
        <w:jc w:val="both"/>
        <w:rPr>
          <w:rFonts w:cs="Arial"/>
          <w:szCs w:val="20"/>
        </w:rPr>
      </w:pPr>
      <w:r w:rsidRPr="00962DD8">
        <w:rPr>
          <w:rFonts w:cs="Arial"/>
          <w:szCs w:val="20"/>
        </w:rPr>
        <w:t>(4) Če je narava storjenega prekrška iz prejšnjih odstavkov posebno huda zaradi višine povzročene škode oziroma višine pridobljene protipravne premoženjske koristi ali zaradi storilčevega naklepa oziroma njegovega namena koristoljubnosti, se storilec, ki je pravna oseba, podjetnik ali posameznik, ki samostojno opravlja dejavnost, kaznuje z globo od 12.000 do 120.000 eurov, posameznik z globo od 450 do 1.500 eurov, odgovorna oseba pravne osebe, odgovorna oseba podjetnika ali odgovorna oseba posameznika, ki samostojno opravlja dejavnost, pa z globo od 450 do 4.500 eurov.</w:t>
      </w:r>
    </w:p>
    <w:p w14:paraId="04CE9611" w14:textId="77777777" w:rsidR="00962DD8" w:rsidRDefault="00962DD8" w:rsidP="00572B2F">
      <w:pPr>
        <w:jc w:val="both"/>
        <w:rPr>
          <w:rFonts w:cs="Arial"/>
          <w:szCs w:val="20"/>
        </w:rPr>
      </w:pPr>
    </w:p>
    <w:p w14:paraId="045FABE6" w14:textId="77777777" w:rsidR="00572B2F" w:rsidRPr="00FE3CE8" w:rsidRDefault="00572B2F" w:rsidP="00A3280F">
      <w:pPr>
        <w:jc w:val="both"/>
        <w:rPr>
          <w:rFonts w:cs="Arial"/>
          <w:b/>
          <w:bCs/>
          <w:szCs w:val="20"/>
        </w:rPr>
      </w:pPr>
      <w:r w:rsidRPr="00FE3CE8">
        <w:rPr>
          <w:rFonts w:cs="Arial"/>
          <w:b/>
          <w:bCs/>
          <w:szCs w:val="20"/>
        </w:rPr>
        <w:t>Zakon o revidiranju (Uradni list RS, št. 65/08, 63/13 – ZS-K, 84/18, 115/21 in 85/24)</w:t>
      </w:r>
    </w:p>
    <w:p w14:paraId="65523FFD" w14:textId="77777777" w:rsidR="00572B2F" w:rsidRDefault="00572B2F" w:rsidP="00572B2F">
      <w:pPr>
        <w:jc w:val="both"/>
        <w:rPr>
          <w:rFonts w:cs="Arial"/>
          <w:szCs w:val="20"/>
        </w:rPr>
      </w:pPr>
    </w:p>
    <w:p w14:paraId="1F6DB7E9" w14:textId="77777777" w:rsidR="00962DD8" w:rsidRPr="00962DD8" w:rsidRDefault="00962DD8" w:rsidP="00FE3CE8">
      <w:pPr>
        <w:jc w:val="center"/>
        <w:rPr>
          <w:rFonts w:cs="Arial"/>
          <w:b/>
          <w:bCs/>
          <w:szCs w:val="20"/>
        </w:rPr>
      </w:pPr>
      <w:r w:rsidRPr="00962DD8">
        <w:rPr>
          <w:rFonts w:cs="Arial"/>
          <w:b/>
          <w:bCs/>
          <w:szCs w:val="20"/>
        </w:rPr>
        <w:t>79. člen</w:t>
      </w:r>
    </w:p>
    <w:p w14:paraId="4F3527CE" w14:textId="77777777" w:rsidR="00962DD8" w:rsidRPr="00962DD8" w:rsidRDefault="00962DD8" w:rsidP="00FE3CE8">
      <w:pPr>
        <w:jc w:val="center"/>
        <w:rPr>
          <w:rFonts w:cs="Arial"/>
          <w:b/>
          <w:bCs/>
          <w:szCs w:val="20"/>
        </w:rPr>
      </w:pPr>
      <w:r w:rsidRPr="00962DD8">
        <w:rPr>
          <w:rFonts w:cs="Arial"/>
          <w:b/>
          <w:bCs/>
          <w:szCs w:val="20"/>
        </w:rPr>
        <w:t>(obvestilo o objavi poročila o preglednosti)</w:t>
      </w:r>
    </w:p>
    <w:p w14:paraId="4544F296" w14:textId="77777777" w:rsidR="00962DD8" w:rsidRDefault="00962DD8" w:rsidP="00962DD8">
      <w:pPr>
        <w:jc w:val="both"/>
        <w:rPr>
          <w:rFonts w:cs="Arial"/>
          <w:szCs w:val="20"/>
        </w:rPr>
      </w:pPr>
      <w:r w:rsidRPr="00962DD8">
        <w:rPr>
          <w:rFonts w:cs="Arial"/>
          <w:szCs w:val="20"/>
        </w:rPr>
        <w:t>(1) Poročilo o preglednosti in njegove posodobitve v skladu s 13. členom </w:t>
      </w:r>
      <w:r w:rsidRPr="00FE3CE8">
        <w:t>Uredbe 537/2014/EU</w:t>
      </w:r>
      <w:r w:rsidRPr="00962DD8">
        <w:rPr>
          <w:rFonts w:cs="Arial"/>
          <w:szCs w:val="20"/>
        </w:rPr>
        <w:t> objavijo revizijske družbe v slovenskem jeziku.</w:t>
      </w:r>
    </w:p>
    <w:p w14:paraId="011B3BCA" w14:textId="77777777" w:rsidR="00962DD8" w:rsidRPr="00962DD8" w:rsidRDefault="00962DD8" w:rsidP="00962DD8">
      <w:pPr>
        <w:jc w:val="both"/>
        <w:rPr>
          <w:rFonts w:cs="Arial"/>
          <w:szCs w:val="20"/>
        </w:rPr>
      </w:pPr>
    </w:p>
    <w:p w14:paraId="0CD158F4" w14:textId="77777777" w:rsidR="00962DD8" w:rsidRPr="00962DD8" w:rsidRDefault="00962DD8" w:rsidP="00962DD8">
      <w:pPr>
        <w:jc w:val="both"/>
        <w:rPr>
          <w:rFonts w:cs="Arial"/>
          <w:szCs w:val="20"/>
        </w:rPr>
      </w:pPr>
      <w:r w:rsidRPr="00962DD8">
        <w:rPr>
          <w:rFonts w:cs="Arial"/>
          <w:szCs w:val="20"/>
        </w:rPr>
        <w:t>(2) Revizijske družbe hkrati z objavo poročila o preglednosti in njegovih posodobitev v register vnesejo povezavo na spletno stran, na kateri so poročilo o preglednosti in njegove posodobitve objavljeni, in datum objave.</w:t>
      </w:r>
    </w:p>
    <w:p w14:paraId="564E2E54" w14:textId="77777777" w:rsidR="00572B2F" w:rsidRDefault="00572B2F" w:rsidP="00572B2F">
      <w:pPr>
        <w:jc w:val="both"/>
        <w:rPr>
          <w:rFonts w:cs="Arial"/>
          <w:szCs w:val="20"/>
        </w:rPr>
      </w:pPr>
    </w:p>
    <w:p w14:paraId="10543FDF" w14:textId="77777777" w:rsidR="00572B2F" w:rsidRPr="00FE3CE8" w:rsidRDefault="00572B2F" w:rsidP="00A3280F">
      <w:pPr>
        <w:jc w:val="both"/>
        <w:rPr>
          <w:rFonts w:cs="Arial"/>
          <w:b/>
          <w:bCs/>
          <w:szCs w:val="20"/>
        </w:rPr>
      </w:pPr>
      <w:r w:rsidRPr="00FE3CE8">
        <w:rPr>
          <w:rFonts w:cs="Arial"/>
          <w:b/>
          <w:bCs/>
          <w:szCs w:val="20"/>
        </w:rPr>
        <w:t xml:space="preserve">Zakon o gospodarskih družbah (Uradni list RS, št. 65/09 – uradno prečiščeno besedilo, 33/11, 91/11, 32/12, 57/12, 44/13 – </w:t>
      </w:r>
      <w:proofErr w:type="spellStart"/>
      <w:r w:rsidRPr="00FE3CE8">
        <w:rPr>
          <w:rFonts w:cs="Arial"/>
          <w:b/>
          <w:bCs/>
          <w:szCs w:val="20"/>
        </w:rPr>
        <w:t>odl</w:t>
      </w:r>
      <w:proofErr w:type="spellEnd"/>
      <w:r w:rsidRPr="00FE3CE8">
        <w:rPr>
          <w:rFonts w:cs="Arial"/>
          <w:b/>
          <w:bCs/>
          <w:szCs w:val="20"/>
        </w:rPr>
        <w:t xml:space="preserve">. US, 82/13, 55/15, 15/17, 22/19 – </w:t>
      </w:r>
      <w:proofErr w:type="spellStart"/>
      <w:r w:rsidRPr="00FE3CE8">
        <w:rPr>
          <w:rFonts w:cs="Arial"/>
          <w:b/>
          <w:bCs/>
          <w:szCs w:val="20"/>
        </w:rPr>
        <w:t>ZPosS</w:t>
      </w:r>
      <w:proofErr w:type="spellEnd"/>
      <w:r w:rsidRPr="00FE3CE8">
        <w:rPr>
          <w:rFonts w:cs="Arial"/>
          <w:b/>
          <w:bCs/>
          <w:szCs w:val="20"/>
        </w:rPr>
        <w:t xml:space="preserve">, 158/20 – </w:t>
      </w:r>
      <w:proofErr w:type="spellStart"/>
      <w:r w:rsidRPr="00FE3CE8">
        <w:rPr>
          <w:rFonts w:cs="Arial"/>
          <w:b/>
          <w:bCs/>
          <w:szCs w:val="20"/>
        </w:rPr>
        <w:t>ZIntPK</w:t>
      </w:r>
      <w:proofErr w:type="spellEnd"/>
      <w:r w:rsidRPr="00FE3CE8">
        <w:rPr>
          <w:rFonts w:cs="Arial"/>
          <w:b/>
          <w:bCs/>
          <w:szCs w:val="20"/>
        </w:rPr>
        <w:t>-C, 18/21, 18/23 – ZDU-1O, 75/23, 102/24 in 77/25)</w:t>
      </w:r>
    </w:p>
    <w:p w14:paraId="0B2306A9" w14:textId="77777777" w:rsidR="00572B2F" w:rsidRDefault="00572B2F" w:rsidP="00572B2F">
      <w:pPr>
        <w:jc w:val="both"/>
        <w:rPr>
          <w:rFonts w:cs="Arial"/>
          <w:szCs w:val="20"/>
        </w:rPr>
      </w:pPr>
    </w:p>
    <w:p w14:paraId="59C34128" w14:textId="77777777" w:rsidR="00FD4DAA" w:rsidRPr="00FD4DAA" w:rsidRDefault="00FD4DAA" w:rsidP="00FE3CE8">
      <w:pPr>
        <w:jc w:val="center"/>
        <w:rPr>
          <w:rFonts w:cs="Arial"/>
          <w:b/>
          <w:bCs/>
          <w:szCs w:val="20"/>
        </w:rPr>
      </w:pPr>
      <w:r w:rsidRPr="00FD4DAA">
        <w:rPr>
          <w:rFonts w:cs="Arial"/>
          <w:b/>
          <w:bCs/>
          <w:szCs w:val="20"/>
        </w:rPr>
        <w:t>3. člen</w:t>
      </w:r>
    </w:p>
    <w:p w14:paraId="32A78B7A" w14:textId="77777777" w:rsidR="00FD4DAA" w:rsidRPr="00FD4DAA" w:rsidRDefault="00FD4DAA" w:rsidP="00FE3CE8">
      <w:pPr>
        <w:jc w:val="center"/>
        <w:rPr>
          <w:rFonts w:cs="Arial"/>
          <w:b/>
          <w:bCs/>
          <w:szCs w:val="20"/>
        </w:rPr>
      </w:pPr>
      <w:r w:rsidRPr="00FD4DAA">
        <w:rPr>
          <w:rFonts w:cs="Arial"/>
          <w:b/>
          <w:bCs/>
          <w:szCs w:val="20"/>
        </w:rPr>
        <w:t>(pojmi)</w:t>
      </w:r>
    </w:p>
    <w:p w14:paraId="609E8908" w14:textId="77777777" w:rsidR="00FD4DAA" w:rsidRPr="00FD4DAA" w:rsidRDefault="00FD4DAA" w:rsidP="00FD4DAA">
      <w:pPr>
        <w:jc w:val="both"/>
        <w:rPr>
          <w:rFonts w:cs="Arial"/>
          <w:szCs w:val="20"/>
        </w:rPr>
      </w:pPr>
      <w:r w:rsidRPr="00FD4DAA">
        <w:rPr>
          <w:rFonts w:cs="Arial"/>
          <w:szCs w:val="20"/>
        </w:rPr>
        <w:t>(1) Po tem zakonu je gospodarska družba pravna oseba, ki na trgu samostojno opravlja pridobitno dejavnost kot svojo izključno dejavnost.</w:t>
      </w:r>
    </w:p>
    <w:p w14:paraId="3CFBDD36" w14:textId="77777777" w:rsidR="00FD4DAA" w:rsidRPr="00FD4DAA" w:rsidRDefault="00FD4DAA" w:rsidP="00FD4DAA">
      <w:pPr>
        <w:jc w:val="both"/>
        <w:rPr>
          <w:rFonts w:cs="Arial"/>
          <w:szCs w:val="20"/>
        </w:rPr>
      </w:pPr>
      <w:r w:rsidRPr="00FD4DAA">
        <w:rPr>
          <w:rFonts w:cs="Arial"/>
          <w:szCs w:val="20"/>
        </w:rPr>
        <w:t>(2) Pridobitna dejavnost po tem zakonu je vsaka dejavnost, ki se opravlja na trgu zaradi pridobivanja dobička.</w:t>
      </w:r>
    </w:p>
    <w:p w14:paraId="25622A46" w14:textId="77777777" w:rsidR="00FD4DAA" w:rsidRPr="00FD4DAA" w:rsidRDefault="00FD4DAA" w:rsidP="00FD4DAA">
      <w:pPr>
        <w:jc w:val="both"/>
        <w:rPr>
          <w:rFonts w:cs="Arial"/>
          <w:szCs w:val="20"/>
        </w:rPr>
      </w:pPr>
      <w:r w:rsidRPr="00FD4DAA">
        <w:rPr>
          <w:rFonts w:cs="Arial"/>
          <w:szCs w:val="20"/>
        </w:rPr>
        <w:t>(3) Gospodarske družbe (v nadaljnjem besedilu: družba) iz prvega odstavka tega člena se organizirajo v eni izmed oblik:</w:t>
      </w:r>
    </w:p>
    <w:p w14:paraId="41FC881C" w14:textId="77777777" w:rsidR="00FD4DAA" w:rsidRPr="00FD4DAA" w:rsidRDefault="00FD4DAA" w:rsidP="00FD4DAA">
      <w:pPr>
        <w:jc w:val="both"/>
        <w:rPr>
          <w:rFonts w:cs="Arial"/>
          <w:szCs w:val="20"/>
        </w:rPr>
      </w:pPr>
      <w:r w:rsidRPr="00FD4DAA">
        <w:rPr>
          <w:rFonts w:cs="Arial"/>
          <w:szCs w:val="20"/>
        </w:rPr>
        <w:t>-        kot osebne družbe: družba z neomejeno odgovornostjo in komanditna družba, ali</w:t>
      </w:r>
    </w:p>
    <w:p w14:paraId="0FFE7B5B" w14:textId="77777777" w:rsidR="00FD4DAA" w:rsidRPr="00FD4DAA" w:rsidRDefault="00FD4DAA" w:rsidP="00FD4DAA">
      <w:pPr>
        <w:jc w:val="both"/>
        <w:rPr>
          <w:rFonts w:cs="Arial"/>
          <w:szCs w:val="20"/>
        </w:rPr>
      </w:pPr>
      <w:r w:rsidRPr="00FD4DAA">
        <w:rPr>
          <w:rFonts w:cs="Arial"/>
          <w:szCs w:val="20"/>
        </w:rPr>
        <w:t>-        kot kapitalske družbe: družba z omejeno odgovornostjo, delniška družba, komanditna delniška družba in evropska delniška družba.</w:t>
      </w:r>
    </w:p>
    <w:p w14:paraId="30CF1C17" w14:textId="77777777" w:rsidR="00FD4DAA" w:rsidRPr="00FD4DAA" w:rsidRDefault="00FD4DAA" w:rsidP="00FD4DAA">
      <w:pPr>
        <w:jc w:val="both"/>
        <w:rPr>
          <w:rFonts w:cs="Arial"/>
          <w:szCs w:val="20"/>
        </w:rPr>
      </w:pPr>
      <w:r w:rsidRPr="00FD4DAA">
        <w:rPr>
          <w:rFonts w:cs="Arial"/>
          <w:szCs w:val="20"/>
        </w:rPr>
        <w:t>(4) Družbe iz prejšnjega odstavka se štejejo za gospodarske družbe, tudi če v skladu z zakonom v celoti ali deloma opravljajo dejavnost, ki ni pridobitna.</w:t>
      </w:r>
    </w:p>
    <w:p w14:paraId="14756384" w14:textId="77777777" w:rsidR="00FD4DAA" w:rsidRPr="00FD4DAA" w:rsidRDefault="00FD4DAA" w:rsidP="00FD4DAA">
      <w:pPr>
        <w:jc w:val="both"/>
        <w:rPr>
          <w:rFonts w:cs="Arial"/>
          <w:szCs w:val="20"/>
        </w:rPr>
      </w:pPr>
      <w:r w:rsidRPr="00FD4DAA">
        <w:rPr>
          <w:rFonts w:cs="Arial"/>
          <w:szCs w:val="20"/>
        </w:rPr>
        <w:t>(5) Ustanovitelj družbe ali gospodarskega interesnega združenja je lahko vsaka fizična ali pravna oseba, če zakon ne določa drugače.</w:t>
      </w:r>
    </w:p>
    <w:p w14:paraId="76778B87" w14:textId="77777777" w:rsidR="00FD4DAA" w:rsidRPr="00FD4DAA" w:rsidRDefault="00FD4DAA" w:rsidP="00FD4DAA">
      <w:pPr>
        <w:jc w:val="both"/>
        <w:rPr>
          <w:rFonts w:cs="Arial"/>
          <w:szCs w:val="20"/>
        </w:rPr>
      </w:pPr>
      <w:r w:rsidRPr="00FD4DAA">
        <w:rPr>
          <w:rFonts w:cs="Arial"/>
          <w:szCs w:val="20"/>
        </w:rPr>
        <w:lastRenderedPageBreak/>
        <w:t>(6) Podjetnik po tem zakonu je fizična oseba, ki na trgu samostojno opravlja pridobitno dejavnost v okviru organiziranega podjetja.</w:t>
      </w:r>
    </w:p>
    <w:p w14:paraId="6330AC4F" w14:textId="77777777" w:rsidR="00FD4DAA" w:rsidRPr="00FD4DAA" w:rsidRDefault="00FD4DAA" w:rsidP="00FD4DAA">
      <w:pPr>
        <w:jc w:val="both"/>
        <w:rPr>
          <w:rFonts w:cs="Arial"/>
          <w:szCs w:val="20"/>
        </w:rPr>
      </w:pPr>
      <w:r w:rsidRPr="00FD4DAA">
        <w:rPr>
          <w:rFonts w:cs="Arial"/>
          <w:szCs w:val="20"/>
        </w:rPr>
        <w:t>(7) Vpis v register po tem zakonu ima nasproti tretjim osebam pravni učinek šele od trenutka objave posameznega podatka v skladu z zakonom, ki ureja sodni register.</w:t>
      </w:r>
    </w:p>
    <w:p w14:paraId="5D4F2CB0" w14:textId="77777777" w:rsidR="00FD4DAA" w:rsidRPr="00FD4DAA" w:rsidRDefault="00FD4DAA" w:rsidP="00FD4DAA">
      <w:pPr>
        <w:jc w:val="both"/>
        <w:rPr>
          <w:rFonts w:cs="Arial"/>
          <w:szCs w:val="20"/>
        </w:rPr>
      </w:pPr>
      <w:r w:rsidRPr="00FD4DAA">
        <w:rPr>
          <w:rFonts w:cs="Arial"/>
          <w:szCs w:val="20"/>
        </w:rPr>
        <w:t>(8) Drugi izrazi, uporabljeni v tem zakonu, pomenijo:</w:t>
      </w:r>
    </w:p>
    <w:p w14:paraId="41723B8C" w14:textId="77777777" w:rsidR="00FD4DAA" w:rsidRPr="00FD4DAA" w:rsidRDefault="00FD4DAA" w:rsidP="00FD4DAA">
      <w:pPr>
        <w:jc w:val="both"/>
        <w:rPr>
          <w:rFonts w:cs="Arial"/>
          <w:szCs w:val="20"/>
        </w:rPr>
      </w:pPr>
      <w:r w:rsidRPr="00FD4DAA">
        <w:rPr>
          <w:rFonts w:cs="Arial"/>
          <w:szCs w:val="20"/>
        </w:rPr>
        <w:t>-        »Agencija za trg vrednostnih papirjev« (v nadaljnjem besedilu: ATVP) je Agencija za trg vrednostnih papirjev po zakonu, ki ureja trg finančnih instrumentov;</w:t>
      </w:r>
    </w:p>
    <w:p w14:paraId="56633B01" w14:textId="77777777" w:rsidR="00FD4DAA" w:rsidRPr="00FD4DAA" w:rsidRDefault="00FD4DAA" w:rsidP="00FD4DAA">
      <w:pPr>
        <w:jc w:val="both"/>
        <w:rPr>
          <w:rFonts w:cs="Arial"/>
          <w:szCs w:val="20"/>
        </w:rPr>
      </w:pPr>
      <w:r w:rsidRPr="00FD4DAA">
        <w:rPr>
          <w:rFonts w:cs="Arial"/>
          <w:szCs w:val="20"/>
        </w:rPr>
        <w:t>-        »centralna depotna družba« je centralna depotna družba po zakonu, ki ureja trg finančnih instrumentov;</w:t>
      </w:r>
    </w:p>
    <w:p w14:paraId="37DB8AB4" w14:textId="77777777" w:rsidR="00FD4DAA" w:rsidRPr="00FD4DAA" w:rsidRDefault="00FD4DAA" w:rsidP="00FD4DAA">
      <w:pPr>
        <w:jc w:val="both"/>
        <w:rPr>
          <w:rFonts w:cs="Arial"/>
          <w:szCs w:val="20"/>
        </w:rPr>
      </w:pPr>
      <w:r w:rsidRPr="00FD4DAA">
        <w:rPr>
          <w:rFonts w:cs="Arial"/>
          <w:szCs w:val="20"/>
        </w:rPr>
        <w:t>-        »država članica« je država članica Evropske unije ali država podpisnica Sporazuma o ustanovitvi Evropskega gospodarskega prostora (UL L št. 1 z dne 3. 1. 1994, str. 3);</w:t>
      </w:r>
    </w:p>
    <w:p w14:paraId="7C64E019" w14:textId="77777777" w:rsidR="00FD4DAA" w:rsidRPr="00FD4DAA" w:rsidRDefault="00FD4DAA" w:rsidP="00FD4DAA">
      <w:pPr>
        <w:jc w:val="both"/>
        <w:rPr>
          <w:rFonts w:cs="Arial"/>
          <w:szCs w:val="20"/>
        </w:rPr>
      </w:pPr>
      <w:r w:rsidRPr="00FD4DAA">
        <w:rPr>
          <w:rFonts w:cs="Arial"/>
          <w:szCs w:val="20"/>
        </w:rPr>
        <w:t>-        »informacijski sistem za podporo poslovnim subjektom« je informacijski sistem za podporo poslovnim subjektom po zakonu, ki ureja poslovni register;</w:t>
      </w:r>
    </w:p>
    <w:p w14:paraId="44F60E93" w14:textId="77777777" w:rsidR="00FD4DAA" w:rsidRPr="00FD4DAA" w:rsidRDefault="00FD4DAA" w:rsidP="00FD4DAA">
      <w:pPr>
        <w:jc w:val="both"/>
        <w:rPr>
          <w:rFonts w:cs="Arial"/>
          <w:szCs w:val="20"/>
        </w:rPr>
      </w:pPr>
      <w:r w:rsidRPr="00FD4DAA">
        <w:rPr>
          <w:rFonts w:cs="Arial"/>
          <w:szCs w:val="20"/>
        </w:rPr>
        <w:t>-        »organizirani trg« je organizirani trg po zakonu, ki ureja trg finančnih instrumentov;</w:t>
      </w:r>
    </w:p>
    <w:p w14:paraId="2E9A0208" w14:textId="77777777" w:rsidR="00FD4DAA" w:rsidRPr="00FD4DAA" w:rsidRDefault="00FD4DAA" w:rsidP="00FD4DAA">
      <w:pPr>
        <w:jc w:val="both"/>
        <w:rPr>
          <w:rFonts w:cs="Arial"/>
          <w:szCs w:val="20"/>
        </w:rPr>
      </w:pPr>
      <w:r w:rsidRPr="00FD4DAA">
        <w:rPr>
          <w:rFonts w:cs="Arial"/>
          <w:szCs w:val="20"/>
        </w:rPr>
        <w:t>-        »registrski organ« je organ, ki vodi register, v katerega se vpisujejo podatki o družbi;</w:t>
      </w:r>
    </w:p>
    <w:p w14:paraId="654CC492" w14:textId="77777777" w:rsidR="00FD4DAA" w:rsidRPr="00FD4DAA" w:rsidRDefault="00FD4DAA" w:rsidP="00FD4DAA">
      <w:pPr>
        <w:jc w:val="both"/>
        <w:rPr>
          <w:rFonts w:cs="Arial"/>
          <w:szCs w:val="20"/>
        </w:rPr>
      </w:pPr>
      <w:r w:rsidRPr="00FD4DAA">
        <w:rPr>
          <w:rFonts w:cs="Arial"/>
          <w:szCs w:val="20"/>
        </w:rPr>
        <w:t>-        »revizor« je revizijska družba, ki ima po zakonu, ki ureja revidiranje, dovoljenje za opravljanje revidiranja;</w:t>
      </w:r>
    </w:p>
    <w:p w14:paraId="4D1E02CF" w14:textId="77777777" w:rsidR="00FD4DAA" w:rsidRPr="00FD4DAA" w:rsidRDefault="00FD4DAA" w:rsidP="00FD4DAA">
      <w:pPr>
        <w:jc w:val="both"/>
        <w:rPr>
          <w:rFonts w:cs="Arial"/>
          <w:szCs w:val="20"/>
        </w:rPr>
      </w:pPr>
      <w:r w:rsidRPr="00FD4DAA">
        <w:rPr>
          <w:rFonts w:cs="Arial"/>
          <w:szCs w:val="20"/>
        </w:rPr>
        <w:t>-        »Slovenski inštitut za revizijo« je Slovenski inštitut za revizijo po zakonu, ki ureja revidiranje;</w:t>
      </w:r>
    </w:p>
    <w:p w14:paraId="135E9D03" w14:textId="77777777" w:rsidR="00FD4DAA" w:rsidRPr="00FD4DAA" w:rsidRDefault="00FD4DAA" w:rsidP="00FD4DAA">
      <w:pPr>
        <w:jc w:val="both"/>
        <w:rPr>
          <w:rFonts w:cs="Arial"/>
          <w:szCs w:val="20"/>
        </w:rPr>
      </w:pPr>
      <w:r w:rsidRPr="00FD4DAA">
        <w:rPr>
          <w:rFonts w:cs="Arial"/>
          <w:szCs w:val="20"/>
        </w:rPr>
        <w:t>-        »sodišče« je sodišče, ki je krajevno pristojno glede na sedež družbe ali podjetnika, če ta zakon ne določa drugače;</w:t>
      </w:r>
    </w:p>
    <w:p w14:paraId="2FBA3F74" w14:textId="77777777" w:rsidR="00FD4DAA" w:rsidRPr="00FD4DAA" w:rsidRDefault="00FD4DAA" w:rsidP="00FD4DAA">
      <w:pPr>
        <w:jc w:val="both"/>
        <w:rPr>
          <w:rFonts w:cs="Arial"/>
          <w:szCs w:val="20"/>
        </w:rPr>
      </w:pPr>
      <w:r w:rsidRPr="00FD4DAA">
        <w:rPr>
          <w:rFonts w:cs="Arial"/>
          <w:szCs w:val="20"/>
        </w:rPr>
        <w:t>-        »subjekt javnega interesa« je družba, s katere vrednostnimi papirji se trguje na organiziranem trgu vrednostnih papirjev, kreditna institucija, kot jo opredeljuje zakon, ki ureja bančništvo, zavarovalnica, kot jo opredeljuje zakon, ki ureja zavarovalništvo, pokojninska družba, kot jo opredeljuje zakon, ki ureja pokojninske družbe, in velika družba, zavezana k obvezni reviziji v skladu s 57. členom tega zakona, v kateri imajo država ali samoupravne lokalne skupnosti skupaj ali samostojno, neposredno ali posredno večinski delež. Subjekt javnega interesa je lahko tudi druga družba, zavezana k obvezni reviziji, če je tako določeno z drugim zakonom;</w:t>
      </w:r>
    </w:p>
    <w:p w14:paraId="172103EF" w14:textId="77777777" w:rsidR="00FD4DAA" w:rsidRPr="00FD4DAA" w:rsidRDefault="00FD4DAA" w:rsidP="00FD4DAA">
      <w:pPr>
        <w:jc w:val="both"/>
        <w:rPr>
          <w:rFonts w:cs="Arial"/>
          <w:szCs w:val="20"/>
        </w:rPr>
      </w:pPr>
      <w:r w:rsidRPr="00FD4DAA">
        <w:rPr>
          <w:rFonts w:cs="Arial"/>
          <w:szCs w:val="20"/>
        </w:rPr>
        <w:t>-        »točka za podporo poslovnim subjektom« je točka za podporo poslovnim subjektom po zakonu, ki ureja poslovni register.</w:t>
      </w:r>
    </w:p>
    <w:p w14:paraId="68A0A38A" w14:textId="77777777" w:rsidR="00572B2F" w:rsidRDefault="00572B2F" w:rsidP="00572B2F">
      <w:pPr>
        <w:jc w:val="both"/>
        <w:rPr>
          <w:rFonts w:cs="Arial"/>
          <w:szCs w:val="20"/>
        </w:rPr>
      </w:pPr>
    </w:p>
    <w:p w14:paraId="75AEDC6A" w14:textId="77777777" w:rsidR="00EE79F0" w:rsidRPr="00EE79F0" w:rsidRDefault="00EE79F0" w:rsidP="00FE3CE8">
      <w:pPr>
        <w:jc w:val="center"/>
        <w:rPr>
          <w:rFonts w:cs="Arial"/>
          <w:b/>
          <w:bCs/>
          <w:szCs w:val="20"/>
        </w:rPr>
      </w:pPr>
      <w:r w:rsidRPr="00EE79F0">
        <w:rPr>
          <w:rFonts w:cs="Arial"/>
          <w:b/>
          <w:bCs/>
          <w:szCs w:val="20"/>
        </w:rPr>
        <w:t>281.d člen</w:t>
      </w:r>
    </w:p>
    <w:p w14:paraId="504AD54E" w14:textId="77777777" w:rsidR="00EE79F0" w:rsidRPr="00EE79F0" w:rsidRDefault="00EE79F0" w:rsidP="00FE3CE8">
      <w:pPr>
        <w:jc w:val="center"/>
        <w:rPr>
          <w:rFonts w:cs="Arial"/>
          <w:b/>
          <w:bCs/>
          <w:szCs w:val="20"/>
        </w:rPr>
      </w:pPr>
      <w:r w:rsidRPr="00EE79F0">
        <w:rPr>
          <w:rFonts w:cs="Arial"/>
          <w:b/>
          <w:bCs/>
          <w:szCs w:val="20"/>
        </w:rPr>
        <w:t>(javna objava poslov s povezanimi strankami)</w:t>
      </w:r>
    </w:p>
    <w:p w14:paraId="61E5E27B" w14:textId="77777777" w:rsidR="00EE79F0" w:rsidRPr="00EE79F0" w:rsidRDefault="00EE79F0" w:rsidP="00EE79F0">
      <w:pPr>
        <w:jc w:val="both"/>
        <w:rPr>
          <w:rFonts w:cs="Arial"/>
          <w:szCs w:val="20"/>
        </w:rPr>
      </w:pPr>
      <w:r w:rsidRPr="00EE79F0">
        <w:rPr>
          <w:rFonts w:cs="Arial"/>
          <w:szCs w:val="20"/>
        </w:rPr>
        <w:t xml:space="preserve">(1) Družba, s katere vrednostnimi papirji se trguje na organiziranem trgu, mora posel, za katerega je v skladu s prvim odstavkom 281.c člena tega zakona potrebno soglasje nadzornega sveta, nemudoma po njegovi sklenitvi objaviti na način iz 1. točke prvega odstavka in tretjega odstavka 158. člena Zakona o trgu finančnih instrumentov (Uradni list RS, št. 77/18, 17/19 – </w:t>
      </w:r>
      <w:proofErr w:type="spellStart"/>
      <w:r w:rsidRPr="00EE79F0">
        <w:rPr>
          <w:rFonts w:cs="Arial"/>
          <w:szCs w:val="20"/>
        </w:rPr>
        <w:t>popr</w:t>
      </w:r>
      <w:proofErr w:type="spellEnd"/>
      <w:r w:rsidRPr="00EE79F0">
        <w:rPr>
          <w:rFonts w:cs="Arial"/>
          <w:szCs w:val="20"/>
        </w:rPr>
        <w:t>. in 66/19; v nadaljnjem besedilu: ZTFI-1). Ta dolžnost obsega tudi posle, ki jih je treba, skupaj s poslom, za katerega je potrebno soglasje nadzornega sveta, upoštevati pri izračunu vrednosti po drugem odstavku 281.c člena tega zakona.</w:t>
      </w:r>
    </w:p>
    <w:p w14:paraId="4B2E7E05" w14:textId="77777777" w:rsidR="00EE79F0" w:rsidRPr="00EE79F0" w:rsidRDefault="00EE79F0" w:rsidP="00EE79F0">
      <w:pPr>
        <w:jc w:val="both"/>
        <w:rPr>
          <w:rFonts w:cs="Arial"/>
          <w:szCs w:val="20"/>
        </w:rPr>
      </w:pPr>
      <w:r w:rsidRPr="00EE79F0">
        <w:rPr>
          <w:rFonts w:cs="Arial"/>
          <w:szCs w:val="20"/>
        </w:rPr>
        <w:t>(2) V objavi iz prejšnjega odstavka je treba navesti vse bistvene informacije, ki so potrebne za presojo, ali je posel z vidika družbe in delničarjev, ki niso povezane stranke, primeren. To obsega vsaj informacije o vrsti razmerja družbe do povezane stranke, ime povezane stranke ter datum in vrednost posla.</w:t>
      </w:r>
    </w:p>
    <w:p w14:paraId="51A570E3" w14:textId="77777777" w:rsidR="00EE79F0" w:rsidRPr="00EE79F0" w:rsidRDefault="00EE79F0" w:rsidP="00EE79F0">
      <w:pPr>
        <w:jc w:val="both"/>
        <w:rPr>
          <w:rFonts w:cs="Arial"/>
          <w:szCs w:val="20"/>
        </w:rPr>
      </w:pPr>
      <w:r w:rsidRPr="00EE79F0">
        <w:rPr>
          <w:rFonts w:cs="Arial"/>
          <w:szCs w:val="20"/>
        </w:rPr>
        <w:t>(3) Podatke iz prejšnjega odstavka mora družba objaviti tudi na svoji spletni strani ali drugem informacijskem sistemu in omogočiti dostop do njih najmanj pet let od dneva objave posla na spletni strani ali drugem informacijskem sistemu družbe.</w:t>
      </w:r>
    </w:p>
    <w:p w14:paraId="52E8A3F5" w14:textId="77777777" w:rsidR="00EE79F0" w:rsidRPr="00EE79F0" w:rsidRDefault="00EE79F0" w:rsidP="00EE79F0">
      <w:pPr>
        <w:jc w:val="both"/>
        <w:rPr>
          <w:rFonts w:cs="Arial"/>
          <w:szCs w:val="20"/>
        </w:rPr>
      </w:pPr>
      <w:r w:rsidRPr="00EE79F0">
        <w:rPr>
          <w:rFonts w:cs="Arial"/>
          <w:szCs w:val="20"/>
        </w:rPr>
        <w:t>(4) Dolžnost objave informacij iz prejšnjih odstavkov ne nastane, če se informacije objavijo kot notranje informacije v skladu s 17. členom </w:t>
      </w:r>
      <w:r w:rsidRPr="00FE3CE8">
        <w:t>Uredbe (EU) št. 596/2014</w:t>
      </w:r>
      <w:r w:rsidRPr="00EE79F0">
        <w:rPr>
          <w:rFonts w:cs="Arial"/>
          <w:szCs w:val="20"/>
        </w:rPr>
        <w:t> Evropskega parlamenta in Sveta z dne 16. aprila 2014 o zlorabi trga (uredba o zlorabi trga) ter razveljavitvi </w:t>
      </w:r>
      <w:r w:rsidRPr="00FE3CE8">
        <w:t>Direktive 2003/6/ES</w:t>
      </w:r>
      <w:r w:rsidRPr="00EE79F0">
        <w:rPr>
          <w:rFonts w:cs="Arial"/>
          <w:szCs w:val="20"/>
        </w:rPr>
        <w:t> Evropskega parlamenta in Sveta ter </w:t>
      </w:r>
      <w:r w:rsidRPr="00FE3CE8">
        <w:t>direktiv Komisije 2003/124/ES</w:t>
      </w:r>
      <w:r w:rsidRPr="00EE79F0">
        <w:rPr>
          <w:rFonts w:cs="Arial"/>
          <w:szCs w:val="20"/>
        </w:rPr>
        <w:t>, </w:t>
      </w:r>
      <w:r w:rsidRPr="00FE3CE8">
        <w:t>2003/125/ES</w:t>
      </w:r>
      <w:r w:rsidRPr="00EE79F0">
        <w:rPr>
          <w:rFonts w:cs="Arial"/>
          <w:szCs w:val="20"/>
        </w:rPr>
        <w:t> in </w:t>
      </w:r>
      <w:r w:rsidRPr="00FE3CE8">
        <w:t>2004/72/ES</w:t>
      </w:r>
      <w:r w:rsidRPr="00EE79F0">
        <w:rPr>
          <w:rFonts w:cs="Arial"/>
          <w:szCs w:val="20"/>
        </w:rPr>
        <w:t> (UL L št. 173 z dne 12. 6. 2014, str. 1), zadnjič spremenjene z </w:t>
      </w:r>
      <w:r w:rsidRPr="00FE3CE8">
        <w:t>Uredbo (EU) 2019/2115</w:t>
      </w:r>
      <w:r w:rsidRPr="00EE79F0">
        <w:rPr>
          <w:rFonts w:cs="Arial"/>
          <w:szCs w:val="20"/>
        </w:rPr>
        <w:t xml:space="preserve"> Evropskega parlamenta in Sveta z dne 27. novembra </w:t>
      </w:r>
      <w:r w:rsidRPr="00EE79F0">
        <w:rPr>
          <w:rFonts w:cs="Arial"/>
          <w:szCs w:val="20"/>
        </w:rPr>
        <w:lastRenderedPageBreak/>
        <w:t>2019 o spremembi </w:t>
      </w:r>
      <w:r w:rsidRPr="00FE3CE8">
        <w:t>Direktive 2014/65/EU</w:t>
      </w:r>
      <w:r w:rsidRPr="00EE79F0">
        <w:rPr>
          <w:rFonts w:cs="Arial"/>
          <w:szCs w:val="20"/>
        </w:rPr>
        <w:t> ter </w:t>
      </w:r>
      <w:r w:rsidRPr="00FE3CE8">
        <w:t>uredb (EU) št. 596/2014</w:t>
      </w:r>
      <w:r w:rsidRPr="00EE79F0">
        <w:rPr>
          <w:rFonts w:cs="Arial"/>
          <w:szCs w:val="20"/>
        </w:rPr>
        <w:t> in </w:t>
      </w:r>
      <w:r w:rsidRPr="00FE3CE8">
        <w:t>(EU) 2017/1129</w:t>
      </w:r>
      <w:r w:rsidRPr="00EE79F0">
        <w:rPr>
          <w:rFonts w:cs="Arial"/>
          <w:szCs w:val="20"/>
        </w:rPr>
        <w:t> v zvezi s spodbujanjem uporabe zagonskih trgov MSP (UL L št. 320 z dne 11. 12. 2019, str. 1), (v nadaljnjem besedilu: </w:t>
      </w:r>
      <w:r w:rsidRPr="00FE3CE8">
        <w:t>Uredba 596/2014/EU</w:t>
      </w:r>
      <w:r w:rsidRPr="00EE79F0">
        <w:rPr>
          <w:rFonts w:cs="Arial"/>
          <w:szCs w:val="20"/>
        </w:rPr>
        <w:t>), pod pogojem, da ta objava vsebuje vse podatke, zahtevane v drugem odstavku tega člena. Smiselno se uporabljata četrti in peti odstavek 17. člena </w:t>
      </w:r>
      <w:r w:rsidRPr="00FE3CE8">
        <w:t>Uredbe 596/2014/EU</w:t>
      </w:r>
      <w:r w:rsidRPr="00EE79F0">
        <w:rPr>
          <w:rFonts w:cs="Arial"/>
          <w:szCs w:val="20"/>
        </w:rPr>
        <w:t>.</w:t>
      </w:r>
    </w:p>
    <w:p w14:paraId="41E6D2A2" w14:textId="77777777" w:rsidR="00EE79F0" w:rsidRPr="00EE79F0" w:rsidRDefault="00EE79F0" w:rsidP="00EE79F0">
      <w:pPr>
        <w:jc w:val="both"/>
        <w:rPr>
          <w:rFonts w:cs="Arial"/>
          <w:szCs w:val="20"/>
        </w:rPr>
      </w:pPr>
      <w:r w:rsidRPr="00EE79F0">
        <w:rPr>
          <w:rFonts w:cs="Arial"/>
          <w:szCs w:val="20"/>
        </w:rPr>
        <w:t>(5) Če je družba obvladujoče podjetje, kot ga opredeljujejo mednarodni računovodski standardi iz šeste alineje četrtega odstavka 53. člena tega zakona, se določbe tega člena smiselno uporabljajo tudi za posle odvisnih podjetij s strankami, povezanimi z družbo, če bi jih morala družba v primeru, da bi bili opravljeni z njo, javno objaviti.</w:t>
      </w:r>
    </w:p>
    <w:p w14:paraId="4F2B6884" w14:textId="77777777" w:rsidR="00FD4DAA" w:rsidRDefault="00FD4DAA" w:rsidP="00572B2F">
      <w:pPr>
        <w:jc w:val="both"/>
        <w:rPr>
          <w:rFonts w:cs="Arial"/>
          <w:szCs w:val="20"/>
        </w:rPr>
      </w:pPr>
    </w:p>
    <w:p w14:paraId="4F557DB9" w14:textId="77777777" w:rsidR="00EE79F0" w:rsidRPr="00EE79F0" w:rsidRDefault="00EE79F0" w:rsidP="00FE3CE8">
      <w:pPr>
        <w:jc w:val="center"/>
        <w:rPr>
          <w:rFonts w:cs="Arial"/>
          <w:b/>
          <w:bCs/>
          <w:szCs w:val="20"/>
        </w:rPr>
      </w:pPr>
      <w:r w:rsidRPr="00EE79F0">
        <w:rPr>
          <w:rFonts w:cs="Arial"/>
          <w:b/>
          <w:bCs/>
          <w:szCs w:val="20"/>
        </w:rPr>
        <w:t>686. člen</w:t>
      </w:r>
    </w:p>
    <w:p w14:paraId="1DC50005" w14:textId="77777777" w:rsidR="00EE79F0" w:rsidRPr="00EE79F0" w:rsidRDefault="00EE79F0" w:rsidP="00FE3CE8">
      <w:pPr>
        <w:jc w:val="center"/>
        <w:rPr>
          <w:rFonts w:cs="Arial"/>
          <w:b/>
          <w:bCs/>
          <w:szCs w:val="20"/>
        </w:rPr>
      </w:pPr>
      <w:r w:rsidRPr="00EE79F0">
        <w:rPr>
          <w:rFonts w:cs="Arial"/>
          <w:b/>
          <w:bCs/>
          <w:szCs w:val="20"/>
        </w:rPr>
        <w:t>(drugi prekrški družbe)</w:t>
      </w:r>
    </w:p>
    <w:p w14:paraId="299E832E" w14:textId="77777777" w:rsidR="00EE79F0" w:rsidRPr="00EE79F0" w:rsidRDefault="00EE79F0" w:rsidP="00EE79F0">
      <w:pPr>
        <w:jc w:val="both"/>
        <w:rPr>
          <w:rFonts w:cs="Arial"/>
          <w:szCs w:val="20"/>
        </w:rPr>
      </w:pPr>
      <w:r w:rsidRPr="00EE79F0">
        <w:rPr>
          <w:rFonts w:cs="Arial"/>
          <w:szCs w:val="20"/>
        </w:rPr>
        <w:t xml:space="preserve">(1) Z globo od 6.000 do 30.000 eurov se za prekršek kaznuje velika družba, z globo od 4.000 do 20.000 eurov srednja družba, z globo od 1.000 do 10.000 eurov majhna družba, z globo od 500 do 5.000 eurov pa </w:t>
      </w:r>
      <w:proofErr w:type="spellStart"/>
      <w:r w:rsidRPr="00EE79F0">
        <w:rPr>
          <w:rFonts w:cs="Arial"/>
          <w:szCs w:val="20"/>
        </w:rPr>
        <w:t>mikro</w:t>
      </w:r>
      <w:proofErr w:type="spellEnd"/>
      <w:r w:rsidRPr="00EE79F0">
        <w:rPr>
          <w:rFonts w:cs="Arial"/>
          <w:szCs w:val="20"/>
        </w:rPr>
        <w:t xml:space="preserve"> družba, če:</w:t>
      </w:r>
    </w:p>
    <w:p w14:paraId="411B3A80" w14:textId="77777777" w:rsidR="00EE79F0" w:rsidRPr="00EE79F0" w:rsidRDefault="00EE79F0" w:rsidP="00EE79F0">
      <w:pPr>
        <w:jc w:val="both"/>
        <w:rPr>
          <w:rFonts w:cs="Arial"/>
          <w:szCs w:val="20"/>
        </w:rPr>
      </w:pPr>
      <w:r w:rsidRPr="00EE79F0">
        <w:rPr>
          <w:rFonts w:cs="Arial"/>
          <w:szCs w:val="20"/>
        </w:rPr>
        <w:t>1.      krši prvi in četrti odstavek 11. člena tega zakona;</w:t>
      </w:r>
    </w:p>
    <w:p w14:paraId="4CA02295" w14:textId="77777777" w:rsidR="00EE79F0" w:rsidRPr="00EE79F0" w:rsidRDefault="00EE79F0" w:rsidP="00EE79F0">
      <w:pPr>
        <w:jc w:val="both"/>
        <w:rPr>
          <w:rFonts w:cs="Arial"/>
          <w:szCs w:val="20"/>
        </w:rPr>
      </w:pPr>
      <w:r w:rsidRPr="00EE79F0">
        <w:rPr>
          <w:rFonts w:cs="Arial"/>
          <w:szCs w:val="20"/>
        </w:rPr>
        <w:t>2.      ima v firmi dodatne sestavine, ki družbo podrobneje označujejo, v nasprotju s 13. členom tega zakona;</w:t>
      </w:r>
    </w:p>
    <w:p w14:paraId="365B7F0D" w14:textId="77777777" w:rsidR="00EE79F0" w:rsidRPr="00EE79F0" w:rsidRDefault="00EE79F0" w:rsidP="00EE79F0">
      <w:pPr>
        <w:jc w:val="both"/>
        <w:rPr>
          <w:rFonts w:cs="Arial"/>
          <w:szCs w:val="20"/>
        </w:rPr>
      </w:pPr>
      <w:r w:rsidRPr="00EE79F0">
        <w:rPr>
          <w:rFonts w:cs="Arial"/>
          <w:szCs w:val="20"/>
        </w:rPr>
        <w:t>3.      uporablja besedo Slovenija v nasprotju s 15. členom tega zakona;</w:t>
      </w:r>
    </w:p>
    <w:p w14:paraId="6F25F627" w14:textId="77777777" w:rsidR="00EE79F0" w:rsidRPr="00EE79F0" w:rsidRDefault="00EE79F0" w:rsidP="00EE79F0">
      <w:pPr>
        <w:jc w:val="both"/>
        <w:rPr>
          <w:rFonts w:cs="Arial"/>
          <w:szCs w:val="20"/>
        </w:rPr>
      </w:pPr>
      <w:r w:rsidRPr="00EE79F0">
        <w:rPr>
          <w:rFonts w:cs="Arial"/>
          <w:szCs w:val="20"/>
        </w:rPr>
        <w:t>4.      pri svojem poslovanju ne uporablja firme v obliki, kot je vpisana v register (19. člen);</w:t>
      </w:r>
    </w:p>
    <w:p w14:paraId="1E612D9B" w14:textId="77777777" w:rsidR="00EE79F0" w:rsidRPr="00EE79F0" w:rsidRDefault="00EE79F0" w:rsidP="00EE79F0">
      <w:pPr>
        <w:jc w:val="both"/>
        <w:rPr>
          <w:rFonts w:cs="Arial"/>
          <w:szCs w:val="20"/>
        </w:rPr>
      </w:pPr>
      <w:r w:rsidRPr="00EE79F0">
        <w:rPr>
          <w:rFonts w:cs="Arial"/>
          <w:szCs w:val="20"/>
        </w:rPr>
        <w:t>5.      na dopisih, ki jih pošilja družba, ni podatkov iz prvega odstavka 45. člena tega zakona;</w:t>
      </w:r>
    </w:p>
    <w:p w14:paraId="111F5B78" w14:textId="77777777" w:rsidR="00EE79F0" w:rsidRPr="00EE79F0" w:rsidRDefault="00EE79F0" w:rsidP="00EE79F0">
      <w:pPr>
        <w:jc w:val="both"/>
        <w:rPr>
          <w:rFonts w:cs="Arial"/>
          <w:szCs w:val="20"/>
        </w:rPr>
      </w:pPr>
      <w:r w:rsidRPr="00EE79F0">
        <w:rPr>
          <w:rFonts w:cs="Arial"/>
          <w:szCs w:val="20"/>
        </w:rPr>
        <w:t>6.      letnega poročila ali konsolidiranega letnega poročila ne sestavi v rokih iz 54. člena tega zakona;</w:t>
      </w:r>
    </w:p>
    <w:p w14:paraId="7B04BAFF" w14:textId="77777777" w:rsidR="00EE79F0" w:rsidRPr="00EE79F0" w:rsidRDefault="00EE79F0" w:rsidP="00EE79F0">
      <w:pPr>
        <w:jc w:val="both"/>
        <w:rPr>
          <w:rFonts w:cs="Arial"/>
          <w:szCs w:val="20"/>
        </w:rPr>
      </w:pPr>
      <w:r w:rsidRPr="00EE79F0">
        <w:rPr>
          <w:rFonts w:cs="Arial"/>
          <w:szCs w:val="20"/>
        </w:rPr>
        <w:t>7.      letnega poročila ali konsolidiranega letnega poročila skupaj z revizorjevim poročilom ali popravljenega letnega poročila ali konsolidiranega letnega poročila oziroma spremembe revizorjevega poročila ne predloži AJPES na način in v rokih, ki jih določata prvi in drugi odstavek 58. člena tega zakona;</w:t>
      </w:r>
    </w:p>
    <w:p w14:paraId="7F86AF82" w14:textId="77777777" w:rsidR="00EE79F0" w:rsidRPr="00EE79F0" w:rsidRDefault="00EE79F0" w:rsidP="00EE79F0">
      <w:pPr>
        <w:jc w:val="both"/>
        <w:rPr>
          <w:rFonts w:cs="Arial"/>
          <w:szCs w:val="20"/>
        </w:rPr>
      </w:pPr>
      <w:r w:rsidRPr="00EE79F0">
        <w:rPr>
          <w:rFonts w:cs="Arial"/>
          <w:szCs w:val="20"/>
        </w:rPr>
        <w:t>8.      letno poročilo ne vsebuje sestavin iz 60. člena tega zakona;</w:t>
      </w:r>
    </w:p>
    <w:p w14:paraId="6D081D90" w14:textId="77777777" w:rsidR="00EE79F0" w:rsidRPr="00EE79F0" w:rsidRDefault="00EE79F0" w:rsidP="00EE79F0">
      <w:pPr>
        <w:jc w:val="both"/>
        <w:rPr>
          <w:rFonts w:cs="Arial"/>
          <w:szCs w:val="20"/>
        </w:rPr>
      </w:pPr>
      <w:r w:rsidRPr="00EE79F0">
        <w:rPr>
          <w:rFonts w:cs="Arial"/>
          <w:szCs w:val="20"/>
        </w:rPr>
        <w:t>9.      letno poročilo ni podpisano v skladu s 60.a členom tega zakona;</w:t>
      </w:r>
    </w:p>
    <w:p w14:paraId="6B630995" w14:textId="77777777" w:rsidR="00EE79F0" w:rsidRPr="00EE79F0" w:rsidRDefault="00EE79F0" w:rsidP="00EE79F0">
      <w:pPr>
        <w:jc w:val="both"/>
        <w:rPr>
          <w:rFonts w:cs="Arial"/>
          <w:szCs w:val="20"/>
        </w:rPr>
      </w:pPr>
      <w:r w:rsidRPr="00EE79F0">
        <w:rPr>
          <w:rFonts w:cs="Arial"/>
          <w:szCs w:val="20"/>
        </w:rPr>
        <w:t>10.   poslovno poročilo ne vsebuje sestavin iz 70. člena tega zakona;</w:t>
      </w:r>
    </w:p>
    <w:p w14:paraId="5173851A" w14:textId="77777777" w:rsidR="00EE79F0" w:rsidRPr="00EE79F0" w:rsidRDefault="00EE79F0" w:rsidP="00EE79F0">
      <w:pPr>
        <w:jc w:val="both"/>
        <w:rPr>
          <w:rFonts w:cs="Arial"/>
          <w:szCs w:val="20"/>
        </w:rPr>
      </w:pPr>
      <w:r w:rsidRPr="00EE79F0">
        <w:rPr>
          <w:rFonts w:cs="Arial"/>
          <w:szCs w:val="20"/>
        </w:rPr>
        <w:t xml:space="preserve">11.   poročila o </w:t>
      </w:r>
      <w:proofErr w:type="spellStart"/>
      <w:r w:rsidRPr="00EE79F0">
        <w:rPr>
          <w:rFonts w:cs="Arial"/>
          <w:szCs w:val="20"/>
        </w:rPr>
        <w:t>trajnostnosti</w:t>
      </w:r>
      <w:proofErr w:type="spellEnd"/>
      <w:r w:rsidRPr="00EE79F0">
        <w:rPr>
          <w:rFonts w:cs="Arial"/>
          <w:szCs w:val="20"/>
        </w:rPr>
        <w:t xml:space="preserve"> v zvezi s tujim podjetjem iz tretje države ne predloži AJPES na način in v rokih v skladu s prvim do četrtim odstavkom 70.d člena tega zakona oziroma podatkov o čistih prihodkih od prodaje iz šestega odstavka 70.d člena tega zakona ne predloži AJPES;</w:t>
      </w:r>
    </w:p>
    <w:p w14:paraId="57C6068B" w14:textId="77777777" w:rsidR="00EE79F0" w:rsidRPr="00EE79F0" w:rsidRDefault="00EE79F0" w:rsidP="00EE79F0">
      <w:pPr>
        <w:jc w:val="both"/>
        <w:rPr>
          <w:rFonts w:cs="Arial"/>
          <w:szCs w:val="20"/>
        </w:rPr>
      </w:pPr>
      <w:r w:rsidRPr="00EE79F0">
        <w:rPr>
          <w:rFonts w:cs="Arial"/>
          <w:szCs w:val="20"/>
        </w:rPr>
        <w:t>12.  poročila o davčnih informacijah v zvezi z dohodki iz 70.e in 70.j člena tega zakona ne pripravi ali ne predloži AJPES ali ne objavi na spletni strani na način in v rokih, ki jih določajo 58., 70.g in 70.i člen tega zakona;</w:t>
      </w:r>
    </w:p>
    <w:p w14:paraId="62F5E300" w14:textId="77777777" w:rsidR="00EE79F0" w:rsidRPr="00EE79F0" w:rsidRDefault="00EE79F0" w:rsidP="00EE79F0">
      <w:pPr>
        <w:jc w:val="both"/>
        <w:rPr>
          <w:rFonts w:cs="Arial"/>
          <w:szCs w:val="20"/>
        </w:rPr>
      </w:pPr>
      <w:r w:rsidRPr="00EE79F0">
        <w:rPr>
          <w:rFonts w:cs="Arial"/>
          <w:szCs w:val="20"/>
        </w:rPr>
        <w:t xml:space="preserve">13.   na poslovnih listinah poleg firme dvojne družbe nista označena ime in priimek poslovodij ali članov poslovodstva </w:t>
      </w:r>
      <w:proofErr w:type="spellStart"/>
      <w:r w:rsidRPr="00EE79F0">
        <w:rPr>
          <w:rFonts w:cs="Arial"/>
          <w:szCs w:val="20"/>
        </w:rPr>
        <w:t>komplementarja</w:t>
      </w:r>
      <w:proofErr w:type="spellEnd"/>
      <w:r w:rsidRPr="00EE79F0">
        <w:rPr>
          <w:rFonts w:cs="Arial"/>
          <w:szCs w:val="20"/>
        </w:rPr>
        <w:t xml:space="preserve"> v dvojni družbi (prvi odstavek 156. člena);</w:t>
      </w:r>
    </w:p>
    <w:p w14:paraId="0E127568" w14:textId="77777777" w:rsidR="00EE79F0" w:rsidRPr="00EE79F0" w:rsidRDefault="00EE79F0" w:rsidP="00EE79F0">
      <w:pPr>
        <w:jc w:val="both"/>
        <w:rPr>
          <w:rFonts w:cs="Arial"/>
          <w:szCs w:val="20"/>
        </w:rPr>
      </w:pPr>
      <w:r w:rsidRPr="00EE79F0">
        <w:rPr>
          <w:rFonts w:cs="Arial"/>
          <w:szCs w:val="20"/>
        </w:rPr>
        <w:t xml:space="preserve">14.   pri vodenju poslov dvojne družbe pri podpisovanju fizične osebe ni dodana tudi firma </w:t>
      </w:r>
      <w:proofErr w:type="spellStart"/>
      <w:r w:rsidRPr="00EE79F0">
        <w:rPr>
          <w:rFonts w:cs="Arial"/>
          <w:szCs w:val="20"/>
        </w:rPr>
        <w:t>komplementarja</w:t>
      </w:r>
      <w:proofErr w:type="spellEnd"/>
      <w:r w:rsidRPr="00EE79F0">
        <w:rPr>
          <w:rFonts w:cs="Arial"/>
          <w:szCs w:val="20"/>
        </w:rPr>
        <w:t xml:space="preserve"> (drugi odstavek 156. člena);</w:t>
      </w:r>
    </w:p>
    <w:p w14:paraId="752EDAAA" w14:textId="77777777" w:rsidR="00EE79F0" w:rsidRPr="00EE79F0" w:rsidRDefault="00EE79F0" w:rsidP="00EE79F0">
      <w:pPr>
        <w:jc w:val="both"/>
        <w:rPr>
          <w:rFonts w:cs="Arial"/>
          <w:szCs w:val="20"/>
        </w:rPr>
      </w:pPr>
      <w:r w:rsidRPr="00EE79F0">
        <w:rPr>
          <w:rFonts w:cs="Arial"/>
          <w:szCs w:val="20"/>
        </w:rPr>
        <w:t>15.   ima v sestavi osnovnega kapitala več kot polovico delnic brez glasovalne pravice (drugi odstavek 178. člena);</w:t>
      </w:r>
    </w:p>
    <w:p w14:paraId="21879B54" w14:textId="77777777" w:rsidR="00EE79F0" w:rsidRPr="00EE79F0" w:rsidRDefault="00EE79F0" w:rsidP="00EE79F0">
      <w:pPr>
        <w:jc w:val="both"/>
        <w:rPr>
          <w:rFonts w:cs="Arial"/>
          <w:szCs w:val="20"/>
        </w:rPr>
      </w:pPr>
      <w:r w:rsidRPr="00EE79F0">
        <w:rPr>
          <w:rFonts w:cs="Arial"/>
          <w:szCs w:val="20"/>
        </w:rPr>
        <w:t>16.   delničarju po ponovnem pozivu ne odvzame neplačanih delnic (drugi odstavek 224. člena);</w:t>
      </w:r>
    </w:p>
    <w:p w14:paraId="6A5EAAD2" w14:textId="77777777" w:rsidR="00EE79F0" w:rsidRPr="00EE79F0" w:rsidRDefault="00EE79F0" w:rsidP="00EE79F0">
      <w:pPr>
        <w:jc w:val="both"/>
        <w:rPr>
          <w:rFonts w:cs="Arial"/>
          <w:szCs w:val="20"/>
        </w:rPr>
      </w:pPr>
      <w:r w:rsidRPr="00EE79F0">
        <w:rPr>
          <w:rFonts w:cs="Arial"/>
          <w:szCs w:val="20"/>
        </w:rPr>
        <w:t>17.   vpisuje lastne delnice (prvi odstavek 229. člena);</w:t>
      </w:r>
    </w:p>
    <w:p w14:paraId="4CCC3B2A" w14:textId="77777777" w:rsidR="00EE79F0" w:rsidRPr="00EE79F0" w:rsidRDefault="00EE79F0" w:rsidP="00EE79F0">
      <w:pPr>
        <w:jc w:val="both"/>
        <w:rPr>
          <w:rFonts w:cs="Arial"/>
          <w:szCs w:val="20"/>
        </w:rPr>
      </w:pPr>
      <w:r w:rsidRPr="00EE79F0">
        <w:rPr>
          <w:rFonts w:cs="Arial"/>
          <w:szCs w:val="20"/>
        </w:rPr>
        <w:t>18.   prevzame lastne delnice v nasprotju z drugim odstavkom 229. člena tega zakona;</w:t>
      </w:r>
    </w:p>
    <w:p w14:paraId="5206A448" w14:textId="77777777" w:rsidR="00EE79F0" w:rsidRPr="00EE79F0" w:rsidRDefault="00EE79F0" w:rsidP="00EE79F0">
      <w:pPr>
        <w:jc w:val="both"/>
        <w:rPr>
          <w:rFonts w:cs="Arial"/>
          <w:szCs w:val="20"/>
        </w:rPr>
      </w:pPr>
      <w:r w:rsidRPr="00EE79F0">
        <w:rPr>
          <w:rFonts w:cs="Arial"/>
          <w:szCs w:val="20"/>
        </w:rPr>
        <w:t>19.   izplača vmesno dividendo v nasprotju z 232. členom tega zakona;</w:t>
      </w:r>
    </w:p>
    <w:p w14:paraId="63D938D1" w14:textId="77777777" w:rsidR="00EE79F0" w:rsidRPr="00EE79F0" w:rsidRDefault="00EE79F0" w:rsidP="00EE79F0">
      <w:pPr>
        <w:jc w:val="both"/>
        <w:rPr>
          <w:rFonts w:cs="Arial"/>
          <w:szCs w:val="20"/>
        </w:rPr>
      </w:pPr>
      <w:r w:rsidRPr="00EE79F0">
        <w:rPr>
          <w:rFonts w:cs="Arial"/>
          <w:szCs w:val="20"/>
        </w:rPr>
        <w:t>20.   ne posreduje informacij za uresničevanje pravic delničarjev iz 1. in 2. točke prvega odstavka 235.c člena tega zakona v skladu z drugim do četrtim odstavkom 235.c člena tega zakona;</w:t>
      </w:r>
    </w:p>
    <w:p w14:paraId="1F65A1E3" w14:textId="77777777" w:rsidR="00EE79F0" w:rsidRPr="00EE79F0" w:rsidRDefault="00EE79F0" w:rsidP="00EE79F0">
      <w:pPr>
        <w:jc w:val="both"/>
        <w:rPr>
          <w:rFonts w:cs="Arial"/>
          <w:szCs w:val="20"/>
        </w:rPr>
      </w:pPr>
      <w:r w:rsidRPr="00EE79F0">
        <w:rPr>
          <w:rFonts w:cs="Arial"/>
          <w:szCs w:val="20"/>
        </w:rPr>
        <w:t>21.   hrani osebne podatke o delničarjih družbe, ki jih je zbrala za namen iz prvega odstavka 235.d člena tega zakona, dlje od 12 mesecev po tem, ko se je seznanila, da oseba ni več delničar družbe, razen v primerih iz drugega odstavka 235.d člena tega zakona (drugi odstavek 235.d člena);</w:t>
      </w:r>
    </w:p>
    <w:p w14:paraId="190053E3" w14:textId="77777777" w:rsidR="00EE79F0" w:rsidRPr="00EE79F0" w:rsidRDefault="00EE79F0" w:rsidP="00EE79F0">
      <w:pPr>
        <w:jc w:val="both"/>
        <w:rPr>
          <w:rFonts w:cs="Arial"/>
          <w:szCs w:val="20"/>
        </w:rPr>
      </w:pPr>
      <w:r w:rsidRPr="00EE79F0">
        <w:rPr>
          <w:rFonts w:cs="Arial"/>
          <w:szCs w:val="20"/>
        </w:rPr>
        <w:lastRenderedPageBreak/>
        <w:t>22.   informacij za uresničevanje pravic delničarjev ne zagotavlja brezplačno (šesti odstavek 235.e člena);</w:t>
      </w:r>
    </w:p>
    <w:p w14:paraId="3C9EFDD0" w14:textId="77777777" w:rsidR="00EE79F0" w:rsidRPr="00EE79F0" w:rsidRDefault="00EE79F0" w:rsidP="00EE79F0">
      <w:pPr>
        <w:jc w:val="both"/>
        <w:rPr>
          <w:rFonts w:cs="Arial"/>
          <w:szCs w:val="20"/>
        </w:rPr>
      </w:pPr>
      <w:r w:rsidRPr="00EE79F0">
        <w:rPr>
          <w:rFonts w:cs="Arial"/>
          <w:szCs w:val="20"/>
        </w:rPr>
        <w:t>23.   ima organ vodenja ali nadzora sestavljen v nasprotju z 254. in 255. členom tega zakona;</w:t>
      </w:r>
    </w:p>
    <w:p w14:paraId="3A7BDFF1" w14:textId="77777777" w:rsidR="00EE79F0" w:rsidRPr="00EE79F0" w:rsidRDefault="00EE79F0" w:rsidP="00EE79F0">
      <w:pPr>
        <w:jc w:val="both"/>
        <w:rPr>
          <w:rFonts w:cs="Arial"/>
          <w:szCs w:val="20"/>
        </w:rPr>
      </w:pPr>
      <w:r w:rsidRPr="00EE79F0">
        <w:rPr>
          <w:rFonts w:cs="Arial"/>
          <w:szCs w:val="20"/>
        </w:rPr>
        <w:t>24.   odobri posojila v nasprotju z 261. členom tega zakona;</w:t>
      </w:r>
    </w:p>
    <w:p w14:paraId="3D4AF00D" w14:textId="77777777" w:rsidR="00EE79F0" w:rsidRPr="00EE79F0" w:rsidRDefault="00EE79F0" w:rsidP="00EE79F0">
      <w:pPr>
        <w:jc w:val="both"/>
        <w:rPr>
          <w:rFonts w:cs="Arial"/>
          <w:szCs w:val="20"/>
        </w:rPr>
      </w:pPr>
      <w:r w:rsidRPr="00EE79F0">
        <w:rPr>
          <w:rFonts w:cs="Arial"/>
          <w:szCs w:val="20"/>
        </w:rPr>
        <w:t>25.   ne prijavi v register podatkov iz 277. člena in prvega odstavka 278. člena tega zakona;</w:t>
      </w:r>
    </w:p>
    <w:p w14:paraId="7EE7F1D8" w14:textId="77777777" w:rsidR="00EE79F0" w:rsidRPr="00EE79F0" w:rsidRDefault="00EE79F0" w:rsidP="00EE79F0">
      <w:pPr>
        <w:jc w:val="both"/>
        <w:rPr>
          <w:rFonts w:cs="Arial"/>
          <w:szCs w:val="20"/>
        </w:rPr>
      </w:pPr>
      <w:r w:rsidRPr="00EE79F0">
        <w:rPr>
          <w:rFonts w:cs="Arial"/>
          <w:szCs w:val="20"/>
        </w:rPr>
        <w:t>26.   ne objavi posla s povezanimi strankami v skladu z 281.d členom tega zakona;</w:t>
      </w:r>
    </w:p>
    <w:p w14:paraId="2335E47B" w14:textId="77777777" w:rsidR="00EE79F0" w:rsidRPr="00EE79F0" w:rsidRDefault="00EE79F0" w:rsidP="00EE79F0">
      <w:pPr>
        <w:jc w:val="both"/>
        <w:rPr>
          <w:rFonts w:cs="Arial"/>
          <w:szCs w:val="20"/>
        </w:rPr>
      </w:pPr>
      <w:r w:rsidRPr="00EE79F0">
        <w:rPr>
          <w:rFonts w:cs="Arial"/>
          <w:szCs w:val="20"/>
        </w:rPr>
        <w:t>27.   potrdila ne zagotovi brez odlašanja (četrti odstavek 297. člena);</w:t>
      </w:r>
    </w:p>
    <w:p w14:paraId="658B03A5" w14:textId="77777777" w:rsidR="00EE79F0" w:rsidRPr="00EE79F0" w:rsidRDefault="00EE79F0" w:rsidP="00EE79F0">
      <w:pPr>
        <w:jc w:val="both"/>
        <w:rPr>
          <w:rFonts w:cs="Arial"/>
          <w:szCs w:val="20"/>
        </w:rPr>
      </w:pPr>
      <w:r w:rsidRPr="00EE79F0">
        <w:rPr>
          <w:rFonts w:cs="Arial"/>
          <w:szCs w:val="20"/>
        </w:rPr>
        <w:t>28.   v prilogi k računovodskim izkazom ne razkrije politike prejemkov članov organa vodenja ali nadzora (peti odstavek 294. člena);</w:t>
      </w:r>
    </w:p>
    <w:p w14:paraId="2117BD4A" w14:textId="77777777" w:rsidR="00EE79F0" w:rsidRPr="00EE79F0" w:rsidRDefault="00EE79F0" w:rsidP="00EE79F0">
      <w:pPr>
        <w:jc w:val="both"/>
        <w:rPr>
          <w:rFonts w:cs="Arial"/>
          <w:szCs w:val="20"/>
        </w:rPr>
      </w:pPr>
      <w:r w:rsidRPr="00EE79F0">
        <w:rPr>
          <w:rFonts w:cs="Arial"/>
          <w:szCs w:val="20"/>
        </w:rPr>
        <w:t>29.   ne objavi politike prejemkov v skladu s petim odstavkom 294.a člena tega zakona;</w:t>
      </w:r>
    </w:p>
    <w:p w14:paraId="26C58C63" w14:textId="77777777" w:rsidR="00EE79F0" w:rsidRPr="00EE79F0" w:rsidRDefault="00EE79F0" w:rsidP="00EE79F0">
      <w:pPr>
        <w:jc w:val="both"/>
        <w:rPr>
          <w:rFonts w:cs="Arial"/>
          <w:szCs w:val="20"/>
        </w:rPr>
      </w:pPr>
      <w:r w:rsidRPr="00EE79F0">
        <w:rPr>
          <w:rFonts w:cs="Arial"/>
          <w:szCs w:val="20"/>
        </w:rPr>
        <w:t>30.   ne zagotovi brezplačnega dostopa do poročila o prejemkih in ga ne objavi v skladu z osmim odstavkom 294.b člena tega zakona;</w:t>
      </w:r>
    </w:p>
    <w:p w14:paraId="03A776E7" w14:textId="77777777" w:rsidR="00EE79F0" w:rsidRPr="00EE79F0" w:rsidRDefault="00EE79F0" w:rsidP="00EE79F0">
      <w:pPr>
        <w:jc w:val="both"/>
        <w:rPr>
          <w:rFonts w:cs="Arial"/>
          <w:szCs w:val="20"/>
        </w:rPr>
      </w:pPr>
      <w:r w:rsidRPr="00EE79F0">
        <w:rPr>
          <w:rFonts w:cs="Arial"/>
          <w:szCs w:val="20"/>
        </w:rPr>
        <w:t>31.   ne objavi dodatnih točk dnevnega reda iz tretjega odstavka 298. člena tega zakona;</w:t>
      </w:r>
    </w:p>
    <w:p w14:paraId="4A893397" w14:textId="77777777" w:rsidR="00EE79F0" w:rsidRPr="00EE79F0" w:rsidRDefault="00EE79F0" w:rsidP="00EE79F0">
      <w:pPr>
        <w:jc w:val="both"/>
        <w:rPr>
          <w:rFonts w:cs="Arial"/>
          <w:szCs w:val="20"/>
        </w:rPr>
      </w:pPr>
      <w:r w:rsidRPr="00EE79F0">
        <w:rPr>
          <w:rFonts w:cs="Arial"/>
          <w:szCs w:val="20"/>
        </w:rPr>
        <w:t>32.   ne pošlje overjenega prepisa zapisnika in prilog v 24 urah po seji skupščine (peti odstavek 304. člena);</w:t>
      </w:r>
    </w:p>
    <w:p w14:paraId="0C8D0020" w14:textId="77777777" w:rsidR="00EE79F0" w:rsidRPr="00EE79F0" w:rsidRDefault="00EE79F0" w:rsidP="00EE79F0">
      <w:pPr>
        <w:jc w:val="both"/>
        <w:rPr>
          <w:rFonts w:cs="Arial"/>
          <w:szCs w:val="20"/>
        </w:rPr>
      </w:pPr>
      <w:r w:rsidRPr="00EE79F0">
        <w:rPr>
          <w:rFonts w:cs="Arial"/>
          <w:szCs w:val="20"/>
        </w:rPr>
        <w:t>33.   potrdila ne zagotovi brez odlašanja (sedmi odstavek 304. člena);</w:t>
      </w:r>
    </w:p>
    <w:p w14:paraId="184A7E0E" w14:textId="77777777" w:rsidR="00EE79F0" w:rsidRPr="00EE79F0" w:rsidRDefault="00EE79F0" w:rsidP="00EE79F0">
      <w:pPr>
        <w:jc w:val="both"/>
        <w:rPr>
          <w:rFonts w:cs="Arial"/>
          <w:szCs w:val="20"/>
        </w:rPr>
      </w:pPr>
      <w:r w:rsidRPr="00EE79F0">
        <w:rPr>
          <w:rFonts w:cs="Arial"/>
          <w:szCs w:val="20"/>
        </w:rPr>
        <w:t>34.   ne objavi listin ali ne omogoči njihovega brezplačnega prepisa (drugi odstavek 188. člena, drugi odstavek 297.a člena, drugi in tretji odstavek 437. člena, tretji odstavek 447. člena, drugi odstavek 535.č, četrti odstavek 555.a, šesti odstavek 586. člena in 629. člen);</w:t>
      </w:r>
    </w:p>
    <w:p w14:paraId="7CD29BED" w14:textId="77777777" w:rsidR="00EE79F0" w:rsidRPr="00EE79F0" w:rsidRDefault="00EE79F0" w:rsidP="00EE79F0">
      <w:pPr>
        <w:jc w:val="both"/>
        <w:rPr>
          <w:rFonts w:cs="Arial"/>
          <w:szCs w:val="20"/>
        </w:rPr>
      </w:pPr>
      <w:r w:rsidRPr="00EE79F0">
        <w:rPr>
          <w:rFonts w:cs="Arial"/>
          <w:szCs w:val="20"/>
        </w:rPr>
        <w:t>35.   poveča osnovni kapital v nasprotju z določbami 358. člena tega zakona;</w:t>
      </w:r>
    </w:p>
    <w:p w14:paraId="36B4BFD2" w14:textId="77777777" w:rsidR="00EE79F0" w:rsidRPr="00EE79F0" w:rsidRDefault="00EE79F0" w:rsidP="00EE79F0">
      <w:pPr>
        <w:jc w:val="both"/>
        <w:rPr>
          <w:rFonts w:cs="Arial"/>
          <w:szCs w:val="20"/>
        </w:rPr>
      </w:pPr>
      <w:r w:rsidRPr="00EE79F0">
        <w:rPr>
          <w:rFonts w:cs="Arial"/>
          <w:szCs w:val="20"/>
        </w:rPr>
        <w:t>36.   družbeniku v nasprotju s 512. členom tega zakona ne da informaciji oziroma mu ne dovoli vpogleda;</w:t>
      </w:r>
    </w:p>
    <w:p w14:paraId="4F2FA458" w14:textId="77777777" w:rsidR="00EE79F0" w:rsidRPr="00EE79F0" w:rsidRDefault="00EE79F0" w:rsidP="00EE79F0">
      <w:pPr>
        <w:jc w:val="both"/>
        <w:rPr>
          <w:rFonts w:cs="Arial"/>
          <w:szCs w:val="20"/>
        </w:rPr>
      </w:pPr>
      <w:r w:rsidRPr="00EE79F0">
        <w:rPr>
          <w:rFonts w:cs="Arial"/>
          <w:szCs w:val="20"/>
        </w:rPr>
        <w:t>37.   opusti dolžnost obveščanja in objave v skladu s 532. členom tega zakona;</w:t>
      </w:r>
    </w:p>
    <w:p w14:paraId="71C0A1A0" w14:textId="77777777" w:rsidR="00EE79F0" w:rsidRPr="00EE79F0" w:rsidRDefault="00EE79F0" w:rsidP="00EE79F0">
      <w:pPr>
        <w:jc w:val="both"/>
        <w:rPr>
          <w:rFonts w:cs="Arial"/>
          <w:szCs w:val="20"/>
        </w:rPr>
      </w:pPr>
      <w:r w:rsidRPr="00EE79F0">
        <w:rPr>
          <w:rFonts w:cs="Arial"/>
          <w:szCs w:val="20"/>
        </w:rPr>
        <w:t>38.   družba zavezanka ne določi deleža zastopanosti manj zastopanega spola v organih vodenja in nadzora ter med izvršnimi direktorji skladno z drugim odstavkom 254.c členom tega zakona;</w:t>
      </w:r>
    </w:p>
    <w:p w14:paraId="06057948" w14:textId="77777777" w:rsidR="00EE79F0" w:rsidRPr="00EE79F0" w:rsidRDefault="00EE79F0" w:rsidP="00EE79F0">
      <w:pPr>
        <w:jc w:val="both"/>
        <w:rPr>
          <w:rFonts w:cs="Arial"/>
          <w:szCs w:val="20"/>
        </w:rPr>
      </w:pPr>
      <w:r w:rsidRPr="00EE79F0">
        <w:rPr>
          <w:rFonts w:cs="Arial"/>
          <w:szCs w:val="20"/>
        </w:rPr>
        <w:t>39.   družba zavezanka v primeru neizpolnjevanja deležev v izbirnem postopku za imenovanje članov organov vodenja in nadzora ter izvršnih direktorjev ob enakem izpolnjevanju predpisanih meril in pogojev v nasprotju s prvim odstavkom 254.č členom tega zakona ne da prednosti osebi manj zastopanega spola;</w:t>
      </w:r>
    </w:p>
    <w:p w14:paraId="1B0A5FE7" w14:textId="77777777" w:rsidR="00EE79F0" w:rsidRPr="00EE79F0" w:rsidRDefault="00EE79F0" w:rsidP="00EE79F0">
      <w:pPr>
        <w:jc w:val="both"/>
        <w:rPr>
          <w:rFonts w:cs="Arial"/>
          <w:szCs w:val="20"/>
        </w:rPr>
      </w:pPr>
      <w:r w:rsidRPr="00EE79F0">
        <w:rPr>
          <w:rFonts w:cs="Arial"/>
          <w:szCs w:val="20"/>
        </w:rPr>
        <w:t>40.  družba zavezanka v primeru neizpolnjevanja deležev pred začetkom izbirnega postopka ne določi jasnih, nevtralnih in nedvoumnih meril ter pogojev za imenovanje člana organa vodenja ali nadzora ali izvršnega direktorja v skladu z drugim odstavkom 254.č člena tega zakona.</w:t>
      </w:r>
    </w:p>
    <w:p w14:paraId="780DE2DA" w14:textId="77777777" w:rsidR="00EE79F0" w:rsidRPr="00EE79F0" w:rsidRDefault="00EE79F0" w:rsidP="00EE79F0">
      <w:pPr>
        <w:jc w:val="both"/>
        <w:rPr>
          <w:rFonts w:cs="Arial"/>
          <w:szCs w:val="20"/>
        </w:rPr>
      </w:pPr>
      <w:r w:rsidRPr="00EE79F0">
        <w:rPr>
          <w:rFonts w:cs="Arial"/>
          <w:szCs w:val="20"/>
        </w:rPr>
        <w:t>(2) Z globo od 300 do 2.500 eurov se kaznuje tudi odgovorna oseba družbe, ki stori prekršek iz prejšnjega odstavka.</w:t>
      </w:r>
    </w:p>
    <w:p w14:paraId="47C4BF67" w14:textId="77777777" w:rsidR="00FD4DAA" w:rsidRDefault="00FD4DAA" w:rsidP="00572B2F">
      <w:pPr>
        <w:jc w:val="both"/>
        <w:rPr>
          <w:rFonts w:cs="Arial"/>
          <w:szCs w:val="20"/>
        </w:rPr>
      </w:pPr>
    </w:p>
    <w:p w14:paraId="61EFB625" w14:textId="77777777" w:rsidR="00572B2F" w:rsidRPr="00FE3CE8" w:rsidRDefault="00572B2F" w:rsidP="00A3280F">
      <w:pPr>
        <w:jc w:val="both"/>
        <w:rPr>
          <w:rFonts w:cs="Arial"/>
          <w:b/>
          <w:bCs/>
          <w:szCs w:val="20"/>
        </w:rPr>
      </w:pPr>
      <w:r w:rsidRPr="00FE3CE8">
        <w:rPr>
          <w:rFonts w:cs="Arial"/>
          <w:b/>
          <w:bCs/>
          <w:szCs w:val="20"/>
        </w:rPr>
        <w:t>Zakon o investicijskih skladih in družbah za upravljanje (Uradni list RS, št. 31/15, 81/15, 77/16, 77/18, 161/21,101/22- ZOAIS in 77/25)</w:t>
      </w:r>
    </w:p>
    <w:p w14:paraId="442BA094" w14:textId="77777777" w:rsidR="00572B2F" w:rsidRDefault="00572B2F" w:rsidP="00572B2F">
      <w:pPr>
        <w:jc w:val="both"/>
        <w:rPr>
          <w:rFonts w:cs="Arial"/>
          <w:szCs w:val="20"/>
        </w:rPr>
      </w:pPr>
    </w:p>
    <w:p w14:paraId="58BC2043" w14:textId="77777777" w:rsidR="0035001A" w:rsidRPr="0035001A" w:rsidRDefault="0035001A" w:rsidP="00FE3CE8">
      <w:pPr>
        <w:jc w:val="center"/>
        <w:rPr>
          <w:rFonts w:cs="Arial"/>
          <w:b/>
          <w:bCs/>
          <w:szCs w:val="20"/>
        </w:rPr>
      </w:pPr>
      <w:r w:rsidRPr="0035001A">
        <w:rPr>
          <w:rFonts w:cs="Arial"/>
          <w:b/>
          <w:bCs/>
          <w:szCs w:val="20"/>
        </w:rPr>
        <w:t>2. člen</w:t>
      </w:r>
    </w:p>
    <w:p w14:paraId="442E83A8" w14:textId="77777777" w:rsidR="0035001A" w:rsidRPr="0035001A" w:rsidRDefault="0035001A" w:rsidP="00FE3CE8">
      <w:pPr>
        <w:jc w:val="center"/>
        <w:rPr>
          <w:rFonts w:cs="Arial"/>
          <w:b/>
          <w:bCs/>
          <w:szCs w:val="20"/>
        </w:rPr>
      </w:pPr>
      <w:r w:rsidRPr="0035001A">
        <w:rPr>
          <w:rFonts w:cs="Arial"/>
          <w:b/>
          <w:bCs/>
          <w:szCs w:val="20"/>
        </w:rPr>
        <w:t>(prenos direktiv in izvajanje uredb Evropske unije)</w:t>
      </w:r>
    </w:p>
    <w:p w14:paraId="477D8B4A" w14:textId="77777777" w:rsidR="0035001A" w:rsidRPr="0035001A" w:rsidRDefault="0035001A" w:rsidP="0035001A">
      <w:pPr>
        <w:jc w:val="both"/>
        <w:rPr>
          <w:rFonts w:cs="Arial"/>
          <w:szCs w:val="20"/>
        </w:rPr>
      </w:pPr>
      <w:r w:rsidRPr="0035001A">
        <w:rPr>
          <w:rFonts w:cs="Arial"/>
          <w:szCs w:val="20"/>
        </w:rPr>
        <w:t>(1) S tem zakonom se v pravni red Republike Slovenije prenašajo naslednje direktive Evropske unije:</w:t>
      </w:r>
    </w:p>
    <w:p w14:paraId="365565C2" w14:textId="77777777" w:rsidR="0035001A" w:rsidRPr="0035001A" w:rsidRDefault="0035001A" w:rsidP="0035001A">
      <w:pPr>
        <w:jc w:val="both"/>
        <w:rPr>
          <w:rFonts w:cs="Arial"/>
          <w:szCs w:val="20"/>
        </w:rPr>
      </w:pPr>
      <w:r w:rsidRPr="0035001A">
        <w:rPr>
          <w:rFonts w:cs="Arial"/>
          <w:szCs w:val="20"/>
        </w:rPr>
        <w:t>1.      </w:t>
      </w:r>
      <w:r w:rsidR="005F3AA5" w:rsidRPr="00FE3CE8">
        <w:t>Direktiva 2009/65/ES</w:t>
      </w:r>
      <w:r w:rsidRPr="0035001A">
        <w:rPr>
          <w:rFonts w:cs="Arial"/>
          <w:szCs w:val="20"/>
        </w:rPr>
        <w:t> Evropskega parlamenta in Sveta z dne 13. julija 2009 o usklajevanju zakonov in drugih predpisov o kolektivnih naložbenih podjemih za vlaganja v prenosljive vrednostne papirje (KNPVP) (UL L št. 302 z dne 17. 11. 2009, str. 32), zadnjič spremenjena z </w:t>
      </w:r>
      <w:r w:rsidR="00EF6046" w:rsidRPr="00EF6046">
        <w:rPr>
          <w:rFonts w:cs="Arial"/>
          <w:szCs w:val="20"/>
        </w:rPr>
        <w:t>Direktivo 2022/2556/EU Evropskega parlamenta in Sveta z dne 14. decembra 2022 o spremembi direktiv 2009/65/ES, 2009/138/ES, 2011/61/EU, 2013/36/EU, 2014/59/EU, 2014/65/EU, 2015/2366/EU in 2016/2341/EU glede digitalne operativne odpornosti za finančni sektor (UL L št. 333 z dne 27. 12. 2022, str. 153)</w:t>
      </w:r>
      <w:r w:rsidRPr="0035001A">
        <w:rPr>
          <w:rFonts w:cs="Arial"/>
          <w:szCs w:val="20"/>
        </w:rPr>
        <w:t>, (v nadaljnjem besedilu: </w:t>
      </w:r>
      <w:r w:rsidR="005F3AA5" w:rsidRPr="00FE3CE8">
        <w:t>Direktiva 2009/65/ES</w:t>
      </w:r>
      <w:r w:rsidRPr="0035001A">
        <w:rPr>
          <w:rFonts w:cs="Arial"/>
          <w:szCs w:val="20"/>
        </w:rPr>
        <w:t>);</w:t>
      </w:r>
    </w:p>
    <w:p w14:paraId="052D8F15" w14:textId="77777777" w:rsidR="0035001A" w:rsidRPr="0035001A" w:rsidRDefault="0035001A" w:rsidP="0035001A">
      <w:pPr>
        <w:jc w:val="both"/>
        <w:rPr>
          <w:rFonts w:cs="Arial"/>
          <w:szCs w:val="20"/>
        </w:rPr>
      </w:pPr>
      <w:r w:rsidRPr="0035001A">
        <w:rPr>
          <w:rFonts w:cs="Arial"/>
          <w:szCs w:val="20"/>
        </w:rPr>
        <w:t>2.      </w:t>
      </w:r>
      <w:r w:rsidR="005F3AA5" w:rsidRPr="00FE3CE8">
        <w:t>Direktiva Komisije 2010/44/EU</w:t>
      </w:r>
      <w:r w:rsidRPr="0035001A">
        <w:rPr>
          <w:rFonts w:cs="Arial"/>
          <w:szCs w:val="20"/>
        </w:rPr>
        <w:t> z dne 1. julija 2010 o izvajanju </w:t>
      </w:r>
      <w:r w:rsidR="005F3AA5" w:rsidRPr="00FE3CE8">
        <w:t>Direktive 2009/65/ES</w:t>
      </w:r>
      <w:r w:rsidRPr="0035001A">
        <w:rPr>
          <w:rFonts w:cs="Arial"/>
          <w:szCs w:val="20"/>
        </w:rPr>
        <w:t xml:space="preserve"> Evropskega parlamenta in Sveta glede nekaterih določb o združitvah skladov, </w:t>
      </w:r>
      <w:r w:rsidRPr="0035001A">
        <w:rPr>
          <w:rFonts w:cs="Arial"/>
          <w:szCs w:val="20"/>
        </w:rPr>
        <w:lastRenderedPageBreak/>
        <w:t>centralno-napajalnih strukturah in postopku priglasitve (UL L št. 176 z dne 10. 7. 2010, str. 28; v nadaljnjem besedilu: </w:t>
      </w:r>
      <w:r w:rsidR="005F3AA5" w:rsidRPr="00FE3CE8">
        <w:t>Direktiva 2010/44/EU</w:t>
      </w:r>
      <w:r w:rsidRPr="0035001A">
        <w:rPr>
          <w:rFonts w:cs="Arial"/>
          <w:szCs w:val="20"/>
        </w:rPr>
        <w:t>);</w:t>
      </w:r>
    </w:p>
    <w:p w14:paraId="3FD6D6AB" w14:textId="77777777" w:rsidR="0035001A" w:rsidRPr="0035001A" w:rsidRDefault="0035001A" w:rsidP="0035001A">
      <w:pPr>
        <w:jc w:val="both"/>
        <w:rPr>
          <w:rFonts w:cs="Arial"/>
          <w:szCs w:val="20"/>
        </w:rPr>
      </w:pPr>
      <w:r w:rsidRPr="0035001A">
        <w:rPr>
          <w:rFonts w:cs="Arial"/>
          <w:szCs w:val="20"/>
        </w:rPr>
        <w:t>3.      </w:t>
      </w:r>
      <w:r w:rsidR="005F3AA5" w:rsidRPr="00FE3CE8">
        <w:t>Direktiva Komisije št. 2010/43/EU</w:t>
      </w:r>
      <w:r w:rsidRPr="0035001A">
        <w:rPr>
          <w:rFonts w:cs="Arial"/>
          <w:szCs w:val="20"/>
        </w:rPr>
        <w:t> z dne 1. julija 2010 o izvajanju </w:t>
      </w:r>
      <w:r w:rsidR="005F3AA5" w:rsidRPr="00FE3CE8">
        <w:t>Direktive 2009/65/ES</w:t>
      </w:r>
      <w:r w:rsidRPr="0035001A">
        <w:rPr>
          <w:rFonts w:cs="Arial"/>
          <w:szCs w:val="20"/>
        </w:rPr>
        <w:t> Evropskega parlamenta in Sveta o organizacijskih zahtevah, navzkrižjih interesov, poslovanju, obvladovanju tveganja ter vsebini sporazuma med depozitarjem in družbo za upravljanje (UL L št. 176 z dne 10. 7. 2010, str. 42; v nadaljnjem besedilu: </w:t>
      </w:r>
      <w:r w:rsidR="005F3AA5" w:rsidRPr="00FE3CE8">
        <w:t>Direktiva 2010/43/EU</w:t>
      </w:r>
      <w:r w:rsidRPr="0035001A">
        <w:rPr>
          <w:rFonts w:cs="Arial"/>
          <w:szCs w:val="20"/>
        </w:rPr>
        <w:t>);</w:t>
      </w:r>
    </w:p>
    <w:p w14:paraId="2FF6473F" w14:textId="77777777" w:rsidR="0035001A" w:rsidRPr="0035001A" w:rsidRDefault="0035001A" w:rsidP="0035001A">
      <w:pPr>
        <w:jc w:val="both"/>
        <w:rPr>
          <w:rFonts w:cs="Arial"/>
          <w:szCs w:val="20"/>
        </w:rPr>
      </w:pPr>
      <w:r w:rsidRPr="0035001A">
        <w:rPr>
          <w:rFonts w:cs="Arial"/>
          <w:szCs w:val="20"/>
        </w:rPr>
        <w:t>4.      </w:t>
      </w:r>
      <w:r w:rsidR="005F3AA5" w:rsidRPr="00FE3CE8">
        <w:t>Direktiva 2013/14/EU</w:t>
      </w:r>
      <w:r w:rsidRPr="0035001A">
        <w:rPr>
          <w:rFonts w:cs="Arial"/>
          <w:szCs w:val="20"/>
        </w:rPr>
        <w:t> Evropskega parlamenta in Sveta z dne 21. maja 2013 o spremembi </w:t>
      </w:r>
      <w:r w:rsidR="005F3AA5" w:rsidRPr="00FE3CE8">
        <w:t>Direktive 2003/41/ES</w:t>
      </w:r>
      <w:r w:rsidRPr="0035001A">
        <w:rPr>
          <w:rFonts w:cs="Arial"/>
          <w:szCs w:val="20"/>
        </w:rPr>
        <w:t> o dejavnostih in nadzoru institucij za poklicno pokojninsko zavarovanje, </w:t>
      </w:r>
      <w:r w:rsidR="005F3AA5" w:rsidRPr="00FE3CE8">
        <w:t>Direktive 2009/65/ES</w:t>
      </w:r>
      <w:r w:rsidRPr="0035001A">
        <w:rPr>
          <w:rFonts w:cs="Arial"/>
          <w:szCs w:val="20"/>
        </w:rPr>
        <w:t> o usklajevanju zakonov in drugih predpisov o kolektivnih naložbenih podjemih za vlaganja v prenosljive vrednostne papirje (KNPVP) in </w:t>
      </w:r>
      <w:r w:rsidR="005F3AA5" w:rsidRPr="00FE3CE8">
        <w:t>Direktive 2011/61/EU</w:t>
      </w:r>
      <w:r w:rsidRPr="0035001A">
        <w:rPr>
          <w:rFonts w:cs="Arial"/>
          <w:szCs w:val="20"/>
        </w:rPr>
        <w:t> o upraviteljih alternativnih investicijskih skladov v zvezi s prevelikim zanašanjem na bonitetne ocene (UL L št. 145 z dne 31. 5. 2013, str. 1), zadnjič spremenjena z </w:t>
      </w:r>
      <w:r w:rsidR="005F3AA5" w:rsidRPr="00FE3CE8">
        <w:t>Direktivo (EU) 2016/2341</w:t>
      </w:r>
      <w:r w:rsidRPr="0035001A">
        <w:rPr>
          <w:rFonts w:cs="Arial"/>
          <w:szCs w:val="20"/>
        </w:rPr>
        <w:t> Evropskega parlamenta in Sveta z dne 14. decembra 2016 o dejavnostih in nadzoru institucij za poklicno pokojninsko zavarovanje (UL L št. 354 z dne 23. 12. 2016, str. 37), (v nadaljnjem besedilu: </w:t>
      </w:r>
      <w:r w:rsidR="005F3AA5" w:rsidRPr="00FE3CE8">
        <w:t>Direktiva 2013/14/EU</w:t>
      </w:r>
      <w:r w:rsidRPr="0035001A">
        <w:rPr>
          <w:rFonts w:cs="Arial"/>
          <w:szCs w:val="20"/>
        </w:rPr>
        <w:t>) v delu, v katerem se nanaša na družbe za upravljanje;</w:t>
      </w:r>
    </w:p>
    <w:p w14:paraId="16180FA9" w14:textId="77777777" w:rsidR="0035001A" w:rsidRPr="0035001A" w:rsidRDefault="0035001A" w:rsidP="0035001A">
      <w:pPr>
        <w:jc w:val="both"/>
        <w:rPr>
          <w:rFonts w:cs="Arial"/>
          <w:szCs w:val="20"/>
        </w:rPr>
      </w:pPr>
      <w:r w:rsidRPr="0035001A">
        <w:rPr>
          <w:rFonts w:cs="Arial"/>
          <w:szCs w:val="20"/>
        </w:rPr>
        <w:t>5.      </w:t>
      </w:r>
      <w:r w:rsidR="005F3AA5" w:rsidRPr="00FE3CE8">
        <w:t>Direktiva 2011/61/EU</w:t>
      </w:r>
      <w:r w:rsidRPr="0035001A">
        <w:rPr>
          <w:rFonts w:cs="Arial"/>
          <w:szCs w:val="20"/>
        </w:rPr>
        <w:t> Evropskega parlamenta in Sveta z dne 8. junija 2011 o upraviteljih alternativnih investicijskih skladov in spremembah </w:t>
      </w:r>
      <w:r w:rsidR="005F3AA5" w:rsidRPr="00FE3CE8">
        <w:t>direktiv 2003/41/ES</w:t>
      </w:r>
      <w:r w:rsidRPr="0035001A">
        <w:rPr>
          <w:rFonts w:cs="Arial"/>
          <w:szCs w:val="20"/>
        </w:rPr>
        <w:t> in </w:t>
      </w:r>
      <w:r w:rsidR="005F3AA5" w:rsidRPr="00FE3CE8">
        <w:t>2009/65/ES</w:t>
      </w:r>
      <w:r w:rsidRPr="0035001A">
        <w:rPr>
          <w:rFonts w:cs="Arial"/>
          <w:szCs w:val="20"/>
        </w:rPr>
        <w:t> ter </w:t>
      </w:r>
      <w:r w:rsidR="005F3AA5" w:rsidRPr="00FE3CE8">
        <w:t>uredb (ES) št. 1060/2009</w:t>
      </w:r>
      <w:r w:rsidRPr="0035001A">
        <w:rPr>
          <w:rFonts w:cs="Arial"/>
          <w:szCs w:val="20"/>
        </w:rPr>
        <w:t> in </w:t>
      </w:r>
      <w:r w:rsidR="005F3AA5" w:rsidRPr="00FE3CE8">
        <w:t>(EU) št. 1095/2010</w:t>
      </w:r>
      <w:r w:rsidRPr="0035001A">
        <w:rPr>
          <w:rFonts w:cs="Arial"/>
          <w:szCs w:val="20"/>
        </w:rPr>
        <w:t> (UL L št. 174 z dne 1. 7. 2011, str. 1;), zadnjič spremenjena z </w:t>
      </w:r>
      <w:r w:rsidR="005F3AA5" w:rsidRPr="00FE3CE8">
        <w:t>Uredbo (EU) 2017/2402</w:t>
      </w:r>
      <w:r w:rsidRPr="0035001A">
        <w:rPr>
          <w:rFonts w:cs="Arial"/>
          <w:szCs w:val="20"/>
        </w:rPr>
        <w:t xml:space="preserve"> Evropskega parlamenta in Sveta z dne 12. decembra 2017 o določitvi splošnega okvira za </w:t>
      </w:r>
      <w:proofErr w:type="spellStart"/>
      <w:r w:rsidRPr="0035001A">
        <w:rPr>
          <w:rFonts w:cs="Arial"/>
          <w:szCs w:val="20"/>
        </w:rPr>
        <w:t>listinjenje</w:t>
      </w:r>
      <w:proofErr w:type="spellEnd"/>
      <w:r w:rsidRPr="0035001A">
        <w:rPr>
          <w:rFonts w:cs="Arial"/>
          <w:szCs w:val="20"/>
        </w:rPr>
        <w:t xml:space="preserve"> in o vzpostavitvi posebnega okvira za enostavno, pregledno in standardizirano </w:t>
      </w:r>
      <w:proofErr w:type="spellStart"/>
      <w:r w:rsidRPr="0035001A">
        <w:rPr>
          <w:rFonts w:cs="Arial"/>
          <w:szCs w:val="20"/>
        </w:rPr>
        <w:t>listinjenje</w:t>
      </w:r>
      <w:proofErr w:type="spellEnd"/>
      <w:r w:rsidRPr="0035001A">
        <w:rPr>
          <w:rFonts w:cs="Arial"/>
          <w:szCs w:val="20"/>
        </w:rPr>
        <w:t xml:space="preserve"> ter o spremembah </w:t>
      </w:r>
      <w:r w:rsidR="005F3AA5" w:rsidRPr="00FE3CE8">
        <w:t>direktiv 2009/65/ES</w:t>
      </w:r>
      <w:r w:rsidRPr="0035001A">
        <w:rPr>
          <w:rFonts w:cs="Arial"/>
          <w:szCs w:val="20"/>
        </w:rPr>
        <w:t>, </w:t>
      </w:r>
      <w:r w:rsidR="005F3AA5" w:rsidRPr="00FE3CE8">
        <w:t>2009/138/ES</w:t>
      </w:r>
      <w:r w:rsidRPr="0035001A">
        <w:rPr>
          <w:rFonts w:cs="Arial"/>
          <w:szCs w:val="20"/>
        </w:rPr>
        <w:t> in </w:t>
      </w:r>
      <w:r w:rsidR="005F3AA5" w:rsidRPr="00FE3CE8">
        <w:t>2011/61/EU</w:t>
      </w:r>
      <w:r w:rsidRPr="0035001A">
        <w:rPr>
          <w:rFonts w:cs="Arial"/>
          <w:szCs w:val="20"/>
        </w:rPr>
        <w:t> ter </w:t>
      </w:r>
      <w:r w:rsidR="005F3AA5" w:rsidRPr="00FE3CE8">
        <w:t>uredb (ES) št. 1060/2009</w:t>
      </w:r>
      <w:r w:rsidRPr="0035001A">
        <w:rPr>
          <w:rFonts w:cs="Arial"/>
          <w:szCs w:val="20"/>
        </w:rPr>
        <w:t> in </w:t>
      </w:r>
      <w:r w:rsidR="005F3AA5" w:rsidRPr="00FE3CE8">
        <w:t>(EU) št. 648/2012</w:t>
      </w:r>
      <w:r w:rsidRPr="0035001A">
        <w:rPr>
          <w:rFonts w:cs="Arial"/>
          <w:szCs w:val="20"/>
        </w:rPr>
        <w:t> (UL L št. 347 z dne 28. 12. 2017, str. 35), (v nadaljnjem besedilu: </w:t>
      </w:r>
      <w:r w:rsidR="005F3AA5" w:rsidRPr="00FE3CE8">
        <w:t>Direktiva 2011/61/EU</w:t>
      </w:r>
      <w:r w:rsidRPr="0035001A">
        <w:rPr>
          <w:rFonts w:cs="Arial"/>
          <w:szCs w:val="20"/>
        </w:rPr>
        <w:t>), v delu, v katerem se nanaša na upravljavce alternativnih investicijskih skladov, ki javno zbirajo premoženje;</w:t>
      </w:r>
    </w:p>
    <w:p w14:paraId="341D7CB8" w14:textId="77777777" w:rsidR="0035001A" w:rsidRPr="0035001A" w:rsidRDefault="0035001A" w:rsidP="0035001A">
      <w:pPr>
        <w:jc w:val="both"/>
        <w:rPr>
          <w:rFonts w:cs="Arial"/>
          <w:szCs w:val="20"/>
        </w:rPr>
      </w:pPr>
      <w:r w:rsidRPr="0035001A">
        <w:rPr>
          <w:rFonts w:cs="Arial"/>
          <w:szCs w:val="20"/>
        </w:rPr>
        <w:t>6.      </w:t>
      </w:r>
      <w:r w:rsidRPr="00FE3CE8">
        <w:t>Direktiva (EU) 2019/1160</w:t>
      </w:r>
      <w:r w:rsidRPr="0035001A">
        <w:rPr>
          <w:rFonts w:cs="Arial"/>
          <w:szCs w:val="20"/>
        </w:rPr>
        <w:t> Evropskega parlamenta in Sveta z dne 20. junija 2019 o spremembi </w:t>
      </w:r>
      <w:r w:rsidRPr="00FE3CE8">
        <w:t>direktiv 2009/65/ES</w:t>
      </w:r>
      <w:r w:rsidRPr="0035001A">
        <w:rPr>
          <w:rFonts w:cs="Arial"/>
          <w:szCs w:val="20"/>
        </w:rPr>
        <w:t> in </w:t>
      </w:r>
      <w:r w:rsidRPr="00FE3CE8">
        <w:t>2011/61/EU</w:t>
      </w:r>
      <w:r w:rsidRPr="0035001A">
        <w:rPr>
          <w:rFonts w:cs="Arial"/>
          <w:szCs w:val="20"/>
        </w:rPr>
        <w:t> v zvezi s čezmejno distribucijo kolektivnih naložbenih podjemov (UL L št. 188 z dne 12. 7. 2019, str. 106; v nadaljnjem besedilu: </w:t>
      </w:r>
      <w:r w:rsidRPr="00FE3CE8">
        <w:t>Direktiva 2019/1160/EU</w:t>
      </w:r>
      <w:r w:rsidRPr="0035001A">
        <w:rPr>
          <w:rFonts w:cs="Arial"/>
          <w:szCs w:val="20"/>
        </w:rPr>
        <w:t>) v delu, ki se nanaša na družbe za upravljanje;</w:t>
      </w:r>
    </w:p>
    <w:p w14:paraId="6A466CC4" w14:textId="77777777" w:rsidR="0035001A" w:rsidRPr="0035001A" w:rsidRDefault="0035001A" w:rsidP="0035001A">
      <w:pPr>
        <w:jc w:val="both"/>
        <w:rPr>
          <w:rFonts w:cs="Arial"/>
          <w:szCs w:val="20"/>
        </w:rPr>
      </w:pPr>
      <w:r w:rsidRPr="0035001A">
        <w:rPr>
          <w:rFonts w:cs="Arial"/>
          <w:szCs w:val="20"/>
        </w:rPr>
        <w:t>7.      </w:t>
      </w:r>
      <w:r w:rsidRPr="00FE3CE8">
        <w:t>Direktiva (EU) 2019/2162</w:t>
      </w:r>
      <w:r w:rsidRPr="0035001A">
        <w:rPr>
          <w:rFonts w:cs="Arial"/>
          <w:szCs w:val="20"/>
        </w:rPr>
        <w:t> Evropskega parlamenta in Sveta z dne 27. novembra 2019 o izdajanju kritih obveznic in javnem nadzoru kritih obveznic ter o spremembi </w:t>
      </w:r>
      <w:r w:rsidRPr="00FE3CE8">
        <w:t>direktiv 2009/65/ES</w:t>
      </w:r>
      <w:r w:rsidRPr="0035001A">
        <w:rPr>
          <w:rFonts w:cs="Arial"/>
          <w:szCs w:val="20"/>
        </w:rPr>
        <w:t> in </w:t>
      </w:r>
      <w:r w:rsidRPr="00FE3CE8">
        <w:t>2014/59/EU</w:t>
      </w:r>
      <w:r w:rsidRPr="0035001A">
        <w:rPr>
          <w:rFonts w:cs="Arial"/>
          <w:szCs w:val="20"/>
        </w:rPr>
        <w:t> (UL L št. 328 z dne 18. 12. 2019, str. 29) v delu, ki se nanaša na družbe za upravljanje;</w:t>
      </w:r>
    </w:p>
    <w:p w14:paraId="2AC797CF" w14:textId="77777777" w:rsidR="0035001A" w:rsidRPr="0035001A" w:rsidRDefault="0035001A" w:rsidP="0035001A">
      <w:pPr>
        <w:jc w:val="both"/>
        <w:rPr>
          <w:rFonts w:cs="Arial"/>
          <w:szCs w:val="20"/>
        </w:rPr>
      </w:pPr>
      <w:r w:rsidRPr="0035001A">
        <w:rPr>
          <w:rFonts w:cs="Arial"/>
          <w:szCs w:val="20"/>
        </w:rPr>
        <w:t>8.      </w:t>
      </w:r>
      <w:r w:rsidRPr="00FE3CE8">
        <w:t>Direktiva (EU) 2019/2034</w:t>
      </w:r>
      <w:r w:rsidRPr="0035001A">
        <w:rPr>
          <w:rFonts w:cs="Arial"/>
          <w:szCs w:val="20"/>
        </w:rPr>
        <w:t> Evropskega parlamenta in Sveta z dne 27. novembra 2019 o bonitetnem nadzoru investicijskih podjetij ter o spremembi </w:t>
      </w:r>
      <w:r w:rsidRPr="00FE3CE8">
        <w:t>direktiv 2002/87/ES</w:t>
      </w:r>
      <w:r w:rsidRPr="0035001A">
        <w:rPr>
          <w:rFonts w:cs="Arial"/>
          <w:szCs w:val="20"/>
        </w:rPr>
        <w:t>, </w:t>
      </w:r>
      <w:r w:rsidRPr="00FE3CE8">
        <w:t>2009/65/ES</w:t>
      </w:r>
      <w:r w:rsidRPr="0035001A">
        <w:rPr>
          <w:rFonts w:cs="Arial"/>
          <w:szCs w:val="20"/>
        </w:rPr>
        <w:t>, </w:t>
      </w:r>
      <w:r w:rsidRPr="00FE3CE8">
        <w:t>2011/61/EU</w:t>
      </w:r>
      <w:r w:rsidRPr="0035001A">
        <w:rPr>
          <w:rFonts w:cs="Arial"/>
          <w:szCs w:val="20"/>
        </w:rPr>
        <w:t>, </w:t>
      </w:r>
      <w:r w:rsidRPr="00FE3CE8">
        <w:t>2013/36/EU</w:t>
      </w:r>
      <w:r w:rsidRPr="0035001A">
        <w:rPr>
          <w:rFonts w:cs="Arial"/>
          <w:szCs w:val="20"/>
        </w:rPr>
        <w:t>, </w:t>
      </w:r>
      <w:r w:rsidRPr="00FE3CE8">
        <w:t>2014/59/EU</w:t>
      </w:r>
      <w:r w:rsidRPr="0035001A">
        <w:rPr>
          <w:rFonts w:cs="Arial"/>
          <w:szCs w:val="20"/>
        </w:rPr>
        <w:t> in </w:t>
      </w:r>
      <w:r w:rsidRPr="00FE3CE8">
        <w:t>2014/65/EU</w:t>
      </w:r>
      <w:r w:rsidRPr="0035001A">
        <w:rPr>
          <w:rFonts w:cs="Arial"/>
          <w:szCs w:val="20"/>
        </w:rPr>
        <w:t> (UL L št. 314 z dne 5. 12. 2019, str. 64), zadnjič popravljena s Popravkom (UL L št. 405 z dne 2. 12. 2020, str. 84), v delu, ki se nanaša na družbe za upravljanje.</w:t>
      </w:r>
    </w:p>
    <w:p w14:paraId="4617BCA9" w14:textId="77777777" w:rsidR="00EF6046" w:rsidRDefault="00EF6046" w:rsidP="0035001A">
      <w:pPr>
        <w:jc w:val="both"/>
        <w:rPr>
          <w:rFonts w:cs="Arial"/>
          <w:szCs w:val="20"/>
        </w:rPr>
      </w:pPr>
    </w:p>
    <w:p w14:paraId="17AD7EC8" w14:textId="77777777" w:rsidR="0035001A" w:rsidRPr="0035001A" w:rsidRDefault="0035001A" w:rsidP="0035001A">
      <w:pPr>
        <w:jc w:val="both"/>
        <w:rPr>
          <w:rFonts w:cs="Arial"/>
          <w:szCs w:val="20"/>
        </w:rPr>
      </w:pPr>
      <w:r w:rsidRPr="0035001A">
        <w:rPr>
          <w:rFonts w:cs="Arial"/>
          <w:szCs w:val="20"/>
        </w:rPr>
        <w:t>(2) S tem zakonom se podrobneje ureja izvajanje naslednjih uredb Evropske unije:</w:t>
      </w:r>
    </w:p>
    <w:p w14:paraId="75E57AE5" w14:textId="77777777" w:rsidR="0035001A" w:rsidRPr="0035001A" w:rsidRDefault="0035001A" w:rsidP="0035001A">
      <w:pPr>
        <w:jc w:val="both"/>
        <w:rPr>
          <w:rFonts w:cs="Arial"/>
          <w:szCs w:val="20"/>
        </w:rPr>
      </w:pPr>
      <w:r w:rsidRPr="0035001A">
        <w:rPr>
          <w:rFonts w:cs="Arial"/>
          <w:szCs w:val="20"/>
        </w:rPr>
        <w:t>1.      </w:t>
      </w:r>
      <w:r w:rsidRPr="00FE3CE8">
        <w:t>Uredba Komisije (EU) št. 583/2010</w:t>
      </w:r>
      <w:r w:rsidRPr="0035001A">
        <w:rPr>
          <w:rFonts w:cs="Arial"/>
          <w:szCs w:val="20"/>
        </w:rPr>
        <w:t> z dne 1. julija 2010 o izvajanju </w:t>
      </w:r>
      <w:r w:rsidRPr="00FE3CE8">
        <w:t>Direktive 2009/65/ES</w:t>
      </w:r>
      <w:r w:rsidRPr="0035001A">
        <w:rPr>
          <w:rFonts w:cs="Arial"/>
          <w:szCs w:val="20"/>
        </w:rPr>
        <w:t> Evropskega parlamenta in Sveta v zvezi s ključnimi podatki za vlagatelje in pogoji, ki jih je treba izpolniti pri posredovanju ključnih podatkov za vlagatelje ali prospekta na trajnem nosilcu podatkov, ki ni papir, ali na spletni strani (UL L št. 176 z dne 10. 7. 2010, str. 1; v nadaljnjem besedilu: </w:t>
      </w:r>
      <w:r w:rsidRPr="00FE3CE8">
        <w:t>Uredba 583/2010/EU</w:t>
      </w:r>
      <w:r w:rsidRPr="0035001A">
        <w:rPr>
          <w:rFonts w:cs="Arial"/>
          <w:szCs w:val="20"/>
        </w:rPr>
        <w:t>);</w:t>
      </w:r>
    </w:p>
    <w:p w14:paraId="7FA8A4E4" w14:textId="77777777" w:rsidR="0035001A" w:rsidRPr="0035001A" w:rsidRDefault="0035001A" w:rsidP="0035001A">
      <w:pPr>
        <w:jc w:val="both"/>
        <w:rPr>
          <w:rFonts w:cs="Arial"/>
          <w:szCs w:val="20"/>
        </w:rPr>
      </w:pPr>
      <w:r w:rsidRPr="0035001A">
        <w:rPr>
          <w:rFonts w:cs="Arial"/>
          <w:szCs w:val="20"/>
        </w:rPr>
        <w:t>2.      </w:t>
      </w:r>
      <w:r w:rsidRPr="00FE3CE8">
        <w:t>Uredba Komisije (EU) št. 584/2010</w:t>
      </w:r>
      <w:r w:rsidRPr="0035001A">
        <w:rPr>
          <w:rFonts w:cs="Arial"/>
          <w:szCs w:val="20"/>
        </w:rPr>
        <w:t> z dne 1. julija 2010 o izvajanju </w:t>
      </w:r>
      <w:r w:rsidRPr="00FE3CE8">
        <w:t>Direktive 2009/65/ES</w:t>
      </w:r>
      <w:r w:rsidRPr="0035001A">
        <w:rPr>
          <w:rFonts w:cs="Arial"/>
          <w:szCs w:val="20"/>
        </w:rPr>
        <w:t> Evropskega parlamenta in Sveta v zvezi z obliko in vsebino standardnega uradnega obvestila in potrdila KNPVP, uporabo elektronske komunikacije med pristojnimi organi za namene obveščanja in postopki za preverjanje na kraju samem ali preiskavo ter izmenjavo informacij med pristojnimi organi (UL L št. 176 z dne 10. 7. 2010, str. 16; v nadaljnjem besedilu: </w:t>
      </w:r>
      <w:r w:rsidRPr="00FE3CE8">
        <w:t>Uredba 584/2010/EU</w:t>
      </w:r>
      <w:r w:rsidRPr="0035001A">
        <w:rPr>
          <w:rFonts w:cs="Arial"/>
          <w:szCs w:val="20"/>
        </w:rPr>
        <w:t>);</w:t>
      </w:r>
    </w:p>
    <w:p w14:paraId="03CAA8DB" w14:textId="77777777" w:rsidR="0035001A" w:rsidRPr="0035001A" w:rsidRDefault="0035001A" w:rsidP="0035001A">
      <w:pPr>
        <w:jc w:val="both"/>
        <w:rPr>
          <w:rFonts w:cs="Arial"/>
          <w:szCs w:val="20"/>
        </w:rPr>
      </w:pPr>
      <w:r w:rsidRPr="0035001A">
        <w:rPr>
          <w:rFonts w:cs="Arial"/>
          <w:szCs w:val="20"/>
        </w:rPr>
        <w:lastRenderedPageBreak/>
        <w:t>3.      </w:t>
      </w:r>
      <w:r w:rsidRPr="00FE3CE8">
        <w:t>Uredba (EU) št. 345/2013</w:t>
      </w:r>
      <w:r w:rsidRPr="0035001A">
        <w:rPr>
          <w:rFonts w:cs="Arial"/>
          <w:szCs w:val="20"/>
        </w:rPr>
        <w:t> Evropskega parlamenta in Sveta z dne 17. aprila 2013 o evropskih skladih tveganega kapitala (UL L št. 115 z dne 25. 4. 2013, str. 1), zadnjič spremenjena z </w:t>
      </w:r>
      <w:r w:rsidRPr="00FE3CE8">
        <w:t>Uredbo (EU) 2019/1156</w:t>
      </w:r>
      <w:r w:rsidRPr="0035001A">
        <w:rPr>
          <w:rFonts w:cs="Arial"/>
          <w:szCs w:val="20"/>
        </w:rPr>
        <w:t> Evropskega parlamenta in Sveta z dne 20. junija 2019 o olajšanju čezmejne distribucije kolektivnih naložbenih podjemov in spremembi </w:t>
      </w:r>
      <w:r w:rsidRPr="00FE3CE8">
        <w:t>uredb (EU) št. 345/2013</w:t>
      </w:r>
      <w:r w:rsidRPr="0035001A">
        <w:rPr>
          <w:rFonts w:cs="Arial"/>
          <w:szCs w:val="20"/>
        </w:rPr>
        <w:t>, </w:t>
      </w:r>
      <w:r w:rsidRPr="00FE3CE8">
        <w:t>(EU) št. 346/2013</w:t>
      </w:r>
      <w:r w:rsidRPr="0035001A">
        <w:rPr>
          <w:rFonts w:cs="Arial"/>
          <w:szCs w:val="20"/>
        </w:rPr>
        <w:t> in </w:t>
      </w:r>
      <w:r w:rsidRPr="00FE3CE8">
        <w:t>(EU) št. 1286/2014</w:t>
      </w:r>
      <w:r w:rsidRPr="0035001A">
        <w:rPr>
          <w:rFonts w:cs="Arial"/>
          <w:szCs w:val="20"/>
        </w:rPr>
        <w:t> (UL L št. 188 z dne 12. 7. 2019, str. 55), (v nadaljnjem besedilu: </w:t>
      </w:r>
      <w:r w:rsidRPr="00FE3CE8">
        <w:t>Uredba 345/2013/EU</w:t>
      </w:r>
      <w:r w:rsidRPr="0035001A">
        <w:rPr>
          <w:rFonts w:cs="Arial"/>
          <w:szCs w:val="20"/>
        </w:rPr>
        <w:t>);</w:t>
      </w:r>
    </w:p>
    <w:p w14:paraId="10BC8DF0" w14:textId="77777777" w:rsidR="0035001A" w:rsidRPr="0035001A" w:rsidRDefault="0035001A" w:rsidP="0035001A">
      <w:pPr>
        <w:jc w:val="both"/>
        <w:rPr>
          <w:rFonts w:cs="Arial"/>
          <w:szCs w:val="20"/>
        </w:rPr>
      </w:pPr>
      <w:r w:rsidRPr="0035001A">
        <w:rPr>
          <w:rFonts w:cs="Arial"/>
          <w:szCs w:val="20"/>
        </w:rPr>
        <w:t>4.      </w:t>
      </w:r>
      <w:r w:rsidRPr="00FE3CE8">
        <w:t>Uredba (EU) št. 346/2013</w:t>
      </w:r>
      <w:r w:rsidRPr="0035001A">
        <w:rPr>
          <w:rFonts w:cs="Arial"/>
          <w:szCs w:val="20"/>
        </w:rPr>
        <w:t> Evropskega parlamenta in Sveta z dne 17. aprila 2013 o evropskih skladih za socialno podjetništvo (UL L št. 115 z dne 25. 4. 2013, str. 18), zadnjič spremenjena z </w:t>
      </w:r>
      <w:r w:rsidRPr="00FE3CE8">
        <w:t>Uredbo (EU) 2019/1156</w:t>
      </w:r>
      <w:r w:rsidRPr="0035001A">
        <w:rPr>
          <w:rFonts w:cs="Arial"/>
          <w:szCs w:val="20"/>
        </w:rPr>
        <w:t> Evropskega parlamenta in Sveta z dne 20. junija 2019 o olajšanju čezmejne distribucije kolektivnih naložbenih podjemov in spremembi </w:t>
      </w:r>
      <w:r w:rsidRPr="00FE3CE8">
        <w:t>uredb (EU) št. 345/2013</w:t>
      </w:r>
      <w:r w:rsidRPr="0035001A">
        <w:rPr>
          <w:rFonts w:cs="Arial"/>
          <w:szCs w:val="20"/>
        </w:rPr>
        <w:t>, </w:t>
      </w:r>
      <w:r w:rsidRPr="00FE3CE8">
        <w:t>(EU) št. 346/2013</w:t>
      </w:r>
      <w:r w:rsidRPr="0035001A">
        <w:rPr>
          <w:rFonts w:cs="Arial"/>
          <w:szCs w:val="20"/>
        </w:rPr>
        <w:t> in </w:t>
      </w:r>
      <w:r w:rsidRPr="00FE3CE8">
        <w:t>(EU) št. 1286/2014</w:t>
      </w:r>
      <w:r w:rsidRPr="0035001A">
        <w:rPr>
          <w:rFonts w:cs="Arial"/>
          <w:szCs w:val="20"/>
        </w:rPr>
        <w:t> (UL L št. 188 z dne 12. 7. 2019, str. 55), (v nadaljnjem besedilu: </w:t>
      </w:r>
      <w:r w:rsidRPr="00FE3CE8">
        <w:t>Uredba 346/2013/EU</w:t>
      </w:r>
      <w:r w:rsidRPr="0035001A">
        <w:rPr>
          <w:rFonts w:cs="Arial"/>
          <w:szCs w:val="20"/>
        </w:rPr>
        <w:t>);</w:t>
      </w:r>
    </w:p>
    <w:p w14:paraId="2C9DE264" w14:textId="77777777" w:rsidR="00EF6046" w:rsidRDefault="0035001A" w:rsidP="0035001A">
      <w:pPr>
        <w:jc w:val="both"/>
        <w:rPr>
          <w:rFonts w:cs="Arial"/>
          <w:szCs w:val="20"/>
        </w:rPr>
      </w:pPr>
      <w:r w:rsidRPr="0035001A">
        <w:rPr>
          <w:rFonts w:cs="Arial"/>
          <w:szCs w:val="20"/>
        </w:rPr>
        <w:t>5.      </w:t>
      </w:r>
      <w:r w:rsidRPr="00FE3CE8">
        <w:t>Delegirana uredba Komisije (EU) 2016/438</w:t>
      </w:r>
      <w:r w:rsidRPr="0035001A">
        <w:rPr>
          <w:rFonts w:cs="Arial"/>
          <w:szCs w:val="20"/>
        </w:rPr>
        <w:t> z dne 17. decembra 2015 o dopolnitvi </w:t>
      </w:r>
      <w:r w:rsidRPr="00FE3CE8">
        <w:t>Direktive 2009/65/EU</w:t>
      </w:r>
      <w:r w:rsidRPr="0035001A">
        <w:rPr>
          <w:rFonts w:cs="Arial"/>
          <w:szCs w:val="20"/>
        </w:rPr>
        <w:t> Evropskega parlamenta in Sveta v zvezi z obveznostmi depozitarjev (UL L št. 78 z dne 24. 3. 2016, str. 11), zadnjič spremenjena z </w:t>
      </w:r>
      <w:r w:rsidRPr="00FE3CE8">
        <w:t>Delegirano uredbo Komisije (EU) 2018/1619</w:t>
      </w:r>
      <w:r w:rsidRPr="0035001A">
        <w:rPr>
          <w:rFonts w:cs="Arial"/>
          <w:szCs w:val="20"/>
        </w:rPr>
        <w:t> z dne 12. julija 2018 o spremembi </w:t>
      </w:r>
      <w:r w:rsidRPr="00FE3CE8">
        <w:t>Delegirane uredbe (EU) 2016/438</w:t>
      </w:r>
      <w:r w:rsidRPr="0035001A">
        <w:rPr>
          <w:rFonts w:cs="Arial"/>
          <w:szCs w:val="20"/>
        </w:rPr>
        <w:t> v zvezi z dolžnostmi depozitarja glede hrambe (UL L št. 271 z dne 30. 10. 2018, str. 6) (v nadaljnjem besedilu: </w:t>
      </w:r>
      <w:r w:rsidRPr="00FE3CE8">
        <w:t>Uredba 438/2016/EU</w:t>
      </w:r>
      <w:r w:rsidRPr="0035001A">
        <w:rPr>
          <w:rFonts w:cs="Arial"/>
          <w:szCs w:val="20"/>
        </w:rPr>
        <w:t>)</w:t>
      </w:r>
      <w:r w:rsidR="00EF6046">
        <w:rPr>
          <w:rFonts w:cs="Arial"/>
          <w:szCs w:val="20"/>
        </w:rPr>
        <w:t>;</w:t>
      </w:r>
    </w:p>
    <w:p w14:paraId="4002E4A1" w14:textId="77777777" w:rsidR="0035001A" w:rsidRPr="0035001A" w:rsidRDefault="00EF6046" w:rsidP="0035001A">
      <w:pPr>
        <w:jc w:val="both"/>
        <w:rPr>
          <w:rFonts w:cs="Arial"/>
          <w:szCs w:val="20"/>
        </w:rPr>
      </w:pPr>
      <w:r w:rsidRPr="00EF6046">
        <w:rPr>
          <w:rFonts w:cs="Arial"/>
          <w:szCs w:val="20"/>
        </w:rPr>
        <w:t xml:space="preserve">6. Uredba (EU) 2022/2554 Evropskega parlamenta in Sveta z dne 14. decembra 2022 o digitalni operativni odpornosti za finančni sektor in spremembi uredb (ES) št. 1060/2009, (EU) št. 648/2012, (EU) št. 600/2014, (EU) št. 909/2014 in (EU) 2016/1011 (UL L št. 333 z dne 27. 12. 2022, str. 1), zadnjič spremenjena z Delegirano uredbo Komisije (EU) 2025/420 z dne 16. decembra 2024 o dopolnitvi Uredbe (EU) 2022/2554 Evropskega parlamenta in Sveta v zvezi z regulativnimi tehničnimi standardi, v katerih se določijo merila za določitev sestave skupne </w:t>
      </w:r>
      <w:proofErr w:type="spellStart"/>
      <w:r w:rsidRPr="00EF6046">
        <w:rPr>
          <w:rFonts w:cs="Arial"/>
          <w:szCs w:val="20"/>
        </w:rPr>
        <w:t>pregledniške</w:t>
      </w:r>
      <w:proofErr w:type="spellEnd"/>
      <w:r w:rsidRPr="00EF6046">
        <w:rPr>
          <w:rFonts w:cs="Arial"/>
          <w:szCs w:val="20"/>
        </w:rPr>
        <w:t xml:space="preserve"> ekipe, ki zagotavljajo uravnoteženo udeležbo članov osebja iz evropskih nadzornih organov in ustreznih pristojnih organov, njihovo imenovanje, naloge in delovne dogovore (UL L št. 2025/420 z dne 24. 3. 2025), (v nadaljnjem besedilu: Uredba 2022/2554/EU).</w:t>
      </w:r>
      <w:r w:rsidR="0035001A" w:rsidRPr="0035001A">
        <w:rPr>
          <w:rFonts w:cs="Arial"/>
          <w:szCs w:val="20"/>
        </w:rPr>
        <w:t>.</w:t>
      </w:r>
    </w:p>
    <w:p w14:paraId="180E69C6" w14:textId="77777777" w:rsidR="00FD4DAA" w:rsidRDefault="00FD4DAA" w:rsidP="00572B2F">
      <w:pPr>
        <w:jc w:val="both"/>
        <w:rPr>
          <w:rFonts w:cs="Arial"/>
          <w:szCs w:val="20"/>
        </w:rPr>
      </w:pPr>
    </w:p>
    <w:p w14:paraId="7BFC7C76" w14:textId="77777777" w:rsidR="0035001A" w:rsidRPr="0035001A" w:rsidRDefault="0035001A" w:rsidP="001C0C0C">
      <w:pPr>
        <w:jc w:val="center"/>
        <w:rPr>
          <w:rFonts w:cs="Arial"/>
          <w:b/>
          <w:bCs/>
          <w:szCs w:val="20"/>
        </w:rPr>
      </w:pPr>
      <w:r w:rsidRPr="0035001A">
        <w:rPr>
          <w:rFonts w:cs="Arial"/>
          <w:b/>
          <w:bCs/>
          <w:szCs w:val="20"/>
        </w:rPr>
        <w:t>512. člen</w:t>
      </w:r>
    </w:p>
    <w:p w14:paraId="203FA92A" w14:textId="77777777" w:rsidR="0035001A" w:rsidRPr="0035001A" w:rsidRDefault="0035001A" w:rsidP="001C0C0C">
      <w:pPr>
        <w:jc w:val="center"/>
        <w:rPr>
          <w:rFonts w:cs="Arial"/>
          <w:b/>
          <w:bCs/>
          <w:szCs w:val="20"/>
        </w:rPr>
      </w:pPr>
      <w:r w:rsidRPr="0035001A">
        <w:rPr>
          <w:rFonts w:cs="Arial"/>
          <w:b/>
          <w:bCs/>
          <w:szCs w:val="20"/>
        </w:rPr>
        <w:t>(kršitve družbe za upravljanje)</w:t>
      </w:r>
    </w:p>
    <w:p w14:paraId="4549721F" w14:textId="77777777" w:rsidR="0035001A" w:rsidRPr="0035001A" w:rsidRDefault="0035001A" w:rsidP="0035001A">
      <w:pPr>
        <w:jc w:val="both"/>
        <w:rPr>
          <w:rFonts w:cs="Arial"/>
          <w:szCs w:val="20"/>
        </w:rPr>
      </w:pPr>
      <w:r w:rsidRPr="0035001A">
        <w:rPr>
          <w:rFonts w:cs="Arial"/>
          <w:szCs w:val="20"/>
        </w:rPr>
        <w:t>(1) Z globo od 400 do 250.000 eurov se za prekršek kaznuje družba za upravljanje, če:</w:t>
      </w:r>
    </w:p>
    <w:p w14:paraId="2DABDC24" w14:textId="77777777" w:rsidR="0035001A" w:rsidRPr="0035001A" w:rsidRDefault="0035001A" w:rsidP="0035001A">
      <w:pPr>
        <w:jc w:val="both"/>
        <w:rPr>
          <w:rFonts w:cs="Arial"/>
          <w:szCs w:val="20"/>
        </w:rPr>
      </w:pPr>
      <w:r w:rsidRPr="0035001A">
        <w:rPr>
          <w:rFonts w:cs="Arial"/>
          <w:szCs w:val="20"/>
        </w:rPr>
        <w:t>1.      v nasprotju s petim odstavkom 32. člena tega zakona opravlja dejavnosti, ki jih ne sme opravljati,</w:t>
      </w:r>
    </w:p>
    <w:p w14:paraId="3529127E" w14:textId="77777777" w:rsidR="0035001A" w:rsidRPr="0035001A" w:rsidRDefault="0035001A" w:rsidP="0035001A">
      <w:pPr>
        <w:jc w:val="both"/>
        <w:rPr>
          <w:rFonts w:cs="Arial"/>
          <w:szCs w:val="20"/>
        </w:rPr>
      </w:pPr>
      <w:r w:rsidRPr="0035001A">
        <w:rPr>
          <w:rFonts w:cs="Arial"/>
          <w:szCs w:val="20"/>
        </w:rPr>
        <w:t>2.      kreditira oziroma daje jamstva za nakup delnic v nasprotju s petim odstavkom 34. člena tega zakona,</w:t>
      </w:r>
    </w:p>
    <w:p w14:paraId="03B73535" w14:textId="77777777" w:rsidR="0035001A" w:rsidRPr="0035001A" w:rsidRDefault="0035001A" w:rsidP="0035001A">
      <w:pPr>
        <w:jc w:val="both"/>
        <w:rPr>
          <w:rFonts w:cs="Arial"/>
          <w:szCs w:val="20"/>
        </w:rPr>
      </w:pPr>
      <w:r w:rsidRPr="0035001A">
        <w:rPr>
          <w:rFonts w:cs="Arial"/>
          <w:szCs w:val="20"/>
        </w:rPr>
        <w:t>2.a  ne obvesti Agencije o spremembi deleža posameznega delničarja v skladu s prvim odstavkom 48. člena tega zakona,</w:t>
      </w:r>
    </w:p>
    <w:p w14:paraId="2680E608" w14:textId="77777777" w:rsidR="0035001A" w:rsidRPr="0035001A" w:rsidRDefault="0035001A" w:rsidP="0035001A">
      <w:pPr>
        <w:jc w:val="both"/>
        <w:rPr>
          <w:rFonts w:cs="Arial"/>
          <w:szCs w:val="20"/>
        </w:rPr>
      </w:pPr>
      <w:r w:rsidRPr="0035001A">
        <w:rPr>
          <w:rFonts w:cs="Arial"/>
          <w:szCs w:val="20"/>
        </w:rPr>
        <w:t>2.b  njena uprava oziroma izvršni direktorji ne izpolnjujejo pogojev iz 53. člena tega zakona,</w:t>
      </w:r>
    </w:p>
    <w:p w14:paraId="3A058817" w14:textId="77777777" w:rsidR="0035001A" w:rsidRPr="0035001A" w:rsidRDefault="0035001A" w:rsidP="0035001A">
      <w:pPr>
        <w:jc w:val="both"/>
        <w:rPr>
          <w:rFonts w:cs="Arial"/>
          <w:szCs w:val="20"/>
        </w:rPr>
      </w:pPr>
      <w:r w:rsidRPr="0035001A">
        <w:rPr>
          <w:rFonts w:cs="Arial"/>
          <w:szCs w:val="20"/>
        </w:rPr>
        <w:t>3.      za člana uprave oziroma izvršnega direktorja imenuje osebo, ki ni pridobila dovoljenja Agencije za opravljanje funkcije člana uprave družbe za upravljanje v skladu s prvim odstavkom 56. člena tega zakona,</w:t>
      </w:r>
    </w:p>
    <w:p w14:paraId="0142A344" w14:textId="77777777" w:rsidR="0035001A" w:rsidRPr="0035001A" w:rsidRDefault="0035001A" w:rsidP="0035001A">
      <w:pPr>
        <w:jc w:val="both"/>
        <w:rPr>
          <w:rFonts w:cs="Arial"/>
          <w:szCs w:val="20"/>
        </w:rPr>
      </w:pPr>
      <w:r w:rsidRPr="0035001A">
        <w:rPr>
          <w:rFonts w:cs="Arial"/>
          <w:szCs w:val="20"/>
        </w:rPr>
        <w:t>3.a  ne vzpostavi in uresničuje trdnega in zanesljivega sistema upravljanja v skladu z 2. in 3. točko prvega odstavka 68. člena tega zakona,</w:t>
      </w:r>
    </w:p>
    <w:p w14:paraId="747E1110" w14:textId="77777777" w:rsidR="0035001A" w:rsidRPr="0035001A" w:rsidRDefault="0035001A" w:rsidP="0035001A">
      <w:pPr>
        <w:jc w:val="both"/>
        <w:rPr>
          <w:rFonts w:cs="Arial"/>
          <w:szCs w:val="20"/>
        </w:rPr>
      </w:pPr>
      <w:r w:rsidRPr="0035001A">
        <w:rPr>
          <w:rFonts w:cs="Arial"/>
          <w:szCs w:val="20"/>
        </w:rPr>
        <w:t>3.b  ni strukturirana in organizirana v skladu z drugim odstavkom 68. člena tega zakona,</w:t>
      </w:r>
    </w:p>
    <w:p w14:paraId="236176D8" w14:textId="77777777" w:rsidR="0035001A" w:rsidRPr="0035001A" w:rsidRDefault="0035001A" w:rsidP="0035001A">
      <w:pPr>
        <w:jc w:val="both"/>
        <w:rPr>
          <w:rFonts w:cs="Arial"/>
          <w:szCs w:val="20"/>
        </w:rPr>
      </w:pPr>
      <w:r w:rsidRPr="0035001A">
        <w:rPr>
          <w:rFonts w:cs="Arial"/>
          <w:szCs w:val="20"/>
        </w:rPr>
        <w:t>3.c  ne vodi evidence in dokumentacije v skladu z 69. členom tega zakona,</w:t>
      </w:r>
    </w:p>
    <w:p w14:paraId="6D190E5D" w14:textId="77777777" w:rsidR="0035001A" w:rsidRPr="0035001A" w:rsidRDefault="0035001A" w:rsidP="0035001A">
      <w:pPr>
        <w:jc w:val="both"/>
        <w:rPr>
          <w:rFonts w:cs="Arial"/>
          <w:szCs w:val="20"/>
        </w:rPr>
      </w:pPr>
      <w:r w:rsidRPr="0035001A">
        <w:rPr>
          <w:rFonts w:cs="Arial"/>
          <w:szCs w:val="20"/>
        </w:rPr>
        <w:t>3.č  ne vzpostavi in izvaja sistema prejemkov v skladu s 73.a členom tega zakona,</w:t>
      </w:r>
    </w:p>
    <w:p w14:paraId="7548F414" w14:textId="77777777" w:rsidR="0035001A" w:rsidRPr="0035001A" w:rsidRDefault="0035001A" w:rsidP="0035001A">
      <w:pPr>
        <w:jc w:val="both"/>
        <w:rPr>
          <w:rFonts w:cs="Arial"/>
          <w:szCs w:val="20"/>
        </w:rPr>
      </w:pPr>
      <w:r w:rsidRPr="0035001A">
        <w:rPr>
          <w:rFonts w:cs="Arial"/>
          <w:szCs w:val="20"/>
        </w:rPr>
        <w:t>3.d  ne upošteva pravil ravnanja iz drugega in tretjega odstavka 74. člena tega zakona v zvezi s 75. členom tega zakona,</w:t>
      </w:r>
    </w:p>
    <w:p w14:paraId="0AC88B7F" w14:textId="77777777" w:rsidR="0035001A" w:rsidRPr="0035001A" w:rsidRDefault="0035001A" w:rsidP="0035001A">
      <w:pPr>
        <w:jc w:val="both"/>
        <w:rPr>
          <w:rFonts w:cs="Arial"/>
          <w:szCs w:val="20"/>
        </w:rPr>
      </w:pPr>
      <w:r w:rsidRPr="0035001A">
        <w:rPr>
          <w:rFonts w:cs="Arial"/>
          <w:szCs w:val="20"/>
        </w:rPr>
        <w:t>4.      sporoči zaupne podatke o posamezni stranki tretjim osebam oziroma jih uporabi sama ali omogoči, da bi jih uporabile tretje osebe (78. člen),</w:t>
      </w:r>
    </w:p>
    <w:p w14:paraId="4A9C2DB9" w14:textId="77777777" w:rsidR="0035001A" w:rsidRPr="0035001A" w:rsidRDefault="0035001A" w:rsidP="0035001A">
      <w:pPr>
        <w:jc w:val="both"/>
        <w:rPr>
          <w:rFonts w:cs="Arial"/>
          <w:szCs w:val="20"/>
        </w:rPr>
      </w:pPr>
      <w:r w:rsidRPr="0035001A">
        <w:rPr>
          <w:rFonts w:cs="Arial"/>
          <w:szCs w:val="20"/>
        </w:rPr>
        <w:t>5.      ne razpolaga z ustreznim kapitalom glede na storitve, ki jih opravlja, in premoženje v upravljanju ter tveganja, ki jim je izpostavljena pri opravljanju teh storitev (81. člen),</w:t>
      </w:r>
    </w:p>
    <w:p w14:paraId="649300F3" w14:textId="77777777" w:rsidR="0035001A" w:rsidRPr="0035001A" w:rsidRDefault="0035001A" w:rsidP="0035001A">
      <w:pPr>
        <w:jc w:val="both"/>
        <w:rPr>
          <w:rFonts w:cs="Arial"/>
          <w:szCs w:val="20"/>
        </w:rPr>
      </w:pPr>
      <w:r w:rsidRPr="0035001A">
        <w:rPr>
          <w:rFonts w:cs="Arial"/>
          <w:szCs w:val="20"/>
        </w:rPr>
        <w:lastRenderedPageBreak/>
        <w:t>6.      izplača dobiček v nasprotju s prepovedjo iz prvega odstavka 84. člena tega zakona,</w:t>
      </w:r>
    </w:p>
    <w:p w14:paraId="769855F2" w14:textId="77777777" w:rsidR="0035001A" w:rsidRPr="0035001A" w:rsidRDefault="0035001A" w:rsidP="0035001A">
      <w:pPr>
        <w:jc w:val="both"/>
        <w:rPr>
          <w:rFonts w:cs="Arial"/>
          <w:szCs w:val="20"/>
        </w:rPr>
      </w:pPr>
      <w:r w:rsidRPr="0035001A">
        <w:rPr>
          <w:rFonts w:cs="Arial"/>
          <w:szCs w:val="20"/>
        </w:rPr>
        <w:t>7.      ne vodi poslovnih knjig, sestavlja knjigovodskih listin, vrednoti knjigovodskih postavk in sestavlja letnega poročila v skladu s prvim in drugim odstavkom 88. člena tega zakona,</w:t>
      </w:r>
    </w:p>
    <w:p w14:paraId="4D2625CA" w14:textId="77777777" w:rsidR="0035001A" w:rsidRPr="0035001A" w:rsidRDefault="0035001A" w:rsidP="0035001A">
      <w:pPr>
        <w:jc w:val="both"/>
        <w:rPr>
          <w:rFonts w:cs="Arial"/>
          <w:szCs w:val="20"/>
        </w:rPr>
      </w:pPr>
      <w:r w:rsidRPr="0035001A">
        <w:rPr>
          <w:rFonts w:cs="Arial"/>
          <w:szCs w:val="20"/>
        </w:rPr>
        <w:t>7.a  najmanj enkrat v petih letih ne zamenja revizijske družbe (šesti odstavek 88. člena),</w:t>
      </w:r>
    </w:p>
    <w:p w14:paraId="4B84A068" w14:textId="77777777" w:rsidR="0035001A" w:rsidRPr="0035001A" w:rsidRDefault="0035001A" w:rsidP="0035001A">
      <w:pPr>
        <w:jc w:val="both"/>
        <w:rPr>
          <w:rFonts w:cs="Arial"/>
          <w:szCs w:val="20"/>
        </w:rPr>
      </w:pPr>
      <w:r w:rsidRPr="0035001A">
        <w:rPr>
          <w:rFonts w:cs="Arial"/>
          <w:szCs w:val="20"/>
        </w:rPr>
        <w:t>8.      je pridobila dovoljenje iz 103. člena tega zakona z navajanjem neresničnih podatkov, oziroma v Republiki Sloveniji opravlja storitve upravljanja investicijskih skladov, ne da bi za opravljanje teh storitev pridobila dovoljenje Agencije (prvi odstavek 103. člena),</w:t>
      </w:r>
    </w:p>
    <w:p w14:paraId="3A0A9072" w14:textId="77777777" w:rsidR="0035001A" w:rsidRPr="0035001A" w:rsidRDefault="0035001A" w:rsidP="0035001A">
      <w:pPr>
        <w:jc w:val="both"/>
        <w:rPr>
          <w:rFonts w:cs="Arial"/>
          <w:szCs w:val="20"/>
        </w:rPr>
      </w:pPr>
      <w:r w:rsidRPr="0035001A">
        <w:rPr>
          <w:rFonts w:cs="Arial"/>
          <w:szCs w:val="20"/>
        </w:rPr>
        <w:t>9.      začne opravljati posle prek podružnice v državi članici gostiteljici v nasprotju s 112. členom tega zakona,</w:t>
      </w:r>
    </w:p>
    <w:p w14:paraId="42543703" w14:textId="77777777" w:rsidR="0035001A" w:rsidRPr="0035001A" w:rsidRDefault="0035001A" w:rsidP="0035001A">
      <w:pPr>
        <w:jc w:val="both"/>
        <w:rPr>
          <w:rFonts w:cs="Arial"/>
          <w:szCs w:val="20"/>
        </w:rPr>
      </w:pPr>
      <w:r w:rsidRPr="0035001A">
        <w:rPr>
          <w:rFonts w:cs="Arial"/>
          <w:szCs w:val="20"/>
        </w:rPr>
        <w:t>10.   ustanovi podružnico v tretji državi, ne da bi za ustanovitev podružnice pridobila dovoljenje Agencije (tretji odstavek 117. člena),</w:t>
      </w:r>
    </w:p>
    <w:p w14:paraId="33CF4083" w14:textId="77777777" w:rsidR="0035001A" w:rsidRPr="0035001A" w:rsidRDefault="0035001A" w:rsidP="0035001A">
      <w:pPr>
        <w:jc w:val="both"/>
        <w:rPr>
          <w:rFonts w:cs="Arial"/>
          <w:szCs w:val="20"/>
        </w:rPr>
      </w:pPr>
      <w:r w:rsidRPr="0035001A">
        <w:rPr>
          <w:rFonts w:cs="Arial"/>
          <w:szCs w:val="20"/>
        </w:rPr>
        <w:t>10.a   prenese opravljanje storitev oziroma poslov v nasprotju s 124. členom tega zakona,</w:t>
      </w:r>
    </w:p>
    <w:p w14:paraId="30EAB3F0" w14:textId="77777777" w:rsidR="0035001A" w:rsidRPr="0035001A" w:rsidRDefault="0035001A" w:rsidP="0035001A">
      <w:pPr>
        <w:jc w:val="both"/>
        <w:rPr>
          <w:rFonts w:cs="Arial"/>
          <w:szCs w:val="20"/>
        </w:rPr>
      </w:pPr>
      <w:r w:rsidRPr="0035001A">
        <w:rPr>
          <w:rFonts w:cs="Arial"/>
          <w:szCs w:val="20"/>
        </w:rPr>
        <w:t>10.b   s pooblaščencem sklene pogodbo o prenosu v nasprotju z drugim odstavkom 125. člena tega zakona,</w:t>
      </w:r>
    </w:p>
    <w:p w14:paraId="3705C991" w14:textId="77777777" w:rsidR="0035001A" w:rsidRPr="0035001A" w:rsidRDefault="0035001A" w:rsidP="0035001A">
      <w:pPr>
        <w:jc w:val="both"/>
        <w:rPr>
          <w:rFonts w:cs="Arial"/>
          <w:szCs w:val="20"/>
        </w:rPr>
      </w:pPr>
      <w:r w:rsidRPr="0035001A">
        <w:rPr>
          <w:rFonts w:cs="Arial"/>
          <w:szCs w:val="20"/>
        </w:rPr>
        <w:t>11.   trži enote KNPVP v Republiki Sloveniji, ne da bi predhodno opravila postopek priglasitve v skladu s 138. členom tega zakona,</w:t>
      </w:r>
    </w:p>
    <w:p w14:paraId="74128F2C" w14:textId="77777777" w:rsidR="0035001A" w:rsidRPr="0035001A" w:rsidRDefault="0035001A" w:rsidP="0035001A">
      <w:pPr>
        <w:jc w:val="both"/>
        <w:rPr>
          <w:rFonts w:cs="Arial"/>
          <w:szCs w:val="20"/>
        </w:rPr>
      </w:pPr>
      <w:r w:rsidRPr="0035001A">
        <w:rPr>
          <w:rFonts w:cs="Arial"/>
          <w:szCs w:val="20"/>
        </w:rPr>
        <w:t>12.   trži enote investicijskih skladov v tretji državi ne da bi predhodno obvestila Agencijo skladno s 149. členom tega zakona,</w:t>
      </w:r>
    </w:p>
    <w:p w14:paraId="070B807A" w14:textId="77777777" w:rsidR="0035001A" w:rsidRPr="0035001A" w:rsidRDefault="0035001A" w:rsidP="0035001A">
      <w:pPr>
        <w:jc w:val="both"/>
        <w:rPr>
          <w:rFonts w:cs="Arial"/>
          <w:szCs w:val="20"/>
        </w:rPr>
      </w:pPr>
      <w:r w:rsidRPr="0035001A">
        <w:rPr>
          <w:rFonts w:cs="Arial"/>
          <w:szCs w:val="20"/>
        </w:rPr>
        <w:t>13.   ne ravna skrbno s finančnimi instrumenti strank in ne zagotovi ustreznih ukrepov v skladu z 239. členom ZTFI-1 v zvezi s prvim odstavkom 151. člena tega zakona,</w:t>
      </w:r>
    </w:p>
    <w:p w14:paraId="5F4C749A" w14:textId="77777777" w:rsidR="0035001A" w:rsidRPr="0035001A" w:rsidRDefault="0035001A" w:rsidP="0035001A">
      <w:pPr>
        <w:jc w:val="both"/>
        <w:rPr>
          <w:rFonts w:cs="Arial"/>
          <w:szCs w:val="20"/>
        </w:rPr>
      </w:pPr>
      <w:r w:rsidRPr="0035001A">
        <w:rPr>
          <w:rFonts w:cs="Arial"/>
          <w:szCs w:val="20"/>
        </w:rPr>
        <w:t>14.   ne ravna skrbno z denarnim dobroimetjem strank in ne zagotovi ustreznih ukrepov v skladu z 240. členom ZTFI-1 v zvezi s prvim odstavkom 151. člena tega zakona,</w:t>
      </w:r>
    </w:p>
    <w:p w14:paraId="13221F33" w14:textId="77777777" w:rsidR="0035001A" w:rsidRPr="0035001A" w:rsidRDefault="0035001A" w:rsidP="0035001A">
      <w:pPr>
        <w:jc w:val="both"/>
        <w:rPr>
          <w:rFonts w:cs="Arial"/>
          <w:szCs w:val="20"/>
        </w:rPr>
      </w:pPr>
      <w:r w:rsidRPr="0035001A">
        <w:rPr>
          <w:rFonts w:cs="Arial"/>
          <w:szCs w:val="20"/>
        </w:rPr>
        <w:t>14.a   s stranko ne sklene pogodbe o gospodarjenju v pisni obliki (drugi odstavek 281. člena ZTFI-1 v povezavi s prvim odstavkom 154. člena tega zakona),</w:t>
      </w:r>
    </w:p>
    <w:p w14:paraId="1F13A68B" w14:textId="77777777" w:rsidR="0035001A" w:rsidRPr="0035001A" w:rsidRDefault="0035001A" w:rsidP="0035001A">
      <w:pPr>
        <w:jc w:val="both"/>
        <w:rPr>
          <w:rFonts w:cs="Arial"/>
          <w:szCs w:val="20"/>
        </w:rPr>
      </w:pPr>
      <w:r w:rsidRPr="0035001A">
        <w:rPr>
          <w:rFonts w:cs="Arial"/>
          <w:szCs w:val="20"/>
        </w:rPr>
        <w:t>15.   za račun investicijskega sklada sklepa posle v nasprotju s 161. členom tega zakona,</w:t>
      </w:r>
    </w:p>
    <w:p w14:paraId="4FE8F31E" w14:textId="77777777" w:rsidR="0035001A" w:rsidRPr="0035001A" w:rsidRDefault="0035001A" w:rsidP="0035001A">
      <w:pPr>
        <w:jc w:val="both"/>
        <w:rPr>
          <w:rFonts w:cs="Arial"/>
          <w:szCs w:val="20"/>
        </w:rPr>
      </w:pPr>
      <w:r w:rsidRPr="0035001A">
        <w:rPr>
          <w:rFonts w:cs="Arial"/>
          <w:szCs w:val="20"/>
        </w:rPr>
        <w:t>16.   za račun investicijskega sklada sklepa posle v nasprotju s 162. členom tega zakona,</w:t>
      </w:r>
    </w:p>
    <w:p w14:paraId="36C3B0D2" w14:textId="77777777" w:rsidR="0035001A" w:rsidRPr="0035001A" w:rsidRDefault="0035001A" w:rsidP="0035001A">
      <w:pPr>
        <w:jc w:val="both"/>
        <w:rPr>
          <w:rFonts w:cs="Arial"/>
          <w:szCs w:val="20"/>
        </w:rPr>
      </w:pPr>
      <w:r w:rsidRPr="0035001A">
        <w:rPr>
          <w:rFonts w:cs="Arial"/>
          <w:szCs w:val="20"/>
        </w:rPr>
        <w:t>17.   skrbniku iz sredstev investicijskega sklada poleg provizije iz prvega odstavka 168. člena tega zakona in stroškov, določenih v petem odstavku 168. člena tega zakona, povrne še kakšne druge stroške (tretji odstavek 168. člena),</w:t>
      </w:r>
    </w:p>
    <w:p w14:paraId="0C6349D9" w14:textId="77777777" w:rsidR="0035001A" w:rsidRPr="0035001A" w:rsidRDefault="0035001A" w:rsidP="0035001A">
      <w:pPr>
        <w:jc w:val="both"/>
        <w:rPr>
          <w:rFonts w:cs="Arial"/>
          <w:szCs w:val="20"/>
        </w:rPr>
      </w:pPr>
      <w:r w:rsidRPr="0035001A">
        <w:rPr>
          <w:rFonts w:cs="Arial"/>
          <w:szCs w:val="20"/>
        </w:rPr>
        <w:t>18.   za račun investicijskega sklada, ki ga upravlja, s skrbnikom ne sklene pogodbe o opravljanju skrbniških storitev (prvi odstavek 173. člen),</w:t>
      </w:r>
    </w:p>
    <w:p w14:paraId="5814D057" w14:textId="77777777" w:rsidR="0035001A" w:rsidRPr="0035001A" w:rsidRDefault="0035001A" w:rsidP="0035001A">
      <w:pPr>
        <w:jc w:val="both"/>
        <w:rPr>
          <w:rFonts w:cs="Arial"/>
          <w:szCs w:val="20"/>
        </w:rPr>
      </w:pPr>
      <w:r w:rsidRPr="0035001A">
        <w:rPr>
          <w:rFonts w:cs="Arial"/>
          <w:szCs w:val="20"/>
        </w:rPr>
        <w:t>19.   pred sklenitvijo oziroma spremembo pogodbe o opravljanju skrbniških storitev ne pridobi dovoljenja Agencije (prvi in peti odstavek 174. člena),</w:t>
      </w:r>
    </w:p>
    <w:p w14:paraId="31897086" w14:textId="77777777" w:rsidR="0035001A" w:rsidRPr="0035001A" w:rsidRDefault="0035001A" w:rsidP="0035001A">
      <w:pPr>
        <w:jc w:val="both"/>
        <w:rPr>
          <w:rFonts w:cs="Arial"/>
          <w:szCs w:val="20"/>
        </w:rPr>
      </w:pPr>
      <w:r w:rsidRPr="0035001A">
        <w:rPr>
          <w:rFonts w:cs="Arial"/>
          <w:szCs w:val="20"/>
        </w:rPr>
        <w:t>20.   v primeru odstopanj sredstev investicijskega sklada od pravil o deležih sredstev investicijskega sklada in izpostavljenosti ne sprejme in začne izvajati ukrepov za čimprejšnjo odpravo odstopanj in o tem ne obvesti Agencije (drugi odstavek 185. člena),</w:t>
      </w:r>
    </w:p>
    <w:p w14:paraId="00AE9322" w14:textId="77777777" w:rsidR="0035001A" w:rsidRPr="0035001A" w:rsidRDefault="0035001A" w:rsidP="0035001A">
      <w:pPr>
        <w:jc w:val="both"/>
        <w:rPr>
          <w:rFonts w:cs="Arial"/>
          <w:szCs w:val="20"/>
        </w:rPr>
      </w:pPr>
      <w:r w:rsidRPr="0035001A">
        <w:rPr>
          <w:rFonts w:cs="Arial"/>
          <w:szCs w:val="20"/>
        </w:rPr>
        <w:t>20.a   ne odpravi odstopanj izpostavljenosti in deležev sredstev investicijskega sklada v rokih iz tretjega odstavka 185. člena tega zakona,</w:t>
      </w:r>
    </w:p>
    <w:p w14:paraId="444F39A5" w14:textId="77777777" w:rsidR="0035001A" w:rsidRPr="0035001A" w:rsidRDefault="0035001A" w:rsidP="0035001A">
      <w:pPr>
        <w:jc w:val="both"/>
        <w:rPr>
          <w:rFonts w:cs="Arial"/>
          <w:szCs w:val="20"/>
        </w:rPr>
      </w:pPr>
      <w:r w:rsidRPr="0035001A">
        <w:rPr>
          <w:rFonts w:cs="Arial"/>
          <w:szCs w:val="20"/>
        </w:rPr>
        <w:t>21.   ne izdela načrta upravljanja tveganj investicijskega sklada (drugi odstavek 187. člena),</w:t>
      </w:r>
    </w:p>
    <w:p w14:paraId="2E6354EC" w14:textId="77777777" w:rsidR="0035001A" w:rsidRPr="0035001A" w:rsidRDefault="0035001A" w:rsidP="0035001A">
      <w:pPr>
        <w:jc w:val="both"/>
        <w:rPr>
          <w:rFonts w:cs="Arial"/>
          <w:szCs w:val="20"/>
        </w:rPr>
      </w:pPr>
      <w:r w:rsidRPr="0035001A">
        <w:rPr>
          <w:rFonts w:cs="Arial"/>
          <w:szCs w:val="20"/>
        </w:rPr>
        <w:t>22.   za račun investicijskega sklada izda poroštvo oziroma kakšno drugo obliko jamstva (prvi odstavek 189. člena),</w:t>
      </w:r>
    </w:p>
    <w:p w14:paraId="33BDA8D8" w14:textId="77777777" w:rsidR="0035001A" w:rsidRPr="0035001A" w:rsidRDefault="0035001A" w:rsidP="0035001A">
      <w:pPr>
        <w:jc w:val="both"/>
        <w:rPr>
          <w:rFonts w:cs="Arial"/>
          <w:szCs w:val="20"/>
        </w:rPr>
      </w:pPr>
      <w:r w:rsidRPr="0035001A">
        <w:rPr>
          <w:rFonts w:cs="Arial"/>
          <w:szCs w:val="20"/>
        </w:rPr>
        <w:t>22.a   za račun investicijskega sklada sklene pogodbo o prodaji oziroma proda finančne instrumente iz sredstev investicijskega sklada v nasprotju s prvim odstavkom 190. člena tega zakona,</w:t>
      </w:r>
    </w:p>
    <w:p w14:paraId="0E032869" w14:textId="77777777" w:rsidR="0035001A" w:rsidRPr="0035001A" w:rsidRDefault="0035001A" w:rsidP="0035001A">
      <w:pPr>
        <w:jc w:val="both"/>
        <w:rPr>
          <w:rFonts w:cs="Arial"/>
          <w:szCs w:val="20"/>
        </w:rPr>
      </w:pPr>
      <w:r w:rsidRPr="0035001A">
        <w:rPr>
          <w:rFonts w:cs="Arial"/>
          <w:szCs w:val="20"/>
        </w:rPr>
        <w:t>23.   zastavi ali kako drugače obremeni premoženje investicijskega sklada (prvi odstavek 191. člena),</w:t>
      </w:r>
    </w:p>
    <w:p w14:paraId="2A31F1A1" w14:textId="77777777" w:rsidR="0035001A" w:rsidRPr="0035001A" w:rsidRDefault="0035001A" w:rsidP="0035001A">
      <w:pPr>
        <w:jc w:val="both"/>
        <w:rPr>
          <w:rFonts w:cs="Arial"/>
          <w:szCs w:val="20"/>
        </w:rPr>
      </w:pPr>
      <w:r w:rsidRPr="0035001A">
        <w:rPr>
          <w:rFonts w:cs="Arial"/>
          <w:szCs w:val="20"/>
        </w:rPr>
        <w:t>24.   ponavljajoče ne sestavi dokumenta s ključnimi podatki za vlagatelje v skladu s prvim odstavkom 201. člena tega zakona,</w:t>
      </w:r>
    </w:p>
    <w:p w14:paraId="590F6AC7" w14:textId="77777777" w:rsidR="0035001A" w:rsidRPr="0035001A" w:rsidRDefault="0035001A" w:rsidP="0035001A">
      <w:pPr>
        <w:jc w:val="both"/>
        <w:rPr>
          <w:rFonts w:cs="Arial"/>
          <w:szCs w:val="20"/>
        </w:rPr>
      </w:pPr>
      <w:r w:rsidRPr="0035001A">
        <w:rPr>
          <w:rFonts w:cs="Arial"/>
          <w:szCs w:val="20"/>
        </w:rPr>
        <w:t>25.   ponavljajoče vodi poslovne knjige, sestavlja knjigovodske listine ali vrednoti knjigovodske postavke v nasprotju s prvim odstavkom 204. člena tega zakona,</w:t>
      </w:r>
    </w:p>
    <w:p w14:paraId="3F804476" w14:textId="77777777" w:rsidR="0035001A" w:rsidRPr="0035001A" w:rsidRDefault="0035001A" w:rsidP="0035001A">
      <w:pPr>
        <w:jc w:val="both"/>
        <w:rPr>
          <w:rFonts w:cs="Arial"/>
          <w:szCs w:val="20"/>
        </w:rPr>
      </w:pPr>
      <w:r w:rsidRPr="0035001A">
        <w:rPr>
          <w:rFonts w:cs="Arial"/>
          <w:szCs w:val="20"/>
        </w:rPr>
        <w:lastRenderedPageBreak/>
        <w:t>26.   ponavljajoče ne pripravi letnega oziroma polletnega poročila investicijskega sklada za predpisana obdobja in na način ter z vsebino določeno v prvem in drugem odstavku 205. in 206. členu tega zakona,</w:t>
      </w:r>
    </w:p>
    <w:p w14:paraId="36CF397C" w14:textId="77777777" w:rsidR="0035001A" w:rsidRPr="0035001A" w:rsidRDefault="0035001A" w:rsidP="0035001A">
      <w:pPr>
        <w:jc w:val="both"/>
        <w:rPr>
          <w:rFonts w:cs="Arial"/>
          <w:szCs w:val="20"/>
        </w:rPr>
      </w:pPr>
      <w:r w:rsidRPr="0035001A">
        <w:rPr>
          <w:rFonts w:cs="Arial"/>
          <w:szCs w:val="20"/>
        </w:rPr>
        <w:t>26.a   letnega poročila investicijskega sklada ne pregleda revizor skladno s prvim odstavkom 207. člena tega zakona,</w:t>
      </w:r>
    </w:p>
    <w:p w14:paraId="46DD22FD" w14:textId="77777777" w:rsidR="0035001A" w:rsidRPr="0035001A" w:rsidRDefault="0035001A" w:rsidP="0035001A">
      <w:pPr>
        <w:jc w:val="both"/>
        <w:rPr>
          <w:rFonts w:cs="Arial"/>
          <w:szCs w:val="20"/>
        </w:rPr>
      </w:pPr>
      <w:r w:rsidRPr="0035001A">
        <w:rPr>
          <w:rFonts w:cs="Arial"/>
          <w:szCs w:val="20"/>
        </w:rPr>
        <w:t>26.b   ne izračunava čiste vrednosti sredstev vzajemnega sklada v skladu z 225. členom tega zakona in aktom, ki ga izda Agencija na podlagi 206. člena tega zakona,</w:t>
      </w:r>
    </w:p>
    <w:p w14:paraId="2C940EB1" w14:textId="77777777" w:rsidR="0035001A" w:rsidRPr="0035001A" w:rsidRDefault="0035001A" w:rsidP="0035001A">
      <w:pPr>
        <w:jc w:val="both"/>
        <w:rPr>
          <w:rFonts w:cs="Arial"/>
          <w:szCs w:val="20"/>
        </w:rPr>
      </w:pPr>
      <w:r w:rsidRPr="0035001A">
        <w:rPr>
          <w:rFonts w:cs="Arial"/>
          <w:szCs w:val="20"/>
        </w:rPr>
        <w:t>27.   za vsak vzajemni sklad, ki ga upravlja, ne vodi evidenc imetnikov investicijskih kuponov v skladu z določbami tega zakona in določbami aktov, izdanih na njegovi podlagi (226. člen),</w:t>
      </w:r>
    </w:p>
    <w:p w14:paraId="47045A6B" w14:textId="77777777" w:rsidR="0035001A" w:rsidRPr="0035001A" w:rsidRDefault="0035001A" w:rsidP="0035001A">
      <w:pPr>
        <w:jc w:val="both"/>
        <w:rPr>
          <w:rFonts w:cs="Arial"/>
          <w:szCs w:val="20"/>
        </w:rPr>
      </w:pPr>
      <w:r w:rsidRPr="0035001A">
        <w:rPr>
          <w:rFonts w:cs="Arial"/>
          <w:szCs w:val="20"/>
        </w:rPr>
        <w:t>27.a   imetniku investicijskega kupona ne izplača odkupne vrednosti na način in v roku iz prvega in drugega odstavka 235. člena tega zakona,</w:t>
      </w:r>
    </w:p>
    <w:p w14:paraId="0D0D849B" w14:textId="77777777" w:rsidR="0035001A" w:rsidRPr="0035001A" w:rsidRDefault="0035001A" w:rsidP="0035001A">
      <w:pPr>
        <w:jc w:val="both"/>
        <w:rPr>
          <w:rFonts w:cs="Arial"/>
          <w:szCs w:val="20"/>
        </w:rPr>
      </w:pPr>
      <w:r w:rsidRPr="0035001A">
        <w:rPr>
          <w:rFonts w:cs="Arial"/>
          <w:szCs w:val="20"/>
        </w:rPr>
        <w:t>28.   ponavljajoče krši določbe 237. do 243. člena tega zakona v zvezi z naložbenimi politikami vzajemnega sklada,</w:t>
      </w:r>
    </w:p>
    <w:p w14:paraId="5AA4D798" w14:textId="77777777" w:rsidR="0035001A" w:rsidRPr="0035001A" w:rsidRDefault="0035001A" w:rsidP="0035001A">
      <w:pPr>
        <w:jc w:val="both"/>
        <w:rPr>
          <w:rFonts w:cs="Arial"/>
          <w:szCs w:val="20"/>
        </w:rPr>
      </w:pPr>
      <w:r w:rsidRPr="0035001A">
        <w:rPr>
          <w:rFonts w:cs="Arial"/>
          <w:szCs w:val="20"/>
        </w:rPr>
        <w:t>28.a   ne zagotovi ustreznega vrednotenja finančnih instrumentov, s katerimi se trguje na trgu institucionalnih vlagateljev, kot ga določa splošni akt Agencije, izdan na podlagi 244. člena tega zakona,</w:t>
      </w:r>
    </w:p>
    <w:p w14:paraId="00EFBF49" w14:textId="77777777" w:rsidR="0035001A" w:rsidRPr="0035001A" w:rsidRDefault="0035001A" w:rsidP="0035001A">
      <w:pPr>
        <w:jc w:val="both"/>
        <w:rPr>
          <w:rFonts w:cs="Arial"/>
          <w:szCs w:val="20"/>
        </w:rPr>
      </w:pPr>
      <w:r w:rsidRPr="0035001A">
        <w:rPr>
          <w:rFonts w:cs="Arial"/>
          <w:szCs w:val="20"/>
        </w:rPr>
        <w:t>29.   si poleg provizije za upravljanje in stroškov, ki so skladno z določbami drugega odstavka 247. člena tega zakona določeni s pravili upravljanja vzajemnega sklada, iz sredstev vzajemnega sklada opravi še druga izplačila,</w:t>
      </w:r>
    </w:p>
    <w:p w14:paraId="0889F790" w14:textId="77777777" w:rsidR="0035001A" w:rsidRPr="0035001A" w:rsidRDefault="0035001A" w:rsidP="0035001A">
      <w:pPr>
        <w:jc w:val="both"/>
        <w:rPr>
          <w:rFonts w:cs="Arial"/>
          <w:szCs w:val="20"/>
        </w:rPr>
      </w:pPr>
      <w:r w:rsidRPr="0035001A">
        <w:rPr>
          <w:rFonts w:cs="Arial"/>
          <w:szCs w:val="20"/>
        </w:rPr>
        <w:t>29.a   po prejemu soglasja Agencije k spremembi pravil upravljanja vzajemnega sklada o tem ne obvesti imetnikov investicijskih kuponov in javnosti na način, določen v devetem odstavku 253. člena tega zakona in skladno z aktom, ki ga izda Agencija na podlagi enajstega odstavka 253. člena tega zakona,</w:t>
      </w:r>
    </w:p>
    <w:p w14:paraId="2FEB10F4" w14:textId="77777777" w:rsidR="0035001A" w:rsidRPr="0035001A" w:rsidRDefault="0035001A" w:rsidP="0035001A">
      <w:pPr>
        <w:jc w:val="both"/>
        <w:rPr>
          <w:rFonts w:cs="Arial"/>
          <w:szCs w:val="20"/>
        </w:rPr>
      </w:pPr>
      <w:r w:rsidRPr="0035001A">
        <w:rPr>
          <w:rFonts w:cs="Arial"/>
          <w:szCs w:val="20"/>
        </w:rPr>
        <w:t>30.   začne sprejemati vplačila investicijskih kuponov vzajemnega sklada, preden je ta vzajemni sklad oblikovan (255. člen),</w:t>
      </w:r>
    </w:p>
    <w:p w14:paraId="67F6241D" w14:textId="77777777" w:rsidR="0035001A" w:rsidRPr="0035001A" w:rsidRDefault="0035001A" w:rsidP="0035001A">
      <w:pPr>
        <w:jc w:val="both"/>
        <w:rPr>
          <w:rFonts w:cs="Arial"/>
          <w:szCs w:val="20"/>
        </w:rPr>
      </w:pPr>
      <w:r w:rsidRPr="0035001A">
        <w:rPr>
          <w:rFonts w:cs="Arial"/>
          <w:szCs w:val="20"/>
        </w:rPr>
        <w:t>30.a   po prejemu dovoljenja Agencije za prevzem upravljanja o prenosu upravljanja investicijskega sklada ne obvesti javnosti in imetnikov enot investicijskega sklada na način in v rokih, določenih s prvim odstavkom 263. člena tega zakona ter v aktu, ki ga izda Agencija na podlagi drugega odstavka 263. člena tega zakona (263. člen, peti odstavek 267. člena, 391. in 426. člen ter prvi odstavek 428. člena),</w:t>
      </w:r>
    </w:p>
    <w:p w14:paraId="68D448F5" w14:textId="77777777" w:rsidR="0035001A" w:rsidRPr="0035001A" w:rsidRDefault="0035001A" w:rsidP="0035001A">
      <w:pPr>
        <w:jc w:val="both"/>
        <w:rPr>
          <w:rFonts w:cs="Arial"/>
          <w:szCs w:val="20"/>
        </w:rPr>
      </w:pPr>
      <w:r w:rsidRPr="0035001A">
        <w:rPr>
          <w:rFonts w:cs="Arial"/>
          <w:szCs w:val="20"/>
        </w:rPr>
        <w:t>31.   prenese upravljanje investicijskega sklada na drugo družbo za upravljanje brez dovoljenja Agencije (259., 391. in 426. člen),</w:t>
      </w:r>
    </w:p>
    <w:p w14:paraId="32FFCE0C" w14:textId="77777777" w:rsidR="0035001A" w:rsidRPr="0035001A" w:rsidRDefault="0035001A" w:rsidP="0035001A">
      <w:pPr>
        <w:jc w:val="both"/>
        <w:rPr>
          <w:rFonts w:cs="Arial"/>
          <w:szCs w:val="20"/>
        </w:rPr>
      </w:pPr>
      <w:r w:rsidRPr="0035001A">
        <w:rPr>
          <w:rFonts w:cs="Arial"/>
          <w:szCs w:val="20"/>
        </w:rPr>
        <w:t>31.a   imetnikom investicijskega kupona prevzemnega ali prenosnega sklada zaračuna izstopne stroške (1. točka prvega odstavka in 1. točka drugega odstavka 282. člena),</w:t>
      </w:r>
    </w:p>
    <w:p w14:paraId="1A90838B" w14:textId="77777777" w:rsidR="0035001A" w:rsidRPr="0035001A" w:rsidRDefault="0035001A" w:rsidP="0035001A">
      <w:pPr>
        <w:jc w:val="both"/>
        <w:rPr>
          <w:rFonts w:cs="Arial"/>
          <w:szCs w:val="20"/>
        </w:rPr>
      </w:pPr>
      <w:r w:rsidRPr="0035001A">
        <w:rPr>
          <w:rFonts w:cs="Arial"/>
          <w:szCs w:val="20"/>
        </w:rPr>
        <w:t>32.   si po nastopu razloga za začetek likvidacije vzajemnega sklada izplača provizijo za upravljanje v nasprotju z drugim odstavkom 297. člena tega zakona,</w:t>
      </w:r>
    </w:p>
    <w:p w14:paraId="35133587" w14:textId="77777777" w:rsidR="0035001A" w:rsidRPr="0035001A" w:rsidRDefault="0035001A" w:rsidP="0035001A">
      <w:pPr>
        <w:jc w:val="both"/>
        <w:rPr>
          <w:rFonts w:cs="Arial"/>
          <w:szCs w:val="20"/>
        </w:rPr>
      </w:pPr>
      <w:r w:rsidRPr="0035001A">
        <w:rPr>
          <w:rFonts w:cs="Arial"/>
          <w:szCs w:val="20"/>
        </w:rPr>
        <w:t>32.a   po nastopu razloga za začetek likvidacije vzajemnega sklada o tem ne obvesti Agencije, imetnikov investicijskih kuponov oziroma javnosti na način, določen v prvem in drugem odstavku 298. člena tega zakona oziroma aktu, ki ga izda Agencija na podlagi petega odstavka 298. člena tega zakona,</w:t>
      </w:r>
    </w:p>
    <w:p w14:paraId="3CF94134" w14:textId="77777777" w:rsidR="0035001A" w:rsidRPr="0035001A" w:rsidRDefault="0035001A" w:rsidP="0035001A">
      <w:pPr>
        <w:jc w:val="both"/>
        <w:rPr>
          <w:rFonts w:cs="Arial"/>
          <w:szCs w:val="20"/>
        </w:rPr>
      </w:pPr>
      <w:r w:rsidRPr="0035001A">
        <w:rPr>
          <w:rFonts w:cs="Arial"/>
          <w:szCs w:val="20"/>
        </w:rPr>
        <w:t>32.b   po nastopu razloga za začetek likvidacije vzajemnega sklada opravi izplačilo odkupne vrednosti investicijskega kupona oziroma sprejme pristopno izjavo o pristopu k pravilom vzajemnega sklada (prvi in drugi odstavek 299. člena),</w:t>
      </w:r>
    </w:p>
    <w:p w14:paraId="41473478" w14:textId="77777777" w:rsidR="0035001A" w:rsidRPr="0035001A" w:rsidRDefault="0035001A" w:rsidP="0035001A">
      <w:pPr>
        <w:jc w:val="both"/>
        <w:rPr>
          <w:rFonts w:cs="Arial"/>
          <w:szCs w:val="20"/>
        </w:rPr>
      </w:pPr>
      <w:r w:rsidRPr="0035001A">
        <w:rPr>
          <w:rFonts w:cs="Arial"/>
          <w:szCs w:val="20"/>
        </w:rPr>
        <w:t xml:space="preserve">32.c   denarnih sredstev vlagateljev, prispelih na denarni račun krovnega sklada, po lastni krivdi vsakodnevno ne razporedi na račune posameznih </w:t>
      </w:r>
      <w:proofErr w:type="spellStart"/>
      <w:r w:rsidRPr="0035001A">
        <w:rPr>
          <w:rFonts w:cs="Arial"/>
          <w:szCs w:val="20"/>
        </w:rPr>
        <w:t>podskladov</w:t>
      </w:r>
      <w:proofErr w:type="spellEnd"/>
      <w:r w:rsidRPr="0035001A">
        <w:rPr>
          <w:rFonts w:cs="Arial"/>
          <w:szCs w:val="20"/>
        </w:rPr>
        <w:t>, kot to določa tretji odstavek 305. člena tega zakona,</w:t>
      </w:r>
    </w:p>
    <w:p w14:paraId="63B4AB7F" w14:textId="77777777" w:rsidR="0035001A" w:rsidRPr="0035001A" w:rsidRDefault="0035001A" w:rsidP="0035001A">
      <w:pPr>
        <w:jc w:val="both"/>
        <w:rPr>
          <w:rFonts w:cs="Arial"/>
          <w:szCs w:val="20"/>
        </w:rPr>
      </w:pPr>
      <w:r w:rsidRPr="0035001A">
        <w:rPr>
          <w:rFonts w:cs="Arial"/>
          <w:szCs w:val="20"/>
        </w:rPr>
        <w:t xml:space="preserve">33.   ne pridobi dovoljenja Agencije za vključitev </w:t>
      </w:r>
      <w:proofErr w:type="spellStart"/>
      <w:r w:rsidRPr="0035001A">
        <w:rPr>
          <w:rFonts w:cs="Arial"/>
          <w:szCs w:val="20"/>
        </w:rPr>
        <w:t>podskladov</w:t>
      </w:r>
      <w:proofErr w:type="spellEnd"/>
      <w:r w:rsidRPr="0035001A">
        <w:rPr>
          <w:rFonts w:cs="Arial"/>
          <w:szCs w:val="20"/>
        </w:rPr>
        <w:t xml:space="preserve"> krovnega sklada v drugi krovni sklad kot to določa prvi odstavek 320. člena tega zakona,</w:t>
      </w:r>
    </w:p>
    <w:p w14:paraId="2524010D" w14:textId="77777777" w:rsidR="0035001A" w:rsidRPr="0035001A" w:rsidRDefault="0035001A" w:rsidP="0035001A">
      <w:pPr>
        <w:jc w:val="both"/>
        <w:rPr>
          <w:rFonts w:cs="Arial"/>
          <w:szCs w:val="20"/>
        </w:rPr>
      </w:pPr>
      <w:r w:rsidRPr="0035001A">
        <w:rPr>
          <w:rFonts w:cs="Arial"/>
          <w:szCs w:val="20"/>
        </w:rPr>
        <w:t>34.   oblikuje napajalni sklad brez soglasja Agencije iz 324. člena tega zakona,</w:t>
      </w:r>
    </w:p>
    <w:p w14:paraId="7149285C" w14:textId="77777777" w:rsidR="0035001A" w:rsidRPr="0035001A" w:rsidRDefault="0035001A" w:rsidP="0035001A">
      <w:pPr>
        <w:jc w:val="both"/>
        <w:rPr>
          <w:rFonts w:cs="Arial"/>
          <w:szCs w:val="20"/>
        </w:rPr>
      </w:pPr>
      <w:r w:rsidRPr="0035001A">
        <w:rPr>
          <w:rFonts w:cs="Arial"/>
          <w:szCs w:val="20"/>
        </w:rPr>
        <w:t xml:space="preserve">35.   napajalni sklad nalaga sredstva v izvedene finančne instrumente iz 7. točke prvega odstavka 237. člena tega zakona in te naložbe niso namenjene izključno varovanju pred tveganji ali pa je </w:t>
      </w:r>
      <w:r w:rsidRPr="0035001A">
        <w:rPr>
          <w:rFonts w:cs="Arial"/>
          <w:szCs w:val="20"/>
        </w:rPr>
        <w:lastRenderedPageBreak/>
        <w:t>izpostavljenost napajalnega sklada v zvezi z izvedenimi finančnimi instrumenti v nasprotju z 237. in 241. členom tega zakona (drugi odstavek 336. člena),</w:t>
      </w:r>
    </w:p>
    <w:p w14:paraId="1E9E4D0E" w14:textId="77777777" w:rsidR="0035001A" w:rsidRPr="0035001A" w:rsidRDefault="0035001A" w:rsidP="0035001A">
      <w:pPr>
        <w:jc w:val="both"/>
        <w:rPr>
          <w:rFonts w:cs="Arial"/>
          <w:szCs w:val="20"/>
        </w:rPr>
      </w:pPr>
      <w:r w:rsidRPr="0035001A">
        <w:rPr>
          <w:rFonts w:cs="Arial"/>
          <w:szCs w:val="20"/>
        </w:rPr>
        <w:t>36.   </w:t>
      </w:r>
      <w:r w:rsidRPr="0035001A">
        <w:rPr>
          <w:rFonts w:cs="Arial"/>
          <w:b/>
          <w:bCs/>
          <w:szCs w:val="20"/>
        </w:rPr>
        <w:t>(črtana)</w:t>
      </w:r>
    </w:p>
    <w:p w14:paraId="39FEE0D6" w14:textId="77777777" w:rsidR="0035001A" w:rsidRPr="0035001A" w:rsidRDefault="0035001A" w:rsidP="0035001A">
      <w:pPr>
        <w:jc w:val="both"/>
        <w:rPr>
          <w:rFonts w:cs="Arial"/>
          <w:szCs w:val="20"/>
        </w:rPr>
      </w:pPr>
      <w:r w:rsidRPr="0035001A">
        <w:rPr>
          <w:rFonts w:cs="Arial"/>
          <w:szCs w:val="20"/>
        </w:rPr>
        <w:t>37.   </w:t>
      </w:r>
      <w:r w:rsidRPr="0035001A">
        <w:rPr>
          <w:rFonts w:cs="Arial"/>
          <w:b/>
          <w:bCs/>
          <w:szCs w:val="20"/>
        </w:rPr>
        <w:t>(črtana)</w:t>
      </w:r>
    </w:p>
    <w:p w14:paraId="020447EA" w14:textId="77777777" w:rsidR="0035001A" w:rsidRPr="0035001A" w:rsidRDefault="0035001A" w:rsidP="0035001A">
      <w:pPr>
        <w:jc w:val="both"/>
        <w:rPr>
          <w:rFonts w:cs="Arial"/>
          <w:szCs w:val="20"/>
        </w:rPr>
      </w:pPr>
      <w:r w:rsidRPr="0035001A">
        <w:rPr>
          <w:rFonts w:cs="Arial"/>
          <w:szCs w:val="20"/>
        </w:rPr>
        <w:t>38.   </w:t>
      </w:r>
      <w:r w:rsidRPr="0035001A">
        <w:rPr>
          <w:rFonts w:cs="Arial"/>
          <w:b/>
          <w:bCs/>
          <w:szCs w:val="20"/>
        </w:rPr>
        <w:t>(črtana)</w:t>
      </w:r>
    </w:p>
    <w:p w14:paraId="79478B22" w14:textId="77777777" w:rsidR="0035001A" w:rsidRPr="0035001A" w:rsidRDefault="0035001A" w:rsidP="0035001A">
      <w:pPr>
        <w:jc w:val="both"/>
        <w:rPr>
          <w:rFonts w:cs="Arial"/>
          <w:szCs w:val="20"/>
        </w:rPr>
      </w:pPr>
      <w:r w:rsidRPr="0035001A">
        <w:rPr>
          <w:rFonts w:cs="Arial"/>
          <w:szCs w:val="20"/>
        </w:rPr>
        <w:t>38.a   </w:t>
      </w:r>
      <w:r w:rsidRPr="0035001A">
        <w:rPr>
          <w:rFonts w:cs="Arial"/>
          <w:b/>
          <w:bCs/>
          <w:szCs w:val="20"/>
        </w:rPr>
        <w:t>(črtana)</w:t>
      </w:r>
    </w:p>
    <w:p w14:paraId="48B1A139" w14:textId="77777777" w:rsidR="0035001A" w:rsidRPr="0035001A" w:rsidRDefault="0035001A" w:rsidP="0035001A">
      <w:pPr>
        <w:jc w:val="both"/>
        <w:rPr>
          <w:rFonts w:cs="Arial"/>
          <w:szCs w:val="20"/>
        </w:rPr>
      </w:pPr>
      <w:r w:rsidRPr="0035001A">
        <w:rPr>
          <w:rFonts w:cs="Arial"/>
          <w:szCs w:val="20"/>
        </w:rPr>
        <w:t>38.b   </w:t>
      </w:r>
      <w:r w:rsidRPr="0035001A">
        <w:rPr>
          <w:rFonts w:cs="Arial"/>
          <w:b/>
          <w:bCs/>
          <w:szCs w:val="20"/>
        </w:rPr>
        <w:t>(črtana)</w:t>
      </w:r>
    </w:p>
    <w:p w14:paraId="6182DAA7" w14:textId="20B433A8" w:rsidR="0035001A" w:rsidRPr="0035001A" w:rsidRDefault="0035001A" w:rsidP="0035001A">
      <w:pPr>
        <w:jc w:val="both"/>
        <w:rPr>
          <w:rFonts w:cs="Arial"/>
          <w:szCs w:val="20"/>
        </w:rPr>
      </w:pPr>
      <w:r w:rsidRPr="0035001A">
        <w:rPr>
          <w:rFonts w:cs="Arial"/>
          <w:szCs w:val="20"/>
        </w:rPr>
        <w:t xml:space="preserve">38.c   </w:t>
      </w:r>
      <w:r w:rsidRPr="0035001A">
        <w:rPr>
          <w:rFonts w:cs="Arial"/>
          <w:b/>
          <w:bCs/>
          <w:szCs w:val="20"/>
        </w:rPr>
        <w:t>(črtana)</w:t>
      </w:r>
    </w:p>
    <w:p w14:paraId="740B156D" w14:textId="77777777" w:rsidR="0035001A" w:rsidRPr="0035001A" w:rsidRDefault="0035001A" w:rsidP="0035001A">
      <w:pPr>
        <w:jc w:val="both"/>
        <w:rPr>
          <w:rFonts w:cs="Arial"/>
          <w:szCs w:val="20"/>
        </w:rPr>
      </w:pPr>
      <w:r w:rsidRPr="0035001A">
        <w:rPr>
          <w:rFonts w:cs="Arial"/>
          <w:szCs w:val="20"/>
        </w:rPr>
        <w:t>39.   </w:t>
      </w:r>
      <w:r w:rsidRPr="0035001A">
        <w:rPr>
          <w:rFonts w:cs="Arial"/>
          <w:b/>
          <w:bCs/>
          <w:szCs w:val="20"/>
        </w:rPr>
        <w:t>(črtana)</w:t>
      </w:r>
    </w:p>
    <w:p w14:paraId="6841F1DA" w14:textId="77777777" w:rsidR="0035001A" w:rsidRPr="0035001A" w:rsidRDefault="0035001A" w:rsidP="0035001A">
      <w:pPr>
        <w:jc w:val="both"/>
        <w:rPr>
          <w:rFonts w:cs="Arial"/>
          <w:szCs w:val="20"/>
        </w:rPr>
      </w:pPr>
      <w:r w:rsidRPr="0035001A">
        <w:rPr>
          <w:rFonts w:cs="Arial"/>
          <w:szCs w:val="20"/>
        </w:rPr>
        <w:t>40.   </w:t>
      </w:r>
      <w:r w:rsidRPr="0035001A">
        <w:rPr>
          <w:rFonts w:cs="Arial"/>
          <w:b/>
          <w:bCs/>
          <w:szCs w:val="20"/>
        </w:rPr>
        <w:t>(črtana)</w:t>
      </w:r>
    </w:p>
    <w:p w14:paraId="44E830C1" w14:textId="77777777" w:rsidR="0035001A" w:rsidRPr="0035001A" w:rsidRDefault="0035001A" w:rsidP="0035001A">
      <w:pPr>
        <w:jc w:val="both"/>
        <w:rPr>
          <w:rFonts w:cs="Arial"/>
          <w:szCs w:val="20"/>
        </w:rPr>
      </w:pPr>
      <w:r w:rsidRPr="0035001A">
        <w:rPr>
          <w:rFonts w:cs="Arial"/>
          <w:szCs w:val="20"/>
        </w:rPr>
        <w:t>41.   </w:t>
      </w:r>
      <w:r w:rsidRPr="0035001A">
        <w:rPr>
          <w:rFonts w:cs="Arial"/>
          <w:b/>
          <w:bCs/>
          <w:szCs w:val="20"/>
        </w:rPr>
        <w:t>(črtana)</w:t>
      </w:r>
    </w:p>
    <w:p w14:paraId="1AA33FEC" w14:textId="77777777" w:rsidR="0035001A" w:rsidRPr="0035001A" w:rsidRDefault="0035001A" w:rsidP="0035001A">
      <w:pPr>
        <w:jc w:val="both"/>
        <w:rPr>
          <w:rFonts w:cs="Arial"/>
          <w:szCs w:val="20"/>
        </w:rPr>
      </w:pPr>
      <w:r w:rsidRPr="0035001A">
        <w:rPr>
          <w:rFonts w:cs="Arial"/>
          <w:szCs w:val="20"/>
        </w:rPr>
        <w:t>41.a   </w:t>
      </w:r>
      <w:r w:rsidRPr="0035001A">
        <w:rPr>
          <w:rFonts w:cs="Arial"/>
          <w:b/>
          <w:bCs/>
          <w:szCs w:val="20"/>
        </w:rPr>
        <w:t>(črtana)</w:t>
      </w:r>
    </w:p>
    <w:p w14:paraId="03D7F21E" w14:textId="77777777" w:rsidR="0035001A" w:rsidRPr="0035001A" w:rsidRDefault="0035001A" w:rsidP="0035001A">
      <w:pPr>
        <w:jc w:val="both"/>
        <w:rPr>
          <w:rFonts w:cs="Arial"/>
          <w:szCs w:val="20"/>
        </w:rPr>
      </w:pPr>
      <w:r w:rsidRPr="0035001A">
        <w:rPr>
          <w:rFonts w:cs="Arial"/>
          <w:szCs w:val="20"/>
        </w:rPr>
        <w:t>41.b   </w:t>
      </w:r>
      <w:r w:rsidRPr="0035001A">
        <w:rPr>
          <w:rFonts w:cs="Arial"/>
          <w:b/>
          <w:bCs/>
          <w:szCs w:val="20"/>
        </w:rPr>
        <w:t>(črtana)</w:t>
      </w:r>
    </w:p>
    <w:p w14:paraId="0E7010EA" w14:textId="77777777" w:rsidR="0035001A" w:rsidRPr="0035001A" w:rsidRDefault="0035001A" w:rsidP="0035001A">
      <w:pPr>
        <w:jc w:val="both"/>
        <w:rPr>
          <w:rFonts w:cs="Arial"/>
          <w:szCs w:val="20"/>
        </w:rPr>
      </w:pPr>
      <w:r w:rsidRPr="0035001A">
        <w:rPr>
          <w:rFonts w:cs="Arial"/>
          <w:szCs w:val="20"/>
        </w:rPr>
        <w:t>42.   </w:t>
      </w:r>
      <w:r w:rsidRPr="0035001A">
        <w:rPr>
          <w:rFonts w:cs="Arial"/>
          <w:b/>
          <w:bCs/>
          <w:szCs w:val="20"/>
        </w:rPr>
        <w:t>(črtana)</w:t>
      </w:r>
    </w:p>
    <w:p w14:paraId="7C459455" w14:textId="77777777" w:rsidR="0035001A" w:rsidRPr="0035001A" w:rsidRDefault="0035001A" w:rsidP="0035001A">
      <w:pPr>
        <w:jc w:val="both"/>
        <w:rPr>
          <w:rFonts w:cs="Arial"/>
          <w:szCs w:val="20"/>
        </w:rPr>
      </w:pPr>
      <w:r w:rsidRPr="0035001A">
        <w:rPr>
          <w:rFonts w:cs="Arial"/>
          <w:szCs w:val="20"/>
        </w:rPr>
        <w:t>42.a   </w:t>
      </w:r>
      <w:r w:rsidRPr="0035001A">
        <w:rPr>
          <w:rFonts w:cs="Arial"/>
          <w:b/>
          <w:bCs/>
          <w:szCs w:val="20"/>
        </w:rPr>
        <w:t>(črtana)</w:t>
      </w:r>
    </w:p>
    <w:p w14:paraId="14586AFB" w14:textId="77777777" w:rsidR="0035001A" w:rsidRPr="0035001A" w:rsidRDefault="0035001A" w:rsidP="0035001A">
      <w:pPr>
        <w:jc w:val="both"/>
        <w:rPr>
          <w:rFonts w:cs="Arial"/>
          <w:szCs w:val="20"/>
        </w:rPr>
      </w:pPr>
      <w:r w:rsidRPr="0035001A">
        <w:rPr>
          <w:rFonts w:cs="Arial"/>
          <w:szCs w:val="20"/>
        </w:rPr>
        <w:t>43.   </w:t>
      </w:r>
      <w:r w:rsidRPr="0035001A">
        <w:rPr>
          <w:rFonts w:cs="Arial"/>
          <w:b/>
          <w:bCs/>
          <w:szCs w:val="20"/>
        </w:rPr>
        <w:t>(črtana)</w:t>
      </w:r>
    </w:p>
    <w:p w14:paraId="1F0CDA74" w14:textId="77777777" w:rsidR="0035001A" w:rsidRPr="0035001A" w:rsidRDefault="0035001A" w:rsidP="0035001A">
      <w:pPr>
        <w:jc w:val="both"/>
        <w:rPr>
          <w:rFonts w:cs="Arial"/>
          <w:szCs w:val="20"/>
        </w:rPr>
      </w:pPr>
      <w:r w:rsidRPr="0035001A">
        <w:rPr>
          <w:rFonts w:cs="Arial"/>
          <w:szCs w:val="20"/>
        </w:rPr>
        <w:t>44.   </w:t>
      </w:r>
      <w:r w:rsidRPr="0035001A">
        <w:rPr>
          <w:rFonts w:cs="Arial"/>
          <w:b/>
          <w:bCs/>
          <w:szCs w:val="20"/>
        </w:rPr>
        <w:t>(črtana)</w:t>
      </w:r>
    </w:p>
    <w:p w14:paraId="4B25619E" w14:textId="77777777" w:rsidR="0035001A" w:rsidRPr="0035001A" w:rsidRDefault="0035001A" w:rsidP="0035001A">
      <w:pPr>
        <w:jc w:val="both"/>
        <w:rPr>
          <w:rFonts w:cs="Arial"/>
          <w:szCs w:val="20"/>
        </w:rPr>
      </w:pPr>
      <w:r w:rsidRPr="0035001A">
        <w:rPr>
          <w:rFonts w:cs="Arial"/>
          <w:szCs w:val="20"/>
        </w:rPr>
        <w:t>45.   </w:t>
      </w:r>
      <w:r w:rsidRPr="0035001A">
        <w:rPr>
          <w:rFonts w:cs="Arial"/>
          <w:b/>
          <w:bCs/>
          <w:szCs w:val="20"/>
        </w:rPr>
        <w:t>(črtana)</w:t>
      </w:r>
    </w:p>
    <w:p w14:paraId="741EBD31" w14:textId="77777777" w:rsidR="0035001A" w:rsidRPr="0035001A" w:rsidRDefault="0035001A" w:rsidP="0035001A">
      <w:pPr>
        <w:jc w:val="both"/>
        <w:rPr>
          <w:rFonts w:cs="Arial"/>
          <w:szCs w:val="20"/>
        </w:rPr>
      </w:pPr>
      <w:r w:rsidRPr="0035001A">
        <w:rPr>
          <w:rFonts w:cs="Arial"/>
          <w:szCs w:val="20"/>
        </w:rPr>
        <w:t>45.a   </w:t>
      </w:r>
      <w:r w:rsidRPr="0035001A">
        <w:rPr>
          <w:rFonts w:cs="Arial"/>
          <w:b/>
          <w:bCs/>
          <w:szCs w:val="20"/>
        </w:rPr>
        <w:t>(črtana)</w:t>
      </w:r>
    </w:p>
    <w:p w14:paraId="5A4CF5FD" w14:textId="77777777" w:rsidR="0035001A" w:rsidRPr="0035001A" w:rsidRDefault="0035001A" w:rsidP="0035001A">
      <w:pPr>
        <w:jc w:val="both"/>
        <w:rPr>
          <w:rFonts w:cs="Arial"/>
          <w:szCs w:val="20"/>
        </w:rPr>
      </w:pPr>
      <w:r w:rsidRPr="0035001A">
        <w:rPr>
          <w:rFonts w:cs="Arial"/>
          <w:szCs w:val="20"/>
        </w:rPr>
        <w:t>46.   </w:t>
      </w:r>
      <w:r w:rsidRPr="0035001A">
        <w:rPr>
          <w:rFonts w:cs="Arial"/>
          <w:b/>
          <w:bCs/>
          <w:szCs w:val="20"/>
        </w:rPr>
        <w:t>(črtana)</w:t>
      </w:r>
    </w:p>
    <w:p w14:paraId="5585C80C" w14:textId="77777777" w:rsidR="0035001A" w:rsidRPr="0035001A" w:rsidRDefault="0035001A" w:rsidP="0035001A">
      <w:pPr>
        <w:jc w:val="both"/>
        <w:rPr>
          <w:rFonts w:cs="Arial"/>
          <w:szCs w:val="20"/>
        </w:rPr>
      </w:pPr>
      <w:r w:rsidRPr="0035001A">
        <w:rPr>
          <w:rFonts w:cs="Arial"/>
          <w:szCs w:val="20"/>
        </w:rPr>
        <w:t>47.   </w:t>
      </w:r>
      <w:r w:rsidRPr="0035001A">
        <w:rPr>
          <w:rFonts w:cs="Arial"/>
          <w:b/>
          <w:bCs/>
          <w:szCs w:val="20"/>
        </w:rPr>
        <w:t>(črtana)</w:t>
      </w:r>
    </w:p>
    <w:p w14:paraId="085845BC" w14:textId="77777777" w:rsidR="0035001A" w:rsidRPr="0035001A" w:rsidRDefault="0035001A" w:rsidP="0035001A">
      <w:pPr>
        <w:jc w:val="both"/>
        <w:rPr>
          <w:rFonts w:cs="Arial"/>
          <w:szCs w:val="20"/>
        </w:rPr>
      </w:pPr>
      <w:r w:rsidRPr="0035001A">
        <w:rPr>
          <w:rFonts w:cs="Arial"/>
          <w:szCs w:val="20"/>
        </w:rPr>
        <w:t>48.   </w:t>
      </w:r>
      <w:r w:rsidRPr="0035001A">
        <w:rPr>
          <w:rFonts w:cs="Arial"/>
          <w:b/>
          <w:bCs/>
          <w:szCs w:val="20"/>
        </w:rPr>
        <w:t>(črtana)</w:t>
      </w:r>
    </w:p>
    <w:p w14:paraId="3D77FAD0" w14:textId="77777777" w:rsidR="0035001A" w:rsidRPr="0035001A" w:rsidRDefault="0035001A" w:rsidP="0035001A">
      <w:pPr>
        <w:jc w:val="both"/>
        <w:rPr>
          <w:rFonts w:cs="Arial"/>
          <w:szCs w:val="20"/>
        </w:rPr>
      </w:pPr>
      <w:r w:rsidRPr="0035001A">
        <w:rPr>
          <w:rFonts w:cs="Arial"/>
          <w:szCs w:val="20"/>
        </w:rPr>
        <w:t>(2) Družba za upravljanje, ki se po ZGD-1 šteje za srednjo ali veliko gospodarsko družbo, se za prekršek iz prvega odstavka tega člena kaznuje z globo od 2.000 do 500.000 eurov.</w:t>
      </w:r>
    </w:p>
    <w:p w14:paraId="3EDDDC46" w14:textId="77777777" w:rsidR="0035001A" w:rsidRPr="0035001A" w:rsidRDefault="0035001A" w:rsidP="0035001A">
      <w:pPr>
        <w:jc w:val="both"/>
        <w:rPr>
          <w:rFonts w:cs="Arial"/>
          <w:szCs w:val="20"/>
        </w:rPr>
      </w:pPr>
      <w:r w:rsidRPr="0035001A">
        <w:rPr>
          <w:rFonts w:cs="Arial"/>
          <w:szCs w:val="20"/>
        </w:rPr>
        <w:t>(3) Če je narava storjenega prekrška iz 2.a, 3.a, 3.b, 3.d, 8., 10.a, 11., 24., 26. ali 28.a točke prvega odstavka tega člena posebno huda zaradi višine povzročene škode oziroma višine pridobljene protipravne premoženjske koristi ali zaradi storilčevega naklepa oziroma njegovega namena koristoljubnosti, se družba za upravljanje kaznuje z globo v višini:</w:t>
      </w:r>
    </w:p>
    <w:p w14:paraId="605833AF" w14:textId="77777777" w:rsidR="0035001A" w:rsidRPr="0035001A" w:rsidRDefault="0035001A" w:rsidP="0035001A">
      <w:pPr>
        <w:jc w:val="both"/>
        <w:rPr>
          <w:rFonts w:cs="Arial"/>
          <w:szCs w:val="20"/>
        </w:rPr>
      </w:pPr>
      <w:r w:rsidRPr="0035001A">
        <w:rPr>
          <w:rFonts w:cs="Arial"/>
          <w:szCs w:val="20"/>
        </w:rPr>
        <w:t>1.      od 25.000 do 5.000.000 eurov ali 10 odstotkov skupnega letnega neto prometa glede na zadnje razpoložljive letne računovodske izkaze, ki jih je odobril pristojni organ družbe, oziroma skupnega letnega prometa ali ustrezne vrste prihodka, ki izhaja iz zadnje razpoložljive konsolidirane letne bilance, ki jo je odobril pristojni organ matične družbe, če mora pravna oseba pripraviti konsolidirane računovodske izkaze na podlagi ZGD-1, ali</w:t>
      </w:r>
    </w:p>
    <w:p w14:paraId="32C39AA4" w14:textId="77777777" w:rsidR="0035001A" w:rsidRPr="0035001A" w:rsidRDefault="0035001A" w:rsidP="0035001A">
      <w:pPr>
        <w:jc w:val="both"/>
        <w:rPr>
          <w:rFonts w:cs="Arial"/>
          <w:szCs w:val="20"/>
        </w:rPr>
      </w:pPr>
      <w:r w:rsidRPr="0035001A">
        <w:rPr>
          <w:rFonts w:cs="Arial"/>
          <w:szCs w:val="20"/>
        </w:rPr>
        <w:t>2.      dvakratnega zneska dobička, pridobljenega s kršitvijo, ali izgube, preprečene s kršitvijo, kadar ju je mogoče opredeliti, če ta znesek presega najvišji znesek iz prejšnje točke.</w:t>
      </w:r>
    </w:p>
    <w:p w14:paraId="151045CB" w14:textId="77777777" w:rsidR="0035001A" w:rsidRPr="0035001A" w:rsidRDefault="0035001A" w:rsidP="0035001A">
      <w:pPr>
        <w:jc w:val="both"/>
        <w:rPr>
          <w:rFonts w:cs="Arial"/>
          <w:szCs w:val="20"/>
        </w:rPr>
      </w:pPr>
      <w:r w:rsidRPr="0035001A">
        <w:rPr>
          <w:rFonts w:cs="Arial"/>
          <w:szCs w:val="20"/>
        </w:rPr>
        <w:t>(4) Član uprave, ki krši dolžnosti člana uprave družbe za upravljanje iz prvega odstavka 57. člena tega zakona in je zato podana kršitev iz prvega odstavka tega člena, se za prekršek kaznuje z globo v višini od 400 do 10.000 eurov.</w:t>
      </w:r>
    </w:p>
    <w:p w14:paraId="2C5249C6" w14:textId="77777777" w:rsidR="0035001A" w:rsidRPr="0035001A" w:rsidRDefault="0035001A" w:rsidP="0035001A">
      <w:pPr>
        <w:jc w:val="both"/>
        <w:rPr>
          <w:rFonts w:cs="Arial"/>
          <w:szCs w:val="20"/>
        </w:rPr>
      </w:pPr>
      <w:r w:rsidRPr="0035001A">
        <w:rPr>
          <w:rFonts w:cs="Arial"/>
          <w:szCs w:val="20"/>
        </w:rPr>
        <w:t>(5) Član nadzornega sveta družbe za upravljanje, ki krši dolžnosti člana nadzornega sveta družbe za upravljanje iz prvega odstavka 65. člena tega zakona in je zato v družbi za upravljanje podana kršitev iz prvega odstavka tega člena, se za prekršek kaznuje z globo v višini od 400 do 10.000 eurov.</w:t>
      </w:r>
    </w:p>
    <w:p w14:paraId="6BE50047" w14:textId="77777777" w:rsidR="0035001A" w:rsidRPr="0035001A" w:rsidRDefault="0035001A" w:rsidP="0035001A">
      <w:pPr>
        <w:jc w:val="both"/>
        <w:rPr>
          <w:rFonts w:cs="Arial"/>
          <w:szCs w:val="20"/>
        </w:rPr>
      </w:pPr>
      <w:r w:rsidRPr="0035001A">
        <w:rPr>
          <w:rFonts w:cs="Arial"/>
          <w:szCs w:val="20"/>
        </w:rPr>
        <w:t>(6) Če je narava storjenega prekrška iz četrtega ali petega odstavka tega člena posebno huda zaradi višine povzročene škode oziroma višine pridobljene protipravne premoženjske koristi ali zaradi storilčevega naklepa oziroma njegovega namena koristoljubnosti in pomeni prekršek iz 2.a, 3.a, 3.b, 3.d, 8., 10.a, 11., 24., 26., ali 28.a točke prvega odstavka tega člena, se član uprave ali nadzornega sveta kaznuje z globo v višini:</w:t>
      </w:r>
    </w:p>
    <w:p w14:paraId="4B488B58" w14:textId="77777777" w:rsidR="0035001A" w:rsidRPr="0035001A" w:rsidRDefault="0035001A" w:rsidP="0035001A">
      <w:pPr>
        <w:jc w:val="both"/>
        <w:rPr>
          <w:rFonts w:cs="Arial"/>
          <w:szCs w:val="20"/>
        </w:rPr>
      </w:pPr>
      <w:r w:rsidRPr="0035001A">
        <w:rPr>
          <w:rFonts w:cs="Arial"/>
          <w:szCs w:val="20"/>
        </w:rPr>
        <w:t>1.      od 2.500 do 5.000.000 eurov ali</w:t>
      </w:r>
    </w:p>
    <w:p w14:paraId="39168A02" w14:textId="77777777" w:rsidR="0035001A" w:rsidRPr="0035001A" w:rsidRDefault="0035001A" w:rsidP="0035001A">
      <w:pPr>
        <w:jc w:val="both"/>
        <w:rPr>
          <w:rFonts w:cs="Arial"/>
          <w:szCs w:val="20"/>
        </w:rPr>
      </w:pPr>
      <w:r w:rsidRPr="0035001A">
        <w:rPr>
          <w:rFonts w:cs="Arial"/>
          <w:szCs w:val="20"/>
        </w:rPr>
        <w:t>2.      dvakratnega zneska dobička, pridobljenega s kršitvijo, ali izgube, preprečene s kršitvijo, kadar ju je mogoče opredeliti, če ta znesek presega najvišji znesek iz prejšnje točke.</w:t>
      </w:r>
    </w:p>
    <w:p w14:paraId="30B93CCE" w14:textId="77777777" w:rsidR="0035001A" w:rsidRPr="0035001A" w:rsidRDefault="0035001A" w:rsidP="0035001A">
      <w:pPr>
        <w:jc w:val="both"/>
        <w:rPr>
          <w:rFonts w:cs="Arial"/>
          <w:szCs w:val="20"/>
        </w:rPr>
      </w:pPr>
      <w:r w:rsidRPr="0035001A">
        <w:rPr>
          <w:rFonts w:cs="Arial"/>
          <w:szCs w:val="20"/>
        </w:rPr>
        <w:t>(7) Ponavljajoča kršitev pomeni istovrstno kršitev določb 24., 25., 26. in 28. točke prvega odstavka tega člena, pri isti družbi za upravljanje, najmanj dva krat v petih zaporednih koledarskih letih.</w:t>
      </w:r>
    </w:p>
    <w:p w14:paraId="4D5E68A7" w14:textId="77777777" w:rsidR="00572B2F" w:rsidRDefault="00572B2F" w:rsidP="00572B2F">
      <w:pPr>
        <w:jc w:val="both"/>
        <w:rPr>
          <w:rFonts w:cs="Arial"/>
          <w:szCs w:val="20"/>
        </w:rPr>
      </w:pPr>
    </w:p>
    <w:p w14:paraId="39E1A2E3" w14:textId="77777777" w:rsidR="00572B2F" w:rsidRPr="000A325A" w:rsidRDefault="00572B2F" w:rsidP="000A325A">
      <w:pPr>
        <w:jc w:val="both"/>
        <w:rPr>
          <w:rFonts w:cs="Arial"/>
          <w:b/>
          <w:bCs/>
          <w:szCs w:val="20"/>
        </w:rPr>
      </w:pPr>
      <w:r w:rsidRPr="000A325A">
        <w:rPr>
          <w:rFonts w:cs="Arial"/>
          <w:b/>
          <w:bCs/>
          <w:szCs w:val="20"/>
        </w:rPr>
        <w:t>Zakon o upravljavcih alternativnih investicijskih skladov (Uradni list RS, št. 32/15, 77/18, 161/21, 101/22 – ZOAIS in 77/25)</w:t>
      </w:r>
    </w:p>
    <w:p w14:paraId="2032BE9A" w14:textId="77777777" w:rsidR="000A325A" w:rsidRDefault="000A325A" w:rsidP="000A325A">
      <w:pPr>
        <w:jc w:val="both"/>
        <w:rPr>
          <w:rFonts w:cs="Arial"/>
          <w:b/>
          <w:bCs/>
          <w:szCs w:val="20"/>
        </w:rPr>
      </w:pPr>
    </w:p>
    <w:p w14:paraId="55C6CF25" w14:textId="77777777" w:rsidR="000A325A" w:rsidRPr="000A325A" w:rsidRDefault="000A325A" w:rsidP="000A325A">
      <w:pPr>
        <w:jc w:val="center"/>
        <w:rPr>
          <w:rFonts w:cs="Arial"/>
          <w:b/>
          <w:bCs/>
          <w:szCs w:val="20"/>
        </w:rPr>
      </w:pPr>
      <w:r w:rsidRPr="000A325A">
        <w:rPr>
          <w:rFonts w:cs="Arial"/>
          <w:b/>
          <w:bCs/>
          <w:szCs w:val="20"/>
        </w:rPr>
        <w:t>2. člen</w:t>
      </w:r>
    </w:p>
    <w:p w14:paraId="470596EE" w14:textId="77777777" w:rsidR="000A325A" w:rsidRPr="000A325A" w:rsidRDefault="000A325A" w:rsidP="000A325A">
      <w:pPr>
        <w:jc w:val="center"/>
        <w:rPr>
          <w:rFonts w:cs="Arial"/>
          <w:b/>
          <w:bCs/>
          <w:szCs w:val="20"/>
        </w:rPr>
      </w:pPr>
      <w:r w:rsidRPr="000A325A">
        <w:rPr>
          <w:rFonts w:cs="Arial"/>
          <w:b/>
          <w:bCs/>
          <w:szCs w:val="20"/>
        </w:rPr>
        <w:t>(prenos direktiv in izvajanje uredb Evropske unije)</w:t>
      </w:r>
    </w:p>
    <w:p w14:paraId="3C7C1628" w14:textId="77777777" w:rsidR="000A325A" w:rsidRPr="000A325A" w:rsidRDefault="000A325A" w:rsidP="000A325A">
      <w:pPr>
        <w:jc w:val="both"/>
        <w:rPr>
          <w:rFonts w:cs="Arial"/>
          <w:szCs w:val="20"/>
        </w:rPr>
      </w:pPr>
      <w:r w:rsidRPr="000A325A">
        <w:rPr>
          <w:rFonts w:cs="Arial"/>
          <w:szCs w:val="20"/>
        </w:rPr>
        <w:t>(1) S tem zakonom se v pravni red Republike Slovenije prenaša:</w:t>
      </w:r>
    </w:p>
    <w:p w14:paraId="7F6AD35F" w14:textId="77777777" w:rsidR="000A325A" w:rsidRPr="000A325A" w:rsidRDefault="000A325A" w:rsidP="000A325A">
      <w:pPr>
        <w:jc w:val="both"/>
        <w:rPr>
          <w:rFonts w:cs="Arial"/>
          <w:szCs w:val="20"/>
        </w:rPr>
      </w:pPr>
      <w:r w:rsidRPr="000A325A">
        <w:rPr>
          <w:rFonts w:cs="Arial"/>
          <w:szCs w:val="20"/>
        </w:rPr>
        <w:t>1.      </w:t>
      </w:r>
      <w:r w:rsidRPr="001C0C0C">
        <w:t>Direktiva 2011/61/EU</w:t>
      </w:r>
      <w:r w:rsidRPr="000A325A">
        <w:rPr>
          <w:rFonts w:cs="Arial"/>
          <w:szCs w:val="20"/>
        </w:rPr>
        <w:t> Evropskega parlamenta in Sveta z dne 8. junija 2011 o upraviteljih alternativnih investicijskih skladov in spremembah </w:t>
      </w:r>
      <w:r w:rsidRPr="001C0C0C">
        <w:t>direktiv 2003/41/ES</w:t>
      </w:r>
      <w:r w:rsidRPr="000A325A">
        <w:rPr>
          <w:rFonts w:cs="Arial"/>
          <w:szCs w:val="20"/>
        </w:rPr>
        <w:t> in </w:t>
      </w:r>
      <w:r w:rsidRPr="001C0C0C">
        <w:t>2009/65/ES</w:t>
      </w:r>
      <w:r w:rsidRPr="000A325A">
        <w:rPr>
          <w:rFonts w:cs="Arial"/>
          <w:szCs w:val="20"/>
        </w:rPr>
        <w:t> ter </w:t>
      </w:r>
      <w:r w:rsidRPr="001C0C0C">
        <w:t>uredb (ES) št. 1060/2009</w:t>
      </w:r>
      <w:r w:rsidRPr="000A325A">
        <w:rPr>
          <w:rFonts w:cs="Arial"/>
          <w:szCs w:val="20"/>
        </w:rPr>
        <w:t> in </w:t>
      </w:r>
      <w:r w:rsidRPr="001C0C0C">
        <w:t>(EU) št. 1095/2010</w:t>
      </w:r>
      <w:r w:rsidRPr="000A325A">
        <w:rPr>
          <w:rFonts w:cs="Arial"/>
          <w:szCs w:val="20"/>
        </w:rPr>
        <w:t> (UL L št. 174 z dne 1. 7. 2011, str. 1;), zadnjič spremenjena z Direktivo 2022/2556/EU Evropskega parlamenta in Sveta z dne 14. decembra 2022 o spremembi direktiv 2009/65/ES, 2009/138/ES, 2011/61/EU, 2013/36/EU, 2014/59/EU, 2014/65/EU, 2015/2366/EU in 2016/2341/EU glede digitalne operativne odpornosti za finančni sektor (UL L št. 333 z dne 27. 12. 2022, str. 153), (v nadaljnjem besedilu: </w:t>
      </w:r>
      <w:r w:rsidRPr="001C0C0C">
        <w:t>Direktiva 2011/61/EU</w:t>
      </w:r>
      <w:r w:rsidRPr="000A325A">
        <w:rPr>
          <w:rFonts w:cs="Arial"/>
          <w:szCs w:val="20"/>
        </w:rPr>
        <w:t>);</w:t>
      </w:r>
    </w:p>
    <w:p w14:paraId="403BD15B" w14:textId="77777777" w:rsidR="000A325A" w:rsidRPr="000A325A" w:rsidRDefault="000A325A" w:rsidP="000A325A">
      <w:pPr>
        <w:jc w:val="both"/>
        <w:rPr>
          <w:rFonts w:cs="Arial"/>
          <w:szCs w:val="20"/>
        </w:rPr>
      </w:pPr>
      <w:r w:rsidRPr="000A325A">
        <w:rPr>
          <w:rFonts w:cs="Arial"/>
          <w:szCs w:val="20"/>
        </w:rPr>
        <w:t>2.      </w:t>
      </w:r>
      <w:r w:rsidRPr="001C0C0C">
        <w:t>Direktiva 2013/14/EU</w:t>
      </w:r>
      <w:r w:rsidRPr="000A325A">
        <w:rPr>
          <w:rFonts w:cs="Arial"/>
          <w:szCs w:val="20"/>
        </w:rPr>
        <w:t> Evropskega parlamenta in Sveta z dne 21. maja 2013 o spremembi </w:t>
      </w:r>
      <w:r w:rsidRPr="001C0C0C">
        <w:t>Direktive 2003/41/ES</w:t>
      </w:r>
      <w:r w:rsidRPr="000A325A">
        <w:rPr>
          <w:rFonts w:cs="Arial"/>
          <w:szCs w:val="20"/>
        </w:rPr>
        <w:t> o dejavnostih in nadzoru institucij za poklicno pokojninsko zavarovanje, </w:t>
      </w:r>
      <w:r w:rsidRPr="001C0C0C">
        <w:t>Direktive 2009/65/ES</w:t>
      </w:r>
      <w:r w:rsidRPr="000A325A">
        <w:rPr>
          <w:rFonts w:cs="Arial"/>
          <w:szCs w:val="20"/>
        </w:rPr>
        <w:t> o usklajevanju zakonov in drugih predpisov o kolektivnih naložbenih podjemih za vlaganja v prenosljive vrednostne papirje (KNPVP) in </w:t>
      </w:r>
      <w:r w:rsidRPr="001C0C0C">
        <w:t>Direktive 2011/61/EU</w:t>
      </w:r>
      <w:r w:rsidRPr="000A325A">
        <w:rPr>
          <w:rFonts w:cs="Arial"/>
          <w:szCs w:val="20"/>
        </w:rPr>
        <w:t> o upraviteljih alternativnih investicijskih skladov v zvezi s prevelikim zanašanjem na bonitetne ocene (UL L št. 145 z dne 31. 5. 2013, str. 1), zadnjič spremenjena z </w:t>
      </w:r>
      <w:r w:rsidRPr="001C0C0C">
        <w:t>Direktivo (EU) 2016/2341</w:t>
      </w:r>
      <w:r w:rsidRPr="000A325A">
        <w:rPr>
          <w:rFonts w:cs="Arial"/>
          <w:szCs w:val="20"/>
        </w:rPr>
        <w:t> Evropskega parlamenta in Sveta z dne 14. decembra 2016 o dejavnostih in nadzoru institucij za poklicno pokojninsko zavarovanje (UL L št. 354 z dne 23. 12. 2016, str. 37), (v nadaljnjem besedilu: </w:t>
      </w:r>
      <w:r w:rsidRPr="001C0C0C">
        <w:t>Direktiva 2013/14/EU</w:t>
      </w:r>
      <w:r w:rsidRPr="000A325A">
        <w:rPr>
          <w:rFonts w:cs="Arial"/>
          <w:szCs w:val="20"/>
        </w:rPr>
        <w:t>), v delu, v katerem se nanaša na upravljavce alternativnih investicijskih skladov;</w:t>
      </w:r>
    </w:p>
    <w:p w14:paraId="51DB74FC" w14:textId="77777777" w:rsidR="000A325A" w:rsidRPr="000A325A" w:rsidRDefault="000A325A" w:rsidP="000A325A">
      <w:pPr>
        <w:jc w:val="both"/>
        <w:rPr>
          <w:rFonts w:cs="Arial"/>
          <w:szCs w:val="20"/>
        </w:rPr>
      </w:pPr>
      <w:r w:rsidRPr="000A325A">
        <w:rPr>
          <w:rFonts w:cs="Arial"/>
          <w:szCs w:val="20"/>
        </w:rPr>
        <w:t>3.      </w:t>
      </w:r>
      <w:r w:rsidRPr="001C0C0C">
        <w:t>Direktiva (EU) 2019/1160</w:t>
      </w:r>
      <w:r w:rsidRPr="000A325A">
        <w:rPr>
          <w:rFonts w:cs="Arial"/>
          <w:szCs w:val="20"/>
        </w:rPr>
        <w:t> Evropskega parlamenta in Sveta z dne 20. junija 2019 o spremembi </w:t>
      </w:r>
      <w:r w:rsidRPr="001C0C0C">
        <w:t>direktiv 2009/65/ES</w:t>
      </w:r>
      <w:r w:rsidRPr="000A325A">
        <w:rPr>
          <w:rFonts w:cs="Arial"/>
          <w:szCs w:val="20"/>
        </w:rPr>
        <w:t> in </w:t>
      </w:r>
      <w:r w:rsidRPr="001C0C0C">
        <w:t>2011/61/EU</w:t>
      </w:r>
      <w:r w:rsidRPr="000A325A">
        <w:rPr>
          <w:rFonts w:cs="Arial"/>
          <w:szCs w:val="20"/>
        </w:rPr>
        <w:t> v zvezi s čezmejno distribucijo kolektivnih naložbenih podjemov (UL L št. 188 z dne 12. 7. 2019, str. 106) v delu, ki se nanaša na upravljavce AIS;</w:t>
      </w:r>
    </w:p>
    <w:p w14:paraId="6B23DB16" w14:textId="77777777" w:rsidR="000A325A" w:rsidRPr="000A325A" w:rsidRDefault="000A325A" w:rsidP="000A325A">
      <w:pPr>
        <w:jc w:val="both"/>
        <w:rPr>
          <w:rFonts w:cs="Arial"/>
          <w:szCs w:val="20"/>
        </w:rPr>
      </w:pPr>
      <w:r w:rsidRPr="000A325A">
        <w:rPr>
          <w:rFonts w:cs="Arial"/>
          <w:szCs w:val="20"/>
        </w:rPr>
        <w:t>4.      </w:t>
      </w:r>
      <w:r w:rsidRPr="001C0C0C">
        <w:t>Direktiva (EU) 2019/2034</w:t>
      </w:r>
      <w:r w:rsidRPr="000A325A">
        <w:rPr>
          <w:rFonts w:cs="Arial"/>
          <w:szCs w:val="20"/>
        </w:rPr>
        <w:t> Evropskega parlamenta in Sveta z dne 27. novembra 2019 o bonitetnem nadzoru investicijskih podjetij ter o spremembi </w:t>
      </w:r>
      <w:r w:rsidRPr="001C0C0C">
        <w:t>direktiv 2002/87/ES</w:t>
      </w:r>
      <w:r w:rsidRPr="000A325A">
        <w:rPr>
          <w:rFonts w:cs="Arial"/>
          <w:szCs w:val="20"/>
        </w:rPr>
        <w:t>, </w:t>
      </w:r>
      <w:r w:rsidRPr="001C0C0C">
        <w:t>2009/65/ES</w:t>
      </w:r>
      <w:r w:rsidRPr="000A325A">
        <w:rPr>
          <w:rFonts w:cs="Arial"/>
          <w:szCs w:val="20"/>
        </w:rPr>
        <w:t>, </w:t>
      </w:r>
      <w:r w:rsidRPr="001C0C0C">
        <w:t>2011/61/EU</w:t>
      </w:r>
      <w:r w:rsidRPr="000A325A">
        <w:rPr>
          <w:rFonts w:cs="Arial"/>
          <w:szCs w:val="20"/>
        </w:rPr>
        <w:t>, </w:t>
      </w:r>
      <w:r w:rsidRPr="001C0C0C">
        <w:t>2013/36/EU</w:t>
      </w:r>
      <w:r w:rsidRPr="000A325A">
        <w:rPr>
          <w:rFonts w:cs="Arial"/>
          <w:szCs w:val="20"/>
        </w:rPr>
        <w:t>, </w:t>
      </w:r>
      <w:r w:rsidRPr="001C0C0C">
        <w:t>2014/59/EU</w:t>
      </w:r>
      <w:r w:rsidRPr="000A325A">
        <w:rPr>
          <w:rFonts w:cs="Arial"/>
          <w:szCs w:val="20"/>
        </w:rPr>
        <w:t> in </w:t>
      </w:r>
      <w:r w:rsidRPr="001C0C0C">
        <w:t>2014/65/EU</w:t>
      </w:r>
      <w:r w:rsidRPr="000A325A">
        <w:rPr>
          <w:rFonts w:cs="Arial"/>
          <w:szCs w:val="20"/>
        </w:rPr>
        <w:t> (UL L št. 314 z dne 5. 12. 2019, str. 64), zadnjič popravljena s Popravkom (UL L št. 405 z dne 2. 12. 2020, str. 84), v delu, ki se nanaša na upravljavce AIS.</w:t>
      </w:r>
    </w:p>
    <w:p w14:paraId="5998B847" w14:textId="77777777" w:rsidR="000A325A" w:rsidRDefault="000A325A" w:rsidP="000A325A">
      <w:pPr>
        <w:jc w:val="both"/>
        <w:rPr>
          <w:rFonts w:cs="Arial"/>
          <w:szCs w:val="20"/>
        </w:rPr>
      </w:pPr>
    </w:p>
    <w:p w14:paraId="52E25B2D" w14:textId="77777777" w:rsidR="000A325A" w:rsidRPr="000A325A" w:rsidRDefault="000A325A" w:rsidP="000A325A">
      <w:pPr>
        <w:jc w:val="both"/>
        <w:rPr>
          <w:rFonts w:cs="Arial"/>
          <w:szCs w:val="20"/>
        </w:rPr>
      </w:pPr>
      <w:r w:rsidRPr="000A325A">
        <w:rPr>
          <w:rFonts w:cs="Arial"/>
          <w:szCs w:val="20"/>
        </w:rPr>
        <w:t>(2) S tem zakonom se podrobneje ureja izvajanje naslednjih uredb Evropske unije:</w:t>
      </w:r>
    </w:p>
    <w:p w14:paraId="50D0AFF4" w14:textId="77777777" w:rsidR="000A325A" w:rsidRPr="000A325A" w:rsidRDefault="000A325A" w:rsidP="000A325A">
      <w:pPr>
        <w:jc w:val="both"/>
        <w:rPr>
          <w:rFonts w:cs="Arial"/>
          <w:szCs w:val="20"/>
        </w:rPr>
      </w:pPr>
      <w:r w:rsidRPr="000A325A">
        <w:rPr>
          <w:rFonts w:cs="Arial"/>
          <w:szCs w:val="20"/>
        </w:rPr>
        <w:t>1.      </w:t>
      </w:r>
      <w:r w:rsidRPr="001C0C0C">
        <w:t>Delegirane uredbe Komisije (EU) št. 231/2013</w:t>
      </w:r>
      <w:r w:rsidRPr="000A325A">
        <w:rPr>
          <w:rFonts w:cs="Arial"/>
          <w:szCs w:val="20"/>
        </w:rPr>
        <w:t> z dne 19. decembra 2012 o dopolnitvi </w:t>
      </w:r>
      <w:r w:rsidRPr="001C0C0C">
        <w:t>Direktive 2011/61/EU</w:t>
      </w:r>
      <w:r w:rsidRPr="000A325A">
        <w:rPr>
          <w:rFonts w:cs="Arial"/>
          <w:szCs w:val="20"/>
        </w:rPr>
        <w:t> Evropskega parlamenta in Sveta v zvezi z izjemami, splošnimi pogoji poslovanja, depozitarji, finančnim vzvodom, preglednostjo in nadzorom (UL L št. 83 z dne 22. 3. 2013, str. 1; v nadaljnjem besedilu: </w:t>
      </w:r>
      <w:r w:rsidRPr="001C0C0C">
        <w:t>Uredba 231/2013/EU</w:t>
      </w:r>
      <w:r w:rsidRPr="000A325A">
        <w:rPr>
          <w:rFonts w:cs="Arial"/>
          <w:szCs w:val="20"/>
        </w:rPr>
        <w:t>);</w:t>
      </w:r>
    </w:p>
    <w:p w14:paraId="70FAFEFA" w14:textId="77777777" w:rsidR="000A325A" w:rsidRPr="000A325A" w:rsidRDefault="000A325A" w:rsidP="000A325A">
      <w:pPr>
        <w:jc w:val="both"/>
        <w:rPr>
          <w:rFonts w:cs="Arial"/>
          <w:szCs w:val="20"/>
        </w:rPr>
      </w:pPr>
      <w:r w:rsidRPr="000A325A">
        <w:rPr>
          <w:rFonts w:cs="Arial"/>
          <w:szCs w:val="20"/>
        </w:rPr>
        <w:t>2.      </w:t>
      </w:r>
      <w:r w:rsidRPr="001C0C0C">
        <w:t>Izvedbene uredbe Komisije (EU) št. 447/2013</w:t>
      </w:r>
      <w:r w:rsidRPr="000A325A">
        <w:rPr>
          <w:rFonts w:cs="Arial"/>
          <w:szCs w:val="20"/>
        </w:rPr>
        <w:t> z dne 15. maja 2013 o uvedbi postopka za UAIS, ki se odločijo, da bodo upoštevali </w:t>
      </w:r>
      <w:r w:rsidRPr="001C0C0C">
        <w:t>Direktivo 2011/61/EU</w:t>
      </w:r>
      <w:r w:rsidRPr="000A325A">
        <w:rPr>
          <w:rFonts w:cs="Arial"/>
          <w:szCs w:val="20"/>
        </w:rPr>
        <w:t> Evropskega parlamenta in Sveta (UL L št. 132 z dne 16. 5. 2013, str. 1; v nadaljnjem besedilu: </w:t>
      </w:r>
      <w:r w:rsidRPr="001C0C0C">
        <w:t>Uredba 447/2013/EU</w:t>
      </w:r>
      <w:r w:rsidRPr="000A325A">
        <w:rPr>
          <w:rFonts w:cs="Arial"/>
          <w:szCs w:val="20"/>
        </w:rPr>
        <w:t>);</w:t>
      </w:r>
    </w:p>
    <w:p w14:paraId="6814A6C4" w14:textId="77777777" w:rsidR="000A325A" w:rsidRPr="000A325A" w:rsidRDefault="000A325A" w:rsidP="000A325A">
      <w:pPr>
        <w:jc w:val="both"/>
        <w:rPr>
          <w:rFonts w:cs="Arial"/>
          <w:szCs w:val="20"/>
        </w:rPr>
      </w:pPr>
      <w:r w:rsidRPr="000A325A">
        <w:rPr>
          <w:rFonts w:cs="Arial"/>
          <w:szCs w:val="20"/>
        </w:rPr>
        <w:t>3.      </w:t>
      </w:r>
      <w:r w:rsidRPr="001C0C0C">
        <w:t>Izvedbene uredbe Komisije (EU) št. 448/2013</w:t>
      </w:r>
      <w:r w:rsidRPr="000A325A">
        <w:rPr>
          <w:rFonts w:cs="Arial"/>
          <w:szCs w:val="20"/>
        </w:rPr>
        <w:t> z dne 15. maja 2013 o uvedbi postopka za določitev referenčne države članice UAIS zunaj Unije v skladu z </w:t>
      </w:r>
      <w:r w:rsidRPr="001C0C0C">
        <w:t>Direktivo 2011/61/EU</w:t>
      </w:r>
      <w:r w:rsidRPr="000A325A">
        <w:rPr>
          <w:rFonts w:cs="Arial"/>
          <w:szCs w:val="20"/>
        </w:rPr>
        <w:t> Evropskega parlamenta in Sveta (UL L št. 132 z dne 16. 5. 2013, str. 3; v nadaljnjem besedilu: </w:t>
      </w:r>
      <w:r w:rsidRPr="001C0C0C">
        <w:t>Uredba 448/2013/EU</w:t>
      </w:r>
      <w:r w:rsidRPr="000A325A">
        <w:rPr>
          <w:rFonts w:cs="Arial"/>
          <w:szCs w:val="20"/>
        </w:rPr>
        <w:t>);</w:t>
      </w:r>
    </w:p>
    <w:p w14:paraId="7B4EA768" w14:textId="77777777" w:rsidR="000A325A" w:rsidRPr="000A325A" w:rsidRDefault="000A325A" w:rsidP="000A325A">
      <w:pPr>
        <w:jc w:val="both"/>
        <w:rPr>
          <w:rFonts w:cs="Arial"/>
          <w:szCs w:val="20"/>
        </w:rPr>
      </w:pPr>
      <w:r w:rsidRPr="000A325A">
        <w:rPr>
          <w:rFonts w:cs="Arial"/>
          <w:szCs w:val="20"/>
        </w:rPr>
        <w:t>4.      </w:t>
      </w:r>
      <w:r w:rsidRPr="001C0C0C">
        <w:t>Uredbe (EU) št. 345/2013</w:t>
      </w:r>
      <w:r w:rsidRPr="000A325A">
        <w:rPr>
          <w:rFonts w:cs="Arial"/>
          <w:szCs w:val="20"/>
        </w:rPr>
        <w:t> Evropskega parlamenta in Sveta z dne 17. aprila 2013 o evropskih skladih tveganega kapitala (UL L št. 115 z dne 25. 4. 2013, str. 1), zadnjič spremenjene z </w:t>
      </w:r>
      <w:r w:rsidRPr="001C0C0C">
        <w:t>Uredbo (EU) št. 2019/1156</w:t>
      </w:r>
      <w:r w:rsidRPr="000A325A">
        <w:rPr>
          <w:rFonts w:cs="Arial"/>
          <w:szCs w:val="20"/>
        </w:rPr>
        <w:t> Evropskega parlamenta in Sveta z dne 20. junija 2019 o olajšanju čezmejne distribucije kolektivnih naložbenih podjemov in spremembi </w:t>
      </w:r>
      <w:r w:rsidRPr="001C0C0C">
        <w:t>uredb (EU) št. 345/2013</w:t>
      </w:r>
      <w:r w:rsidRPr="000A325A">
        <w:rPr>
          <w:rFonts w:cs="Arial"/>
          <w:szCs w:val="20"/>
        </w:rPr>
        <w:t>, </w:t>
      </w:r>
      <w:r w:rsidRPr="001C0C0C">
        <w:t>(EU) št. 346/2013</w:t>
      </w:r>
      <w:r w:rsidRPr="000A325A">
        <w:rPr>
          <w:rFonts w:cs="Arial"/>
          <w:szCs w:val="20"/>
        </w:rPr>
        <w:t> in </w:t>
      </w:r>
      <w:r w:rsidR="00A3709B" w:rsidRPr="001C0C0C">
        <w:t>(EU) 1286/2014</w:t>
      </w:r>
      <w:r w:rsidRPr="000A325A">
        <w:rPr>
          <w:rFonts w:cs="Arial"/>
          <w:szCs w:val="20"/>
        </w:rPr>
        <w:t>, (UL L št. 188 z dne 12. 7. 2019, str. 55; v nadaljnjem besedilu: </w:t>
      </w:r>
      <w:r w:rsidR="00A3709B" w:rsidRPr="001C0C0C">
        <w:t>Uredba 345/2013/EU</w:t>
      </w:r>
      <w:r w:rsidRPr="000A325A">
        <w:rPr>
          <w:rFonts w:cs="Arial"/>
          <w:szCs w:val="20"/>
        </w:rPr>
        <w:t>);</w:t>
      </w:r>
    </w:p>
    <w:p w14:paraId="13794ACD" w14:textId="77777777" w:rsidR="000A325A" w:rsidRPr="000A325A" w:rsidRDefault="000A325A" w:rsidP="000A325A">
      <w:pPr>
        <w:jc w:val="both"/>
        <w:rPr>
          <w:rFonts w:cs="Arial"/>
          <w:szCs w:val="20"/>
        </w:rPr>
      </w:pPr>
      <w:r w:rsidRPr="000A325A">
        <w:rPr>
          <w:rFonts w:cs="Arial"/>
          <w:szCs w:val="20"/>
        </w:rPr>
        <w:lastRenderedPageBreak/>
        <w:t>5.      </w:t>
      </w:r>
      <w:r w:rsidR="00A3709B" w:rsidRPr="001C0C0C">
        <w:t>Uredbe (EU) št. 346/2013</w:t>
      </w:r>
      <w:r w:rsidRPr="000A325A">
        <w:rPr>
          <w:rFonts w:cs="Arial"/>
          <w:szCs w:val="20"/>
        </w:rPr>
        <w:t> Evropskega parlamenta in Sveta z dne 17. aprila 2013 o evropskih skladih za socialno podjetništvo (UL L št. 115 z dne 25. 4. 2013, str. 18), zadnjič spremenjene z </w:t>
      </w:r>
      <w:r w:rsidR="00A3709B" w:rsidRPr="001C0C0C">
        <w:t>Uredbo (EU) št. 2019/1156</w:t>
      </w:r>
      <w:r w:rsidRPr="000A325A">
        <w:rPr>
          <w:rFonts w:cs="Arial"/>
          <w:szCs w:val="20"/>
        </w:rPr>
        <w:t> Evropskega parlamenta in Sveta z dne 20. junija 2019 o olajšanju čezmejne distribucije kolektivnih naložbenih podjemov in spremembi </w:t>
      </w:r>
      <w:r w:rsidR="00A3709B" w:rsidRPr="001C0C0C">
        <w:t>uredb (EU) št. 345/2013</w:t>
      </w:r>
      <w:r w:rsidRPr="000A325A">
        <w:rPr>
          <w:rFonts w:cs="Arial"/>
          <w:szCs w:val="20"/>
        </w:rPr>
        <w:t>, </w:t>
      </w:r>
      <w:r w:rsidR="00A3709B" w:rsidRPr="001C0C0C">
        <w:t>(EU) št. 346/2013</w:t>
      </w:r>
      <w:r w:rsidRPr="000A325A">
        <w:rPr>
          <w:rFonts w:cs="Arial"/>
          <w:szCs w:val="20"/>
        </w:rPr>
        <w:t> in </w:t>
      </w:r>
      <w:r w:rsidR="00A3709B" w:rsidRPr="001C0C0C">
        <w:t>(EU) 1286/2014</w:t>
      </w:r>
      <w:r w:rsidRPr="000A325A">
        <w:rPr>
          <w:rFonts w:cs="Arial"/>
          <w:szCs w:val="20"/>
        </w:rPr>
        <w:t> (UL L št. 188 z dne 12. 7. 2019, str. 55; v nadaljnjem besedilu: </w:t>
      </w:r>
      <w:r w:rsidR="00A3709B" w:rsidRPr="001C0C0C">
        <w:t>Uredba 346/2013/EU</w:t>
      </w:r>
      <w:r w:rsidRPr="000A325A">
        <w:rPr>
          <w:rFonts w:cs="Arial"/>
          <w:szCs w:val="20"/>
        </w:rPr>
        <w:t>);</w:t>
      </w:r>
    </w:p>
    <w:p w14:paraId="2F37646E" w14:textId="77777777" w:rsidR="000A325A" w:rsidRPr="000A325A" w:rsidRDefault="000A325A" w:rsidP="000A325A">
      <w:pPr>
        <w:jc w:val="both"/>
        <w:rPr>
          <w:rFonts w:cs="Arial"/>
          <w:szCs w:val="20"/>
        </w:rPr>
      </w:pPr>
      <w:r w:rsidRPr="000A325A">
        <w:rPr>
          <w:rFonts w:cs="Arial"/>
          <w:szCs w:val="20"/>
        </w:rPr>
        <w:t>6.      </w:t>
      </w:r>
      <w:r w:rsidR="00A3709B" w:rsidRPr="001C0C0C">
        <w:t>Delegirane uredbe Komisije (EU) št. 694/2014</w:t>
      </w:r>
      <w:r w:rsidRPr="000A325A">
        <w:rPr>
          <w:rFonts w:cs="Arial"/>
          <w:szCs w:val="20"/>
        </w:rPr>
        <w:t> z dne 17. decembra 2013 o dopolnitvi </w:t>
      </w:r>
      <w:r w:rsidR="00A3709B" w:rsidRPr="001C0C0C">
        <w:t>Direktive 2011/61/EU</w:t>
      </w:r>
      <w:r w:rsidRPr="000A325A">
        <w:rPr>
          <w:rFonts w:cs="Arial"/>
          <w:szCs w:val="20"/>
        </w:rPr>
        <w:t> Evropskega parlamenta in Sveta v zvezi z regulativnimi tehničnimi standardi, ki določajo vrste upraviteljev alternativnih investicijskih skladov (UL L št. 183 z dne 24. 6. 2014, str. 18; v nadaljnjem besedilu: </w:t>
      </w:r>
      <w:r w:rsidR="00A3709B" w:rsidRPr="001C0C0C">
        <w:t>Uredba 694/2014/EU</w:t>
      </w:r>
      <w:r w:rsidRPr="000A325A">
        <w:rPr>
          <w:rFonts w:cs="Arial"/>
          <w:szCs w:val="20"/>
        </w:rPr>
        <w:t>),</w:t>
      </w:r>
    </w:p>
    <w:p w14:paraId="7B148E26" w14:textId="77777777" w:rsidR="000A325A" w:rsidRPr="000A325A" w:rsidRDefault="000A325A" w:rsidP="000A325A">
      <w:pPr>
        <w:jc w:val="both"/>
        <w:rPr>
          <w:rFonts w:cs="Arial"/>
          <w:szCs w:val="20"/>
        </w:rPr>
      </w:pPr>
      <w:r w:rsidRPr="000A325A">
        <w:rPr>
          <w:rFonts w:cs="Arial"/>
          <w:szCs w:val="20"/>
        </w:rPr>
        <w:t>7.      </w:t>
      </w:r>
      <w:r w:rsidR="00A3709B" w:rsidRPr="001C0C0C">
        <w:t>Uredbe (EU) 2015/760</w:t>
      </w:r>
      <w:r w:rsidRPr="000A325A">
        <w:rPr>
          <w:rFonts w:cs="Arial"/>
          <w:szCs w:val="20"/>
        </w:rPr>
        <w:t> Evropskega parlamenta in Sveta z dne 29. aprila 2015 o evropskih dolgoročnih investicijskih skladih (UL L št. 123 z dne 19. 5. 2015, str. 98; v nadaljnjem besedilu: </w:t>
      </w:r>
      <w:r w:rsidR="00A3709B" w:rsidRPr="001C0C0C">
        <w:t>Uredba 2015/760/EU</w:t>
      </w:r>
      <w:r w:rsidRPr="000A325A">
        <w:rPr>
          <w:rFonts w:cs="Arial"/>
          <w:szCs w:val="20"/>
        </w:rPr>
        <w:t>);</w:t>
      </w:r>
    </w:p>
    <w:p w14:paraId="5E9E3EDD" w14:textId="77777777" w:rsidR="000A325A" w:rsidRDefault="000A325A" w:rsidP="000A325A">
      <w:pPr>
        <w:jc w:val="both"/>
        <w:rPr>
          <w:rFonts w:cs="Arial"/>
          <w:szCs w:val="20"/>
        </w:rPr>
      </w:pPr>
      <w:r w:rsidRPr="000A325A">
        <w:rPr>
          <w:rFonts w:cs="Arial"/>
          <w:szCs w:val="20"/>
        </w:rPr>
        <w:t>8.      </w:t>
      </w:r>
      <w:r w:rsidR="00A3709B" w:rsidRPr="001C0C0C">
        <w:t>Uredbe (EU) št. 2019/1156</w:t>
      </w:r>
      <w:r w:rsidRPr="000A325A">
        <w:rPr>
          <w:rFonts w:cs="Arial"/>
          <w:szCs w:val="20"/>
        </w:rPr>
        <w:t> Evropskega parlamenta in Sveta z dne 20. junija 2019 o olajšanju čezmejne distribucije kolektivnih naložbenih podjemov in spremembi </w:t>
      </w:r>
      <w:r w:rsidR="00A3709B" w:rsidRPr="001C0C0C">
        <w:t>uredb (EU) št. 345/2013</w:t>
      </w:r>
      <w:r w:rsidRPr="000A325A">
        <w:rPr>
          <w:rFonts w:cs="Arial"/>
          <w:szCs w:val="20"/>
        </w:rPr>
        <w:t>, </w:t>
      </w:r>
      <w:r w:rsidR="00A3709B" w:rsidRPr="001C0C0C">
        <w:t>(EU) št. 346/2013</w:t>
      </w:r>
      <w:r w:rsidRPr="000A325A">
        <w:rPr>
          <w:rFonts w:cs="Arial"/>
          <w:szCs w:val="20"/>
        </w:rPr>
        <w:t> in </w:t>
      </w:r>
      <w:r w:rsidR="00A3709B" w:rsidRPr="001C0C0C">
        <w:t>(EU) št. 1286/2014</w:t>
      </w:r>
      <w:r w:rsidRPr="000A325A">
        <w:rPr>
          <w:rFonts w:cs="Arial"/>
          <w:szCs w:val="20"/>
        </w:rPr>
        <w:t> (UL L št. 188 z dne 12. 7. 2019, str. 55; v nadaljnjem besedilu: </w:t>
      </w:r>
      <w:r w:rsidR="00A3709B" w:rsidRPr="001C0C0C">
        <w:t>Uredba 2019/1156/EU</w:t>
      </w:r>
      <w:r w:rsidRPr="000A325A">
        <w:rPr>
          <w:rFonts w:cs="Arial"/>
          <w:szCs w:val="20"/>
        </w:rPr>
        <w:t>)</w:t>
      </w:r>
      <w:r>
        <w:rPr>
          <w:rFonts w:cs="Arial"/>
          <w:szCs w:val="20"/>
        </w:rPr>
        <w:t>;</w:t>
      </w:r>
    </w:p>
    <w:p w14:paraId="77DE963F" w14:textId="77777777" w:rsidR="000A325A" w:rsidRPr="000A325A" w:rsidRDefault="000A325A" w:rsidP="000A325A">
      <w:pPr>
        <w:jc w:val="both"/>
        <w:rPr>
          <w:rFonts w:cs="Arial"/>
          <w:szCs w:val="20"/>
        </w:rPr>
      </w:pPr>
      <w:r w:rsidRPr="000A325A">
        <w:rPr>
          <w:rFonts w:cs="Arial"/>
          <w:szCs w:val="20"/>
        </w:rPr>
        <w:t xml:space="preserve">Uredba (EU) 2022/2554 Evropskega parlamenta in Sveta z dne 14. decembra 2022 o digitalni operativni odpornosti za finančni sektor in spremembi uredb (ES) št. 1060/2009, (EU) št. 648/2012, (EU) št. 600/2014, (EU) št. 909/2014 in (EU) 2016/1011 (UL L št. 333 z dne 27. 12. 2022, str. 1), zadnjič spremenjena z Delegirano uredbo Komisije (EU) 2025/420 z dne 16. decembra 2024 o dopolnitvi Uredbe (EU) 2022/2554 Evropskega parlamenta in Sveta v zvezi z regulativnimi tehničnimi standardi, v katerih se določijo merila za določitev sestave skupne </w:t>
      </w:r>
      <w:proofErr w:type="spellStart"/>
      <w:r w:rsidRPr="000A325A">
        <w:rPr>
          <w:rFonts w:cs="Arial"/>
          <w:szCs w:val="20"/>
        </w:rPr>
        <w:t>pregledniške</w:t>
      </w:r>
      <w:proofErr w:type="spellEnd"/>
      <w:r w:rsidRPr="000A325A">
        <w:rPr>
          <w:rFonts w:cs="Arial"/>
          <w:szCs w:val="20"/>
        </w:rPr>
        <w:t xml:space="preserve"> ekipe, ki zagotavljajo uravnoteženo udeležbo članov osebja iz evropskih nadzornih organov in ustreznih pristojnih organov, njihovo imenovanje, naloge in delovne dogovore (UL L št. 2025/420 z dne 24. 3. 2025), (v nadaljnjem besedilu: Uredba 2022/2554/EU).</w:t>
      </w:r>
    </w:p>
    <w:p w14:paraId="3136F9A8" w14:textId="77777777" w:rsidR="000A325A" w:rsidRDefault="000A325A" w:rsidP="000A325A">
      <w:pPr>
        <w:jc w:val="both"/>
        <w:rPr>
          <w:rFonts w:cs="Arial"/>
          <w:szCs w:val="20"/>
        </w:rPr>
      </w:pPr>
    </w:p>
    <w:p w14:paraId="251464CB" w14:textId="77777777" w:rsidR="000A325A" w:rsidRPr="000A325A" w:rsidRDefault="000A325A" w:rsidP="000A325A">
      <w:pPr>
        <w:jc w:val="both"/>
        <w:rPr>
          <w:rFonts w:cs="Arial"/>
          <w:szCs w:val="20"/>
        </w:rPr>
      </w:pPr>
      <w:r w:rsidRPr="000A325A">
        <w:rPr>
          <w:rFonts w:cs="Arial"/>
          <w:szCs w:val="20"/>
        </w:rPr>
        <w:t>(3) Organ, pristojen za izvajanje </w:t>
      </w:r>
      <w:r w:rsidR="00A3709B" w:rsidRPr="001C0C0C">
        <w:t>Uredbe 345/2013/EU</w:t>
      </w:r>
      <w:r w:rsidRPr="000A325A">
        <w:rPr>
          <w:rFonts w:cs="Arial"/>
          <w:szCs w:val="20"/>
        </w:rPr>
        <w:t> in </w:t>
      </w:r>
      <w:r w:rsidR="00A3709B" w:rsidRPr="001C0C0C">
        <w:t>Uredbe 346/2013/EU</w:t>
      </w:r>
      <w:r w:rsidRPr="000A325A">
        <w:rPr>
          <w:rFonts w:cs="Arial"/>
          <w:szCs w:val="20"/>
        </w:rPr>
        <w:t>, je Agencija za trg vrednostnih papirjev (v nadaljnjem besedilu: Agencija).</w:t>
      </w:r>
    </w:p>
    <w:p w14:paraId="5FCDAF59" w14:textId="77777777" w:rsidR="00D51C52" w:rsidRDefault="00D51C52" w:rsidP="00572B2F">
      <w:pPr>
        <w:jc w:val="both"/>
        <w:rPr>
          <w:rFonts w:cs="Arial"/>
          <w:szCs w:val="20"/>
        </w:rPr>
      </w:pPr>
    </w:p>
    <w:p w14:paraId="70CCDF0B" w14:textId="77777777" w:rsidR="00D51C52" w:rsidRPr="00D51C52" w:rsidRDefault="00D51C52" w:rsidP="00D51C52">
      <w:pPr>
        <w:jc w:val="center"/>
        <w:rPr>
          <w:rFonts w:cs="Arial"/>
          <w:b/>
          <w:bCs/>
          <w:szCs w:val="20"/>
        </w:rPr>
      </w:pPr>
      <w:r w:rsidRPr="00D51C52">
        <w:rPr>
          <w:rFonts w:cs="Arial"/>
          <w:b/>
          <w:bCs/>
          <w:szCs w:val="20"/>
        </w:rPr>
        <w:t>134. člen</w:t>
      </w:r>
    </w:p>
    <w:p w14:paraId="7E95908B" w14:textId="77777777" w:rsidR="00D51C52" w:rsidRPr="00D51C52" w:rsidRDefault="00D51C52" w:rsidP="00D51C52">
      <w:pPr>
        <w:jc w:val="center"/>
        <w:rPr>
          <w:rFonts w:cs="Arial"/>
          <w:b/>
          <w:bCs/>
          <w:szCs w:val="20"/>
        </w:rPr>
      </w:pPr>
      <w:r w:rsidRPr="00D51C52">
        <w:rPr>
          <w:rFonts w:cs="Arial"/>
          <w:b/>
          <w:bCs/>
          <w:szCs w:val="20"/>
        </w:rPr>
        <w:t>(obveščanje ESME o dovoljenjih za opravljanje storitev upravljanja AIS)</w:t>
      </w:r>
    </w:p>
    <w:p w14:paraId="4AD725E6" w14:textId="77777777" w:rsidR="00D51C52" w:rsidRPr="00D51C52" w:rsidRDefault="00D51C52" w:rsidP="00D51C52">
      <w:pPr>
        <w:jc w:val="both"/>
        <w:rPr>
          <w:rFonts w:cs="Arial"/>
          <w:szCs w:val="20"/>
        </w:rPr>
      </w:pPr>
      <w:r w:rsidRPr="00D51C52">
        <w:rPr>
          <w:rFonts w:cs="Arial"/>
          <w:szCs w:val="20"/>
        </w:rPr>
        <w:t>Agencija vsako četrtletje obvesti ESMO o izdanih in odvzetih dovoljenjih za opravljanje storitev upravljanja AIS ter dovoljenjih za opravljanje storitev upravljanja AIS, ki so prenehala.</w:t>
      </w:r>
    </w:p>
    <w:p w14:paraId="3AD5B6B5" w14:textId="77777777" w:rsidR="00572B2F" w:rsidRDefault="00572B2F" w:rsidP="00572B2F">
      <w:pPr>
        <w:jc w:val="both"/>
        <w:rPr>
          <w:rFonts w:cs="Arial"/>
          <w:szCs w:val="20"/>
        </w:rPr>
      </w:pPr>
    </w:p>
    <w:p w14:paraId="2F58F316" w14:textId="77777777" w:rsidR="00572B2F" w:rsidRDefault="00572B2F" w:rsidP="00572B2F">
      <w:pPr>
        <w:jc w:val="both"/>
        <w:rPr>
          <w:rFonts w:cs="Arial"/>
          <w:szCs w:val="20"/>
        </w:rPr>
      </w:pPr>
    </w:p>
    <w:p w14:paraId="0272712E" w14:textId="77777777" w:rsidR="00572B2F" w:rsidRPr="00FE1343" w:rsidRDefault="00572B2F" w:rsidP="00FE1343">
      <w:pPr>
        <w:jc w:val="both"/>
        <w:rPr>
          <w:rFonts w:cs="Arial"/>
          <w:b/>
          <w:bCs/>
          <w:szCs w:val="20"/>
        </w:rPr>
      </w:pPr>
      <w:r w:rsidRPr="00FE1343">
        <w:rPr>
          <w:rFonts w:cs="Arial"/>
          <w:b/>
          <w:bCs/>
          <w:szCs w:val="20"/>
        </w:rPr>
        <w:t>Zakon o bonitetnem nadzoru investicijskih podjetij (Uradni list RS, št. 123/21)</w:t>
      </w:r>
    </w:p>
    <w:p w14:paraId="4434938B" w14:textId="77777777" w:rsidR="00455878" w:rsidRDefault="00455878" w:rsidP="00455878">
      <w:pPr>
        <w:jc w:val="both"/>
        <w:rPr>
          <w:rFonts w:cs="Arial"/>
          <w:b/>
          <w:bCs/>
          <w:szCs w:val="20"/>
        </w:rPr>
      </w:pPr>
    </w:p>
    <w:p w14:paraId="16AC7FE8" w14:textId="77777777" w:rsidR="00CD2A86" w:rsidRPr="00CD2A86" w:rsidRDefault="00CD2A86" w:rsidP="00CD2A86">
      <w:pPr>
        <w:jc w:val="center"/>
        <w:rPr>
          <w:rFonts w:cs="Arial"/>
          <w:b/>
          <w:bCs/>
          <w:szCs w:val="20"/>
        </w:rPr>
      </w:pPr>
      <w:r w:rsidRPr="00CD2A86">
        <w:rPr>
          <w:rFonts w:cs="Arial"/>
          <w:b/>
          <w:bCs/>
          <w:szCs w:val="20"/>
        </w:rPr>
        <w:t>1. člen</w:t>
      </w:r>
    </w:p>
    <w:p w14:paraId="72B39ECD" w14:textId="77777777" w:rsidR="00CD2A86" w:rsidRPr="00CD2A86" w:rsidRDefault="00CD2A86" w:rsidP="00CD2A86">
      <w:pPr>
        <w:jc w:val="center"/>
        <w:rPr>
          <w:rFonts w:cs="Arial"/>
          <w:b/>
          <w:bCs/>
          <w:szCs w:val="20"/>
        </w:rPr>
      </w:pPr>
      <w:r w:rsidRPr="00CD2A86">
        <w:rPr>
          <w:rFonts w:cs="Arial"/>
          <w:b/>
          <w:bCs/>
          <w:szCs w:val="20"/>
        </w:rPr>
        <w:t>(vsebina zakona)</w:t>
      </w:r>
    </w:p>
    <w:p w14:paraId="6FE00F2A" w14:textId="77777777" w:rsidR="00CD2A86" w:rsidRPr="00CD2A86" w:rsidRDefault="00CD2A86" w:rsidP="00CD2A86">
      <w:pPr>
        <w:jc w:val="both"/>
        <w:rPr>
          <w:rFonts w:cs="Arial"/>
          <w:szCs w:val="20"/>
        </w:rPr>
      </w:pPr>
      <w:r w:rsidRPr="00CD2A86">
        <w:rPr>
          <w:rFonts w:cs="Arial"/>
          <w:szCs w:val="20"/>
        </w:rPr>
        <w:t>Ta zakon ureja pravila o:</w:t>
      </w:r>
    </w:p>
    <w:p w14:paraId="01B29F4B" w14:textId="77777777" w:rsidR="00CD2A86" w:rsidRPr="00CD2A86" w:rsidRDefault="00CD2A86" w:rsidP="00CD2A86">
      <w:pPr>
        <w:jc w:val="both"/>
        <w:rPr>
          <w:rFonts w:cs="Arial"/>
          <w:szCs w:val="20"/>
        </w:rPr>
      </w:pPr>
      <w:r w:rsidRPr="00CD2A86">
        <w:rPr>
          <w:rFonts w:cs="Arial"/>
          <w:szCs w:val="20"/>
        </w:rPr>
        <w:t>1.      ustanovnem kapitalu borznoposredniških družb,</w:t>
      </w:r>
    </w:p>
    <w:p w14:paraId="3C95BC6A" w14:textId="77777777" w:rsidR="00CD2A86" w:rsidRPr="00CD2A86" w:rsidRDefault="00CD2A86" w:rsidP="00CD2A86">
      <w:pPr>
        <w:jc w:val="both"/>
        <w:rPr>
          <w:rFonts w:cs="Arial"/>
          <w:szCs w:val="20"/>
        </w:rPr>
      </w:pPr>
      <w:r w:rsidRPr="00CD2A86">
        <w:rPr>
          <w:rFonts w:cs="Arial"/>
          <w:szCs w:val="20"/>
        </w:rPr>
        <w:t>2.      nadzorniških pooblastilih in orodjih za bonitetni nadzor Agencije za trg vrednostnih papirjev (v nadaljnjem besedilu: agencija) nad investicijskimi podjetji,</w:t>
      </w:r>
    </w:p>
    <w:p w14:paraId="576A02E1" w14:textId="77777777" w:rsidR="00CD2A86" w:rsidRPr="00CD2A86" w:rsidRDefault="00CD2A86" w:rsidP="00CD2A86">
      <w:pPr>
        <w:jc w:val="both"/>
        <w:rPr>
          <w:rFonts w:cs="Arial"/>
          <w:szCs w:val="20"/>
        </w:rPr>
      </w:pPr>
      <w:r w:rsidRPr="00CD2A86">
        <w:rPr>
          <w:rFonts w:cs="Arial"/>
          <w:szCs w:val="20"/>
        </w:rPr>
        <w:t>3.      bonitetnem nadzoru agencije nad investicijskimi podjetji v skladu s pravili iz Uredbe (EU) 2019/2033 Evropskega parlamenta in Sveta z dne 27. novembra 2019 o bonitetnih zahtevah za investicijska podjetja ter o spremembi uredb (EU) št. 1093/2010, (EU) št. 575/2013, (EU) št. 600/2014 in (EU) št. 806/2014 (UL L št. 314 z dne 5. 12. 2019, str. 1), zadnjič popravljene s Popravkom (UL L št. 405 z dne 2. 12. 2020, str. 79), (v nadaljnjem besedilu: Uredba 2019/2033/EU), in</w:t>
      </w:r>
    </w:p>
    <w:p w14:paraId="18FD5073" w14:textId="77777777" w:rsidR="00CD2A86" w:rsidRPr="00CD2A86" w:rsidRDefault="00CD2A86" w:rsidP="00CD2A86">
      <w:pPr>
        <w:jc w:val="both"/>
        <w:rPr>
          <w:rFonts w:cs="Arial"/>
          <w:szCs w:val="20"/>
        </w:rPr>
      </w:pPr>
      <w:r w:rsidRPr="00CD2A86">
        <w:rPr>
          <w:rFonts w:cs="Arial"/>
          <w:szCs w:val="20"/>
        </w:rPr>
        <w:t>4.      obveznostih agencije glede objav s področja bonitetne ureditve in nadzora investicijskih podjetij.</w:t>
      </w:r>
    </w:p>
    <w:p w14:paraId="08A573CF" w14:textId="77777777" w:rsidR="00CD2A86" w:rsidRDefault="00CD2A86" w:rsidP="001C0C0C">
      <w:pPr>
        <w:jc w:val="center"/>
        <w:rPr>
          <w:rFonts w:cs="Arial"/>
          <w:b/>
          <w:bCs/>
          <w:szCs w:val="20"/>
        </w:rPr>
      </w:pPr>
    </w:p>
    <w:p w14:paraId="300D10D7" w14:textId="248475BC" w:rsidR="00455878" w:rsidRPr="00455878" w:rsidRDefault="00455878" w:rsidP="001C0C0C">
      <w:pPr>
        <w:jc w:val="center"/>
        <w:rPr>
          <w:rFonts w:cs="Arial"/>
          <w:b/>
          <w:bCs/>
          <w:szCs w:val="20"/>
        </w:rPr>
      </w:pPr>
      <w:r w:rsidRPr="00455878">
        <w:rPr>
          <w:rFonts w:cs="Arial"/>
          <w:b/>
          <w:bCs/>
          <w:szCs w:val="20"/>
        </w:rPr>
        <w:t>3. člen</w:t>
      </w:r>
    </w:p>
    <w:p w14:paraId="004BDDAE" w14:textId="77777777" w:rsidR="00455878" w:rsidRPr="00455878" w:rsidRDefault="00455878" w:rsidP="001C0C0C">
      <w:pPr>
        <w:jc w:val="center"/>
        <w:rPr>
          <w:rFonts w:cs="Arial"/>
          <w:b/>
          <w:bCs/>
          <w:szCs w:val="20"/>
        </w:rPr>
      </w:pPr>
      <w:r w:rsidRPr="00455878">
        <w:rPr>
          <w:rFonts w:cs="Arial"/>
          <w:b/>
          <w:bCs/>
          <w:szCs w:val="20"/>
        </w:rPr>
        <w:t>(prenos in izvajanje predpisov Evropske unije)</w:t>
      </w:r>
    </w:p>
    <w:p w14:paraId="7983F9F4" w14:textId="77777777" w:rsidR="00455878" w:rsidRPr="00455878" w:rsidRDefault="00455878" w:rsidP="00455878">
      <w:pPr>
        <w:jc w:val="both"/>
        <w:rPr>
          <w:rFonts w:cs="Arial"/>
          <w:szCs w:val="20"/>
        </w:rPr>
      </w:pPr>
      <w:r w:rsidRPr="00455878">
        <w:rPr>
          <w:rFonts w:cs="Arial"/>
          <w:szCs w:val="20"/>
        </w:rPr>
        <w:t>(1) S tem zakonom se v pravni red Republike Slovenije prenaša Direktiva (EU) 2019/2034 Evropskega parlamenta in Sveta z dne 27. novembra 2019 o bonitetnem nadzoru investicijskih podjetij ter o spremembi direktiv 2002/87/ES, 2009/65/ES, 2011/61/EU, 2013/36/EU, 2014/59/EU in 2014/65/EU (UL L št. 314 z dne 5. 12. 2019, str. 64), zadnjič popravljena s Popravkom (UL L št. 405 z dne 2. 12. 2020, str. 84), (v nadaljnjem besedilu: Direktiva 2019/2034/EU).</w:t>
      </w:r>
    </w:p>
    <w:p w14:paraId="57190A1D" w14:textId="77777777" w:rsidR="00455878" w:rsidRPr="00455878" w:rsidRDefault="00455878" w:rsidP="00455878">
      <w:pPr>
        <w:jc w:val="both"/>
        <w:rPr>
          <w:rFonts w:cs="Arial"/>
          <w:szCs w:val="20"/>
        </w:rPr>
      </w:pPr>
      <w:r w:rsidRPr="00455878">
        <w:rPr>
          <w:rFonts w:cs="Arial"/>
          <w:szCs w:val="20"/>
        </w:rPr>
        <w:t>(2) S tem zakonom se podrobneje ureja izvajanje Uredbe 2019/2033/EU.</w:t>
      </w:r>
    </w:p>
    <w:p w14:paraId="76A5E827" w14:textId="77777777" w:rsidR="00455878" w:rsidRDefault="00455878" w:rsidP="00572B2F">
      <w:pPr>
        <w:jc w:val="both"/>
        <w:rPr>
          <w:rFonts w:cs="Arial"/>
          <w:szCs w:val="20"/>
        </w:rPr>
      </w:pPr>
    </w:p>
    <w:p w14:paraId="55C81667" w14:textId="77777777" w:rsidR="00455878" w:rsidRPr="00455878" w:rsidRDefault="00455878" w:rsidP="001C0C0C">
      <w:pPr>
        <w:jc w:val="center"/>
        <w:rPr>
          <w:rFonts w:cs="Arial"/>
          <w:b/>
          <w:bCs/>
          <w:szCs w:val="20"/>
        </w:rPr>
      </w:pPr>
      <w:r w:rsidRPr="00455878">
        <w:rPr>
          <w:rFonts w:cs="Arial"/>
          <w:b/>
          <w:bCs/>
          <w:szCs w:val="20"/>
        </w:rPr>
        <w:t>21. člen</w:t>
      </w:r>
    </w:p>
    <w:p w14:paraId="78105F88" w14:textId="77777777" w:rsidR="00455878" w:rsidRPr="00455878" w:rsidRDefault="00455878" w:rsidP="001C0C0C">
      <w:pPr>
        <w:jc w:val="center"/>
        <w:rPr>
          <w:rFonts w:cs="Arial"/>
          <w:b/>
          <w:bCs/>
          <w:szCs w:val="20"/>
        </w:rPr>
      </w:pPr>
      <w:r w:rsidRPr="00455878">
        <w:rPr>
          <w:rFonts w:cs="Arial"/>
          <w:b/>
          <w:bCs/>
          <w:szCs w:val="20"/>
        </w:rPr>
        <w:t>(objava nadzornih ukrepov)</w:t>
      </w:r>
    </w:p>
    <w:p w14:paraId="272DD6C0" w14:textId="77777777" w:rsidR="00455878" w:rsidRPr="00455878" w:rsidRDefault="00455878" w:rsidP="00455878">
      <w:pPr>
        <w:jc w:val="both"/>
        <w:rPr>
          <w:rFonts w:cs="Arial"/>
          <w:szCs w:val="20"/>
        </w:rPr>
      </w:pPr>
      <w:r w:rsidRPr="00455878">
        <w:rPr>
          <w:rFonts w:cs="Arial"/>
          <w:szCs w:val="20"/>
        </w:rPr>
        <w:t>(1) Agencija na svoji spletni strani brez nepotrebnega odlašanja objavi informacije o nadzornih ukrepih in sankcijah za prekršek, izrečenih v skladu z 19. in 74. do 77. členom tega zakona, ki so dokončni (upravne odločbe) oziroma pravnomočni (prekrški). Pri tem agencija objavi tudi informacije o vrsti in naravi kršitve ter identiteti fizične ali pravne osebe (identifikacija pravne osebe vsebuje tudi identifikator LEI), ki se ji izreče sankcija ali v zvezi s katero se sprejme nadzorni ukrep. Informacije se objavijo po tem, ko je bila ta oseba obveščena o teh nadzornih ukrepih ali sankcijah, in če je taka objava potrebna in sorazmerna.</w:t>
      </w:r>
    </w:p>
    <w:p w14:paraId="24943E6C" w14:textId="77777777" w:rsidR="00455878" w:rsidRPr="00455878" w:rsidRDefault="00455878" w:rsidP="00455878">
      <w:pPr>
        <w:jc w:val="both"/>
        <w:rPr>
          <w:rFonts w:cs="Arial"/>
          <w:szCs w:val="20"/>
        </w:rPr>
      </w:pPr>
      <w:r w:rsidRPr="00455878">
        <w:rPr>
          <w:rFonts w:cs="Arial"/>
          <w:szCs w:val="20"/>
        </w:rPr>
        <w:t>(2) Informacije o nadzornih ukrepih in sankcijah za prekršek, izrečenih v skladu z 19. in 74. do 77. členom tega zakona, ne vključujejo informacije o identiteti kršitelja v katerem koli od naslednjih primerov:</w:t>
      </w:r>
    </w:p>
    <w:p w14:paraId="662B7153" w14:textId="77777777" w:rsidR="00455878" w:rsidRPr="00455878" w:rsidRDefault="00455878" w:rsidP="00455878">
      <w:pPr>
        <w:jc w:val="both"/>
        <w:rPr>
          <w:rFonts w:cs="Arial"/>
          <w:szCs w:val="20"/>
        </w:rPr>
      </w:pPr>
      <w:r w:rsidRPr="00455878">
        <w:rPr>
          <w:rFonts w:cs="Arial"/>
          <w:szCs w:val="20"/>
        </w:rPr>
        <w:t>1.      kadar se nadzorni ukrep ali sankcija za prekršek naloži fizični osebi in se ugotovi, da objava osebnih podatkov te osebe ne bi bila sorazmerna s težo kršitve;</w:t>
      </w:r>
    </w:p>
    <w:p w14:paraId="2BA770EB" w14:textId="77777777" w:rsidR="00455878" w:rsidRPr="00455878" w:rsidRDefault="00455878" w:rsidP="00455878">
      <w:pPr>
        <w:jc w:val="both"/>
        <w:rPr>
          <w:rFonts w:cs="Arial"/>
          <w:szCs w:val="20"/>
        </w:rPr>
      </w:pPr>
      <w:r w:rsidRPr="00455878">
        <w:rPr>
          <w:rFonts w:cs="Arial"/>
          <w:szCs w:val="20"/>
        </w:rPr>
        <w:t>2.      kadar bi objava ogrozila stabilnost finančnih trgov oziroma bi ogrozila interese uspešne izvedbe predkazenskega ali kazenskega postopka;</w:t>
      </w:r>
    </w:p>
    <w:p w14:paraId="51A3B333" w14:textId="77777777" w:rsidR="00455878" w:rsidRPr="00455878" w:rsidRDefault="00455878" w:rsidP="00455878">
      <w:pPr>
        <w:jc w:val="both"/>
        <w:rPr>
          <w:rFonts w:cs="Arial"/>
          <w:szCs w:val="20"/>
        </w:rPr>
      </w:pPr>
      <w:r w:rsidRPr="00455878">
        <w:rPr>
          <w:rFonts w:cs="Arial"/>
          <w:szCs w:val="20"/>
        </w:rPr>
        <w:t>3.      kadar bi objava povzročila nesorazmerno škodo vpletenim investicijskim podjetjem ali fizičnim osebam.</w:t>
      </w:r>
    </w:p>
    <w:p w14:paraId="101E7E7A" w14:textId="77777777" w:rsidR="00455878" w:rsidRPr="00455878" w:rsidRDefault="00455878" w:rsidP="00455878">
      <w:pPr>
        <w:jc w:val="both"/>
        <w:rPr>
          <w:rFonts w:cs="Arial"/>
          <w:szCs w:val="20"/>
        </w:rPr>
      </w:pPr>
      <w:r w:rsidRPr="00455878">
        <w:rPr>
          <w:rFonts w:cs="Arial"/>
          <w:szCs w:val="20"/>
        </w:rPr>
        <w:t>(3) Če agencija ob izdaji odločbe oceni, da so v zvezi z objavo identitete kršitelja podani razlogi iz prejšnjega odstavka, hkrati z izdajo odločbe, s katero izreče ukrepe nadzora, odloči tudi, da se identiteta kršitelja ne objavi. Za oceno, ali je podan razlog iz 2. točke prejšnjega odstavka, ki se nanaša na interese uspešne izvedbe predkazenskega ali kazenskega postopka, agencija, če je s predkazenskim ali kazenskim postopkom seznanjena, predhodno pridobi mnenje pristojnega državnega tožilca, ki agencijo pri oceni zavezuje.</w:t>
      </w:r>
    </w:p>
    <w:p w14:paraId="7CE6C4B7" w14:textId="77777777" w:rsidR="00455878" w:rsidRPr="00455878" w:rsidRDefault="00455878" w:rsidP="00455878">
      <w:pPr>
        <w:jc w:val="both"/>
        <w:rPr>
          <w:rFonts w:cs="Arial"/>
          <w:szCs w:val="20"/>
        </w:rPr>
      </w:pPr>
      <w:r w:rsidRPr="00455878">
        <w:rPr>
          <w:rFonts w:cs="Arial"/>
          <w:szCs w:val="20"/>
        </w:rPr>
        <w:t>(4) Informacije, objavljene v skladu s tem členom, ostanejo javno dostopne na spletni strani agencije najmanj pet let po njihovi objavi. Podatki, ki v skladu s predpisi, ki urejajo varstvo osebnih podatkov, veljajo za osebne podatke, se obravnavajo v skladu s predpisi, ki urejajo varstvo osebnih podatkov.</w:t>
      </w:r>
    </w:p>
    <w:p w14:paraId="3C159BBD" w14:textId="77777777" w:rsidR="00455878" w:rsidRDefault="00455878" w:rsidP="00572B2F">
      <w:pPr>
        <w:jc w:val="both"/>
        <w:rPr>
          <w:rFonts w:cs="Arial"/>
          <w:szCs w:val="20"/>
        </w:rPr>
      </w:pPr>
    </w:p>
    <w:p w14:paraId="240473DC" w14:textId="77777777" w:rsidR="00455878" w:rsidRPr="00455878" w:rsidRDefault="00455878" w:rsidP="001C0C0C">
      <w:pPr>
        <w:jc w:val="center"/>
        <w:rPr>
          <w:rFonts w:cs="Arial"/>
          <w:b/>
          <w:bCs/>
          <w:szCs w:val="20"/>
        </w:rPr>
      </w:pPr>
      <w:r w:rsidRPr="00455878">
        <w:rPr>
          <w:rFonts w:cs="Arial"/>
          <w:b/>
          <w:bCs/>
          <w:szCs w:val="20"/>
        </w:rPr>
        <w:t>60. člen</w:t>
      </w:r>
    </w:p>
    <w:p w14:paraId="59DD7C5D" w14:textId="77777777" w:rsidR="00455878" w:rsidRPr="00455878" w:rsidRDefault="00455878" w:rsidP="001C0C0C">
      <w:pPr>
        <w:jc w:val="center"/>
        <w:rPr>
          <w:rFonts w:cs="Arial"/>
          <w:b/>
          <w:bCs/>
          <w:szCs w:val="20"/>
        </w:rPr>
      </w:pPr>
      <w:r w:rsidRPr="00455878">
        <w:rPr>
          <w:rFonts w:cs="Arial"/>
          <w:b/>
          <w:bCs/>
          <w:szCs w:val="20"/>
        </w:rPr>
        <w:t>(zahteve glede objave)</w:t>
      </w:r>
    </w:p>
    <w:p w14:paraId="20F8D387" w14:textId="77777777" w:rsidR="00455878" w:rsidRPr="00455878" w:rsidRDefault="00455878" w:rsidP="00455878">
      <w:pPr>
        <w:jc w:val="both"/>
        <w:rPr>
          <w:rFonts w:cs="Arial"/>
          <w:szCs w:val="20"/>
        </w:rPr>
      </w:pPr>
      <w:r w:rsidRPr="00455878">
        <w:rPr>
          <w:rFonts w:cs="Arial"/>
          <w:szCs w:val="20"/>
        </w:rPr>
        <w:t>Agencija lahko:</w:t>
      </w:r>
    </w:p>
    <w:p w14:paraId="04D7B06C" w14:textId="77777777" w:rsidR="00455878" w:rsidRPr="00455878" w:rsidRDefault="00455878" w:rsidP="00455878">
      <w:pPr>
        <w:jc w:val="both"/>
        <w:rPr>
          <w:rFonts w:cs="Arial"/>
          <w:szCs w:val="20"/>
        </w:rPr>
      </w:pPr>
      <w:r w:rsidRPr="00455878">
        <w:rPr>
          <w:rFonts w:cs="Arial"/>
          <w:szCs w:val="20"/>
        </w:rPr>
        <w:t>1.      od borznoposredniške družbe, ki ne izpolnjuje pogojev za uvrstitev med mala in nepovezana investicijska podjetja iz prvega odstavka 12. člena Uredbe 2019/2033/EU, ter borznoposredniške družbe iz drugega odstavka 46. člena Uredbe 2019/2033/EU zahteva, da več kot enkrat na leto objavita informacije iz 46. člena te uredbe, in določi roke za to objavo;</w:t>
      </w:r>
    </w:p>
    <w:p w14:paraId="6197D28F" w14:textId="77777777" w:rsidR="00455878" w:rsidRPr="00455878" w:rsidRDefault="00455878" w:rsidP="00455878">
      <w:pPr>
        <w:jc w:val="both"/>
        <w:rPr>
          <w:rFonts w:cs="Arial"/>
          <w:szCs w:val="20"/>
        </w:rPr>
      </w:pPr>
      <w:r w:rsidRPr="00455878">
        <w:rPr>
          <w:rFonts w:cs="Arial"/>
          <w:szCs w:val="20"/>
        </w:rPr>
        <w:t>2.      od borznoposredniške družbe, ki ne izpolnjuje pogojev za uvrstitev med mala in nepovezana investicijska podjetja iz prvega odstavka 12. člena Uredbe 2019/2033/EU, ter borznoposredniške družbe iz drugega odstavka 46. člena Uredbe 2019/2033/EU zahteva, da za objave, ki niso računovodski izkazi, uporabita posebne medije in lokacije, zlasti spletno mesto borznoposredniške družbe;</w:t>
      </w:r>
    </w:p>
    <w:p w14:paraId="1875A20D" w14:textId="77777777" w:rsidR="00455878" w:rsidRPr="00455878" w:rsidRDefault="00455878" w:rsidP="00455878">
      <w:pPr>
        <w:jc w:val="both"/>
        <w:rPr>
          <w:rFonts w:cs="Arial"/>
          <w:szCs w:val="20"/>
        </w:rPr>
      </w:pPr>
      <w:r w:rsidRPr="00455878">
        <w:rPr>
          <w:rFonts w:cs="Arial"/>
          <w:szCs w:val="20"/>
        </w:rPr>
        <w:lastRenderedPageBreak/>
        <w:t>3.      od obvladujočega podjetja zahteva, da vsako leto v celoti ali s sklici na enakovredne informacije objavi opis svoje pravne strukture ter strukture upravljanja in organizacijske strukture skupine investicijskih podjetij v skladu s prvim odstavkom 28. člena tega zakona in 182. členom ZTFI-1.</w:t>
      </w:r>
    </w:p>
    <w:p w14:paraId="73D687FD" w14:textId="77777777" w:rsidR="00455878" w:rsidRDefault="00455878" w:rsidP="00572B2F">
      <w:pPr>
        <w:jc w:val="both"/>
        <w:rPr>
          <w:rFonts w:cs="Arial"/>
          <w:szCs w:val="20"/>
        </w:rPr>
      </w:pPr>
    </w:p>
    <w:p w14:paraId="082BE8C1" w14:textId="77777777" w:rsidR="00455878" w:rsidRPr="00455878" w:rsidRDefault="00455878" w:rsidP="001C0C0C">
      <w:pPr>
        <w:jc w:val="center"/>
        <w:rPr>
          <w:rFonts w:cs="Arial"/>
          <w:b/>
          <w:bCs/>
          <w:szCs w:val="20"/>
        </w:rPr>
      </w:pPr>
      <w:r w:rsidRPr="00455878">
        <w:rPr>
          <w:rFonts w:cs="Arial"/>
          <w:b/>
          <w:bCs/>
          <w:szCs w:val="20"/>
        </w:rPr>
        <w:t>74. člen</w:t>
      </w:r>
    </w:p>
    <w:p w14:paraId="178CE0B3" w14:textId="77777777" w:rsidR="00455878" w:rsidRPr="00455878" w:rsidRDefault="00455878" w:rsidP="001C0C0C">
      <w:pPr>
        <w:jc w:val="center"/>
        <w:rPr>
          <w:rFonts w:cs="Arial"/>
          <w:b/>
          <w:bCs/>
          <w:szCs w:val="20"/>
        </w:rPr>
      </w:pPr>
      <w:r w:rsidRPr="00455878">
        <w:rPr>
          <w:rFonts w:cs="Arial"/>
          <w:b/>
          <w:bCs/>
          <w:szCs w:val="20"/>
        </w:rPr>
        <w:t>(globa za kršitev borznoposredniške družbe)</w:t>
      </w:r>
    </w:p>
    <w:p w14:paraId="1294E96E" w14:textId="77777777" w:rsidR="00455878" w:rsidRPr="00455878" w:rsidRDefault="00455878" w:rsidP="00455878">
      <w:pPr>
        <w:jc w:val="both"/>
        <w:rPr>
          <w:rFonts w:cs="Arial"/>
          <w:szCs w:val="20"/>
        </w:rPr>
      </w:pPr>
      <w:r w:rsidRPr="00455878">
        <w:rPr>
          <w:rFonts w:cs="Arial"/>
          <w:szCs w:val="20"/>
        </w:rPr>
        <w:t>(1) Z globo od 12.500 do 250.000 eurov se za prekršek kaznuje borznoposredniška družba, ki:</w:t>
      </w:r>
    </w:p>
    <w:p w14:paraId="75CBCF7D" w14:textId="77777777" w:rsidR="00455878" w:rsidRPr="00455878" w:rsidRDefault="00455878" w:rsidP="00455878">
      <w:pPr>
        <w:jc w:val="both"/>
        <w:rPr>
          <w:rFonts w:cs="Arial"/>
          <w:szCs w:val="20"/>
        </w:rPr>
      </w:pPr>
      <w:r w:rsidRPr="00455878">
        <w:rPr>
          <w:rFonts w:cs="Arial"/>
          <w:szCs w:val="20"/>
        </w:rPr>
        <w:t>1.      agenciji ne predloži dokumentacije, zahtevane na podlagi 1. točke drugega odstavka 20. člena tega zakona;</w:t>
      </w:r>
    </w:p>
    <w:p w14:paraId="26E3E6E6" w14:textId="77777777" w:rsidR="00455878" w:rsidRPr="00455878" w:rsidRDefault="00455878" w:rsidP="00455878">
      <w:pPr>
        <w:jc w:val="both"/>
        <w:rPr>
          <w:rFonts w:cs="Arial"/>
          <w:szCs w:val="20"/>
        </w:rPr>
      </w:pPr>
      <w:r w:rsidRPr="00455878">
        <w:rPr>
          <w:rFonts w:cs="Arial"/>
          <w:szCs w:val="20"/>
        </w:rPr>
        <w:t>2.      pooblaščeni osebi agencije ne omogoči pregleda ali ovira izvajanje njegovih nalog in pooblastil, kakor je določeno v 20. členu tega zakona;</w:t>
      </w:r>
    </w:p>
    <w:p w14:paraId="101DBC08" w14:textId="77777777" w:rsidR="00455878" w:rsidRPr="00455878" w:rsidRDefault="00455878" w:rsidP="00455878">
      <w:pPr>
        <w:jc w:val="both"/>
        <w:rPr>
          <w:rFonts w:cs="Arial"/>
          <w:szCs w:val="20"/>
        </w:rPr>
      </w:pPr>
      <w:r w:rsidRPr="00455878">
        <w:rPr>
          <w:rFonts w:cs="Arial"/>
          <w:szCs w:val="20"/>
        </w:rPr>
        <w:t>3.      nima vzpostavljenih ureditev notranjega upravljanja, kot je določeno v 28. členu tega zakona;</w:t>
      </w:r>
    </w:p>
    <w:p w14:paraId="5FC33467" w14:textId="77777777" w:rsidR="00455878" w:rsidRPr="00455878" w:rsidRDefault="00455878" w:rsidP="00455878">
      <w:pPr>
        <w:jc w:val="both"/>
        <w:rPr>
          <w:rFonts w:cs="Arial"/>
          <w:szCs w:val="20"/>
        </w:rPr>
      </w:pPr>
      <w:r w:rsidRPr="00455878">
        <w:rPr>
          <w:rFonts w:cs="Arial"/>
          <w:szCs w:val="20"/>
        </w:rPr>
        <w:t>4.      agenciji ne sporoča informacij glede skladnosti z obveznostjo izpolnjevanja kapitalskih zahtev iz 11. člena Uredbe 2019/2033/EU ali zagotavlja nepopolne ali nepravilne informacije, kar pomeni kršitev točke b prvega odstavka 54. člena Uredbe 2019/2033/EU;</w:t>
      </w:r>
    </w:p>
    <w:p w14:paraId="5EBE47C8" w14:textId="77777777" w:rsidR="00455878" w:rsidRPr="00455878" w:rsidRDefault="00455878" w:rsidP="00455878">
      <w:pPr>
        <w:jc w:val="both"/>
        <w:rPr>
          <w:rFonts w:cs="Arial"/>
          <w:szCs w:val="20"/>
        </w:rPr>
      </w:pPr>
      <w:r w:rsidRPr="00455878">
        <w:rPr>
          <w:rFonts w:cs="Arial"/>
          <w:szCs w:val="20"/>
        </w:rPr>
        <w:t>5.      agenciji ne sporoča informacij o tveganju koncentracije ali zagotavlja nepopolne ali nepravilne informacije, kar pomeni kršitev točke e prvega odstavka 54. člena Uredbe 2019/2033/EU;</w:t>
      </w:r>
    </w:p>
    <w:p w14:paraId="44D4A0DE" w14:textId="77777777" w:rsidR="00455878" w:rsidRPr="00455878" w:rsidRDefault="00455878" w:rsidP="00455878">
      <w:pPr>
        <w:jc w:val="both"/>
        <w:rPr>
          <w:rFonts w:cs="Arial"/>
          <w:szCs w:val="20"/>
        </w:rPr>
      </w:pPr>
      <w:r w:rsidRPr="00455878">
        <w:rPr>
          <w:rFonts w:cs="Arial"/>
          <w:szCs w:val="20"/>
        </w:rPr>
        <w:t>6.      se ne glede na določbe 38. in 39. člena Uredbe 2019/2033/EU izpostavi tveganju koncentracije, ki presega omejitve iz 37. člena Uredbe 2019/2033/EU;</w:t>
      </w:r>
    </w:p>
    <w:p w14:paraId="2C2C3CFE" w14:textId="77777777" w:rsidR="00455878" w:rsidRPr="00455878" w:rsidRDefault="00455878" w:rsidP="00455878">
      <w:pPr>
        <w:jc w:val="both"/>
        <w:rPr>
          <w:rFonts w:cs="Arial"/>
          <w:szCs w:val="20"/>
        </w:rPr>
      </w:pPr>
      <w:r w:rsidRPr="00455878">
        <w:rPr>
          <w:rFonts w:cs="Arial"/>
          <w:szCs w:val="20"/>
        </w:rPr>
        <w:t>7.      ne glede na določbo 44. člena Uredbe 2019/2033/EU večkrat ali nenehno ne razpolaga z likvidnimi sredstvi, kar pomeni kršitev 43. člena Uredbe 2019/2033/EU;</w:t>
      </w:r>
    </w:p>
    <w:p w14:paraId="382C95AB" w14:textId="77777777" w:rsidR="00455878" w:rsidRPr="00455878" w:rsidRDefault="00455878" w:rsidP="00455878">
      <w:pPr>
        <w:jc w:val="both"/>
        <w:rPr>
          <w:rFonts w:cs="Arial"/>
          <w:szCs w:val="20"/>
        </w:rPr>
      </w:pPr>
      <w:r w:rsidRPr="00455878">
        <w:rPr>
          <w:rFonts w:cs="Arial"/>
          <w:szCs w:val="20"/>
        </w:rPr>
        <w:t>8.      ne razkrije informacij ali zagotavlja nepopolne ali nepravilne informacije, kar pomeni kršitev določb 6. dela Uredbe 2019/2033/EU;</w:t>
      </w:r>
    </w:p>
    <w:p w14:paraId="2176A035" w14:textId="77777777" w:rsidR="00455878" w:rsidRPr="00455878" w:rsidRDefault="00455878" w:rsidP="00455878">
      <w:pPr>
        <w:jc w:val="both"/>
        <w:rPr>
          <w:rFonts w:cs="Arial"/>
          <w:szCs w:val="20"/>
        </w:rPr>
      </w:pPr>
      <w:r w:rsidRPr="00455878">
        <w:rPr>
          <w:rFonts w:cs="Arial"/>
          <w:szCs w:val="20"/>
        </w:rPr>
        <w:t>9.      izvede plačila imetnikom instrumentov, vključenih v kapital borznoposredniške družbe, kadar so taka plačila imetnikom instrumentov, vključenih v kapital, prepovedana na podlagi 28., 52. ali 63. člena Uredbe 575/2013/EU.</w:t>
      </w:r>
    </w:p>
    <w:p w14:paraId="5EECD7FC" w14:textId="77777777" w:rsidR="00455878" w:rsidRPr="00455878" w:rsidRDefault="00455878" w:rsidP="00455878">
      <w:pPr>
        <w:jc w:val="both"/>
        <w:rPr>
          <w:rFonts w:cs="Arial"/>
          <w:szCs w:val="20"/>
        </w:rPr>
      </w:pPr>
      <w:r w:rsidRPr="00455878">
        <w:rPr>
          <w:rFonts w:cs="Arial"/>
          <w:szCs w:val="20"/>
        </w:rPr>
        <w:t>(2) Borznoposredniška družba, ki se po ZGD-1 šteje za srednjo ali veliko gospodarsko družbo, se za prekršek iz prejšnjega odstavka kaznuje z globo od 25.000 do 500.000 eurov.</w:t>
      </w:r>
    </w:p>
    <w:p w14:paraId="3F26CA5E" w14:textId="77777777" w:rsidR="00455878" w:rsidRPr="00455878" w:rsidRDefault="00455878" w:rsidP="00455878">
      <w:pPr>
        <w:jc w:val="both"/>
        <w:rPr>
          <w:rFonts w:cs="Arial"/>
          <w:szCs w:val="20"/>
        </w:rPr>
      </w:pPr>
      <w:r w:rsidRPr="00455878">
        <w:rPr>
          <w:rFonts w:cs="Arial"/>
          <w:szCs w:val="20"/>
        </w:rPr>
        <w:t>(3) Če je narava storjenega prekrška iz prvega odstavka tega člena posebno huda zaradi višine povzročene škode oziroma višine pridobljene protipravne premoženjske koristi ali zaradi storilčevega naklepa oziroma njegovega namena koristoljubnosti, se borznoposredniška družba kaznuje z globo v višini do:</w:t>
      </w:r>
    </w:p>
    <w:p w14:paraId="4E2E6099" w14:textId="77777777" w:rsidR="00455878" w:rsidRPr="00455878" w:rsidRDefault="00455878" w:rsidP="00455878">
      <w:pPr>
        <w:jc w:val="both"/>
        <w:rPr>
          <w:rFonts w:cs="Arial"/>
          <w:szCs w:val="20"/>
        </w:rPr>
      </w:pPr>
      <w:r w:rsidRPr="00455878">
        <w:rPr>
          <w:rFonts w:cs="Arial"/>
          <w:szCs w:val="20"/>
        </w:rPr>
        <w:t>1.      10 % skupnega letnega prometa, vključno z bruto dohodkom borznoposredniške družbe v predhodnem poslovnem letu v obliki prihodkov iz obresti in podobnih prihodkov, prihodkov iz delnic in drugih vrednostnih papirjev s spremenljivim ali stalnim donosom ter prejetih provizij ali opravnin glede na zadnje razpoložljive letne računovodske izkaze, ki jih je odobril pristojni organ borznoposredniške družbe, oziroma skupnega letnega prometa ali ustrezne vrste prihodka, ki izhaja iz zadnje razpoložljive konsolidirane bilance, ki jo je odobril pristojni organ matične družbe, če borznoposredniška družba pripravi konsolidirane računovodske izkaze na podlagi ZGD-1; ali</w:t>
      </w:r>
    </w:p>
    <w:p w14:paraId="643CAF5D" w14:textId="77777777" w:rsidR="00455878" w:rsidRPr="00455878" w:rsidRDefault="00455878" w:rsidP="00455878">
      <w:pPr>
        <w:jc w:val="both"/>
        <w:rPr>
          <w:rFonts w:cs="Arial"/>
          <w:szCs w:val="20"/>
        </w:rPr>
      </w:pPr>
      <w:r w:rsidRPr="00455878">
        <w:rPr>
          <w:rFonts w:cs="Arial"/>
          <w:szCs w:val="20"/>
        </w:rPr>
        <w:t>2.      dvakratnega zneska dobička, pridobljenega s kršitvijo, ali izgube, preprečene s kršitvijo, kadar ju je mogoče opredeliti, če ta znesek presega znesek iz prejšnje točke.</w:t>
      </w:r>
    </w:p>
    <w:p w14:paraId="07205E34" w14:textId="77777777" w:rsidR="00455878" w:rsidRPr="00455878" w:rsidRDefault="00455878" w:rsidP="00455878">
      <w:pPr>
        <w:jc w:val="both"/>
        <w:rPr>
          <w:rFonts w:cs="Arial"/>
          <w:szCs w:val="20"/>
        </w:rPr>
      </w:pPr>
      <w:r w:rsidRPr="00455878">
        <w:rPr>
          <w:rFonts w:cs="Arial"/>
          <w:szCs w:val="20"/>
        </w:rPr>
        <w:t>(4) Kadar je borznoposredniška družba iz 1. točke prejšnjega odstavka odvisno podjetje, je ta bruto dohodek, določen na podlagi konsolidiranih računovodskih izkazov končnega obvladujočega podjetja v predhodnem poslovnem letu.</w:t>
      </w:r>
    </w:p>
    <w:p w14:paraId="7FCA9514" w14:textId="77777777" w:rsidR="00455878" w:rsidRPr="00455878" w:rsidRDefault="00455878" w:rsidP="00455878">
      <w:pPr>
        <w:jc w:val="both"/>
        <w:rPr>
          <w:rFonts w:cs="Arial"/>
          <w:szCs w:val="20"/>
        </w:rPr>
      </w:pPr>
      <w:r w:rsidRPr="00455878">
        <w:rPr>
          <w:rFonts w:cs="Arial"/>
          <w:szCs w:val="20"/>
        </w:rPr>
        <w:t>(5) Član upravljalnega organa borznoposredniške družbe se za prekršek iz prvega odstavka tega člena kaznuje z globo od 2.500 do 10.000 eurov.</w:t>
      </w:r>
    </w:p>
    <w:p w14:paraId="19C61635" w14:textId="77777777" w:rsidR="00455878" w:rsidRPr="00455878" w:rsidRDefault="00455878" w:rsidP="00455878">
      <w:pPr>
        <w:jc w:val="both"/>
        <w:rPr>
          <w:rFonts w:cs="Arial"/>
          <w:szCs w:val="20"/>
        </w:rPr>
      </w:pPr>
      <w:r w:rsidRPr="00455878">
        <w:rPr>
          <w:rFonts w:cs="Arial"/>
          <w:szCs w:val="20"/>
        </w:rPr>
        <w:t xml:space="preserve">(6) Če je narava storjenega prekrška iz prejšnjega odstavka posebno huda zaradi višine povzročene škode oziroma višine pridobljene protipravne premoženjske koristi ali zaradi </w:t>
      </w:r>
      <w:r w:rsidRPr="00455878">
        <w:rPr>
          <w:rFonts w:cs="Arial"/>
          <w:szCs w:val="20"/>
        </w:rPr>
        <w:lastRenderedPageBreak/>
        <w:t>storilčevega naklepa oziroma njegovega namena koristoljubnosti, se član upravljalnega organa kaznuje z globo do 5.000.000 eurov.</w:t>
      </w:r>
    </w:p>
    <w:p w14:paraId="5F4E9F22" w14:textId="77777777" w:rsidR="00455878" w:rsidRPr="00455878" w:rsidRDefault="00455878" w:rsidP="00455878">
      <w:pPr>
        <w:jc w:val="both"/>
        <w:rPr>
          <w:rFonts w:cs="Arial"/>
          <w:szCs w:val="20"/>
        </w:rPr>
      </w:pPr>
      <w:r w:rsidRPr="00455878">
        <w:rPr>
          <w:rFonts w:cs="Arial"/>
          <w:szCs w:val="20"/>
        </w:rPr>
        <w:t>(7) Odgovorna oseba borznoposredniške družbe, ki ni član upravljalnega organa, se za prekršek iz prvega odstavka tega člena kaznuje z globo od 800 do 10.000 eurov. Če je narava storjenega prekrška iz prejšnjega stavka posebno huda zaradi višine povzročene škode oziroma višine pridobljene protipravne premoženjske koristi ali zaradi storilčevega naklepa oziroma njegovega namena koristoljubnosti, se odgovorna oseba borznoposredniške družbe kaznuje z globo od 2.500 do 30.000 eurov.</w:t>
      </w:r>
    </w:p>
    <w:p w14:paraId="663BB7D0" w14:textId="77777777" w:rsidR="00572B2F" w:rsidRDefault="00572B2F" w:rsidP="00572B2F">
      <w:pPr>
        <w:jc w:val="both"/>
        <w:rPr>
          <w:rFonts w:cs="Arial"/>
          <w:szCs w:val="20"/>
        </w:rPr>
      </w:pPr>
    </w:p>
    <w:p w14:paraId="1C0785F3" w14:textId="77777777" w:rsidR="00572B2F" w:rsidRPr="00FE1343" w:rsidRDefault="00572B2F" w:rsidP="00FE1343">
      <w:pPr>
        <w:jc w:val="both"/>
        <w:rPr>
          <w:rFonts w:cs="Arial"/>
          <w:b/>
          <w:bCs/>
          <w:szCs w:val="20"/>
        </w:rPr>
      </w:pPr>
      <w:r w:rsidRPr="00FE1343">
        <w:rPr>
          <w:rFonts w:cs="Arial"/>
          <w:b/>
          <w:bCs/>
          <w:szCs w:val="20"/>
        </w:rPr>
        <w:t>Zakona o hipotekarni in komunalni obveznici (Uradni list RS, št. 101/22)</w:t>
      </w:r>
    </w:p>
    <w:p w14:paraId="67AA7785" w14:textId="77777777" w:rsidR="00572B2F" w:rsidRDefault="00572B2F" w:rsidP="00572B2F">
      <w:pPr>
        <w:jc w:val="both"/>
        <w:rPr>
          <w:rFonts w:cs="Arial"/>
          <w:szCs w:val="20"/>
        </w:rPr>
      </w:pPr>
    </w:p>
    <w:p w14:paraId="11B804A8" w14:textId="77777777" w:rsidR="00455878" w:rsidRPr="00455878" w:rsidRDefault="00455878" w:rsidP="001C0C0C">
      <w:pPr>
        <w:jc w:val="center"/>
        <w:rPr>
          <w:rFonts w:cs="Arial"/>
          <w:b/>
          <w:bCs/>
          <w:szCs w:val="20"/>
        </w:rPr>
      </w:pPr>
      <w:r w:rsidRPr="00455878">
        <w:rPr>
          <w:rFonts w:cs="Arial"/>
          <w:b/>
          <w:bCs/>
          <w:szCs w:val="20"/>
        </w:rPr>
        <w:t>2. člen</w:t>
      </w:r>
    </w:p>
    <w:p w14:paraId="5B97649D" w14:textId="77777777" w:rsidR="00455878" w:rsidRPr="00455878" w:rsidRDefault="00455878" w:rsidP="001C0C0C">
      <w:pPr>
        <w:jc w:val="center"/>
        <w:rPr>
          <w:rFonts w:cs="Arial"/>
          <w:b/>
          <w:bCs/>
          <w:szCs w:val="20"/>
        </w:rPr>
      </w:pPr>
      <w:r w:rsidRPr="00455878">
        <w:rPr>
          <w:rFonts w:cs="Arial"/>
          <w:b/>
          <w:bCs/>
          <w:szCs w:val="20"/>
        </w:rPr>
        <w:t>(prenos direktive)</w:t>
      </w:r>
    </w:p>
    <w:p w14:paraId="59FBD518" w14:textId="77777777" w:rsidR="00455878" w:rsidRPr="00455878" w:rsidRDefault="00455878" w:rsidP="00455878">
      <w:pPr>
        <w:jc w:val="both"/>
        <w:rPr>
          <w:rFonts w:cs="Arial"/>
          <w:szCs w:val="20"/>
        </w:rPr>
      </w:pPr>
      <w:r w:rsidRPr="00455878">
        <w:rPr>
          <w:rFonts w:cs="Arial"/>
          <w:szCs w:val="20"/>
        </w:rPr>
        <w:t>S tem zakonom se v pravni red Republike Slovenije prenaša Direktiva (EU) 2019/2162 Evropskega parlamenta in Sveta z dne 27. novembra 2019 o izdajanju kritih obveznic in javnem nadzoru kritih obveznic ter o spremembi direktiv 2009/65/ES in 2014/59/EU (UL L št. 328 z dne 18. 12. 2019, str. 29).</w:t>
      </w:r>
    </w:p>
    <w:p w14:paraId="2D2ACF70" w14:textId="77777777" w:rsidR="00572B2F" w:rsidRDefault="00572B2F" w:rsidP="00572B2F">
      <w:pPr>
        <w:jc w:val="both"/>
        <w:rPr>
          <w:rFonts w:cs="Arial"/>
          <w:szCs w:val="20"/>
        </w:rPr>
      </w:pPr>
    </w:p>
    <w:p w14:paraId="5E64CDBC" w14:textId="77777777" w:rsidR="00455878" w:rsidRPr="00455878" w:rsidRDefault="00455878" w:rsidP="001C0C0C">
      <w:pPr>
        <w:jc w:val="center"/>
        <w:rPr>
          <w:rFonts w:cs="Arial"/>
          <w:b/>
          <w:bCs/>
          <w:szCs w:val="20"/>
        </w:rPr>
      </w:pPr>
      <w:r w:rsidRPr="00455878">
        <w:rPr>
          <w:rFonts w:cs="Arial"/>
          <w:b/>
          <w:bCs/>
          <w:szCs w:val="20"/>
        </w:rPr>
        <w:t>37. člen</w:t>
      </w:r>
    </w:p>
    <w:p w14:paraId="5C357B2A" w14:textId="77777777" w:rsidR="00455878" w:rsidRPr="00455878" w:rsidRDefault="00455878" w:rsidP="001C0C0C">
      <w:pPr>
        <w:jc w:val="center"/>
        <w:rPr>
          <w:rFonts w:cs="Arial"/>
          <w:b/>
          <w:bCs/>
          <w:szCs w:val="20"/>
        </w:rPr>
      </w:pPr>
      <w:r w:rsidRPr="00455878">
        <w:rPr>
          <w:rFonts w:cs="Arial"/>
          <w:b/>
          <w:bCs/>
          <w:szCs w:val="20"/>
        </w:rPr>
        <w:t>(izdajateljeve informacije za vlagatelje)</w:t>
      </w:r>
    </w:p>
    <w:p w14:paraId="0AC2DA3F" w14:textId="77777777" w:rsidR="00455878" w:rsidRPr="00455878" w:rsidRDefault="00455878" w:rsidP="00455878">
      <w:pPr>
        <w:jc w:val="both"/>
        <w:rPr>
          <w:rFonts w:cs="Arial"/>
          <w:szCs w:val="20"/>
        </w:rPr>
      </w:pPr>
      <w:r w:rsidRPr="00455878">
        <w:rPr>
          <w:rFonts w:cs="Arial"/>
          <w:szCs w:val="20"/>
        </w:rPr>
        <w:t>(1) Izdajatelj zagotovi dovolj podrobne informacije o programih hipotekarnih obveznic in programih komunalnih obveznic, ki vlagateljem omogočijo izdelavo ocene profila in tveganosti programa hipotekarnih obveznic in programa komunalnih obveznic ter opravljanje skrbnega pregleda.</w:t>
      </w:r>
    </w:p>
    <w:p w14:paraId="703B4A26" w14:textId="77777777" w:rsidR="00455878" w:rsidRPr="00455878" w:rsidRDefault="00455878" w:rsidP="00455878">
      <w:pPr>
        <w:jc w:val="both"/>
        <w:rPr>
          <w:rFonts w:cs="Arial"/>
          <w:szCs w:val="20"/>
        </w:rPr>
      </w:pPr>
      <w:r w:rsidRPr="00455878">
        <w:rPr>
          <w:rFonts w:cs="Arial"/>
          <w:szCs w:val="20"/>
        </w:rPr>
        <w:t>(2) Informacije za vlagatelje iz prejšnjega odstavka, ki jih mora izdajatelj zagotoviti najmanj na četrtletni podlagi, vključujejo vsaj naslednje informacije:</w:t>
      </w:r>
    </w:p>
    <w:p w14:paraId="2D98748A" w14:textId="77777777" w:rsidR="00455878" w:rsidRPr="00455878" w:rsidRDefault="00455878" w:rsidP="00455878">
      <w:pPr>
        <w:jc w:val="both"/>
        <w:rPr>
          <w:rFonts w:cs="Arial"/>
          <w:szCs w:val="20"/>
        </w:rPr>
      </w:pPr>
      <w:r w:rsidRPr="00455878">
        <w:rPr>
          <w:rFonts w:cs="Arial"/>
          <w:szCs w:val="20"/>
        </w:rPr>
        <w:t>1.      vrednost kritnega premoženja in vrednost neporavnanih obveznosti iz naslova hipotekarnih obveznic in komunalnih obveznic;</w:t>
      </w:r>
    </w:p>
    <w:p w14:paraId="4CBB98CA" w14:textId="77777777" w:rsidR="00455878" w:rsidRPr="00455878" w:rsidRDefault="00455878" w:rsidP="00455878">
      <w:pPr>
        <w:jc w:val="both"/>
        <w:rPr>
          <w:rFonts w:cs="Arial"/>
          <w:szCs w:val="20"/>
        </w:rPr>
      </w:pPr>
      <w:r w:rsidRPr="00455878">
        <w:rPr>
          <w:rFonts w:cs="Arial"/>
          <w:szCs w:val="20"/>
        </w:rPr>
        <w:t>2.      seznam mednarodnih identifikacijskih številk vrednostnih papirjev (v nadaljnjem besedilu: ISIN) za vse izdaje hipotekarnih obveznic in komunalnih obveznic v okviru tega programa, ki jim je bil dodeljen ISIN;</w:t>
      </w:r>
    </w:p>
    <w:p w14:paraId="53E1623C" w14:textId="77777777" w:rsidR="00455878" w:rsidRPr="00455878" w:rsidRDefault="00455878" w:rsidP="00455878">
      <w:pPr>
        <w:jc w:val="both"/>
        <w:rPr>
          <w:rFonts w:cs="Arial"/>
          <w:szCs w:val="20"/>
        </w:rPr>
      </w:pPr>
      <w:r w:rsidRPr="00455878">
        <w:rPr>
          <w:rFonts w:cs="Arial"/>
          <w:szCs w:val="20"/>
        </w:rPr>
        <w:t>3.      geografsko razpršitev in vrsto kritnih sredstev, znesek njihovih kreditov in metod vrednotenja;</w:t>
      </w:r>
    </w:p>
    <w:p w14:paraId="0882845F" w14:textId="77777777" w:rsidR="00455878" w:rsidRPr="00455878" w:rsidRDefault="00455878" w:rsidP="00455878">
      <w:pPr>
        <w:jc w:val="both"/>
        <w:rPr>
          <w:rFonts w:cs="Arial"/>
          <w:szCs w:val="20"/>
        </w:rPr>
      </w:pPr>
      <w:r w:rsidRPr="00455878">
        <w:rPr>
          <w:rFonts w:cs="Arial"/>
          <w:szCs w:val="20"/>
        </w:rPr>
        <w:t>4.      informacije o tržnem tveganju, vključno s tveganjem glede obrestnih mer in valutnim tveganjem ter kreditnimi in likvidnostnimi tveganji;</w:t>
      </w:r>
    </w:p>
    <w:p w14:paraId="121CEB8F" w14:textId="77777777" w:rsidR="00455878" w:rsidRPr="00455878" w:rsidRDefault="00455878" w:rsidP="00455878">
      <w:pPr>
        <w:jc w:val="both"/>
        <w:rPr>
          <w:rFonts w:cs="Arial"/>
          <w:szCs w:val="20"/>
        </w:rPr>
      </w:pPr>
      <w:r w:rsidRPr="00455878">
        <w:rPr>
          <w:rFonts w:cs="Arial"/>
          <w:szCs w:val="20"/>
        </w:rPr>
        <w:t>5.      strukturo zapadlosti kritnih sredstev ter hipotekarnih obveznic in komunalnih obveznic, vključno z navedbo dejavnikov za morebitno podaljšanje načrtovane zapadlosti;</w:t>
      </w:r>
    </w:p>
    <w:p w14:paraId="7A858584" w14:textId="77777777" w:rsidR="00455878" w:rsidRPr="00455878" w:rsidRDefault="00455878" w:rsidP="00455878">
      <w:pPr>
        <w:jc w:val="both"/>
        <w:rPr>
          <w:rFonts w:cs="Arial"/>
          <w:szCs w:val="20"/>
        </w:rPr>
      </w:pPr>
      <w:r w:rsidRPr="00455878">
        <w:rPr>
          <w:rFonts w:cs="Arial"/>
          <w:szCs w:val="20"/>
        </w:rPr>
        <w:t>6.      ravni zahtevanega in razpoložljivega kritja ter ravni zakonskega, pogodbenega in prostovoljnega presežnega zavarovanja;</w:t>
      </w:r>
    </w:p>
    <w:p w14:paraId="6F601E79" w14:textId="77777777" w:rsidR="00455878" w:rsidRPr="00455878" w:rsidRDefault="00455878" w:rsidP="00455878">
      <w:pPr>
        <w:jc w:val="both"/>
        <w:rPr>
          <w:rFonts w:cs="Arial"/>
          <w:szCs w:val="20"/>
        </w:rPr>
      </w:pPr>
      <w:r w:rsidRPr="00455878">
        <w:rPr>
          <w:rFonts w:cs="Arial"/>
          <w:szCs w:val="20"/>
        </w:rPr>
        <w:t>7.      odstotek kreditov, za katere se šteje, da je pri njih prišlo do neplačila v skladu s 178. členom Uredbe 575/2013/EU, in v vsakem primeru, ko so krediti zapadli za več kot 90 dni.</w:t>
      </w:r>
    </w:p>
    <w:p w14:paraId="557DFC2B" w14:textId="77777777" w:rsidR="00455878" w:rsidRPr="00455878" w:rsidRDefault="00455878" w:rsidP="00455878">
      <w:pPr>
        <w:jc w:val="both"/>
        <w:rPr>
          <w:rFonts w:cs="Arial"/>
          <w:szCs w:val="20"/>
        </w:rPr>
      </w:pPr>
      <w:r w:rsidRPr="00455878">
        <w:rPr>
          <w:rFonts w:cs="Arial"/>
          <w:szCs w:val="20"/>
        </w:rPr>
        <w:t>(3) Izdajatelj zagotovi vlagateljem v zunanje izdane hipotekarne obveznice in zunanje izdane komunalne obveznice v okviru izdaj hipotekarnih obveznic in komunalnih obveznic znotraj skupine iz 25. člena tega zakona informacije iz prejšnjega odstavka za vse notranje izdane hipotekarne obveznice in notranje izdane komunalne obveznice skupine najmanj na zbirni podlagi.</w:t>
      </w:r>
    </w:p>
    <w:p w14:paraId="5D3FF355" w14:textId="77777777" w:rsidR="00455878" w:rsidRPr="00455878" w:rsidRDefault="00455878" w:rsidP="00455878">
      <w:pPr>
        <w:jc w:val="both"/>
        <w:rPr>
          <w:rFonts w:cs="Arial"/>
          <w:szCs w:val="20"/>
        </w:rPr>
      </w:pPr>
      <w:r w:rsidRPr="00455878">
        <w:rPr>
          <w:rFonts w:cs="Arial"/>
          <w:szCs w:val="20"/>
        </w:rPr>
        <w:t>(4) Izdajatelj informacije za vlagatelje, določene v tem členu, objavi na svojem spletnem mestu.</w:t>
      </w:r>
    </w:p>
    <w:p w14:paraId="7966EB6D" w14:textId="77777777" w:rsidR="00455878" w:rsidRDefault="00455878" w:rsidP="00572B2F">
      <w:pPr>
        <w:jc w:val="both"/>
        <w:rPr>
          <w:rFonts w:cs="Arial"/>
          <w:szCs w:val="20"/>
        </w:rPr>
      </w:pPr>
    </w:p>
    <w:p w14:paraId="7C62B5D8" w14:textId="77777777" w:rsidR="00455878" w:rsidRPr="00455878" w:rsidRDefault="00455878" w:rsidP="001C0C0C">
      <w:pPr>
        <w:jc w:val="center"/>
        <w:rPr>
          <w:rFonts w:cs="Arial"/>
          <w:b/>
          <w:bCs/>
          <w:szCs w:val="20"/>
        </w:rPr>
      </w:pPr>
      <w:r w:rsidRPr="00455878">
        <w:rPr>
          <w:rFonts w:cs="Arial"/>
          <w:b/>
          <w:bCs/>
          <w:szCs w:val="20"/>
        </w:rPr>
        <w:t>42. člen</w:t>
      </w:r>
    </w:p>
    <w:p w14:paraId="71E72C68" w14:textId="77777777" w:rsidR="00455878" w:rsidRPr="00455878" w:rsidRDefault="00455878" w:rsidP="001C0C0C">
      <w:pPr>
        <w:jc w:val="center"/>
        <w:rPr>
          <w:rFonts w:cs="Arial"/>
          <w:b/>
          <w:bCs/>
          <w:szCs w:val="20"/>
        </w:rPr>
      </w:pPr>
      <w:r w:rsidRPr="00455878">
        <w:rPr>
          <w:rFonts w:cs="Arial"/>
          <w:b/>
          <w:bCs/>
          <w:szCs w:val="20"/>
        </w:rPr>
        <w:t>(javna objava ukrepov nadzora)</w:t>
      </w:r>
    </w:p>
    <w:p w14:paraId="4C9F853F" w14:textId="77777777" w:rsidR="00455878" w:rsidRPr="00455878" w:rsidRDefault="00455878" w:rsidP="00455878">
      <w:pPr>
        <w:jc w:val="both"/>
        <w:rPr>
          <w:rFonts w:cs="Arial"/>
          <w:szCs w:val="20"/>
        </w:rPr>
      </w:pPr>
      <w:r w:rsidRPr="00455878">
        <w:rPr>
          <w:rFonts w:cs="Arial"/>
          <w:szCs w:val="20"/>
        </w:rPr>
        <w:t>(1) Banka Slovenije izrečene ukrepe nadzora objavi na svojih spletnih straneh.</w:t>
      </w:r>
    </w:p>
    <w:p w14:paraId="1EC79848" w14:textId="77777777" w:rsidR="00455878" w:rsidRPr="00455878" w:rsidRDefault="00455878" w:rsidP="00455878">
      <w:pPr>
        <w:jc w:val="both"/>
        <w:rPr>
          <w:rFonts w:cs="Arial"/>
          <w:szCs w:val="20"/>
        </w:rPr>
      </w:pPr>
      <w:r w:rsidRPr="00455878">
        <w:rPr>
          <w:rFonts w:cs="Arial"/>
          <w:szCs w:val="20"/>
        </w:rPr>
        <w:lastRenderedPageBreak/>
        <w:t>(2) V zvezi z javno objavo ukrepov nadzora Banke Slovenije se smiselno uporablja zakon, ki ureja bančništvo.</w:t>
      </w:r>
    </w:p>
    <w:p w14:paraId="6A29C630" w14:textId="77777777" w:rsidR="00455878" w:rsidRPr="00455878" w:rsidRDefault="00455878" w:rsidP="00455878">
      <w:pPr>
        <w:jc w:val="both"/>
        <w:rPr>
          <w:rFonts w:cs="Arial"/>
          <w:szCs w:val="20"/>
        </w:rPr>
      </w:pPr>
      <w:r w:rsidRPr="00455878">
        <w:rPr>
          <w:rFonts w:cs="Arial"/>
          <w:szCs w:val="20"/>
        </w:rPr>
        <w:t>(3) Banka Slovenije o vseh izrečenih ukrepih nadzora, ki jih javno objavi, obvesti EBA.</w:t>
      </w:r>
    </w:p>
    <w:p w14:paraId="5FA51CF1" w14:textId="77777777" w:rsidR="00455878" w:rsidRPr="00455878" w:rsidRDefault="00455878" w:rsidP="00455878">
      <w:pPr>
        <w:jc w:val="both"/>
        <w:rPr>
          <w:rFonts w:cs="Arial"/>
          <w:szCs w:val="20"/>
        </w:rPr>
      </w:pPr>
      <w:r w:rsidRPr="00455878">
        <w:rPr>
          <w:rFonts w:cs="Arial"/>
          <w:szCs w:val="20"/>
        </w:rPr>
        <w:t>(4) Banka Slovenije ima dostop tudi do osrednje zbirke podatkov o izrečenih ukrepih nadzora, ki jo hrani in posodablja EBA.</w:t>
      </w:r>
    </w:p>
    <w:p w14:paraId="5C542CE7" w14:textId="77777777" w:rsidR="00455878" w:rsidRDefault="00455878" w:rsidP="00455878">
      <w:pPr>
        <w:jc w:val="both"/>
        <w:rPr>
          <w:rFonts w:cs="Arial"/>
          <w:b/>
          <w:bCs/>
          <w:szCs w:val="20"/>
        </w:rPr>
      </w:pPr>
    </w:p>
    <w:p w14:paraId="244B9494" w14:textId="77777777" w:rsidR="00455878" w:rsidRPr="00455878" w:rsidRDefault="00455878" w:rsidP="001C0C0C">
      <w:pPr>
        <w:jc w:val="center"/>
        <w:rPr>
          <w:rFonts w:cs="Arial"/>
          <w:b/>
          <w:bCs/>
          <w:szCs w:val="20"/>
        </w:rPr>
      </w:pPr>
      <w:r w:rsidRPr="00455878">
        <w:rPr>
          <w:rFonts w:cs="Arial"/>
          <w:b/>
          <w:bCs/>
          <w:szCs w:val="20"/>
        </w:rPr>
        <w:t>43. člen</w:t>
      </w:r>
    </w:p>
    <w:p w14:paraId="028FB282" w14:textId="77777777" w:rsidR="00455878" w:rsidRPr="00455878" w:rsidRDefault="00455878" w:rsidP="001C0C0C">
      <w:pPr>
        <w:jc w:val="center"/>
        <w:rPr>
          <w:rFonts w:cs="Arial"/>
          <w:b/>
          <w:bCs/>
          <w:szCs w:val="20"/>
        </w:rPr>
      </w:pPr>
      <w:r w:rsidRPr="00455878">
        <w:rPr>
          <w:rFonts w:cs="Arial"/>
          <w:b/>
          <w:bCs/>
          <w:szCs w:val="20"/>
        </w:rPr>
        <w:t>(razkritja Banke Slovenije)</w:t>
      </w:r>
    </w:p>
    <w:p w14:paraId="5DBFD64E" w14:textId="77777777" w:rsidR="00455878" w:rsidRPr="00455878" w:rsidRDefault="00455878" w:rsidP="00455878">
      <w:pPr>
        <w:jc w:val="both"/>
        <w:rPr>
          <w:rFonts w:cs="Arial"/>
          <w:szCs w:val="20"/>
        </w:rPr>
      </w:pPr>
      <w:r w:rsidRPr="00455878">
        <w:rPr>
          <w:rFonts w:cs="Arial"/>
          <w:szCs w:val="20"/>
        </w:rPr>
        <w:t>(1) Banka Slovenije na svojih spletnih straneh objavi posodobljene informacije glede:</w:t>
      </w:r>
    </w:p>
    <w:p w14:paraId="238D4735" w14:textId="77777777" w:rsidR="00455878" w:rsidRPr="00455878" w:rsidRDefault="00455878" w:rsidP="00455878">
      <w:pPr>
        <w:jc w:val="both"/>
        <w:rPr>
          <w:rFonts w:cs="Arial"/>
          <w:szCs w:val="20"/>
        </w:rPr>
      </w:pPr>
      <w:r w:rsidRPr="00455878">
        <w:rPr>
          <w:rFonts w:cs="Arial"/>
          <w:szCs w:val="20"/>
        </w:rPr>
        <w:t>-        besedil zakonov in podzakonskih aktov, ki v Republiki Sloveniji urejajo izdajanje hipotekarnih obveznic in komunalnih obveznic ter nadzor nad njimi;</w:t>
      </w:r>
    </w:p>
    <w:p w14:paraId="7DF170B3" w14:textId="77777777" w:rsidR="00455878" w:rsidRPr="00455878" w:rsidRDefault="00455878" w:rsidP="00455878">
      <w:pPr>
        <w:jc w:val="both"/>
        <w:rPr>
          <w:rFonts w:cs="Arial"/>
          <w:szCs w:val="20"/>
        </w:rPr>
      </w:pPr>
      <w:r w:rsidRPr="00455878">
        <w:rPr>
          <w:rFonts w:cs="Arial"/>
          <w:szCs w:val="20"/>
        </w:rPr>
        <w:t>-        seznama kreditnih institucij, ki imajo dovoljenje za program hipotekarnih obveznic in dovoljenje za program komunalnih obveznic;</w:t>
      </w:r>
    </w:p>
    <w:p w14:paraId="327D88ED" w14:textId="77777777" w:rsidR="00455878" w:rsidRPr="00455878" w:rsidRDefault="00455878" w:rsidP="00455878">
      <w:pPr>
        <w:jc w:val="both"/>
        <w:rPr>
          <w:rFonts w:cs="Arial"/>
          <w:szCs w:val="20"/>
        </w:rPr>
      </w:pPr>
      <w:r w:rsidRPr="00455878">
        <w:rPr>
          <w:rFonts w:cs="Arial"/>
          <w:szCs w:val="20"/>
        </w:rPr>
        <w:t>-         seznam hipotekarnih obveznic in seznam komunalnih obveznic, za katere se lahko uporablja oznaka »evropska krita obveznica«, ter seznam hipotekarnih in seznam komunalnih obveznic, za katere se lahko uporablja oznaka »evropska krita obveznica (premijska)«.</w:t>
      </w:r>
    </w:p>
    <w:p w14:paraId="14FAB65B" w14:textId="77777777" w:rsidR="00455878" w:rsidRPr="00455878" w:rsidRDefault="00455878" w:rsidP="00455878">
      <w:pPr>
        <w:jc w:val="both"/>
        <w:rPr>
          <w:rFonts w:cs="Arial"/>
          <w:szCs w:val="20"/>
        </w:rPr>
      </w:pPr>
      <w:r w:rsidRPr="00455878">
        <w:rPr>
          <w:rFonts w:cs="Arial"/>
          <w:szCs w:val="20"/>
        </w:rPr>
        <w:t>(2) Banka Slovenije vsako leto obvesti EBA o seznamih iz druge in tretje alineje prejšnjega odstavka.</w:t>
      </w:r>
    </w:p>
    <w:p w14:paraId="713274C2" w14:textId="77777777" w:rsidR="00455878" w:rsidRDefault="00455878" w:rsidP="00572B2F">
      <w:pPr>
        <w:jc w:val="both"/>
        <w:rPr>
          <w:rFonts w:cs="Arial"/>
          <w:szCs w:val="20"/>
        </w:rPr>
      </w:pPr>
    </w:p>
    <w:p w14:paraId="37B61D0E" w14:textId="77777777" w:rsidR="00455878" w:rsidRPr="00455878" w:rsidRDefault="00455878" w:rsidP="001C0C0C">
      <w:pPr>
        <w:jc w:val="center"/>
        <w:rPr>
          <w:rFonts w:cs="Arial"/>
          <w:b/>
          <w:bCs/>
          <w:szCs w:val="20"/>
        </w:rPr>
      </w:pPr>
      <w:r w:rsidRPr="00455878">
        <w:rPr>
          <w:rFonts w:cs="Arial"/>
          <w:b/>
          <w:bCs/>
          <w:szCs w:val="20"/>
        </w:rPr>
        <w:t>49. člen</w:t>
      </w:r>
    </w:p>
    <w:p w14:paraId="60856F2F" w14:textId="77777777" w:rsidR="00455878" w:rsidRPr="00455878" w:rsidRDefault="00455878" w:rsidP="001C0C0C">
      <w:pPr>
        <w:jc w:val="center"/>
        <w:rPr>
          <w:rFonts w:cs="Arial"/>
          <w:b/>
          <w:bCs/>
          <w:szCs w:val="20"/>
        </w:rPr>
      </w:pPr>
      <w:r w:rsidRPr="00455878">
        <w:rPr>
          <w:rFonts w:cs="Arial"/>
          <w:b/>
          <w:bCs/>
          <w:szCs w:val="20"/>
        </w:rPr>
        <w:t>(prekrški izdajatelja hipotekarnih obveznic in komunalnih obveznic)</w:t>
      </w:r>
    </w:p>
    <w:p w14:paraId="7A075AC0" w14:textId="77777777" w:rsidR="00455878" w:rsidRPr="00455878" w:rsidRDefault="00455878" w:rsidP="00455878">
      <w:pPr>
        <w:jc w:val="both"/>
        <w:rPr>
          <w:rFonts w:cs="Arial"/>
          <w:szCs w:val="20"/>
        </w:rPr>
      </w:pPr>
      <w:r w:rsidRPr="00455878">
        <w:rPr>
          <w:rFonts w:cs="Arial"/>
          <w:szCs w:val="20"/>
        </w:rPr>
        <w:t>(1) Z globo od 83.500 do 250.000 eurov se kaznuje izdajatelj, če:</w:t>
      </w:r>
    </w:p>
    <w:p w14:paraId="0731818C" w14:textId="77777777" w:rsidR="00455878" w:rsidRPr="00455878" w:rsidRDefault="00455878" w:rsidP="00455878">
      <w:pPr>
        <w:jc w:val="both"/>
        <w:rPr>
          <w:rFonts w:cs="Arial"/>
          <w:szCs w:val="20"/>
        </w:rPr>
      </w:pPr>
      <w:r w:rsidRPr="00455878">
        <w:rPr>
          <w:rFonts w:cs="Arial"/>
          <w:szCs w:val="20"/>
        </w:rPr>
        <w:t>1.      izda program hipotekarnih obveznic ali program komunalnih obveznic brez predhodne pridobitve dovoljenja Banke Slovenije na podlagi 6. člena tega zakona oziroma jih izda potem, ko mu je dovoljenje prenehalo na podlagi 9. člena tega zakona ali mu je bilo dovoljenje odvzeto na podlagi 10. člena tega zakona;</w:t>
      </w:r>
    </w:p>
    <w:p w14:paraId="11438CD6" w14:textId="77777777" w:rsidR="00455878" w:rsidRPr="00455878" w:rsidRDefault="00455878" w:rsidP="00455878">
      <w:pPr>
        <w:jc w:val="both"/>
        <w:rPr>
          <w:rFonts w:cs="Arial"/>
          <w:szCs w:val="20"/>
        </w:rPr>
      </w:pPr>
      <w:r w:rsidRPr="00455878">
        <w:rPr>
          <w:rFonts w:cs="Arial"/>
          <w:szCs w:val="20"/>
        </w:rPr>
        <w:t>2.      je pridobil dovoljenje Banke Slovenije za program hipotekarnih obveznic ali program komunalnih obveznic z navajanjem lažnih podatkov ali na druge nedovoljene načine in torej v nasprotju z določbami 7. člena tega zakona;</w:t>
      </w:r>
    </w:p>
    <w:p w14:paraId="677EB153" w14:textId="77777777" w:rsidR="00455878" w:rsidRPr="00455878" w:rsidRDefault="00455878" w:rsidP="00455878">
      <w:pPr>
        <w:jc w:val="both"/>
        <w:rPr>
          <w:rFonts w:cs="Arial"/>
          <w:szCs w:val="20"/>
        </w:rPr>
      </w:pPr>
      <w:r w:rsidRPr="00455878">
        <w:rPr>
          <w:rFonts w:cs="Arial"/>
          <w:szCs w:val="20"/>
        </w:rPr>
        <w:t>3.      ne izpolnjuje več pogojev iz 7. člena tega zakona, pod katerimi je pridobil dovoljenje Banke Slovenije za program hipotekarnih obveznic ali program komunalnih obveznic;</w:t>
      </w:r>
    </w:p>
    <w:p w14:paraId="0265B737" w14:textId="77777777" w:rsidR="00455878" w:rsidRPr="00455878" w:rsidRDefault="00455878" w:rsidP="00455878">
      <w:pPr>
        <w:jc w:val="both"/>
        <w:rPr>
          <w:rFonts w:cs="Arial"/>
          <w:szCs w:val="20"/>
        </w:rPr>
      </w:pPr>
      <w:r w:rsidRPr="00455878">
        <w:rPr>
          <w:rFonts w:cs="Arial"/>
          <w:szCs w:val="20"/>
        </w:rPr>
        <w:t>4.      ne izpolnjuje zahtev iz 11. člena tega zakona glede dvojnega zavarovanja;</w:t>
      </w:r>
    </w:p>
    <w:p w14:paraId="13326857" w14:textId="77777777" w:rsidR="00455878" w:rsidRPr="00455878" w:rsidRDefault="00455878" w:rsidP="00455878">
      <w:pPr>
        <w:jc w:val="both"/>
        <w:rPr>
          <w:rFonts w:cs="Arial"/>
          <w:szCs w:val="20"/>
        </w:rPr>
      </w:pPr>
      <w:r w:rsidRPr="00455878">
        <w:rPr>
          <w:rFonts w:cs="Arial"/>
          <w:szCs w:val="20"/>
        </w:rPr>
        <w:t>5.      ne izpolnjuje zahtev iz 12. člena tega zakona glede izvzetosti hipotekarnih obveznic ali komunalnih obveznic iz postopka reševanja in postopka prisilnega prenehanja izdajatelja;</w:t>
      </w:r>
    </w:p>
    <w:p w14:paraId="0FD97D4B" w14:textId="77777777" w:rsidR="00455878" w:rsidRPr="00455878" w:rsidRDefault="00455878" w:rsidP="00455878">
      <w:pPr>
        <w:jc w:val="both"/>
        <w:rPr>
          <w:rFonts w:cs="Arial"/>
          <w:szCs w:val="20"/>
        </w:rPr>
      </w:pPr>
      <w:r w:rsidRPr="00455878">
        <w:rPr>
          <w:rFonts w:cs="Arial"/>
          <w:szCs w:val="20"/>
        </w:rPr>
        <w:t>6.      kot kritno premoženje upošteva premoženje v nasprotju s 15. do 20. členom tega zakona;</w:t>
      </w:r>
    </w:p>
    <w:p w14:paraId="25A86CC1" w14:textId="77777777" w:rsidR="00455878" w:rsidRPr="00455878" w:rsidRDefault="00455878" w:rsidP="00455878">
      <w:pPr>
        <w:jc w:val="both"/>
        <w:rPr>
          <w:rFonts w:cs="Arial"/>
          <w:szCs w:val="20"/>
        </w:rPr>
      </w:pPr>
      <w:r w:rsidRPr="00455878">
        <w:rPr>
          <w:rFonts w:cs="Arial"/>
          <w:szCs w:val="20"/>
        </w:rPr>
        <w:t>7.      izda hipotekarne obveznice ali komunalne obveznice in ne izpolnjuje zahtev glede omejitev sestave kritnega premoženja iz 21. člena tega zakona;</w:t>
      </w:r>
    </w:p>
    <w:p w14:paraId="4960FF08" w14:textId="77777777" w:rsidR="00455878" w:rsidRPr="00455878" w:rsidRDefault="00455878" w:rsidP="00455878">
      <w:pPr>
        <w:jc w:val="both"/>
        <w:rPr>
          <w:rFonts w:cs="Arial"/>
          <w:szCs w:val="20"/>
        </w:rPr>
      </w:pPr>
      <w:r w:rsidRPr="00455878">
        <w:rPr>
          <w:rFonts w:cs="Arial"/>
          <w:szCs w:val="20"/>
        </w:rPr>
        <w:t>8.      ne izpolnjuje zahtev skrbnika kritnega premoženja glede nadomestitve terjatev iz naslova hipotekarnega kredita ali kredita z obveznostjo osebe javnega prava iz 22. člena tega zakona;</w:t>
      </w:r>
    </w:p>
    <w:p w14:paraId="2924A45C" w14:textId="77777777" w:rsidR="00455878" w:rsidRPr="00455878" w:rsidRDefault="00455878" w:rsidP="00455878">
      <w:pPr>
        <w:jc w:val="both"/>
        <w:rPr>
          <w:rFonts w:cs="Arial"/>
          <w:szCs w:val="20"/>
        </w:rPr>
      </w:pPr>
      <w:r w:rsidRPr="00455878">
        <w:rPr>
          <w:rFonts w:cs="Arial"/>
          <w:szCs w:val="20"/>
        </w:rPr>
        <w:t>9.      izda hipotekarne obveznice ali komunalne obveznice in ne izpolnjuje zahtev glede pogodb o izvedenih finančnih instrumentih v kritnem premoženju iz 24. člena tega zakona;</w:t>
      </w:r>
    </w:p>
    <w:p w14:paraId="7DC217B6" w14:textId="77777777" w:rsidR="00455878" w:rsidRPr="00455878" w:rsidRDefault="00455878" w:rsidP="00455878">
      <w:pPr>
        <w:jc w:val="both"/>
        <w:rPr>
          <w:rFonts w:cs="Arial"/>
          <w:szCs w:val="20"/>
        </w:rPr>
      </w:pPr>
      <w:r w:rsidRPr="00455878">
        <w:rPr>
          <w:rFonts w:cs="Arial"/>
          <w:szCs w:val="20"/>
        </w:rPr>
        <w:t>10.   izda hipotekarne obveznice ali komunalne obveznice v skupini tako, da krši določbe 25. člena tega zakona;</w:t>
      </w:r>
    </w:p>
    <w:p w14:paraId="1A14AD76" w14:textId="77777777" w:rsidR="00455878" w:rsidRPr="00455878" w:rsidRDefault="00455878" w:rsidP="00455878">
      <w:pPr>
        <w:jc w:val="both"/>
        <w:rPr>
          <w:rFonts w:cs="Arial"/>
          <w:szCs w:val="20"/>
        </w:rPr>
      </w:pPr>
      <w:r w:rsidRPr="00455878">
        <w:rPr>
          <w:rFonts w:cs="Arial"/>
          <w:szCs w:val="20"/>
        </w:rPr>
        <w:t>11.   izda hipotekarne obveznice ali komunalne obveznice in ne izpolnjuje pogojev za skupno financiranje kot je določeno v 26. členu tega zakona;</w:t>
      </w:r>
    </w:p>
    <w:p w14:paraId="264F4396" w14:textId="77777777" w:rsidR="00455878" w:rsidRPr="00455878" w:rsidRDefault="00455878" w:rsidP="00455878">
      <w:pPr>
        <w:jc w:val="both"/>
        <w:rPr>
          <w:rFonts w:cs="Arial"/>
          <w:szCs w:val="20"/>
        </w:rPr>
      </w:pPr>
      <w:r w:rsidRPr="00455878">
        <w:rPr>
          <w:rFonts w:cs="Arial"/>
          <w:szCs w:val="20"/>
        </w:rPr>
        <w:t>12.   izda hipotekarne obveznice ali komunalne obveznice in ne izpolnjuje zahtev glede ločevanja kritnih sredstev v skladu z določbami 27. člena tega zakona;</w:t>
      </w:r>
    </w:p>
    <w:p w14:paraId="49E0A26A" w14:textId="77777777" w:rsidR="00455878" w:rsidRPr="00455878" w:rsidRDefault="00455878" w:rsidP="00455878">
      <w:pPr>
        <w:jc w:val="both"/>
        <w:rPr>
          <w:rFonts w:cs="Arial"/>
          <w:szCs w:val="20"/>
        </w:rPr>
      </w:pPr>
      <w:r w:rsidRPr="00455878">
        <w:rPr>
          <w:rFonts w:cs="Arial"/>
          <w:szCs w:val="20"/>
        </w:rPr>
        <w:t>13.   izda hipotekarne obveznice ali komunalne obveznice in ne izpolnjuje zahtev glede kritja v skladu z določbami 28. člena tega zakona;</w:t>
      </w:r>
    </w:p>
    <w:p w14:paraId="49C39CF1" w14:textId="77777777" w:rsidR="00455878" w:rsidRPr="00455878" w:rsidRDefault="00455878" w:rsidP="00455878">
      <w:pPr>
        <w:jc w:val="both"/>
        <w:rPr>
          <w:rFonts w:cs="Arial"/>
          <w:szCs w:val="20"/>
        </w:rPr>
      </w:pPr>
      <w:r w:rsidRPr="00455878">
        <w:rPr>
          <w:rFonts w:cs="Arial"/>
          <w:szCs w:val="20"/>
        </w:rPr>
        <w:t>14.   izda hipotekarne obveznice ali komunalne obveznice in ponavljajoče se ali stalno krši zahteve glede likvidnostne rezerve kritnega premoženja iz 29. člena tega zakona;</w:t>
      </w:r>
    </w:p>
    <w:p w14:paraId="70689A9F" w14:textId="77777777" w:rsidR="00455878" w:rsidRPr="00455878" w:rsidRDefault="00455878" w:rsidP="00455878">
      <w:pPr>
        <w:jc w:val="both"/>
        <w:rPr>
          <w:rFonts w:cs="Arial"/>
          <w:szCs w:val="20"/>
        </w:rPr>
      </w:pPr>
      <w:r w:rsidRPr="00455878">
        <w:rPr>
          <w:rFonts w:cs="Arial"/>
          <w:szCs w:val="20"/>
        </w:rPr>
        <w:t>15.   ne vodi kritnega registra v skladu z določbami 30., 31. in 34. člena tega zakona;</w:t>
      </w:r>
    </w:p>
    <w:p w14:paraId="7800B421" w14:textId="77777777" w:rsidR="00455878" w:rsidRPr="00455878" w:rsidRDefault="00455878" w:rsidP="00455878">
      <w:pPr>
        <w:jc w:val="both"/>
        <w:rPr>
          <w:rFonts w:cs="Arial"/>
          <w:szCs w:val="20"/>
        </w:rPr>
      </w:pPr>
      <w:r w:rsidRPr="00455878">
        <w:rPr>
          <w:rFonts w:cs="Arial"/>
          <w:szCs w:val="20"/>
        </w:rPr>
        <w:lastRenderedPageBreak/>
        <w:t>16.   ne obvešča skrbnika kritnega premoženja v skladu z drugim odstavkom 35. člena tega zakona;</w:t>
      </w:r>
    </w:p>
    <w:p w14:paraId="4E0B4542" w14:textId="77777777" w:rsidR="00455878" w:rsidRPr="00455878" w:rsidRDefault="00455878" w:rsidP="00455878">
      <w:pPr>
        <w:jc w:val="both"/>
        <w:rPr>
          <w:rFonts w:cs="Arial"/>
          <w:szCs w:val="20"/>
        </w:rPr>
      </w:pPr>
      <w:r w:rsidRPr="00455878">
        <w:rPr>
          <w:rFonts w:cs="Arial"/>
          <w:szCs w:val="20"/>
        </w:rPr>
        <w:t>17.   izda hipotekarne obveznice ali komunalne obveznice in ne sporoči informacij za vlagatelje ali sporoči nepopolne ali netočne informacije za vlagatelje kot so določene v 37. členu tega zakona;</w:t>
      </w:r>
    </w:p>
    <w:p w14:paraId="216CC4C7" w14:textId="77777777" w:rsidR="00455878" w:rsidRPr="00455878" w:rsidRDefault="00455878" w:rsidP="00455878">
      <w:pPr>
        <w:jc w:val="both"/>
        <w:rPr>
          <w:rFonts w:cs="Arial"/>
          <w:szCs w:val="20"/>
        </w:rPr>
      </w:pPr>
      <w:r w:rsidRPr="00455878">
        <w:rPr>
          <w:rFonts w:cs="Arial"/>
          <w:szCs w:val="20"/>
        </w:rPr>
        <w:t>18.   ne izpolnjuje zahtev glede poročanja Banki Slovenije v skladu s 40. členom tega zakona;</w:t>
      </w:r>
    </w:p>
    <w:p w14:paraId="64C5CAED" w14:textId="77777777" w:rsidR="00455878" w:rsidRPr="00455878" w:rsidRDefault="00455878" w:rsidP="00455878">
      <w:pPr>
        <w:jc w:val="both"/>
        <w:rPr>
          <w:rFonts w:cs="Arial"/>
          <w:szCs w:val="20"/>
        </w:rPr>
      </w:pPr>
      <w:r w:rsidRPr="00455878">
        <w:rPr>
          <w:rFonts w:cs="Arial"/>
          <w:szCs w:val="20"/>
        </w:rPr>
        <w:t>19.   izda hipotekarne obveznice ali komunalne obveznice z zapadlostjo, ki jo je mogoče podaljšati, in ne izpolnjuje pogojev za izdajo tovrstnih obveznic iz 48. člena tega zakona.</w:t>
      </w:r>
    </w:p>
    <w:p w14:paraId="1306CEA0" w14:textId="77777777" w:rsidR="00455878" w:rsidRPr="00455878" w:rsidRDefault="00455878" w:rsidP="00455878">
      <w:pPr>
        <w:jc w:val="both"/>
        <w:rPr>
          <w:rFonts w:cs="Arial"/>
          <w:szCs w:val="20"/>
        </w:rPr>
      </w:pPr>
      <w:r w:rsidRPr="00455878">
        <w:rPr>
          <w:rFonts w:cs="Arial"/>
          <w:szCs w:val="20"/>
        </w:rPr>
        <w:t>(2) Odgovorna oseba izdajatelja, ki stori prekršek iz prejšnjega odstavka, se za prekršek kaznuje z globo od 2.500 do 10.000 eurov.</w:t>
      </w:r>
    </w:p>
    <w:p w14:paraId="07319284" w14:textId="77777777" w:rsidR="00455878" w:rsidRPr="00455878" w:rsidRDefault="00455878" w:rsidP="00455878">
      <w:pPr>
        <w:jc w:val="both"/>
        <w:rPr>
          <w:rFonts w:cs="Arial"/>
          <w:szCs w:val="20"/>
        </w:rPr>
      </w:pPr>
      <w:r w:rsidRPr="00455878">
        <w:rPr>
          <w:rFonts w:cs="Arial"/>
          <w:szCs w:val="20"/>
        </w:rPr>
        <w:t>(3) Če je narava storjenega prekrška iz prejšnjih odstavkov posebno huda zaradi višine povzročene škode oziroma višine pridobljene protipravne premoženjske koristi ali zaradi storilčevega naklepa oziroma njegovega namena koristoljubnosti, se odgovorna oseba izdajatelja iz prejšnjega odstavka tega člena in izdajatelj iz prvega odstavka tega člena kaznujeta s trikrat višjo globo od tiste, ki je predpisana v prvem in drugem odstavku tega člena.</w:t>
      </w:r>
    </w:p>
    <w:p w14:paraId="13CE82E2" w14:textId="77777777" w:rsidR="00455878" w:rsidRDefault="00455878" w:rsidP="00572B2F">
      <w:pPr>
        <w:jc w:val="both"/>
        <w:rPr>
          <w:rFonts w:cs="Arial"/>
          <w:szCs w:val="20"/>
        </w:rPr>
      </w:pPr>
    </w:p>
    <w:p w14:paraId="747FE307" w14:textId="77777777" w:rsidR="00572B2F" w:rsidRPr="001C0C0C" w:rsidRDefault="00572B2F" w:rsidP="00A3280F">
      <w:pPr>
        <w:jc w:val="both"/>
        <w:rPr>
          <w:rFonts w:cs="Arial"/>
          <w:b/>
          <w:bCs/>
          <w:szCs w:val="20"/>
        </w:rPr>
      </w:pPr>
      <w:r w:rsidRPr="001C0C0C">
        <w:rPr>
          <w:rFonts w:cs="Arial"/>
          <w:b/>
          <w:bCs/>
          <w:szCs w:val="20"/>
        </w:rPr>
        <w:t>Zakon o izvajanju Uredbe (EU) o dokumentih s ključnimi informacijami o paketnih naložbenih produktih za male vlagatelje in zavarovalnih naložbenih produktih (Uradni list RS, št. 30/18)</w:t>
      </w:r>
    </w:p>
    <w:p w14:paraId="693575F5" w14:textId="77777777" w:rsidR="00455878" w:rsidRPr="00455878" w:rsidRDefault="00455878" w:rsidP="001C0C0C">
      <w:pPr>
        <w:jc w:val="center"/>
        <w:rPr>
          <w:rFonts w:cs="Arial"/>
          <w:b/>
          <w:bCs/>
          <w:szCs w:val="20"/>
        </w:rPr>
      </w:pPr>
      <w:r w:rsidRPr="00455878">
        <w:rPr>
          <w:rFonts w:cs="Arial"/>
          <w:b/>
          <w:bCs/>
          <w:szCs w:val="20"/>
        </w:rPr>
        <w:t>1. člen</w:t>
      </w:r>
    </w:p>
    <w:p w14:paraId="42FB1FEE" w14:textId="77777777" w:rsidR="00455878" w:rsidRPr="00455878" w:rsidRDefault="00455878" w:rsidP="001C0C0C">
      <w:pPr>
        <w:jc w:val="center"/>
        <w:rPr>
          <w:rFonts w:cs="Arial"/>
          <w:b/>
          <w:bCs/>
          <w:szCs w:val="20"/>
        </w:rPr>
      </w:pPr>
      <w:r w:rsidRPr="00455878">
        <w:rPr>
          <w:rFonts w:cs="Arial"/>
          <w:b/>
          <w:bCs/>
          <w:szCs w:val="20"/>
        </w:rPr>
        <w:t>(vsebina zakona)</w:t>
      </w:r>
    </w:p>
    <w:p w14:paraId="3704C4D4" w14:textId="77777777" w:rsidR="00455878" w:rsidRPr="00455878" w:rsidRDefault="00455878" w:rsidP="00455878">
      <w:pPr>
        <w:jc w:val="both"/>
        <w:rPr>
          <w:rFonts w:cs="Arial"/>
          <w:szCs w:val="20"/>
        </w:rPr>
      </w:pPr>
      <w:r w:rsidRPr="00455878">
        <w:rPr>
          <w:rFonts w:cs="Arial"/>
          <w:szCs w:val="20"/>
        </w:rPr>
        <w:t>S tem zakonom se določajo pristojni organi in prekrški ter postopek izrekanja nadzornih ukrepov in prekrškov, ki jih pri izvajanju določb Uredbe (EU) št. 1286/2014 Evropskega parlamenta in Sveta z dne 26. novembra 2014 o dokumentih s ključnimi informacijami o paketnih naložbenih produktih za male vlagatelje in zavarovalnih naložbenih produktih (UL L št. 352 z dne 9. decembra 2014, stran 1), zadnjič spremenjene z Delegirano uredbo Komisije (EU) 2017/653 z dne 8. marca 2017 o dopolnitvi Uredbe (EU) št. 1286/2014 Evropskega parlamenta in Sveta o dokumentih s ključnimi informacijami o paketnih naložbenih produktih za male vlagatelje in zavarovalnih naložbenih produktih (PRIIP) z določitvijo regulativnih tehničnih standardov glede prikaza, vsebine, pregleda in revizije dokumentov s ključnimi informacijami ter pogojev za izpolnitev zahteve po posredovanju takih dokumentov (UL L št. 100 z dne 12. aprila 2017, stran 1) (v nadaljnjem besedilu: Uredba 1286/2014/EU) izrekajo pristojni organi.</w:t>
      </w:r>
    </w:p>
    <w:p w14:paraId="4CFFCAE9" w14:textId="77777777" w:rsidR="00572B2F" w:rsidRDefault="00572B2F" w:rsidP="00572B2F">
      <w:pPr>
        <w:jc w:val="both"/>
        <w:rPr>
          <w:rFonts w:cs="Arial"/>
          <w:szCs w:val="20"/>
        </w:rPr>
      </w:pPr>
    </w:p>
    <w:p w14:paraId="7D4C6360" w14:textId="77777777" w:rsidR="00455878" w:rsidRDefault="00455878" w:rsidP="00572B2F">
      <w:pPr>
        <w:jc w:val="both"/>
        <w:rPr>
          <w:rFonts w:cs="Arial"/>
          <w:szCs w:val="20"/>
        </w:rPr>
      </w:pPr>
    </w:p>
    <w:p w14:paraId="768D49AA" w14:textId="77777777" w:rsidR="00572B2F" w:rsidRPr="001C0C0C" w:rsidRDefault="00572B2F" w:rsidP="00A3280F">
      <w:pPr>
        <w:jc w:val="both"/>
        <w:rPr>
          <w:rFonts w:cs="Arial"/>
          <w:b/>
          <w:bCs/>
          <w:szCs w:val="20"/>
        </w:rPr>
      </w:pPr>
      <w:r w:rsidRPr="001C0C0C">
        <w:rPr>
          <w:rFonts w:cs="Arial"/>
          <w:b/>
          <w:bCs/>
          <w:szCs w:val="20"/>
        </w:rPr>
        <w:t>Zakon o izvajanju Uredbe (EU) o vseevropskem osebnem pokojninskem produktu (Uradni list RS, št. 28/23)</w:t>
      </w:r>
    </w:p>
    <w:p w14:paraId="254FFF43" w14:textId="77777777" w:rsidR="00572B2F" w:rsidRDefault="00572B2F" w:rsidP="00572B2F">
      <w:pPr>
        <w:jc w:val="both"/>
        <w:rPr>
          <w:rFonts w:cs="Arial"/>
          <w:szCs w:val="20"/>
        </w:rPr>
      </w:pPr>
    </w:p>
    <w:p w14:paraId="0900749A" w14:textId="77777777" w:rsidR="00455878" w:rsidRPr="00455878" w:rsidRDefault="00455878" w:rsidP="001C0C0C">
      <w:pPr>
        <w:jc w:val="center"/>
        <w:rPr>
          <w:rFonts w:cs="Arial"/>
          <w:b/>
          <w:bCs/>
          <w:szCs w:val="20"/>
        </w:rPr>
      </w:pPr>
      <w:r w:rsidRPr="00455878">
        <w:rPr>
          <w:rFonts w:cs="Arial"/>
          <w:b/>
          <w:bCs/>
          <w:szCs w:val="20"/>
        </w:rPr>
        <w:t>1. člen</w:t>
      </w:r>
    </w:p>
    <w:p w14:paraId="7185E174" w14:textId="77777777" w:rsidR="00455878" w:rsidRPr="00455878" w:rsidRDefault="00455878" w:rsidP="001C0C0C">
      <w:pPr>
        <w:jc w:val="center"/>
        <w:rPr>
          <w:rFonts w:cs="Arial"/>
          <w:b/>
          <w:bCs/>
          <w:szCs w:val="20"/>
        </w:rPr>
      </w:pPr>
      <w:r w:rsidRPr="00455878">
        <w:rPr>
          <w:rFonts w:cs="Arial"/>
          <w:b/>
          <w:bCs/>
          <w:szCs w:val="20"/>
        </w:rPr>
        <w:t>(vsebina zakona)</w:t>
      </w:r>
    </w:p>
    <w:p w14:paraId="3827111B" w14:textId="77777777" w:rsidR="00455878" w:rsidRPr="00455878" w:rsidRDefault="00455878" w:rsidP="00455878">
      <w:pPr>
        <w:jc w:val="both"/>
        <w:rPr>
          <w:rFonts w:cs="Arial"/>
          <w:szCs w:val="20"/>
        </w:rPr>
      </w:pPr>
      <w:r w:rsidRPr="00455878">
        <w:rPr>
          <w:rFonts w:cs="Arial"/>
          <w:szCs w:val="20"/>
        </w:rPr>
        <w:t>Ta zakon določa:</w:t>
      </w:r>
    </w:p>
    <w:p w14:paraId="4DC81D49" w14:textId="77777777" w:rsidR="00455878" w:rsidRPr="00455878" w:rsidRDefault="00455878" w:rsidP="00455878">
      <w:pPr>
        <w:jc w:val="both"/>
        <w:rPr>
          <w:rFonts w:cs="Arial"/>
          <w:szCs w:val="20"/>
        </w:rPr>
      </w:pPr>
      <w:r w:rsidRPr="00455878">
        <w:rPr>
          <w:rFonts w:cs="Arial"/>
          <w:szCs w:val="20"/>
        </w:rPr>
        <w:t>1.      pristojni organ za nadzor ponudnikov oziroma distributerjev vseevropskega osebnega pokojninskega produkta (v nadaljnjem besedilu: PEPP) ali za opravljanje dolžnosti iz Uredbe (EU) 2019/1238 Evropskega parlamenta in Sveta z dne 20. junija 2019 o vseevropskem osebnem pokojninskem produktu (UL L št. 198 z dne 25. 7. 2019, str. 1), zadnjič spremenjene z Delegirano uredbo Komisije (EU) 2021/896 z dne 24. februarja 2021 o dopolnitvi Uredbe (EU) 2019/1238 Evropskega parlamenta in Sveta v zvezi z dodatnimi informacijami za namene zbliževanja nadzornega poročanja (UL L št. 197 z dne 4. 6. 2021, str. 5; v nadaljnjem besedilu: Uredba 2019/1238/EU) in tega zakona;</w:t>
      </w:r>
    </w:p>
    <w:p w14:paraId="1118699E" w14:textId="77777777" w:rsidR="00455878" w:rsidRPr="00455878" w:rsidRDefault="00455878" w:rsidP="00455878">
      <w:pPr>
        <w:jc w:val="both"/>
        <w:rPr>
          <w:rFonts w:cs="Arial"/>
          <w:szCs w:val="20"/>
        </w:rPr>
      </w:pPr>
      <w:r w:rsidRPr="00455878">
        <w:rPr>
          <w:rFonts w:cs="Arial"/>
          <w:szCs w:val="20"/>
        </w:rPr>
        <w:t>2.      izvajanje nalog pristojnega organa in njegovo obveznost sodelovanja v skladu z Uredbo 2019/1238/EU in tem zakonom;</w:t>
      </w:r>
    </w:p>
    <w:p w14:paraId="70987BAE" w14:textId="77777777" w:rsidR="00455878" w:rsidRPr="00455878" w:rsidRDefault="00455878" w:rsidP="00455878">
      <w:pPr>
        <w:jc w:val="both"/>
        <w:rPr>
          <w:rFonts w:cs="Arial"/>
          <w:szCs w:val="20"/>
        </w:rPr>
      </w:pPr>
      <w:r w:rsidRPr="00455878">
        <w:rPr>
          <w:rFonts w:cs="Arial"/>
          <w:szCs w:val="20"/>
        </w:rPr>
        <w:t>3.      merila, ki se uporabljajo za ocenjevanje znanja in sposobnosti oseb, ki opravljajo distribucijo PEPP;</w:t>
      </w:r>
    </w:p>
    <w:p w14:paraId="24CDC5A3" w14:textId="77777777" w:rsidR="00455878" w:rsidRPr="00455878" w:rsidRDefault="00455878" w:rsidP="00455878">
      <w:pPr>
        <w:jc w:val="both"/>
        <w:rPr>
          <w:rFonts w:cs="Arial"/>
          <w:szCs w:val="20"/>
        </w:rPr>
      </w:pPr>
      <w:r w:rsidRPr="00455878">
        <w:rPr>
          <w:rFonts w:cs="Arial"/>
          <w:szCs w:val="20"/>
        </w:rPr>
        <w:lastRenderedPageBreak/>
        <w:t>4.      pogoje varčevanja v PEPP in pogoje izplačevanja iz PEPP;</w:t>
      </w:r>
    </w:p>
    <w:p w14:paraId="0523C8C6" w14:textId="77777777" w:rsidR="00455878" w:rsidRPr="00455878" w:rsidRDefault="00455878" w:rsidP="00455878">
      <w:pPr>
        <w:jc w:val="both"/>
        <w:rPr>
          <w:rFonts w:cs="Arial"/>
          <w:szCs w:val="20"/>
        </w:rPr>
      </w:pPr>
      <w:r w:rsidRPr="00455878">
        <w:rPr>
          <w:rFonts w:cs="Arial"/>
          <w:szCs w:val="20"/>
        </w:rPr>
        <w:t>5.      obveznosti poročanja Evropskemu organu za zavarovanja in poklicne pokojnine (v nadaljnjem besedilu: EIOPA);</w:t>
      </w:r>
    </w:p>
    <w:p w14:paraId="48D9FD24" w14:textId="77777777" w:rsidR="00455878" w:rsidRPr="00455878" w:rsidRDefault="00455878" w:rsidP="00455878">
      <w:pPr>
        <w:jc w:val="both"/>
        <w:rPr>
          <w:rFonts w:cs="Arial"/>
          <w:szCs w:val="20"/>
        </w:rPr>
      </w:pPr>
      <w:r w:rsidRPr="00455878">
        <w:rPr>
          <w:rFonts w:cs="Arial"/>
          <w:szCs w:val="20"/>
        </w:rPr>
        <w:t>6.      objavo podatkov o izrečenih nadzornih ukrepih in sankcijah na spletni strani pristojnega organa in</w:t>
      </w:r>
    </w:p>
    <w:p w14:paraId="6DD1242B" w14:textId="77777777" w:rsidR="00455878" w:rsidRPr="00455878" w:rsidRDefault="00455878" w:rsidP="00455878">
      <w:pPr>
        <w:jc w:val="both"/>
        <w:rPr>
          <w:rFonts w:cs="Arial"/>
          <w:szCs w:val="20"/>
        </w:rPr>
      </w:pPr>
      <w:r w:rsidRPr="00455878">
        <w:rPr>
          <w:rFonts w:cs="Arial"/>
          <w:szCs w:val="20"/>
        </w:rPr>
        <w:t>7.      nadzorne ukrepe in prekrške ter globe v zvezi z izvajanjem Uredbe 2019/1238/EU.</w:t>
      </w:r>
    </w:p>
    <w:p w14:paraId="0B657A83" w14:textId="77777777" w:rsidR="00455878" w:rsidRDefault="00455878" w:rsidP="00572B2F">
      <w:pPr>
        <w:jc w:val="both"/>
        <w:rPr>
          <w:rFonts w:cs="Arial"/>
          <w:szCs w:val="20"/>
        </w:rPr>
      </w:pPr>
    </w:p>
    <w:p w14:paraId="4A0F6C3E" w14:textId="77777777" w:rsidR="00572B2F" w:rsidRDefault="00572B2F" w:rsidP="00572B2F">
      <w:pPr>
        <w:jc w:val="both"/>
        <w:rPr>
          <w:rFonts w:cs="Arial"/>
          <w:szCs w:val="20"/>
        </w:rPr>
      </w:pPr>
    </w:p>
    <w:p w14:paraId="4CB85679" w14:textId="77777777" w:rsidR="00572B2F" w:rsidRPr="001C0C0C" w:rsidRDefault="00572B2F" w:rsidP="00A3280F">
      <w:pPr>
        <w:jc w:val="both"/>
        <w:rPr>
          <w:rFonts w:cs="Arial"/>
          <w:b/>
          <w:bCs/>
          <w:szCs w:val="20"/>
        </w:rPr>
      </w:pPr>
      <w:r w:rsidRPr="001C0C0C">
        <w:rPr>
          <w:rFonts w:cs="Arial"/>
          <w:b/>
          <w:bCs/>
          <w:szCs w:val="20"/>
        </w:rPr>
        <w:t>Zakon o izvajanju Uredbe (EU) o trgih kriptosredstev (Uradni list RS, št. 95/24)</w:t>
      </w:r>
    </w:p>
    <w:p w14:paraId="56DA3287" w14:textId="77777777" w:rsidR="00572B2F" w:rsidRDefault="00572B2F" w:rsidP="00572B2F">
      <w:pPr>
        <w:jc w:val="both"/>
        <w:rPr>
          <w:rFonts w:cs="Arial"/>
          <w:szCs w:val="20"/>
        </w:rPr>
      </w:pPr>
    </w:p>
    <w:p w14:paraId="0BD14554" w14:textId="77777777" w:rsidR="00455878" w:rsidRPr="00455878" w:rsidRDefault="00455878" w:rsidP="001C0C0C">
      <w:pPr>
        <w:jc w:val="center"/>
        <w:rPr>
          <w:rFonts w:cs="Arial"/>
          <w:b/>
          <w:bCs/>
          <w:szCs w:val="20"/>
        </w:rPr>
      </w:pPr>
      <w:r w:rsidRPr="00455878">
        <w:rPr>
          <w:rFonts w:cs="Arial"/>
          <w:b/>
          <w:bCs/>
          <w:szCs w:val="20"/>
        </w:rPr>
        <w:t>1. člen</w:t>
      </w:r>
    </w:p>
    <w:p w14:paraId="765D6AA6" w14:textId="77777777" w:rsidR="00455878" w:rsidRPr="00455878" w:rsidRDefault="00455878" w:rsidP="001C0C0C">
      <w:pPr>
        <w:jc w:val="center"/>
        <w:rPr>
          <w:rFonts w:cs="Arial"/>
          <w:b/>
          <w:bCs/>
          <w:szCs w:val="20"/>
        </w:rPr>
      </w:pPr>
      <w:r w:rsidRPr="00455878">
        <w:rPr>
          <w:rFonts w:cs="Arial"/>
          <w:b/>
          <w:bCs/>
          <w:szCs w:val="20"/>
        </w:rPr>
        <w:t>(vsebina)</w:t>
      </w:r>
    </w:p>
    <w:p w14:paraId="78D158EA" w14:textId="77777777" w:rsidR="00455878" w:rsidRPr="00455878" w:rsidRDefault="00455878" w:rsidP="00455878">
      <w:pPr>
        <w:jc w:val="both"/>
        <w:rPr>
          <w:rFonts w:cs="Arial"/>
          <w:szCs w:val="20"/>
        </w:rPr>
      </w:pPr>
      <w:r w:rsidRPr="00455878">
        <w:rPr>
          <w:rFonts w:cs="Arial"/>
          <w:szCs w:val="20"/>
        </w:rPr>
        <w:t>S tem zakonom se za izvajanje </w:t>
      </w:r>
      <w:r w:rsidRPr="001C0C0C">
        <w:t>Uredbe (EU) 2023/1114</w:t>
      </w:r>
      <w:r w:rsidRPr="00455878">
        <w:rPr>
          <w:rFonts w:cs="Arial"/>
          <w:szCs w:val="20"/>
        </w:rPr>
        <w:t> Evropskega parlamenta in Sveta z dne 31. maja 2023 o trgih kriptosredstev in spremembi </w:t>
      </w:r>
      <w:r w:rsidRPr="001C0C0C">
        <w:t>uredb (EU) št. 1093/2010</w:t>
      </w:r>
      <w:r w:rsidRPr="00455878">
        <w:rPr>
          <w:rFonts w:cs="Arial"/>
          <w:szCs w:val="20"/>
        </w:rPr>
        <w:t> in </w:t>
      </w:r>
      <w:r w:rsidRPr="001C0C0C">
        <w:t>(EU) št. 1095/2010</w:t>
      </w:r>
      <w:r w:rsidRPr="00455878">
        <w:rPr>
          <w:rFonts w:cs="Arial"/>
          <w:szCs w:val="20"/>
        </w:rPr>
        <w:t> ter </w:t>
      </w:r>
      <w:r w:rsidRPr="001C0C0C">
        <w:t>direktiv 2013/36/EU</w:t>
      </w:r>
      <w:r w:rsidRPr="00455878">
        <w:rPr>
          <w:rFonts w:cs="Arial"/>
          <w:szCs w:val="20"/>
        </w:rPr>
        <w:t> in </w:t>
      </w:r>
      <w:r w:rsidRPr="001C0C0C">
        <w:t>(EU) 2019/1937</w:t>
      </w:r>
      <w:r w:rsidRPr="00455878">
        <w:rPr>
          <w:rFonts w:cs="Arial"/>
          <w:szCs w:val="20"/>
        </w:rPr>
        <w:t> (UL L št. 150 z dne 9. 6. 2023, str. 1), zadnjič spremenjene z </w:t>
      </w:r>
      <w:r w:rsidRPr="001C0C0C">
        <w:t>Delegirano uredbo Komisije (EU) 2024/1507</w:t>
      </w:r>
      <w:r w:rsidRPr="00455878">
        <w:rPr>
          <w:rFonts w:cs="Arial"/>
          <w:szCs w:val="20"/>
        </w:rPr>
        <w:t> z dne 22. februarja 2024 o dopolnitvi </w:t>
      </w:r>
      <w:r w:rsidRPr="001C0C0C">
        <w:t>Uredbe (EU) 2023/1114</w:t>
      </w:r>
      <w:r w:rsidRPr="00455878">
        <w:rPr>
          <w:rFonts w:cs="Arial"/>
          <w:szCs w:val="20"/>
        </w:rPr>
        <w:t> Evropskega parlamenta in Sveta z določitvijo meril in dejavnikov, ki jih morajo Evropski organ za vrednostne papirje in trge, Evropski bančni organ in pristojni organi upoštevati v zvezi s svojimi pristojnostmi za poseganje (UL L št. 2024/1507 z dne 30. 5. 2024), (v nadaljnjem besedilu: </w:t>
      </w:r>
      <w:r w:rsidRPr="001C0C0C">
        <w:t>Uredba 2023/1114/EU</w:t>
      </w:r>
      <w:r w:rsidRPr="00455878">
        <w:rPr>
          <w:rFonts w:cs="Arial"/>
          <w:szCs w:val="20"/>
        </w:rPr>
        <w:t>), določata pristojna organa za izdajanje in odvzem dovoljenj ter za nadzor nad ponudniki storitev v zvezi s kriptosredstvi, nad izdajatelji žetonov, vezanih na sredstva in izdajatelji e-denarnih žetonov, nad izdajatelji žetonov, ki niso žetoni, vezani na sredstva ali e-denarni žetoni, določata enotni točki za sodelovanje s pristojnimi organi držav članic, Evropskim organom za vrednostne papirje (v nadaljnjem besedilu: ESMA) in Evropskim bančnim organom (v nadaljnjem besedilu: EBA), ureja način opravljanja nadzora, določajo nadzorni ukrepi, ureja postopek izrekanja nadzornih ukrepov, ter določajo prekrški in globe v zvezi z izvajanjem </w:t>
      </w:r>
      <w:r w:rsidRPr="001C0C0C">
        <w:t>Uredbe 2023/1114/EU</w:t>
      </w:r>
      <w:r w:rsidRPr="00455878">
        <w:rPr>
          <w:rFonts w:cs="Arial"/>
          <w:szCs w:val="20"/>
        </w:rPr>
        <w:t>.</w:t>
      </w:r>
    </w:p>
    <w:p w14:paraId="124CF788" w14:textId="77777777" w:rsidR="00D9613C" w:rsidRDefault="00D9613C" w:rsidP="00D9613C">
      <w:pPr>
        <w:jc w:val="both"/>
        <w:rPr>
          <w:rFonts w:cs="Arial"/>
          <w:b/>
          <w:bCs/>
          <w:szCs w:val="20"/>
        </w:rPr>
      </w:pPr>
    </w:p>
    <w:p w14:paraId="22804D73" w14:textId="77777777" w:rsidR="00455878" w:rsidRDefault="00455878" w:rsidP="00572B2F">
      <w:pPr>
        <w:jc w:val="both"/>
        <w:rPr>
          <w:rFonts w:cs="Arial"/>
          <w:szCs w:val="20"/>
        </w:rPr>
      </w:pPr>
    </w:p>
    <w:p w14:paraId="2F27ECFA" w14:textId="77777777" w:rsidR="00B32776" w:rsidRDefault="00B32776" w:rsidP="00C64B3F">
      <w:pPr>
        <w:spacing w:line="260" w:lineRule="exact"/>
        <w:jc w:val="both"/>
        <w:rPr>
          <w:rFonts w:cs="Arial"/>
          <w:b/>
          <w:szCs w:val="20"/>
        </w:rPr>
      </w:pPr>
    </w:p>
    <w:p w14:paraId="02362C4A" w14:textId="77777777" w:rsidR="00E16CD0" w:rsidRPr="00732B0A" w:rsidRDefault="00E16CD0" w:rsidP="00C64B3F">
      <w:pPr>
        <w:spacing w:line="240" w:lineRule="auto"/>
        <w:jc w:val="both"/>
        <w:rPr>
          <w:rFonts w:cs="Arial"/>
          <w:szCs w:val="20"/>
        </w:rPr>
      </w:pPr>
    </w:p>
    <w:p w14:paraId="734DD052" w14:textId="2BE40CDF" w:rsidR="00E16CD0" w:rsidRPr="00732B0A" w:rsidRDefault="00E16CD0" w:rsidP="00C64B3F">
      <w:pPr>
        <w:ind w:left="709" w:hanging="709"/>
        <w:jc w:val="both"/>
        <w:rPr>
          <w:rFonts w:cs="Arial"/>
          <w:szCs w:val="20"/>
        </w:rPr>
      </w:pPr>
      <w:r w:rsidRPr="00732B0A">
        <w:rPr>
          <w:rFonts w:cs="Arial"/>
          <w:b/>
          <w:szCs w:val="20"/>
        </w:rPr>
        <w:t>V. PRILOGE:</w:t>
      </w:r>
    </w:p>
    <w:p w14:paraId="0B3DD7E6" w14:textId="77777777" w:rsidR="00042A13" w:rsidRDefault="00042A13" w:rsidP="00C64B3F">
      <w:pPr>
        <w:spacing w:line="240" w:lineRule="auto"/>
        <w:jc w:val="both"/>
        <w:rPr>
          <w:rFonts w:cs="Arial"/>
          <w:bCs/>
          <w:szCs w:val="20"/>
        </w:rPr>
      </w:pPr>
    </w:p>
    <w:p w14:paraId="66CE8460" w14:textId="2C3448D0" w:rsidR="00EC745F" w:rsidRPr="00EC745F" w:rsidRDefault="00EC745F" w:rsidP="00EC745F">
      <w:pPr>
        <w:pStyle w:val="Odstavekseznama"/>
        <w:numPr>
          <w:ilvl w:val="0"/>
          <w:numId w:val="57"/>
        </w:numPr>
        <w:spacing w:line="240" w:lineRule="auto"/>
        <w:jc w:val="both"/>
        <w:rPr>
          <w:rFonts w:cs="Arial"/>
          <w:bCs/>
          <w:szCs w:val="20"/>
        </w:rPr>
      </w:pPr>
      <w:r>
        <w:rPr>
          <w:rFonts w:cs="Arial"/>
          <w:bCs/>
          <w:szCs w:val="20"/>
        </w:rPr>
        <w:t>izjava o skladnosti</w:t>
      </w:r>
      <w:bookmarkStart w:id="74" w:name="_GoBack"/>
      <w:bookmarkEnd w:id="74"/>
    </w:p>
    <w:sectPr w:rsidR="00EC745F" w:rsidRPr="00EC745F" w:rsidSect="00D0002D">
      <w:headerReference w:type="default" r:id="rId14"/>
      <w:headerReference w:type="first" r:id="rId15"/>
      <w:pgSz w:w="11900" w:h="16840" w:code="9"/>
      <w:pgMar w:top="1701" w:right="1701" w:bottom="1418"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FB070C" w14:textId="77777777" w:rsidR="009552B6" w:rsidRDefault="009552B6">
      <w:r>
        <w:separator/>
      </w:r>
    </w:p>
  </w:endnote>
  <w:endnote w:type="continuationSeparator" w:id="0">
    <w:p w14:paraId="2F0D2B3C" w14:textId="77777777" w:rsidR="009552B6" w:rsidRDefault="009552B6">
      <w:r>
        <w:continuationSeparator/>
      </w:r>
    </w:p>
  </w:endnote>
  <w:endnote w:type="continuationNotice" w:id="1">
    <w:p w14:paraId="6E0E88A7" w14:textId="77777777" w:rsidR="009552B6" w:rsidRDefault="009552B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implified Arabic Fixed">
    <w:altName w:val="Courier New"/>
    <w:charset w:val="B2"/>
    <w:family w:val="modern"/>
    <w:pitch w:val="fixed"/>
    <w:sig w:usb0="00000000" w:usb1="00000000" w:usb2="00000008" w:usb3="00000000" w:csb0="0000004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6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B324C9" w14:textId="77777777" w:rsidR="009552B6" w:rsidRDefault="009552B6">
      <w:r>
        <w:separator/>
      </w:r>
    </w:p>
  </w:footnote>
  <w:footnote w:type="continuationSeparator" w:id="0">
    <w:p w14:paraId="7AAFC746" w14:textId="77777777" w:rsidR="009552B6" w:rsidRDefault="009552B6">
      <w:r>
        <w:continuationSeparator/>
      </w:r>
    </w:p>
  </w:footnote>
  <w:footnote w:type="continuationNotice" w:id="1">
    <w:p w14:paraId="7EA04942" w14:textId="77777777" w:rsidR="009552B6" w:rsidRDefault="009552B6">
      <w:pPr>
        <w:spacing w:line="240" w:lineRule="auto"/>
      </w:pPr>
    </w:p>
  </w:footnote>
  <w:footnote w:id="2">
    <w:p w14:paraId="7547CFAB" w14:textId="77777777" w:rsidR="000966FE" w:rsidRDefault="000966FE">
      <w:pPr>
        <w:pStyle w:val="Sprotnaopomba-besedilo"/>
      </w:pPr>
      <w:r>
        <w:rPr>
          <w:rStyle w:val="Sprotnaopomba-sklic"/>
        </w:rPr>
        <w:footnoteRef/>
      </w:r>
      <w:r>
        <w:t xml:space="preserve"> </w:t>
      </w:r>
      <w:r w:rsidRPr="00C85A50">
        <w:rPr>
          <w:sz w:val="16"/>
          <w:szCs w:val="16"/>
          <w:lang w:val="en-US"/>
        </w:rPr>
        <w:t>Commission staff working document, Impact assessment report, Accompanying the documents Proposal for a Regulation of the European Parliament and of the Council establishing a European single access point providing centralised access to publicly available information of relevance to financial services, capital markets and sustainability,  Proposal for a Regulation of the European Parliament and of the Council and amending certain Regulations as regards the establishment and functioning of the European single access point (SWD(2021) 344 final)</w:t>
      </w:r>
      <w:r>
        <w:rPr>
          <w:sz w:val="16"/>
          <w:szCs w:val="16"/>
          <w:lang w:val="en-US"/>
        </w:rPr>
        <w:t>.</w:t>
      </w:r>
    </w:p>
  </w:footnote>
  <w:footnote w:id="3">
    <w:p w14:paraId="1E2641E5" w14:textId="77777777" w:rsidR="006026E4" w:rsidRDefault="006026E4" w:rsidP="006026E4">
      <w:pPr>
        <w:pStyle w:val="Sprotnaopomba-besedilo"/>
      </w:pPr>
      <w:r>
        <w:rPr>
          <w:rStyle w:val="Sprotnaopomba-sklic"/>
        </w:rPr>
        <w:footnoteRef/>
      </w:r>
      <w:r>
        <w:t xml:space="preserve"> </w:t>
      </w:r>
      <w:r w:rsidRPr="002F66F3">
        <w:rPr>
          <w:rFonts w:ascii="Arial" w:hAnsi="Arial" w:cs="Arial"/>
        </w:rPr>
        <w:t>Voršič</w:t>
      </w:r>
      <w:r>
        <w:rPr>
          <w:rFonts w:ascii="Arial" w:hAnsi="Arial" w:cs="Arial"/>
        </w:rPr>
        <w:t>,</w:t>
      </w:r>
      <w:r w:rsidRPr="002F66F3">
        <w:rPr>
          <w:rFonts w:ascii="Arial" w:hAnsi="Arial" w:cs="Arial"/>
        </w:rPr>
        <w:t xml:space="preserve"> Nataša, Štrus</w:t>
      </w:r>
      <w:r>
        <w:rPr>
          <w:rFonts w:ascii="Arial" w:hAnsi="Arial" w:cs="Arial"/>
        </w:rPr>
        <w:t>,</w:t>
      </w:r>
      <w:r w:rsidRPr="002F66F3">
        <w:rPr>
          <w:rFonts w:ascii="Arial" w:hAnsi="Arial" w:cs="Arial"/>
        </w:rPr>
        <w:t xml:space="preserve"> Dušan, Interventni zakoni in zakoni o nujnih ukrepih v pravnem redu Republike Slovenije, Pravna praksa, št. 6</w:t>
      </w:r>
      <w:r>
        <w:rPr>
          <w:rFonts w:ascii="Arial" w:hAnsi="Arial" w:cs="Arial"/>
        </w:rPr>
        <w:t>–</w:t>
      </w:r>
      <w:r w:rsidRPr="002F66F3">
        <w:rPr>
          <w:rFonts w:ascii="Arial" w:hAnsi="Arial" w:cs="Arial"/>
        </w:rPr>
        <w:t>7, 2024, str. 29.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7627C" w14:textId="77777777" w:rsidR="000966FE" w:rsidRPr="00110CBD" w:rsidRDefault="000966FE"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5762FB" w14:textId="77777777" w:rsidR="000966FE" w:rsidRPr="007175FE" w:rsidRDefault="000966FE" w:rsidP="007D75CF">
    <w:pPr>
      <w:pStyle w:val="Glava"/>
      <w:tabs>
        <w:tab w:val="clear" w:pos="4320"/>
        <w:tab w:val="clear" w:pos="8640"/>
        <w:tab w:val="left" w:pos="5112"/>
      </w:tabs>
      <w:rPr>
        <w:lang w:val="de-D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C23EF"/>
    <w:multiLevelType w:val="hybridMultilevel"/>
    <w:tmpl w:val="C1649D1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137AB4"/>
    <w:multiLevelType w:val="hybridMultilevel"/>
    <w:tmpl w:val="52E0E716"/>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163D06"/>
    <w:multiLevelType w:val="multilevel"/>
    <w:tmpl w:val="BC34BD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671ED1"/>
    <w:multiLevelType w:val="hybridMultilevel"/>
    <w:tmpl w:val="CC149A1E"/>
    <w:lvl w:ilvl="0" w:tplc="C7D6F85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3B69E6"/>
    <w:multiLevelType w:val="hybridMultilevel"/>
    <w:tmpl w:val="C60EBA5C"/>
    <w:lvl w:ilvl="0" w:tplc="EE107392">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8A855DF"/>
    <w:multiLevelType w:val="hybridMultilevel"/>
    <w:tmpl w:val="2CD8A9C2"/>
    <w:lvl w:ilvl="0" w:tplc="63FA0962">
      <w:start w:val="1"/>
      <w:numFmt w:val="bullet"/>
      <w:lvlText w:val="-"/>
      <w:lvlJc w:val="center"/>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93E39CB"/>
    <w:multiLevelType w:val="hybridMultilevel"/>
    <w:tmpl w:val="D29E941A"/>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A8D70D9"/>
    <w:multiLevelType w:val="hybridMultilevel"/>
    <w:tmpl w:val="C2305EF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DF34860"/>
    <w:multiLevelType w:val="hybridMultilevel"/>
    <w:tmpl w:val="FE5CBAA6"/>
    <w:lvl w:ilvl="0" w:tplc="0424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1812938"/>
    <w:multiLevelType w:val="hybridMultilevel"/>
    <w:tmpl w:val="17C89926"/>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4B05DE5"/>
    <w:multiLevelType w:val="hybridMultilevel"/>
    <w:tmpl w:val="D9D458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6667598"/>
    <w:multiLevelType w:val="multilevel"/>
    <w:tmpl w:val="0F824AC8"/>
    <w:lvl w:ilvl="0">
      <w:start w:val="1"/>
      <w:numFmt w:val="bullet"/>
      <w:lvlText w:val=""/>
      <w:lvlJc w:val="left"/>
      <w:pPr>
        <w:ind w:left="284"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2" w15:restartNumberingAfterBreak="0">
    <w:nsid w:val="19062A8B"/>
    <w:multiLevelType w:val="hybridMultilevel"/>
    <w:tmpl w:val="B568FCEC"/>
    <w:lvl w:ilvl="0" w:tplc="6C068262">
      <w:start w:val="1"/>
      <w:numFmt w:val="bullet"/>
      <w:lvlText w:val="-"/>
      <w:lvlJc w:val="left"/>
      <w:pPr>
        <w:ind w:left="720" w:hanging="360"/>
      </w:pPr>
      <w:rPr>
        <w:rFonts w:ascii="Simplified Arabic Fixed" w:hAnsi="Simplified Arabic Fixed"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start w:val="1"/>
      <w:numFmt w:val="lowerLetter"/>
      <w:lvlText w:val="%2."/>
      <w:lvlJc w:val="left"/>
      <w:pPr>
        <w:ind w:left="2234" w:hanging="360"/>
      </w:pPr>
    </w:lvl>
    <w:lvl w:ilvl="2" w:tplc="0424001B">
      <w:start w:val="1"/>
      <w:numFmt w:val="lowerRoman"/>
      <w:lvlText w:val="%3."/>
      <w:lvlJc w:val="right"/>
      <w:pPr>
        <w:ind w:left="2954" w:hanging="180"/>
      </w:pPr>
    </w:lvl>
    <w:lvl w:ilvl="3" w:tplc="0424000F">
      <w:start w:val="1"/>
      <w:numFmt w:val="decimal"/>
      <w:lvlText w:val="%4."/>
      <w:lvlJc w:val="left"/>
      <w:pPr>
        <w:ind w:left="3674" w:hanging="360"/>
      </w:pPr>
    </w:lvl>
    <w:lvl w:ilvl="4" w:tplc="04240019">
      <w:start w:val="1"/>
      <w:numFmt w:val="lowerLetter"/>
      <w:lvlText w:val="%5."/>
      <w:lvlJc w:val="left"/>
      <w:pPr>
        <w:ind w:left="4394" w:hanging="360"/>
      </w:pPr>
    </w:lvl>
    <w:lvl w:ilvl="5" w:tplc="0424001B">
      <w:start w:val="1"/>
      <w:numFmt w:val="lowerRoman"/>
      <w:lvlText w:val="%6."/>
      <w:lvlJc w:val="right"/>
      <w:pPr>
        <w:ind w:left="5114" w:hanging="180"/>
      </w:pPr>
    </w:lvl>
    <w:lvl w:ilvl="6" w:tplc="0424000F">
      <w:start w:val="1"/>
      <w:numFmt w:val="decimal"/>
      <w:lvlText w:val="%7."/>
      <w:lvlJc w:val="left"/>
      <w:pPr>
        <w:ind w:left="5834" w:hanging="360"/>
      </w:pPr>
    </w:lvl>
    <w:lvl w:ilvl="7" w:tplc="04240019">
      <w:start w:val="1"/>
      <w:numFmt w:val="lowerLetter"/>
      <w:lvlText w:val="%8."/>
      <w:lvlJc w:val="left"/>
      <w:pPr>
        <w:ind w:left="6554" w:hanging="360"/>
      </w:pPr>
    </w:lvl>
    <w:lvl w:ilvl="8" w:tplc="0424001B">
      <w:start w:val="1"/>
      <w:numFmt w:val="lowerRoman"/>
      <w:lvlText w:val="%9."/>
      <w:lvlJc w:val="right"/>
      <w:pPr>
        <w:ind w:left="7274" w:hanging="180"/>
      </w:pPr>
    </w:lvl>
  </w:abstractNum>
  <w:abstractNum w:abstractNumId="14" w15:restartNumberingAfterBreak="0">
    <w:nsid w:val="1B747244"/>
    <w:multiLevelType w:val="hybridMultilevel"/>
    <w:tmpl w:val="E29649C4"/>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C3C5682"/>
    <w:multiLevelType w:val="hybridMultilevel"/>
    <w:tmpl w:val="760C1568"/>
    <w:lvl w:ilvl="0" w:tplc="52DA0AB0">
      <w:start w:val="1"/>
      <w:numFmt w:val="upperRoman"/>
      <w:pStyle w:val="Odsek"/>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6" w15:restartNumberingAfterBreak="0">
    <w:nsid w:val="223577DD"/>
    <w:multiLevelType w:val="hybridMultilevel"/>
    <w:tmpl w:val="3BCEB552"/>
    <w:lvl w:ilvl="0" w:tplc="6C068262">
      <w:start w:val="1"/>
      <w:numFmt w:val="bullet"/>
      <w:lvlText w:val="-"/>
      <w:lvlJc w:val="left"/>
      <w:pPr>
        <w:ind w:left="720" w:hanging="360"/>
      </w:pPr>
      <w:rPr>
        <w:rFonts w:ascii="Simplified Arabic Fixed" w:hAnsi="Simplified Arabic Fixed"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2442226F"/>
    <w:multiLevelType w:val="hybridMultilevel"/>
    <w:tmpl w:val="59C445F2"/>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6152590"/>
    <w:multiLevelType w:val="hybridMultilevel"/>
    <w:tmpl w:val="A1826B0C"/>
    <w:lvl w:ilvl="0" w:tplc="AF90B5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7AA592F"/>
    <w:multiLevelType w:val="hybridMultilevel"/>
    <w:tmpl w:val="67162750"/>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7B452E0"/>
    <w:multiLevelType w:val="hybridMultilevel"/>
    <w:tmpl w:val="4C26DB8A"/>
    <w:lvl w:ilvl="0" w:tplc="00000005">
      <w:start w:val="1"/>
      <w:numFmt w:val="bullet"/>
      <w:lvlText w:val=""/>
      <w:lvlJc w:val="left"/>
      <w:pPr>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8BA3448"/>
    <w:multiLevelType w:val="hybridMultilevel"/>
    <w:tmpl w:val="532C1520"/>
    <w:lvl w:ilvl="0" w:tplc="2188E894">
      <w:start w:val="6"/>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 w15:restartNumberingAfterBreak="0">
    <w:nsid w:val="2A704B46"/>
    <w:multiLevelType w:val="hybridMultilevel"/>
    <w:tmpl w:val="94E8F860"/>
    <w:lvl w:ilvl="0" w:tplc="0D5E2966">
      <w:start w:val="1"/>
      <w:numFmt w:val="bullet"/>
      <w:pStyle w:val="Naslov1"/>
      <w:lvlText w:val=""/>
      <w:lvlJc w:val="left"/>
      <w:pPr>
        <w:ind w:left="997" w:hanging="360"/>
      </w:pPr>
      <w:rPr>
        <w:rFonts w:ascii="Symbol" w:hAnsi="Symbol" w:cs="Symbol" w:hint="default"/>
        <w:color w:val="auto"/>
      </w:rPr>
    </w:lvl>
    <w:lvl w:ilvl="1" w:tplc="04240003" w:tentative="1">
      <w:start w:val="1"/>
      <w:numFmt w:val="bullet"/>
      <w:lvlText w:val="o"/>
      <w:lvlJc w:val="left"/>
      <w:pPr>
        <w:ind w:left="1717" w:hanging="360"/>
      </w:pPr>
      <w:rPr>
        <w:rFonts w:ascii="Courier New" w:hAnsi="Courier New" w:cs="Courier New" w:hint="default"/>
      </w:rPr>
    </w:lvl>
    <w:lvl w:ilvl="2" w:tplc="04240005" w:tentative="1">
      <w:start w:val="1"/>
      <w:numFmt w:val="bullet"/>
      <w:lvlText w:val=""/>
      <w:lvlJc w:val="left"/>
      <w:pPr>
        <w:ind w:left="2437" w:hanging="360"/>
      </w:pPr>
      <w:rPr>
        <w:rFonts w:ascii="Wingdings" w:hAnsi="Wingdings" w:hint="default"/>
      </w:rPr>
    </w:lvl>
    <w:lvl w:ilvl="3" w:tplc="04240001" w:tentative="1">
      <w:start w:val="1"/>
      <w:numFmt w:val="bullet"/>
      <w:lvlText w:val=""/>
      <w:lvlJc w:val="left"/>
      <w:pPr>
        <w:ind w:left="3157" w:hanging="360"/>
      </w:pPr>
      <w:rPr>
        <w:rFonts w:ascii="Symbol" w:hAnsi="Symbol" w:hint="default"/>
      </w:rPr>
    </w:lvl>
    <w:lvl w:ilvl="4" w:tplc="04240003" w:tentative="1">
      <w:start w:val="1"/>
      <w:numFmt w:val="bullet"/>
      <w:lvlText w:val="o"/>
      <w:lvlJc w:val="left"/>
      <w:pPr>
        <w:ind w:left="3877" w:hanging="360"/>
      </w:pPr>
      <w:rPr>
        <w:rFonts w:ascii="Courier New" w:hAnsi="Courier New" w:cs="Courier New" w:hint="default"/>
      </w:rPr>
    </w:lvl>
    <w:lvl w:ilvl="5" w:tplc="04240005" w:tentative="1">
      <w:start w:val="1"/>
      <w:numFmt w:val="bullet"/>
      <w:lvlText w:val=""/>
      <w:lvlJc w:val="left"/>
      <w:pPr>
        <w:ind w:left="4597" w:hanging="360"/>
      </w:pPr>
      <w:rPr>
        <w:rFonts w:ascii="Wingdings" w:hAnsi="Wingdings" w:hint="default"/>
      </w:rPr>
    </w:lvl>
    <w:lvl w:ilvl="6" w:tplc="04240001" w:tentative="1">
      <w:start w:val="1"/>
      <w:numFmt w:val="bullet"/>
      <w:lvlText w:val=""/>
      <w:lvlJc w:val="left"/>
      <w:pPr>
        <w:ind w:left="5317" w:hanging="360"/>
      </w:pPr>
      <w:rPr>
        <w:rFonts w:ascii="Symbol" w:hAnsi="Symbol" w:hint="default"/>
      </w:rPr>
    </w:lvl>
    <w:lvl w:ilvl="7" w:tplc="04240003" w:tentative="1">
      <w:start w:val="1"/>
      <w:numFmt w:val="bullet"/>
      <w:lvlText w:val="o"/>
      <w:lvlJc w:val="left"/>
      <w:pPr>
        <w:ind w:left="6037" w:hanging="360"/>
      </w:pPr>
      <w:rPr>
        <w:rFonts w:ascii="Courier New" w:hAnsi="Courier New" w:cs="Courier New" w:hint="default"/>
      </w:rPr>
    </w:lvl>
    <w:lvl w:ilvl="8" w:tplc="04240005" w:tentative="1">
      <w:start w:val="1"/>
      <w:numFmt w:val="bullet"/>
      <w:lvlText w:val=""/>
      <w:lvlJc w:val="left"/>
      <w:pPr>
        <w:ind w:left="6757" w:hanging="360"/>
      </w:pPr>
      <w:rPr>
        <w:rFonts w:ascii="Wingdings" w:hAnsi="Wingdings" w:hint="default"/>
      </w:rPr>
    </w:lvl>
  </w:abstractNum>
  <w:abstractNum w:abstractNumId="2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7"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EB33D75"/>
    <w:multiLevelType w:val="hybridMultilevel"/>
    <w:tmpl w:val="EAAA3716"/>
    <w:lvl w:ilvl="0" w:tplc="6C068262">
      <w:start w:val="1"/>
      <w:numFmt w:val="bullet"/>
      <w:lvlText w:val="-"/>
      <w:lvlJc w:val="left"/>
      <w:pPr>
        <w:ind w:left="720" w:hanging="360"/>
      </w:pPr>
      <w:rPr>
        <w:rFonts w:ascii="Simplified Arabic Fixed" w:hAnsi="Simplified Arabic Fixe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2F4649C2"/>
    <w:multiLevelType w:val="hybridMultilevel"/>
    <w:tmpl w:val="C0065912"/>
    <w:lvl w:ilvl="0" w:tplc="C33ECC8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31" w15:restartNumberingAfterBreak="0">
    <w:nsid w:val="32E654F7"/>
    <w:multiLevelType w:val="hybridMultilevel"/>
    <w:tmpl w:val="7FE60020"/>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2E8193B"/>
    <w:multiLevelType w:val="hybridMultilevel"/>
    <w:tmpl w:val="150269E8"/>
    <w:lvl w:ilvl="0" w:tplc="EE107392">
      <w:start w:val="1"/>
      <w:numFmt w:val="decimal"/>
      <w:lvlText w:val="%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34" w15:restartNumberingAfterBreak="0">
    <w:nsid w:val="33405B02"/>
    <w:multiLevelType w:val="hybridMultilevel"/>
    <w:tmpl w:val="5B5EAA2E"/>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42A6804"/>
    <w:multiLevelType w:val="hybridMultilevel"/>
    <w:tmpl w:val="444446C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344217F0"/>
    <w:multiLevelType w:val="hybridMultilevel"/>
    <w:tmpl w:val="EAF8DFA2"/>
    <w:lvl w:ilvl="0" w:tplc="C33ECC8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353606DB"/>
    <w:multiLevelType w:val="hybridMultilevel"/>
    <w:tmpl w:val="2E9EEC0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35693394"/>
    <w:multiLevelType w:val="hybridMultilevel"/>
    <w:tmpl w:val="0AD4DD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caps w:val="0"/>
        <w:strike w:val="0"/>
        <w:dstrike w:val="0"/>
        <w:vanish w:val="0"/>
        <w:webHidden w:val="0"/>
        <w:color w:val="000000"/>
        <w:spacing w:val="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0424000F">
      <w:start w:val="1"/>
      <w:numFmt w:val="decimal"/>
      <w:lvlText w:val="%4."/>
      <w:lvlJc w:val="left"/>
      <w:pPr>
        <w:ind w:left="3277" w:hanging="360"/>
      </w:pPr>
    </w:lvl>
    <w:lvl w:ilvl="4" w:tplc="04240019">
      <w:start w:val="1"/>
      <w:numFmt w:val="lowerLetter"/>
      <w:lvlText w:val="%5."/>
      <w:lvlJc w:val="left"/>
      <w:pPr>
        <w:ind w:left="3997" w:hanging="360"/>
      </w:pPr>
    </w:lvl>
    <w:lvl w:ilvl="5" w:tplc="0424001B">
      <w:start w:val="1"/>
      <w:numFmt w:val="lowerRoman"/>
      <w:lvlText w:val="%6."/>
      <w:lvlJc w:val="right"/>
      <w:pPr>
        <w:ind w:left="4717" w:hanging="180"/>
      </w:pPr>
    </w:lvl>
    <w:lvl w:ilvl="6" w:tplc="0424000F">
      <w:start w:val="1"/>
      <w:numFmt w:val="decimal"/>
      <w:lvlText w:val="%7."/>
      <w:lvlJc w:val="left"/>
      <w:pPr>
        <w:ind w:left="5437" w:hanging="360"/>
      </w:pPr>
    </w:lvl>
    <w:lvl w:ilvl="7" w:tplc="04240019">
      <w:start w:val="1"/>
      <w:numFmt w:val="lowerLetter"/>
      <w:lvlText w:val="%8."/>
      <w:lvlJc w:val="left"/>
      <w:pPr>
        <w:ind w:left="6157" w:hanging="360"/>
      </w:pPr>
    </w:lvl>
    <w:lvl w:ilvl="8" w:tplc="0424001B">
      <w:start w:val="1"/>
      <w:numFmt w:val="lowerRoman"/>
      <w:lvlText w:val="%9."/>
      <w:lvlJc w:val="right"/>
      <w:pPr>
        <w:ind w:left="6877" w:hanging="180"/>
      </w:pPr>
    </w:lvl>
  </w:abstractNum>
  <w:abstractNum w:abstractNumId="4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4" w15:restartNumberingAfterBreak="0">
    <w:nsid w:val="3A8839A5"/>
    <w:multiLevelType w:val="hybridMultilevel"/>
    <w:tmpl w:val="5BAA0D32"/>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3B741D57"/>
    <w:multiLevelType w:val="hybridMultilevel"/>
    <w:tmpl w:val="9EC45AFE"/>
    <w:lvl w:ilvl="0" w:tplc="00000005">
      <w:start w:val="1"/>
      <w:numFmt w:val="bullet"/>
      <w:lvlText w:val=""/>
      <w:lvlJc w:val="left"/>
      <w:pPr>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3CF01186"/>
    <w:multiLevelType w:val="multilevel"/>
    <w:tmpl w:val="E758C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3E516594"/>
    <w:multiLevelType w:val="hybridMultilevel"/>
    <w:tmpl w:val="D632D9A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start w:val="1"/>
      <w:numFmt w:val="lowerLetter"/>
      <w:lvlText w:val="%2."/>
      <w:lvlJc w:val="left"/>
      <w:pPr>
        <w:ind w:left="1270" w:hanging="360"/>
      </w:pPr>
    </w:lvl>
    <w:lvl w:ilvl="2" w:tplc="0424001B">
      <w:start w:val="1"/>
      <w:numFmt w:val="lowerRoman"/>
      <w:lvlText w:val="%3."/>
      <w:lvlJc w:val="right"/>
      <w:pPr>
        <w:ind w:left="1990" w:hanging="180"/>
      </w:pPr>
    </w:lvl>
    <w:lvl w:ilvl="3" w:tplc="0424000F">
      <w:start w:val="1"/>
      <w:numFmt w:val="decimal"/>
      <w:lvlText w:val="%4."/>
      <w:lvlJc w:val="left"/>
      <w:pPr>
        <w:ind w:left="2710" w:hanging="360"/>
      </w:pPr>
    </w:lvl>
    <w:lvl w:ilvl="4" w:tplc="04240019">
      <w:start w:val="1"/>
      <w:numFmt w:val="lowerLetter"/>
      <w:lvlText w:val="%5."/>
      <w:lvlJc w:val="left"/>
      <w:pPr>
        <w:ind w:left="3430" w:hanging="360"/>
      </w:pPr>
    </w:lvl>
    <w:lvl w:ilvl="5" w:tplc="0424001B">
      <w:start w:val="1"/>
      <w:numFmt w:val="lowerRoman"/>
      <w:lvlText w:val="%6."/>
      <w:lvlJc w:val="right"/>
      <w:pPr>
        <w:ind w:left="4150" w:hanging="180"/>
      </w:pPr>
    </w:lvl>
    <w:lvl w:ilvl="6" w:tplc="0424000F">
      <w:start w:val="1"/>
      <w:numFmt w:val="decimal"/>
      <w:lvlText w:val="%7."/>
      <w:lvlJc w:val="left"/>
      <w:pPr>
        <w:ind w:left="4870" w:hanging="360"/>
      </w:pPr>
    </w:lvl>
    <w:lvl w:ilvl="7" w:tplc="04240019">
      <w:start w:val="1"/>
      <w:numFmt w:val="lowerLetter"/>
      <w:lvlText w:val="%8."/>
      <w:lvlJc w:val="left"/>
      <w:pPr>
        <w:ind w:left="5590" w:hanging="360"/>
      </w:pPr>
    </w:lvl>
    <w:lvl w:ilvl="8" w:tplc="0424001B">
      <w:start w:val="1"/>
      <w:numFmt w:val="lowerRoman"/>
      <w:lvlText w:val="%9."/>
      <w:lvlJc w:val="right"/>
      <w:pPr>
        <w:ind w:left="6310" w:hanging="180"/>
      </w:pPr>
    </w:lvl>
  </w:abstractNum>
  <w:abstractNum w:abstractNumId="4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42AA3A63"/>
    <w:multiLevelType w:val="multilevel"/>
    <w:tmpl w:val="156E70D8"/>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15:restartNumberingAfterBreak="0">
    <w:nsid w:val="468D41C2"/>
    <w:multiLevelType w:val="hybridMultilevel"/>
    <w:tmpl w:val="DC94B520"/>
    <w:lvl w:ilvl="0" w:tplc="076E7B82">
      <w:start w:val="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473B64DA"/>
    <w:multiLevelType w:val="hybridMultilevel"/>
    <w:tmpl w:val="8EEEAD3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47EB3A44"/>
    <w:multiLevelType w:val="hybridMultilevel"/>
    <w:tmpl w:val="10A265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6" w15:restartNumberingAfterBreak="0">
    <w:nsid w:val="4B0D0269"/>
    <w:multiLevelType w:val="hybridMultilevel"/>
    <w:tmpl w:val="23109CF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15:restartNumberingAfterBreak="0">
    <w:nsid w:val="50867932"/>
    <w:multiLevelType w:val="hybridMultilevel"/>
    <w:tmpl w:val="A956E41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52DD26AB"/>
    <w:multiLevelType w:val="hybridMultilevel"/>
    <w:tmpl w:val="383E06D2"/>
    <w:lvl w:ilvl="0" w:tplc="C7D6F85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0" w15:restartNumberingAfterBreak="0">
    <w:nsid w:val="52F66B47"/>
    <w:multiLevelType w:val="multilevel"/>
    <w:tmpl w:val="94527A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1" w15:restartNumberingAfterBreak="0">
    <w:nsid w:val="538B4C4B"/>
    <w:multiLevelType w:val="hybridMultilevel"/>
    <w:tmpl w:val="5E126C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564A1C95"/>
    <w:multiLevelType w:val="hybridMultilevel"/>
    <w:tmpl w:val="6E0AED9C"/>
    <w:lvl w:ilvl="0" w:tplc="C7D6F85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3" w15:restartNumberingAfterBreak="0">
    <w:nsid w:val="57885674"/>
    <w:multiLevelType w:val="multilevel"/>
    <w:tmpl w:val="C12C6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7DC5053"/>
    <w:multiLevelType w:val="hybridMultilevel"/>
    <w:tmpl w:val="AB9AE1C2"/>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59630684"/>
    <w:multiLevelType w:val="hybridMultilevel"/>
    <w:tmpl w:val="6C6CC702"/>
    <w:lvl w:ilvl="0" w:tplc="C33ECC8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C3B0CE2"/>
    <w:multiLevelType w:val="hybridMultilevel"/>
    <w:tmpl w:val="DC30BC80"/>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5CBB3A33"/>
    <w:multiLevelType w:val="hybridMultilevel"/>
    <w:tmpl w:val="17461CA6"/>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5EFF1610"/>
    <w:multiLevelType w:val="hybridMultilevel"/>
    <w:tmpl w:val="4B963464"/>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2495C2E"/>
    <w:multiLevelType w:val="hybridMultilevel"/>
    <w:tmpl w:val="37DA2B6A"/>
    <w:lvl w:ilvl="0" w:tplc="EE107392">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630B7615"/>
    <w:multiLevelType w:val="hybridMultilevel"/>
    <w:tmpl w:val="444446C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663F5DAE"/>
    <w:multiLevelType w:val="hybridMultilevel"/>
    <w:tmpl w:val="6C601D8C"/>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66DA12C0"/>
    <w:multiLevelType w:val="hybridMultilevel"/>
    <w:tmpl w:val="162015B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84038CC"/>
    <w:multiLevelType w:val="hybridMultilevel"/>
    <w:tmpl w:val="36AE40C0"/>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69343DA2"/>
    <w:multiLevelType w:val="hybridMultilevel"/>
    <w:tmpl w:val="9198E7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6CF421AC"/>
    <w:multiLevelType w:val="hybridMultilevel"/>
    <w:tmpl w:val="E9A2717E"/>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6E627A0D"/>
    <w:multiLevelType w:val="hybridMultilevel"/>
    <w:tmpl w:val="2912046E"/>
    <w:lvl w:ilvl="0" w:tplc="00000005">
      <w:start w:val="1"/>
      <w:numFmt w:val="bullet"/>
      <w:lvlText w:val=""/>
      <w:lvlJc w:val="left"/>
      <w:pPr>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192429B"/>
    <w:multiLevelType w:val="hybridMultilevel"/>
    <w:tmpl w:val="444446C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82" w15:restartNumberingAfterBreak="0">
    <w:nsid w:val="73C93E3B"/>
    <w:multiLevelType w:val="hybridMultilevel"/>
    <w:tmpl w:val="39AE33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85" w15:restartNumberingAfterBreak="0">
    <w:nsid w:val="7B233B38"/>
    <w:multiLevelType w:val="hybridMultilevel"/>
    <w:tmpl w:val="2CCAA61E"/>
    <w:lvl w:ilvl="0" w:tplc="C33ECC8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7CE0658C"/>
    <w:multiLevelType w:val="hybridMultilevel"/>
    <w:tmpl w:val="444446C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7" w15:restartNumberingAfterBreak="0">
    <w:nsid w:val="7D020471"/>
    <w:multiLevelType w:val="hybridMultilevel"/>
    <w:tmpl w:val="20FE218E"/>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lvl>
    <w:lvl w:ilvl="1" w:tplc="04240019">
      <w:start w:val="1"/>
      <w:numFmt w:val="lowerLetter"/>
      <w:lvlText w:val="%2."/>
      <w:lvlJc w:val="left"/>
      <w:pPr>
        <w:ind w:left="1477" w:hanging="360"/>
      </w:pPr>
    </w:lvl>
    <w:lvl w:ilvl="2" w:tplc="0424001B">
      <w:start w:val="1"/>
      <w:numFmt w:val="lowerRoman"/>
      <w:lvlText w:val="%3."/>
      <w:lvlJc w:val="right"/>
      <w:pPr>
        <w:ind w:left="2197" w:hanging="180"/>
      </w:pPr>
    </w:lvl>
    <w:lvl w:ilvl="3" w:tplc="0424000F">
      <w:start w:val="1"/>
      <w:numFmt w:val="decimal"/>
      <w:lvlText w:val="%4."/>
      <w:lvlJc w:val="left"/>
      <w:pPr>
        <w:ind w:left="2917" w:hanging="360"/>
      </w:pPr>
    </w:lvl>
    <w:lvl w:ilvl="4" w:tplc="04240019">
      <w:start w:val="1"/>
      <w:numFmt w:val="lowerLetter"/>
      <w:lvlText w:val="%5."/>
      <w:lvlJc w:val="left"/>
      <w:pPr>
        <w:ind w:left="3637" w:hanging="360"/>
      </w:pPr>
    </w:lvl>
    <w:lvl w:ilvl="5" w:tplc="0424001B">
      <w:start w:val="1"/>
      <w:numFmt w:val="lowerRoman"/>
      <w:lvlText w:val="%6."/>
      <w:lvlJc w:val="right"/>
      <w:pPr>
        <w:ind w:left="4357" w:hanging="180"/>
      </w:pPr>
    </w:lvl>
    <w:lvl w:ilvl="6" w:tplc="0424000F">
      <w:start w:val="1"/>
      <w:numFmt w:val="decimal"/>
      <w:lvlText w:val="%7."/>
      <w:lvlJc w:val="left"/>
      <w:pPr>
        <w:ind w:left="5077" w:hanging="360"/>
      </w:pPr>
    </w:lvl>
    <w:lvl w:ilvl="7" w:tplc="04240019">
      <w:start w:val="1"/>
      <w:numFmt w:val="lowerLetter"/>
      <w:lvlText w:val="%8."/>
      <w:lvlJc w:val="left"/>
      <w:pPr>
        <w:ind w:left="5797" w:hanging="360"/>
      </w:pPr>
    </w:lvl>
    <w:lvl w:ilvl="8" w:tplc="0424001B">
      <w:start w:val="1"/>
      <w:numFmt w:val="lowerRoman"/>
      <w:lvlText w:val="%9."/>
      <w:lvlJc w:val="right"/>
      <w:pPr>
        <w:ind w:left="6517" w:hanging="180"/>
      </w:pPr>
    </w:lvl>
  </w:abstractNum>
  <w:abstractNum w:abstractNumId="8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41"/>
  </w:num>
  <w:num w:numId="3">
    <w:abstractNumId w:val="73"/>
  </w:num>
  <w:num w:numId="4">
    <w:abstractNumId w:val="89"/>
  </w:num>
  <w:num w:numId="5">
    <w:abstractNumId w:val="30"/>
  </w:num>
  <w:num w:numId="6">
    <w:abstractNumId w:val="81"/>
  </w:num>
  <w:num w:numId="7">
    <w:abstractNumId w:val="83"/>
  </w:num>
  <w:num w:numId="8">
    <w:abstractNumId w:val="50"/>
  </w:num>
  <w:num w:numId="9">
    <w:abstractNumId w:val="25"/>
  </w:num>
  <w:num w:numId="10">
    <w:abstractNumId w:val="37"/>
  </w:num>
  <w:num w:numId="11">
    <w:abstractNumId w:val="27"/>
  </w:num>
  <w:num w:numId="12">
    <w:abstractNumId w:val="51"/>
  </w:num>
  <w:num w:numId="13">
    <w:abstractNumId w:val="67"/>
  </w:num>
  <w:num w:numId="14">
    <w:abstractNumId w:val="77"/>
  </w:num>
  <w:num w:numId="15">
    <w:abstractNumId w:val="57"/>
  </w:num>
  <w:num w:numId="16">
    <w:abstractNumId w:val="58"/>
  </w:num>
  <w:num w:numId="17">
    <w:abstractNumId w:val="24"/>
  </w:num>
  <w:num w:numId="18">
    <w:abstractNumId w:val="19"/>
  </w:num>
  <w:num w:numId="19">
    <w:abstractNumId w:val="10"/>
  </w:num>
  <w:num w:numId="20">
    <w:abstractNumId w:val="82"/>
  </w:num>
  <w:num w:numId="21">
    <w:abstractNumId w:val="53"/>
  </w:num>
  <w:num w:numId="22">
    <w:abstractNumId w:val="22"/>
  </w:num>
  <w:num w:numId="23">
    <w:abstractNumId w:val="29"/>
  </w:num>
  <w:num w:numId="24">
    <w:abstractNumId w:val="60"/>
  </w:num>
  <w:num w:numId="25">
    <w:abstractNumId w:val="63"/>
  </w:num>
  <w:num w:numId="26">
    <w:abstractNumId w:val="65"/>
  </w:num>
  <w:num w:numId="27">
    <w:abstractNumId w:val="85"/>
  </w:num>
  <w:num w:numId="28">
    <w:abstractNumId w:val="79"/>
  </w:num>
  <w:num w:numId="29">
    <w:abstractNumId w:val="2"/>
  </w:num>
  <w:num w:numId="30">
    <w:abstractNumId w:val="36"/>
  </w:num>
  <w:num w:numId="31">
    <w:abstractNumId w:val="21"/>
  </w:num>
  <w:num w:numId="32">
    <w:abstractNumId w:val="45"/>
  </w:num>
  <w:num w:numId="33">
    <w:abstractNumId w:val="43"/>
    <w:lvlOverride w:ilvl="0">
      <w:startOverride w:val="1"/>
    </w:lvlOverride>
  </w:num>
  <w:num w:numId="34">
    <w:abstractNumId w:val="42"/>
  </w:num>
  <w:num w:numId="35">
    <w:abstractNumId w:val="23"/>
  </w:num>
  <w:num w:numId="36">
    <w:abstractNumId w:val="49"/>
  </w:num>
  <w:num w:numId="37">
    <w:abstractNumId w:val="13"/>
  </w:num>
  <w:num w:numId="38">
    <w:abstractNumId w:val="48"/>
  </w:num>
  <w:num w:numId="39">
    <w:abstractNumId w:val="40"/>
  </w:num>
  <w:num w:numId="40">
    <w:abstractNumId w:val="55"/>
  </w:num>
  <w:num w:numId="41">
    <w:abstractNumId w:val="26"/>
  </w:num>
  <w:num w:numId="42">
    <w:abstractNumId w:val="76"/>
  </w:num>
  <w:num w:numId="43">
    <w:abstractNumId w:val="84"/>
  </w:num>
  <w:num w:numId="44">
    <w:abstractNumId w:val="33"/>
  </w:num>
  <w:num w:numId="45">
    <w:abstractNumId w:val="88"/>
  </w:num>
  <w:num w:numId="46">
    <w:abstractNumId w:val="17"/>
  </w:num>
  <w:num w:numId="47">
    <w:abstractNumId w:val="54"/>
  </w:num>
  <w:num w:numId="48">
    <w:abstractNumId w:val="8"/>
  </w:num>
  <w:num w:numId="49">
    <w:abstractNumId w:val="75"/>
  </w:num>
  <w:num w:numId="50">
    <w:abstractNumId w:val="68"/>
  </w:num>
  <w:num w:numId="51">
    <w:abstractNumId w:val="18"/>
  </w:num>
  <w:num w:numId="52">
    <w:abstractNumId w:val="78"/>
  </w:num>
  <w:num w:numId="53">
    <w:abstractNumId w:val="66"/>
  </w:num>
  <w:num w:numId="54">
    <w:abstractNumId w:val="44"/>
  </w:num>
  <w:num w:numId="55">
    <w:abstractNumId w:val="20"/>
  </w:num>
  <w:num w:numId="56">
    <w:abstractNumId w:val="86"/>
  </w:num>
  <w:num w:numId="57">
    <w:abstractNumId w:val="5"/>
  </w:num>
  <w:num w:numId="58">
    <w:abstractNumId w:val="35"/>
  </w:num>
  <w:num w:numId="59">
    <w:abstractNumId w:val="80"/>
  </w:num>
  <w:num w:numId="60">
    <w:abstractNumId w:val="70"/>
  </w:num>
  <w:num w:numId="61">
    <w:abstractNumId w:val="87"/>
  </w:num>
  <w:num w:numId="62">
    <w:abstractNumId w:val="1"/>
  </w:num>
  <w:num w:numId="63">
    <w:abstractNumId w:val="14"/>
  </w:num>
  <w:num w:numId="64">
    <w:abstractNumId w:val="46"/>
  </w:num>
  <w:num w:numId="65">
    <w:abstractNumId w:val="9"/>
  </w:num>
  <w:num w:numId="66">
    <w:abstractNumId w:val="71"/>
  </w:num>
  <w:num w:numId="67">
    <w:abstractNumId w:val="7"/>
  </w:num>
  <w:num w:numId="68">
    <w:abstractNumId w:val="47"/>
  </w:num>
  <w:num w:numId="69">
    <w:abstractNumId w:val="0"/>
  </w:num>
  <w:num w:numId="70">
    <w:abstractNumId w:val="39"/>
  </w:num>
  <w:num w:numId="71">
    <w:abstractNumId w:val="34"/>
  </w:num>
  <w:num w:numId="72">
    <w:abstractNumId w:val="6"/>
  </w:num>
  <w:num w:numId="73">
    <w:abstractNumId w:val="3"/>
  </w:num>
  <w:num w:numId="74">
    <w:abstractNumId w:val="74"/>
  </w:num>
  <w:num w:numId="75">
    <w:abstractNumId w:val="59"/>
  </w:num>
  <w:num w:numId="76">
    <w:abstractNumId w:val="64"/>
  </w:num>
  <w:num w:numId="77">
    <w:abstractNumId w:val="31"/>
  </w:num>
  <w:num w:numId="78">
    <w:abstractNumId w:val="56"/>
  </w:num>
  <w:num w:numId="79">
    <w:abstractNumId w:val="62"/>
  </w:num>
  <w:num w:numId="80">
    <w:abstractNumId w:val="61"/>
  </w:num>
  <w:num w:numId="81">
    <w:abstractNumId w:val="72"/>
  </w:num>
  <w:num w:numId="82">
    <w:abstractNumId w:val="12"/>
  </w:num>
  <w:num w:numId="83">
    <w:abstractNumId w:val="28"/>
  </w:num>
  <w:num w:numId="84">
    <w:abstractNumId w:val="16"/>
  </w:num>
  <w:num w:numId="85">
    <w:abstractNumId w:val="4"/>
  </w:num>
  <w:num w:numId="86">
    <w:abstractNumId w:val="69"/>
  </w:num>
  <w:num w:numId="87">
    <w:abstractNumId w:val="32"/>
  </w:num>
  <w:num w:numId="88">
    <w:abstractNumId w:val="38"/>
  </w:num>
  <w:num w:numId="89">
    <w:abstractNumId w:val="11"/>
  </w:num>
  <w:num w:numId="90">
    <w:abstractNumId w:val="52"/>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activeWritingStyle w:appName="MSWord" w:lang="it-IT"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de-DE" w:vendorID="64" w:dllVersion="0" w:nlCheck="1" w:checkStyle="0"/>
  <w:activeWritingStyle w:appName="MSWord" w:lang="de-DE" w:vendorID="64" w:dllVersion="6" w:nlCheck="1" w:checkStyle="1"/>
  <w:activeWritingStyle w:appName="MSWord" w:lang="it-IT" w:vendorID="64" w:dllVersion="131078" w:nlCheck="1" w:checkStyle="0"/>
  <w:activeWritingStyle w:appName="MSWord" w:lang="en-US" w:vendorID="64" w:dllVersion="131078" w:nlCheck="1" w:checkStyle="1"/>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A1E"/>
    <w:rsid w:val="00000829"/>
    <w:rsid w:val="000018E4"/>
    <w:rsid w:val="000019F1"/>
    <w:rsid w:val="00001E53"/>
    <w:rsid w:val="000025D1"/>
    <w:rsid w:val="00003088"/>
    <w:rsid w:val="000034AD"/>
    <w:rsid w:val="000047A4"/>
    <w:rsid w:val="0000516F"/>
    <w:rsid w:val="00006119"/>
    <w:rsid w:val="00006B33"/>
    <w:rsid w:val="00010478"/>
    <w:rsid w:val="000106C8"/>
    <w:rsid w:val="00010EED"/>
    <w:rsid w:val="0001118F"/>
    <w:rsid w:val="0001170B"/>
    <w:rsid w:val="00011D1D"/>
    <w:rsid w:val="000122B2"/>
    <w:rsid w:val="000123B1"/>
    <w:rsid w:val="0001341E"/>
    <w:rsid w:val="0001356D"/>
    <w:rsid w:val="00013AEC"/>
    <w:rsid w:val="00013BB7"/>
    <w:rsid w:val="00014310"/>
    <w:rsid w:val="00014C91"/>
    <w:rsid w:val="000156AC"/>
    <w:rsid w:val="000163ED"/>
    <w:rsid w:val="00016506"/>
    <w:rsid w:val="00016CBC"/>
    <w:rsid w:val="000170A9"/>
    <w:rsid w:val="0001748B"/>
    <w:rsid w:val="000175A5"/>
    <w:rsid w:val="00020877"/>
    <w:rsid w:val="0002141F"/>
    <w:rsid w:val="0002173E"/>
    <w:rsid w:val="0002184D"/>
    <w:rsid w:val="000222E6"/>
    <w:rsid w:val="000230FD"/>
    <w:rsid w:val="00023923"/>
    <w:rsid w:val="00023A88"/>
    <w:rsid w:val="00024034"/>
    <w:rsid w:val="000248C7"/>
    <w:rsid w:val="00024972"/>
    <w:rsid w:val="000255B4"/>
    <w:rsid w:val="000258C6"/>
    <w:rsid w:val="00025A74"/>
    <w:rsid w:val="00026124"/>
    <w:rsid w:val="000262CB"/>
    <w:rsid w:val="000266FA"/>
    <w:rsid w:val="00026C6E"/>
    <w:rsid w:val="00026DC7"/>
    <w:rsid w:val="000301AB"/>
    <w:rsid w:val="00030293"/>
    <w:rsid w:val="000304AC"/>
    <w:rsid w:val="0003108D"/>
    <w:rsid w:val="0003110F"/>
    <w:rsid w:val="000316C0"/>
    <w:rsid w:val="0003210C"/>
    <w:rsid w:val="0003288D"/>
    <w:rsid w:val="00032C67"/>
    <w:rsid w:val="000330E2"/>
    <w:rsid w:val="000336B8"/>
    <w:rsid w:val="00033893"/>
    <w:rsid w:val="0003422E"/>
    <w:rsid w:val="00034636"/>
    <w:rsid w:val="00034E1A"/>
    <w:rsid w:val="00035575"/>
    <w:rsid w:val="00035E86"/>
    <w:rsid w:val="0003629B"/>
    <w:rsid w:val="0003645F"/>
    <w:rsid w:val="000371C8"/>
    <w:rsid w:val="000375E3"/>
    <w:rsid w:val="00040A3B"/>
    <w:rsid w:val="00040AF9"/>
    <w:rsid w:val="00040CF3"/>
    <w:rsid w:val="0004194C"/>
    <w:rsid w:val="00041E83"/>
    <w:rsid w:val="00041FC2"/>
    <w:rsid w:val="00042126"/>
    <w:rsid w:val="000426B7"/>
    <w:rsid w:val="00042A13"/>
    <w:rsid w:val="0004335F"/>
    <w:rsid w:val="00044415"/>
    <w:rsid w:val="00044C54"/>
    <w:rsid w:val="0004546E"/>
    <w:rsid w:val="000461B9"/>
    <w:rsid w:val="00047715"/>
    <w:rsid w:val="00047D01"/>
    <w:rsid w:val="00047F5F"/>
    <w:rsid w:val="000507AF"/>
    <w:rsid w:val="0005085F"/>
    <w:rsid w:val="00050978"/>
    <w:rsid w:val="00050C2E"/>
    <w:rsid w:val="000518B6"/>
    <w:rsid w:val="000520BD"/>
    <w:rsid w:val="00053381"/>
    <w:rsid w:val="00053A60"/>
    <w:rsid w:val="00053C5E"/>
    <w:rsid w:val="00055229"/>
    <w:rsid w:val="000554C1"/>
    <w:rsid w:val="000566D3"/>
    <w:rsid w:val="00056803"/>
    <w:rsid w:val="000568A0"/>
    <w:rsid w:val="000603D3"/>
    <w:rsid w:val="00060520"/>
    <w:rsid w:val="000606F9"/>
    <w:rsid w:val="00060869"/>
    <w:rsid w:val="0006106F"/>
    <w:rsid w:val="000611EF"/>
    <w:rsid w:val="00061A95"/>
    <w:rsid w:val="00062845"/>
    <w:rsid w:val="00062C89"/>
    <w:rsid w:val="000631DF"/>
    <w:rsid w:val="00063463"/>
    <w:rsid w:val="00064A50"/>
    <w:rsid w:val="000651F4"/>
    <w:rsid w:val="000655C8"/>
    <w:rsid w:val="00065A3E"/>
    <w:rsid w:val="00066674"/>
    <w:rsid w:val="00067737"/>
    <w:rsid w:val="00067ADE"/>
    <w:rsid w:val="00067B77"/>
    <w:rsid w:val="000708FF"/>
    <w:rsid w:val="00070DC8"/>
    <w:rsid w:val="00071254"/>
    <w:rsid w:val="00071301"/>
    <w:rsid w:val="0007131A"/>
    <w:rsid w:val="000713F4"/>
    <w:rsid w:val="0007161F"/>
    <w:rsid w:val="000717C8"/>
    <w:rsid w:val="00071A16"/>
    <w:rsid w:val="000725CF"/>
    <w:rsid w:val="000726DC"/>
    <w:rsid w:val="00072D21"/>
    <w:rsid w:val="00072DF1"/>
    <w:rsid w:val="00072FD5"/>
    <w:rsid w:val="00074A75"/>
    <w:rsid w:val="0007746C"/>
    <w:rsid w:val="00077F50"/>
    <w:rsid w:val="00080C28"/>
    <w:rsid w:val="00081910"/>
    <w:rsid w:val="000820D9"/>
    <w:rsid w:val="0008377A"/>
    <w:rsid w:val="00084C36"/>
    <w:rsid w:val="00085749"/>
    <w:rsid w:val="00086C3F"/>
    <w:rsid w:val="00087C79"/>
    <w:rsid w:val="00091F34"/>
    <w:rsid w:val="000927E5"/>
    <w:rsid w:val="00093F50"/>
    <w:rsid w:val="000946EB"/>
    <w:rsid w:val="00094811"/>
    <w:rsid w:val="00095F03"/>
    <w:rsid w:val="000966FE"/>
    <w:rsid w:val="000A0299"/>
    <w:rsid w:val="000A064A"/>
    <w:rsid w:val="000A07AB"/>
    <w:rsid w:val="000A12A7"/>
    <w:rsid w:val="000A241C"/>
    <w:rsid w:val="000A275D"/>
    <w:rsid w:val="000A325A"/>
    <w:rsid w:val="000A34CB"/>
    <w:rsid w:val="000A379E"/>
    <w:rsid w:val="000A3BB4"/>
    <w:rsid w:val="000A3D86"/>
    <w:rsid w:val="000A3EA8"/>
    <w:rsid w:val="000A4D1C"/>
    <w:rsid w:val="000A51CC"/>
    <w:rsid w:val="000A6060"/>
    <w:rsid w:val="000A60A3"/>
    <w:rsid w:val="000A6579"/>
    <w:rsid w:val="000A6EC4"/>
    <w:rsid w:val="000A7238"/>
    <w:rsid w:val="000B399D"/>
    <w:rsid w:val="000B45A0"/>
    <w:rsid w:val="000B49C7"/>
    <w:rsid w:val="000B603C"/>
    <w:rsid w:val="000B6256"/>
    <w:rsid w:val="000B6A17"/>
    <w:rsid w:val="000B6E4A"/>
    <w:rsid w:val="000B775F"/>
    <w:rsid w:val="000B7AC9"/>
    <w:rsid w:val="000C0212"/>
    <w:rsid w:val="000C0B1E"/>
    <w:rsid w:val="000C2A45"/>
    <w:rsid w:val="000C3387"/>
    <w:rsid w:val="000C34BD"/>
    <w:rsid w:val="000C702F"/>
    <w:rsid w:val="000C75A5"/>
    <w:rsid w:val="000D02A4"/>
    <w:rsid w:val="000D1998"/>
    <w:rsid w:val="000D2A97"/>
    <w:rsid w:val="000D405B"/>
    <w:rsid w:val="000D4A03"/>
    <w:rsid w:val="000D52C3"/>
    <w:rsid w:val="000D549F"/>
    <w:rsid w:val="000D628E"/>
    <w:rsid w:val="000D70B5"/>
    <w:rsid w:val="000D798B"/>
    <w:rsid w:val="000D7EE4"/>
    <w:rsid w:val="000E0D24"/>
    <w:rsid w:val="000E4532"/>
    <w:rsid w:val="000E4925"/>
    <w:rsid w:val="000E4D33"/>
    <w:rsid w:val="000E58D1"/>
    <w:rsid w:val="000E5F39"/>
    <w:rsid w:val="000E6D44"/>
    <w:rsid w:val="000E7502"/>
    <w:rsid w:val="000F07EC"/>
    <w:rsid w:val="000F09F8"/>
    <w:rsid w:val="000F1A45"/>
    <w:rsid w:val="000F1AB0"/>
    <w:rsid w:val="000F20EB"/>
    <w:rsid w:val="000F27A2"/>
    <w:rsid w:val="000F2C51"/>
    <w:rsid w:val="000F42F6"/>
    <w:rsid w:val="000F485F"/>
    <w:rsid w:val="000F58EE"/>
    <w:rsid w:val="000F601E"/>
    <w:rsid w:val="000F68AF"/>
    <w:rsid w:val="000F6E83"/>
    <w:rsid w:val="000F7488"/>
    <w:rsid w:val="001003F1"/>
    <w:rsid w:val="00101081"/>
    <w:rsid w:val="00102BD8"/>
    <w:rsid w:val="00102FF1"/>
    <w:rsid w:val="0010588D"/>
    <w:rsid w:val="0010643C"/>
    <w:rsid w:val="00106A6A"/>
    <w:rsid w:val="001077A9"/>
    <w:rsid w:val="001101C9"/>
    <w:rsid w:val="0011080B"/>
    <w:rsid w:val="00110A00"/>
    <w:rsid w:val="00110EBF"/>
    <w:rsid w:val="00111B94"/>
    <w:rsid w:val="00112593"/>
    <w:rsid w:val="001128FD"/>
    <w:rsid w:val="0011388A"/>
    <w:rsid w:val="00113D8A"/>
    <w:rsid w:val="0011487C"/>
    <w:rsid w:val="00114A23"/>
    <w:rsid w:val="00114FF0"/>
    <w:rsid w:val="0011566C"/>
    <w:rsid w:val="00116A6D"/>
    <w:rsid w:val="00116EC2"/>
    <w:rsid w:val="0011718D"/>
    <w:rsid w:val="00121B62"/>
    <w:rsid w:val="00121B6A"/>
    <w:rsid w:val="00122C02"/>
    <w:rsid w:val="001239A6"/>
    <w:rsid w:val="00123C18"/>
    <w:rsid w:val="00123C1D"/>
    <w:rsid w:val="00123C5A"/>
    <w:rsid w:val="00123E27"/>
    <w:rsid w:val="0012468E"/>
    <w:rsid w:val="001246FA"/>
    <w:rsid w:val="00124BE2"/>
    <w:rsid w:val="00124E10"/>
    <w:rsid w:val="001253FC"/>
    <w:rsid w:val="0012677D"/>
    <w:rsid w:val="0012679A"/>
    <w:rsid w:val="00126871"/>
    <w:rsid w:val="001269AD"/>
    <w:rsid w:val="00126A09"/>
    <w:rsid w:val="00126CEF"/>
    <w:rsid w:val="00127C79"/>
    <w:rsid w:val="001300DD"/>
    <w:rsid w:val="001308E6"/>
    <w:rsid w:val="00130B84"/>
    <w:rsid w:val="00130CDA"/>
    <w:rsid w:val="001313AC"/>
    <w:rsid w:val="00132A57"/>
    <w:rsid w:val="00132E61"/>
    <w:rsid w:val="00132F57"/>
    <w:rsid w:val="001334BB"/>
    <w:rsid w:val="0013359A"/>
    <w:rsid w:val="0013360D"/>
    <w:rsid w:val="00133E7B"/>
    <w:rsid w:val="001345A8"/>
    <w:rsid w:val="0013482C"/>
    <w:rsid w:val="00134B73"/>
    <w:rsid w:val="00135274"/>
    <w:rsid w:val="001357B2"/>
    <w:rsid w:val="00135F90"/>
    <w:rsid w:val="00136415"/>
    <w:rsid w:val="00136C3B"/>
    <w:rsid w:val="00137CFE"/>
    <w:rsid w:val="001414F2"/>
    <w:rsid w:val="00142118"/>
    <w:rsid w:val="00142A77"/>
    <w:rsid w:val="001436A9"/>
    <w:rsid w:val="0014452D"/>
    <w:rsid w:val="00145D79"/>
    <w:rsid w:val="00146847"/>
    <w:rsid w:val="00146BE4"/>
    <w:rsid w:val="00150488"/>
    <w:rsid w:val="00150872"/>
    <w:rsid w:val="00152305"/>
    <w:rsid w:val="0015286E"/>
    <w:rsid w:val="0015304E"/>
    <w:rsid w:val="0015373D"/>
    <w:rsid w:val="00153E20"/>
    <w:rsid w:val="00153F31"/>
    <w:rsid w:val="00155DF2"/>
    <w:rsid w:val="00156F6B"/>
    <w:rsid w:val="001570F0"/>
    <w:rsid w:val="00161647"/>
    <w:rsid w:val="001616D5"/>
    <w:rsid w:val="00162088"/>
    <w:rsid w:val="001625C9"/>
    <w:rsid w:val="00162C19"/>
    <w:rsid w:val="00163840"/>
    <w:rsid w:val="001638A0"/>
    <w:rsid w:val="0016461C"/>
    <w:rsid w:val="00166152"/>
    <w:rsid w:val="0016616E"/>
    <w:rsid w:val="00166D7B"/>
    <w:rsid w:val="00166EB2"/>
    <w:rsid w:val="0016724D"/>
    <w:rsid w:val="00167462"/>
    <w:rsid w:val="00167F9C"/>
    <w:rsid w:val="00172103"/>
    <w:rsid w:val="0017355B"/>
    <w:rsid w:val="001742D9"/>
    <w:rsid w:val="0017468B"/>
    <w:rsid w:val="0017478F"/>
    <w:rsid w:val="00174A8E"/>
    <w:rsid w:val="00175257"/>
    <w:rsid w:val="0017599A"/>
    <w:rsid w:val="0017669E"/>
    <w:rsid w:val="00176EB4"/>
    <w:rsid w:val="001776C9"/>
    <w:rsid w:val="00180726"/>
    <w:rsid w:val="001808FC"/>
    <w:rsid w:val="00180913"/>
    <w:rsid w:val="001816D7"/>
    <w:rsid w:val="001818E6"/>
    <w:rsid w:val="001819FC"/>
    <w:rsid w:val="0018219F"/>
    <w:rsid w:val="001828EF"/>
    <w:rsid w:val="00182E61"/>
    <w:rsid w:val="00183C2B"/>
    <w:rsid w:val="00183D1E"/>
    <w:rsid w:val="00185FE0"/>
    <w:rsid w:val="001867CE"/>
    <w:rsid w:val="00186E25"/>
    <w:rsid w:val="00191AB8"/>
    <w:rsid w:val="001929EE"/>
    <w:rsid w:val="00192AE8"/>
    <w:rsid w:val="00192D1A"/>
    <w:rsid w:val="00193BB4"/>
    <w:rsid w:val="00193E7D"/>
    <w:rsid w:val="0019406E"/>
    <w:rsid w:val="00195982"/>
    <w:rsid w:val="00195DA7"/>
    <w:rsid w:val="0019640D"/>
    <w:rsid w:val="00197947"/>
    <w:rsid w:val="001A0343"/>
    <w:rsid w:val="001A080A"/>
    <w:rsid w:val="001A0F1B"/>
    <w:rsid w:val="001A1BD0"/>
    <w:rsid w:val="001A1DE5"/>
    <w:rsid w:val="001A27F7"/>
    <w:rsid w:val="001A2C8E"/>
    <w:rsid w:val="001A3ABC"/>
    <w:rsid w:val="001A4517"/>
    <w:rsid w:val="001A4A6E"/>
    <w:rsid w:val="001A4DD5"/>
    <w:rsid w:val="001A4E79"/>
    <w:rsid w:val="001A54C2"/>
    <w:rsid w:val="001A55E9"/>
    <w:rsid w:val="001A5966"/>
    <w:rsid w:val="001A5E65"/>
    <w:rsid w:val="001A60E5"/>
    <w:rsid w:val="001A61CA"/>
    <w:rsid w:val="001A6472"/>
    <w:rsid w:val="001A6508"/>
    <w:rsid w:val="001A713F"/>
    <w:rsid w:val="001A7171"/>
    <w:rsid w:val="001A77E9"/>
    <w:rsid w:val="001A7FCA"/>
    <w:rsid w:val="001B00CB"/>
    <w:rsid w:val="001B01F4"/>
    <w:rsid w:val="001B07BB"/>
    <w:rsid w:val="001B0E25"/>
    <w:rsid w:val="001B13E2"/>
    <w:rsid w:val="001B2268"/>
    <w:rsid w:val="001B241B"/>
    <w:rsid w:val="001B2A9F"/>
    <w:rsid w:val="001B4A2E"/>
    <w:rsid w:val="001B4FE6"/>
    <w:rsid w:val="001B5435"/>
    <w:rsid w:val="001B55A9"/>
    <w:rsid w:val="001B7A7F"/>
    <w:rsid w:val="001C0C0C"/>
    <w:rsid w:val="001C0F1D"/>
    <w:rsid w:val="001C11D1"/>
    <w:rsid w:val="001C143A"/>
    <w:rsid w:val="001C23C4"/>
    <w:rsid w:val="001C25A3"/>
    <w:rsid w:val="001C3B35"/>
    <w:rsid w:val="001C3BE5"/>
    <w:rsid w:val="001C4B82"/>
    <w:rsid w:val="001C66DD"/>
    <w:rsid w:val="001C77C0"/>
    <w:rsid w:val="001D0313"/>
    <w:rsid w:val="001D14AD"/>
    <w:rsid w:val="001D2256"/>
    <w:rsid w:val="001D39C2"/>
    <w:rsid w:val="001D46A2"/>
    <w:rsid w:val="001D4C69"/>
    <w:rsid w:val="001D5C1D"/>
    <w:rsid w:val="001D5DE8"/>
    <w:rsid w:val="001D5EF4"/>
    <w:rsid w:val="001D5F43"/>
    <w:rsid w:val="001D6C78"/>
    <w:rsid w:val="001D71CA"/>
    <w:rsid w:val="001E08DC"/>
    <w:rsid w:val="001E150C"/>
    <w:rsid w:val="001E1871"/>
    <w:rsid w:val="001E1AA2"/>
    <w:rsid w:val="001E1B9D"/>
    <w:rsid w:val="001E2B81"/>
    <w:rsid w:val="001E2C6C"/>
    <w:rsid w:val="001E4AEE"/>
    <w:rsid w:val="001E527D"/>
    <w:rsid w:val="001E5282"/>
    <w:rsid w:val="001E5C10"/>
    <w:rsid w:val="001E6B3A"/>
    <w:rsid w:val="001E78B0"/>
    <w:rsid w:val="001F0A29"/>
    <w:rsid w:val="001F3917"/>
    <w:rsid w:val="001F41F7"/>
    <w:rsid w:val="001F5BB5"/>
    <w:rsid w:val="001F609E"/>
    <w:rsid w:val="001F60CC"/>
    <w:rsid w:val="001F666B"/>
    <w:rsid w:val="001F7CAE"/>
    <w:rsid w:val="00200CE1"/>
    <w:rsid w:val="00201C9A"/>
    <w:rsid w:val="00202106"/>
    <w:rsid w:val="00202A77"/>
    <w:rsid w:val="0020355C"/>
    <w:rsid w:val="00203C48"/>
    <w:rsid w:val="0020520D"/>
    <w:rsid w:val="00205BE2"/>
    <w:rsid w:val="002063C6"/>
    <w:rsid w:val="00206498"/>
    <w:rsid w:val="00206F31"/>
    <w:rsid w:val="00206FC8"/>
    <w:rsid w:val="00207002"/>
    <w:rsid w:val="00210F96"/>
    <w:rsid w:val="00211B20"/>
    <w:rsid w:val="0021308E"/>
    <w:rsid w:val="0021314D"/>
    <w:rsid w:val="00214059"/>
    <w:rsid w:val="00214101"/>
    <w:rsid w:val="00214248"/>
    <w:rsid w:val="002159C4"/>
    <w:rsid w:val="00215BE6"/>
    <w:rsid w:val="00215D34"/>
    <w:rsid w:val="002161DA"/>
    <w:rsid w:val="00216371"/>
    <w:rsid w:val="00217176"/>
    <w:rsid w:val="002179A5"/>
    <w:rsid w:val="00217D8A"/>
    <w:rsid w:val="002201C7"/>
    <w:rsid w:val="00220FDE"/>
    <w:rsid w:val="00221E68"/>
    <w:rsid w:val="002226EB"/>
    <w:rsid w:val="0022324C"/>
    <w:rsid w:val="002239DE"/>
    <w:rsid w:val="00224187"/>
    <w:rsid w:val="00224C63"/>
    <w:rsid w:val="00224D00"/>
    <w:rsid w:val="00226609"/>
    <w:rsid w:val="00226C69"/>
    <w:rsid w:val="002271C1"/>
    <w:rsid w:val="00227845"/>
    <w:rsid w:val="00227AB4"/>
    <w:rsid w:val="0023027E"/>
    <w:rsid w:val="002309E9"/>
    <w:rsid w:val="00230CA4"/>
    <w:rsid w:val="00231EF3"/>
    <w:rsid w:val="0023240A"/>
    <w:rsid w:val="0023278F"/>
    <w:rsid w:val="0023355F"/>
    <w:rsid w:val="00234347"/>
    <w:rsid w:val="002343A0"/>
    <w:rsid w:val="0023481E"/>
    <w:rsid w:val="00234F7A"/>
    <w:rsid w:val="0023520D"/>
    <w:rsid w:val="002356BD"/>
    <w:rsid w:val="00235B8D"/>
    <w:rsid w:val="00235C4B"/>
    <w:rsid w:val="002363E3"/>
    <w:rsid w:val="0023649D"/>
    <w:rsid w:val="002373E5"/>
    <w:rsid w:val="002406CF"/>
    <w:rsid w:val="002411BF"/>
    <w:rsid w:val="002416AA"/>
    <w:rsid w:val="00243820"/>
    <w:rsid w:val="0024401E"/>
    <w:rsid w:val="00244ED9"/>
    <w:rsid w:val="00245CCD"/>
    <w:rsid w:val="0024651F"/>
    <w:rsid w:val="0024714F"/>
    <w:rsid w:val="0025030B"/>
    <w:rsid w:val="00250BD0"/>
    <w:rsid w:val="00250BF6"/>
    <w:rsid w:val="0025253A"/>
    <w:rsid w:val="002525B0"/>
    <w:rsid w:val="00252753"/>
    <w:rsid w:val="00252B9F"/>
    <w:rsid w:val="00252C72"/>
    <w:rsid w:val="00254097"/>
    <w:rsid w:val="00254231"/>
    <w:rsid w:val="00254A59"/>
    <w:rsid w:val="00254AE5"/>
    <w:rsid w:val="00254BED"/>
    <w:rsid w:val="002576A9"/>
    <w:rsid w:val="002578BA"/>
    <w:rsid w:val="00257D07"/>
    <w:rsid w:val="00260A88"/>
    <w:rsid w:val="00261403"/>
    <w:rsid w:val="00261716"/>
    <w:rsid w:val="00261892"/>
    <w:rsid w:val="002619E7"/>
    <w:rsid w:val="00261B8C"/>
    <w:rsid w:val="00261D37"/>
    <w:rsid w:val="0026282E"/>
    <w:rsid w:val="002628EF"/>
    <w:rsid w:val="00263266"/>
    <w:rsid w:val="00263D56"/>
    <w:rsid w:val="00263F60"/>
    <w:rsid w:val="0026474F"/>
    <w:rsid w:val="00264CD6"/>
    <w:rsid w:val="00265315"/>
    <w:rsid w:val="0026533B"/>
    <w:rsid w:val="00265434"/>
    <w:rsid w:val="002656C8"/>
    <w:rsid w:val="00265E45"/>
    <w:rsid w:val="00267259"/>
    <w:rsid w:val="00270701"/>
    <w:rsid w:val="00270947"/>
    <w:rsid w:val="00271CE5"/>
    <w:rsid w:val="00271FC9"/>
    <w:rsid w:val="0027275F"/>
    <w:rsid w:val="00272F60"/>
    <w:rsid w:val="00273A68"/>
    <w:rsid w:val="00274474"/>
    <w:rsid w:val="002757F6"/>
    <w:rsid w:val="00275901"/>
    <w:rsid w:val="00275CDE"/>
    <w:rsid w:val="00276430"/>
    <w:rsid w:val="0027658D"/>
    <w:rsid w:val="00276A3A"/>
    <w:rsid w:val="002774B9"/>
    <w:rsid w:val="0027758E"/>
    <w:rsid w:val="00280593"/>
    <w:rsid w:val="002806EE"/>
    <w:rsid w:val="00280711"/>
    <w:rsid w:val="002808B3"/>
    <w:rsid w:val="00280A4F"/>
    <w:rsid w:val="00281525"/>
    <w:rsid w:val="00281863"/>
    <w:rsid w:val="00282020"/>
    <w:rsid w:val="00282C4D"/>
    <w:rsid w:val="00282C5B"/>
    <w:rsid w:val="00282D49"/>
    <w:rsid w:val="00284C35"/>
    <w:rsid w:val="00285154"/>
    <w:rsid w:val="002857E4"/>
    <w:rsid w:val="002860AB"/>
    <w:rsid w:val="0028644F"/>
    <w:rsid w:val="002867A7"/>
    <w:rsid w:val="00286CFD"/>
    <w:rsid w:val="00286F2A"/>
    <w:rsid w:val="00290036"/>
    <w:rsid w:val="00290ADE"/>
    <w:rsid w:val="00290C06"/>
    <w:rsid w:val="00291ADA"/>
    <w:rsid w:val="00292E35"/>
    <w:rsid w:val="002930F8"/>
    <w:rsid w:val="00293DB9"/>
    <w:rsid w:val="00293E8F"/>
    <w:rsid w:val="00294FB5"/>
    <w:rsid w:val="00296C9D"/>
    <w:rsid w:val="002973FE"/>
    <w:rsid w:val="0029742D"/>
    <w:rsid w:val="00297448"/>
    <w:rsid w:val="00297A76"/>
    <w:rsid w:val="002A0A79"/>
    <w:rsid w:val="002A1473"/>
    <w:rsid w:val="002A2B69"/>
    <w:rsid w:val="002A4726"/>
    <w:rsid w:val="002A48DD"/>
    <w:rsid w:val="002A49A9"/>
    <w:rsid w:val="002A5550"/>
    <w:rsid w:val="002A5ABF"/>
    <w:rsid w:val="002A5CBF"/>
    <w:rsid w:val="002A6767"/>
    <w:rsid w:val="002B0A6A"/>
    <w:rsid w:val="002B1451"/>
    <w:rsid w:val="002B193B"/>
    <w:rsid w:val="002B1BFA"/>
    <w:rsid w:val="002B491B"/>
    <w:rsid w:val="002B593A"/>
    <w:rsid w:val="002B5A0A"/>
    <w:rsid w:val="002B5F0D"/>
    <w:rsid w:val="002B674D"/>
    <w:rsid w:val="002B77A7"/>
    <w:rsid w:val="002C1CA9"/>
    <w:rsid w:val="002C20CB"/>
    <w:rsid w:val="002C23DF"/>
    <w:rsid w:val="002C247A"/>
    <w:rsid w:val="002C296D"/>
    <w:rsid w:val="002C3340"/>
    <w:rsid w:val="002C3875"/>
    <w:rsid w:val="002C4D95"/>
    <w:rsid w:val="002C4E09"/>
    <w:rsid w:val="002C51DA"/>
    <w:rsid w:val="002C5BEF"/>
    <w:rsid w:val="002D02A2"/>
    <w:rsid w:val="002D06D8"/>
    <w:rsid w:val="002D0944"/>
    <w:rsid w:val="002D19D1"/>
    <w:rsid w:val="002D1A9C"/>
    <w:rsid w:val="002D1CCB"/>
    <w:rsid w:val="002D280D"/>
    <w:rsid w:val="002D30A1"/>
    <w:rsid w:val="002D4559"/>
    <w:rsid w:val="002D4FAB"/>
    <w:rsid w:val="002D523F"/>
    <w:rsid w:val="002D6646"/>
    <w:rsid w:val="002D6A59"/>
    <w:rsid w:val="002D7340"/>
    <w:rsid w:val="002E00DD"/>
    <w:rsid w:val="002E0A5D"/>
    <w:rsid w:val="002E1909"/>
    <w:rsid w:val="002E1ABF"/>
    <w:rsid w:val="002E1F85"/>
    <w:rsid w:val="002E2110"/>
    <w:rsid w:val="002E21AE"/>
    <w:rsid w:val="002E28A2"/>
    <w:rsid w:val="002E5F88"/>
    <w:rsid w:val="002E70FE"/>
    <w:rsid w:val="002F0A05"/>
    <w:rsid w:val="002F1524"/>
    <w:rsid w:val="002F2BFC"/>
    <w:rsid w:val="002F2E0C"/>
    <w:rsid w:val="002F3CB9"/>
    <w:rsid w:val="002F4068"/>
    <w:rsid w:val="002F4209"/>
    <w:rsid w:val="002F5892"/>
    <w:rsid w:val="002F5AD7"/>
    <w:rsid w:val="002F66F3"/>
    <w:rsid w:val="002F6EB9"/>
    <w:rsid w:val="002F76FF"/>
    <w:rsid w:val="003001EC"/>
    <w:rsid w:val="00300B39"/>
    <w:rsid w:val="003013E2"/>
    <w:rsid w:val="003019B3"/>
    <w:rsid w:val="00301CD2"/>
    <w:rsid w:val="003023DA"/>
    <w:rsid w:val="00302B01"/>
    <w:rsid w:val="00303490"/>
    <w:rsid w:val="00303EF5"/>
    <w:rsid w:val="00304900"/>
    <w:rsid w:val="003050FA"/>
    <w:rsid w:val="003051B9"/>
    <w:rsid w:val="00305E64"/>
    <w:rsid w:val="00306036"/>
    <w:rsid w:val="0030643B"/>
    <w:rsid w:val="003064F8"/>
    <w:rsid w:val="003065CC"/>
    <w:rsid w:val="00307F42"/>
    <w:rsid w:val="00310796"/>
    <w:rsid w:val="0031090C"/>
    <w:rsid w:val="00313614"/>
    <w:rsid w:val="00316766"/>
    <w:rsid w:val="003167B1"/>
    <w:rsid w:val="00316EE2"/>
    <w:rsid w:val="00317CF6"/>
    <w:rsid w:val="00320181"/>
    <w:rsid w:val="00320338"/>
    <w:rsid w:val="0032077C"/>
    <w:rsid w:val="00320FC8"/>
    <w:rsid w:val="00321881"/>
    <w:rsid w:val="00321DE5"/>
    <w:rsid w:val="00322D02"/>
    <w:rsid w:val="00323709"/>
    <w:rsid w:val="00323E59"/>
    <w:rsid w:val="00325031"/>
    <w:rsid w:val="00325202"/>
    <w:rsid w:val="003253C8"/>
    <w:rsid w:val="003258AF"/>
    <w:rsid w:val="003263D1"/>
    <w:rsid w:val="00326603"/>
    <w:rsid w:val="0032688E"/>
    <w:rsid w:val="00326C3C"/>
    <w:rsid w:val="00326D49"/>
    <w:rsid w:val="00327650"/>
    <w:rsid w:val="0032788C"/>
    <w:rsid w:val="00330293"/>
    <w:rsid w:val="003302F7"/>
    <w:rsid w:val="00330543"/>
    <w:rsid w:val="00330BED"/>
    <w:rsid w:val="00330F12"/>
    <w:rsid w:val="0033107D"/>
    <w:rsid w:val="003314ED"/>
    <w:rsid w:val="00331898"/>
    <w:rsid w:val="00331B5D"/>
    <w:rsid w:val="0033200B"/>
    <w:rsid w:val="00332969"/>
    <w:rsid w:val="00332B86"/>
    <w:rsid w:val="00334769"/>
    <w:rsid w:val="00334A47"/>
    <w:rsid w:val="00334EC7"/>
    <w:rsid w:val="003356D6"/>
    <w:rsid w:val="003357A8"/>
    <w:rsid w:val="0033702D"/>
    <w:rsid w:val="00340707"/>
    <w:rsid w:val="003409C1"/>
    <w:rsid w:val="00340BAC"/>
    <w:rsid w:val="00340D86"/>
    <w:rsid w:val="00341046"/>
    <w:rsid w:val="0034147D"/>
    <w:rsid w:val="00341504"/>
    <w:rsid w:val="00341703"/>
    <w:rsid w:val="00341E37"/>
    <w:rsid w:val="003421AC"/>
    <w:rsid w:val="00343239"/>
    <w:rsid w:val="003446AB"/>
    <w:rsid w:val="003449C4"/>
    <w:rsid w:val="00344A5D"/>
    <w:rsid w:val="00345774"/>
    <w:rsid w:val="00345912"/>
    <w:rsid w:val="00345A34"/>
    <w:rsid w:val="00345E6E"/>
    <w:rsid w:val="003465C9"/>
    <w:rsid w:val="0034672C"/>
    <w:rsid w:val="003468C1"/>
    <w:rsid w:val="0034717C"/>
    <w:rsid w:val="003477B9"/>
    <w:rsid w:val="003478AD"/>
    <w:rsid w:val="0035001A"/>
    <w:rsid w:val="00350A4F"/>
    <w:rsid w:val="003513BF"/>
    <w:rsid w:val="003517DB"/>
    <w:rsid w:val="00352700"/>
    <w:rsid w:val="00352E57"/>
    <w:rsid w:val="00352FDD"/>
    <w:rsid w:val="003534FF"/>
    <w:rsid w:val="00355117"/>
    <w:rsid w:val="003552A3"/>
    <w:rsid w:val="0035535D"/>
    <w:rsid w:val="003557E1"/>
    <w:rsid w:val="00355D3E"/>
    <w:rsid w:val="00357FC4"/>
    <w:rsid w:val="00360569"/>
    <w:rsid w:val="00360A64"/>
    <w:rsid w:val="00361A51"/>
    <w:rsid w:val="0036263A"/>
    <w:rsid w:val="00362A0F"/>
    <w:rsid w:val="0036354B"/>
    <w:rsid w:val="003636BF"/>
    <w:rsid w:val="00363E86"/>
    <w:rsid w:val="003643F7"/>
    <w:rsid w:val="00364840"/>
    <w:rsid w:val="0036490C"/>
    <w:rsid w:val="00366BA8"/>
    <w:rsid w:val="00366FDE"/>
    <w:rsid w:val="00367D1B"/>
    <w:rsid w:val="00371327"/>
    <w:rsid w:val="00371442"/>
    <w:rsid w:val="003722A4"/>
    <w:rsid w:val="00372A6B"/>
    <w:rsid w:val="003732A5"/>
    <w:rsid w:val="00373A7D"/>
    <w:rsid w:val="00374158"/>
    <w:rsid w:val="003758D4"/>
    <w:rsid w:val="00375CCE"/>
    <w:rsid w:val="003762CF"/>
    <w:rsid w:val="00376B76"/>
    <w:rsid w:val="00376CCF"/>
    <w:rsid w:val="00380BF4"/>
    <w:rsid w:val="003817D0"/>
    <w:rsid w:val="00381DF6"/>
    <w:rsid w:val="00382A90"/>
    <w:rsid w:val="00383105"/>
    <w:rsid w:val="003840F9"/>
    <w:rsid w:val="003845B4"/>
    <w:rsid w:val="0038544A"/>
    <w:rsid w:val="00385B99"/>
    <w:rsid w:val="00385DC4"/>
    <w:rsid w:val="003876D0"/>
    <w:rsid w:val="00387A90"/>
    <w:rsid w:val="00387B1A"/>
    <w:rsid w:val="00390EC1"/>
    <w:rsid w:val="00392C21"/>
    <w:rsid w:val="003933E3"/>
    <w:rsid w:val="00393DB6"/>
    <w:rsid w:val="00393DF7"/>
    <w:rsid w:val="00394C8B"/>
    <w:rsid w:val="003952AB"/>
    <w:rsid w:val="003A048F"/>
    <w:rsid w:val="003A18D4"/>
    <w:rsid w:val="003A2807"/>
    <w:rsid w:val="003A32E6"/>
    <w:rsid w:val="003A52D9"/>
    <w:rsid w:val="003A61C3"/>
    <w:rsid w:val="003A6E1E"/>
    <w:rsid w:val="003A7299"/>
    <w:rsid w:val="003A73DA"/>
    <w:rsid w:val="003B0EF7"/>
    <w:rsid w:val="003B0F61"/>
    <w:rsid w:val="003B14F0"/>
    <w:rsid w:val="003B23DA"/>
    <w:rsid w:val="003B2C0F"/>
    <w:rsid w:val="003B377D"/>
    <w:rsid w:val="003B45BA"/>
    <w:rsid w:val="003B49E0"/>
    <w:rsid w:val="003B49E9"/>
    <w:rsid w:val="003B4C07"/>
    <w:rsid w:val="003B5826"/>
    <w:rsid w:val="003B58FC"/>
    <w:rsid w:val="003B61B3"/>
    <w:rsid w:val="003B73B2"/>
    <w:rsid w:val="003B77AC"/>
    <w:rsid w:val="003B7E7A"/>
    <w:rsid w:val="003C0289"/>
    <w:rsid w:val="003C05D8"/>
    <w:rsid w:val="003C15B4"/>
    <w:rsid w:val="003C1AC7"/>
    <w:rsid w:val="003C3101"/>
    <w:rsid w:val="003C4484"/>
    <w:rsid w:val="003C4E4A"/>
    <w:rsid w:val="003C5EE5"/>
    <w:rsid w:val="003C644C"/>
    <w:rsid w:val="003C6BD4"/>
    <w:rsid w:val="003C6E08"/>
    <w:rsid w:val="003C7A93"/>
    <w:rsid w:val="003C7D53"/>
    <w:rsid w:val="003C7DFC"/>
    <w:rsid w:val="003D1374"/>
    <w:rsid w:val="003D1A16"/>
    <w:rsid w:val="003D30E2"/>
    <w:rsid w:val="003D3382"/>
    <w:rsid w:val="003D34F6"/>
    <w:rsid w:val="003D3D64"/>
    <w:rsid w:val="003D3DF2"/>
    <w:rsid w:val="003D5FF4"/>
    <w:rsid w:val="003D683E"/>
    <w:rsid w:val="003D6B74"/>
    <w:rsid w:val="003D6D80"/>
    <w:rsid w:val="003D7F44"/>
    <w:rsid w:val="003D7FEF"/>
    <w:rsid w:val="003E0029"/>
    <w:rsid w:val="003E0206"/>
    <w:rsid w:val="003E02CD"/>
    <w:rsid w:val="003E03D0"/>
    <w:rsid w:val="003E08B7"/>
    <w:rsid w:val="003E0F3A"/>
    <w:rsid w:val="003E11E4"/>
    <w:rsid w:val="003E1844"/>
    <w:rsid w:val="003E1908"/>
    <w:rsid w:val="003E1C74"/>
    <w:rsid w:val="003E222D"/>
    <w:rsid w:val="003E2471"/>
    <w:rsid w:val="003E40A3"/>
    <w:rsid w:val="003E4B73"/>
    <w:rsid w:val="003E4F14"/>
    <w:rsid w:val="003E6554"/>
    <w:rsid w:val="003E6641"/>
    <w:rsid w:val="003E67B7"/>
    <w:rsid w:val="003E7722"/>
    <w:rsid w:val="003E7BB8"/>
    <w:rsid w:val="003F00A0"/>
    <w:rsid w:val="003F0856"/>
    <w:rsid w:val="003F0C07"/>
    <w:rsid w:val="003F2B9E"/>
    <w:rsid w:val="003F33B8"/>
    <w:rsid w:val="003F38D9"/>
    <w:rsid w:val="003F471F"/>
    <w:rsid w:val="003F4DC5"/>
    <w:rsid w:val="003F6E1F"/>
    <w:rsid w:val="003F7820"/>
    <w:rsid w:val="004003AF"/>
    <w:rsid w:val="00400E9C"/>
    <w:rsid w:val="00401B14"/>
    <w:rsid w:val="00402221"/>
    <w:rsid w:val="0040250B"/>
    <w:rsid w:val="00402828"/>
    <w:rsid w:val="00403751"/>
    <w:rsid w:val="004039F5"/>
    <w:rsid w:val="004042E9"/>
    <w:rsid w:val="0040518D"/>
    <w:rsid w:val="00406622"/>
    <w:rsid w:val="004070A8"/>
    <w:rsid w:val="004072FB"/>
    <w:rsid w:val="00407E6A"/>
    <w:rsid w:val="0041010A"/>
    <w:rsid w:val="00410E83"/>
    <w:rsid w:val="00411D40"/>
    <w:rsid w:val="00411EB9"/>
    <w:rsid w:val="0041202B"/>
    <w:rsid w:val="004127E7"/>
    <w:rsid w:val="0041284F"/>
    <w:rsid w:val="00412A11"/>
    <w:rsid w:val="00413637"/>
    <w:rsid w:val="004138E2"/>
    <w:rsid w:val="00413A0C"/>
    <w:rsid w:val="004143B9"/>
    <w:rsid w:val="00414568"/>
    <w:rsid w:val="00416396"/>
    <w:rsid w:val="0041696C"/>
    <w:rsid w:val="00416AF9"/>
    <w:rsid w:val="00417DAB"/>
    <w:rsid w:val="004204DB"/>
    <w:rsid w:val="004210A7"/>
    <w:rsid w:val="00421499"/>
    <w:rsid w:val="00421509"/>
    <w:rsid w:val="0042157B"/>
    <w:rsid w:val="0042272D"/>
    <w:rsid w:val="00423067"/>
    <w:rsid w:val="00425E8B"/>
    <w:rsid w:val="0042662C"/>
    <w:rsid w:val="00426E3F"/>
    <w:rsid w:val="00427CA7"/>
    <w:rsid w:val="00427E3C"/>
    <w:rsid w:val="004310F0"/>
    <w:rsid w:val="004319E8"/>
    <w:rsid w:val="00431BFF"/>
    <w:rsid w:val="0043294F"/>
    <w:rsid w:val="004340FC"/>
    <w:rsid w:val="00434F81"/>
    <w:rsid w:val="00436573"/>
    <w:rsid w:val="00437176"/>
    <w:rsid w:val="00440B99"/>
    <w:rsid w:val="004410BD"/>
    <w:rsid w:val="00442845"/>
    <w:rsid w:val="004433C3"/>
    <w:rsid w:val="00443BE4"/>
    <w:rsid w:val="00444554"/>
    <w:rsid w:val="004445E9"/>
    <w:rsid w:val="0044461F"/>
    <w:rsid w:val="00444D87"/>
    <w:rsid w:val="004451FC"/>
    <w:rsid w:val="00445605"/>
    <w:rsid w:val="00445B9C"/>
    <w:rsid w:val="00446ABB"/>
    <w:rsid w:val="00447128"/>
    <w:rsid w:val="004477AB"/>
    <w:rsid w:val="00447A02"/>
    <w:rsid w:val="00447F1C"/>
    <w:rsid w:val="004504BD"/>
    <w:rsid w:val="00450512"/>
    <w:rsid w:val="004509C8"/>
    <w:rsid w:val="00450D3D"/>
    <w:rsid w:val="004511B9"/>
    <w:rsid w:val="00451EAA"/>
    <w:rsid w:val="00452064"/>
    <w:rsid w:val="004532D0"/>
    <w:rsid w:val="004534C0"/>
    <w:rsid w:val="00453748"/>
    <w:rsid w:val="00453FBA"/>
    <w:rsid w:val="00454AA1"/>
    <w:rsid w:val="00455878"/>
    <w:rsid w:val="00455A63"/>
    <w:rsid w:val="004568EA"/>
    <w:rsid w:val="00456947"/>
    <w:rsid w:val="00457222"/>
    <w:rsid w:val="00460082"/>
    <w:rsid w:val="00460715"/>
    <w:rsid w:val="00461417"/>
    <w:rsid w:val="00461940"/>
    <w:rsid w:val="004634DC"/>
    <w:rsid w:val="004650DE"/>
    <w:rsid w:val="00465676"/>
    <w:rsid w:val="004657EE"/>
    <w:rsid w:val="0046694F"/>
    <w:rsid w:val="00467648"/>
    <w:rsid w:val="00470369"/>
    <w:rsid w:val="0047038B"/>
    <w:rsid w:val="00470391"/>
    <w:rsid w:val="00470ED6"/>
    <w:rsid w:val="00471890"/>
    <w:rsid w:val="00471F77"/>
    <w:rsid w:val="00476C7B"/>
    <w:rsid w:val="00480AF4"/>
    <w:rsid w:val="00481145"/>
    <w:rsid w:val="00481151"/>
    <w:rsid w:val="004816B6"/>
    <w:rsid w:val="0048196A"/>
    <w:rsid w:val="00482410"/>
    <w:rsid w:val="00483913"/>
    <w:rsid w:val="00483AE8"/>
    <w:rsid w:val="00483E42"/>
    <w:rsid w:val="00484026"/>
    <w:rsid w:val="004842FB"/>
    <w:rsid w:val="00484C5A"/>
    <w:rsid w:val="004865F5"/>
    <w:rsid w:val="004870E6"/>
    <w:rsid w:val="00490368"/>
    <w:rsid w:val="00490A67"/>
    <w:rsid w:val="00491965"/>
    <w:rsid w:val="00491D1D"/>
    <w:rsid w:val="00491F58"/>
    <w:rsid w:val="004946CF"/>
    <w:rsid w:val="00497482"/>
    <w:rsid w:val="004974C8"/>
    <w:rsid w:val="004977E5"/>
    <w:rsid w:val="004A16AC"/>
    <w:rsid w:val="004A2C5E"/>
    <w:rsid w:val="004A2FB8"/>
    <w:rsid w:val="004A3D32"/>
    <w:rsid w:val="004A4518"/>
    <w:rsid w:val="004A454B"/>
    <w:rsid w:val="004A702B"/>
    <w:rsid w:val="004A73FA"/>
    <w:rsid w:val="004A7634"/>
    <w:rsid w:val="004B0B86"/>
    <w:rsid w:val="004B19DE"/>
    <w:rsid w:val="004B2B7F"/>
    <w:rsid w:val="004B395D"/>
    <w:rsid w:val="004B3BC0"/>
    <w:rsid w:val="004B3CA6"/>
    <w:rsid w:val="004B3E38"/>
    <w:rsid w:val="004B46A8"/>
    <w:rsid w:val="004B699F"/>
    <w:rsid w:val="004B73B4"/>
    <w:rsid w:val="004C023E"/>
    <w:rsid w:val="004C0825"/>
    <w:rsid w:val="004C09F0"/>
    <w:rsid w:val="004C1206"/>
    <w:rsid w:val="004C29EC"/>
    <w:rsid w:val="004C45A5"/>
    <w:rsid w:val="004C5FE4"/>
    <w:rsid w:val="004C6445"/>
    <w:rsid w:val="004C650B"/>
    <w:rsid w:val="004C6C58"/>
    <w:rsid w:val="004D07FD"/>
    <w:rsid w:val="004D09F8"/>
    <w:rsid w:val="004D0B4C"/>
    <w:rsid w:val="004D11C6"/>
    <w:rsid w:val="004D1476"/>
    <w:rsid w:val="004D1A2D"/>
    <w:rsid w:val="004D24E9"/>
    <w:rsid w:val="004D30F5"/>
    <w:rsid w:val="004D35D6"/>
    <w:rsid w:val="004D3CE2"/>
    <w:rsid w:val="004D4283"/>
    <w:rsid w:val="004D49B2"/>
    <w:rsid w:val="004D5168"/>
    <w:rsid w:val="004D6213"/>
    <w:rsid w:val="004D6264"/>
    <w:rsid w:val="004D6523"/>
    <w:rsid w:val="004D69D4"/>
    <w:rsid w:val="004D6CA7"/>
    <w:rsid w:val="004D6D84"/>
    <w:rsid w:val="004D73BB"/>
    <w:rsid w:val="004D785F"/>
    <w:rsid w:val="004E0A22"/>
    <w:rsid w:val="004E168D"/>
    <w:rsid w:val="004E1CE5"/>
    <w:rsid w:val="004E1F48"/>
    <w:rsid w:val="004E2049"/>
    <w:rsid w:val="004E2D75"/>
    <w:rsid w:val="004E42B2"/>
    <w:rsid w:val="004E43B1"/>
    <w:rsid w:val="004E4A81"/>
    <w:rsid w:val="004E53CF"/>
    <w:rsid w:val="004E7281"/>
    <w:rsid w:val="004F16F3"/>
    <w:rsid w:val="004F18EB"/>
    <w:rsid w:val="004F2B7E"/>
    <w:rsid w:val="004F2F8C"/>
    <w:rsid w:val="004F397A"/>
    <w:rsid w:val="004F40BD"/>
    <w:rsid w:val="004F4CDA"/>
    <w:rsid w:val="004F570C"/>
    <w:rsid w:val="004F621D"/>
    <w:rsid w:val="004F6F31"/>
    <w:rsid w:val="004F71AA"/>
    <w:rsid w:val="00500588"/>
    <w:rsid w:val="00500E5B"/>
    <w:rsid w:val="00501550"/>
    <w:rsid w:val="00501570"/>
    <w:rsid w:val="00502938"/>
    <w:rsid w:val="005041B7"/>
    <w:rsid w:val="00505069"/>
    <w:rsid w:val="005052A9"/>
    <w:rsid w:val="00505504"/>
    <w:rsid w:val="005059C0"/>
    <w:rsid w:val="00506C92"/>
    <w:rsid w:val="00507E82"/>
    <w:rsid w:val="0051046C"/>
    <w:rsid w:val="0051073F"/>
    <w:rsid w:val="00510F5E"/>
    <w:rsid w:val="00512760"/>
    <w:rsid w:val="005128F9"/>
    <w:rsid w:val="005133FA"/>
    <w:rsid w:val="00513496"/>
    <w:rsid w:val="00513DA1"/>
    <w:rsid w:val="00514D67"/>
    <w:rsid w:val="00515F83"/>
    <w:rsid w:val="005165A3"/>
    <w:rsid w:val="005173AB"/>
    <w:rsid w:val="00520231"/>
    <w:rsid w:val="00520CEB"/>
    <w:rsid w:val="00521965"/>
    <w:rsid w:val="00521BB8"/>
    <w:rsid w:val="00523EFB"/>
    <w:rsid w:val="005249D5"/>
    <w:rsid w:val="005252B4"/>
    <w:rsid w:val="00525A0B"/>
    <w:rsid w:val="00525FDD"/>
    <w:rsid w:val="00526246"/>
    <w:rsid w:val="00526309"/>
    <w:rsid w:val="005269F3"/>
    <w:rsid w:val="0052776A"/>
    <w:rsid w:val="0052778C"/>
    <w:rsid w:val="0053051D"/>
    <w:rsid w:val="00530D11"/>
    <w:rsid w:val="005311A0"/>
    <w:rsid w:val="00532220"/>
    <w:rsid w:val="0053256E"/>
    <w:rsid w:val="00533019"/>
    <w:rsid w:val="005332B8"/>
    <w:rsid w:val="0053366C"/>
    <w:rsid w:val="00535CF3"/>
    <w:rsid w:val="0053622A"/>
    <w:rsid w:val="00536510"/>
    <w:rsid w:val="0053711D"/>
    <w:rsid w:val="005373A4"/>
    <w:rsid w:val="00537885"/>
    <w:rsid w:val="00537A3B"/>
    <w:rsid w:val="00537FF1"/>
    <w:rsid w:val="0054006B"/>
    <w:rsid w:val="00540F47"/>
    <w:rsid w:val="0054122B"/>
    <w:rsid w:val="0054125E"/>
    <w:rsid w:val="0054143C"/>
    <w:rsid w:val="0054178C"/>
    <w:rsid w:val="00541CB3"/>
    <w:rsid w:val="005422B1"/>
    <w:rsid w:val="0054298A"/>
    <w:rsid w:val="0054342D"/>
    <w:rsid w:val="005437B2"/>
    <w:rsid w:val="00545AE4"/>
    <w:rsid w:val="00545B46"/>
    <w:rsid w:val="00545C23"/>
    <w:rsid w:val="00547B7D"/>
    <w:rsid w:val="00547F8D"/>
    <w:rsid w:val="00552B46"/>
    <w:rsid w:val="00552F63"/>
    <w:rsid w:val="0055308D"/>
    <w:rsid w:val="00553A30"/>
    <w:rsid w:val="0055573B"/>
    <w:rsid w:val="00555CD9"/>
    <w:rsid w:val="005568CD"/>
    <w:rsid w:val="0055715E"/>
    <w:rsid w:val="00557B19"/>
    <w:rsid w:val="00557C4D"/>
    <w:rsid w:val="00557C6E"/>
    <w:rsid w:val="00557D36"/>
    <w:rsid w:val="00557F33"/>
    <w:rsid w:val="0056054D"/>
    <w:rsid w:val="005614AA"/>
    <w:rsid w:val="00562370"/>
    <w:rsid w:val="005623FB"/>
    <w:rsid w:val="005629F7"/>
    <w:rsid w:val="00562AB1"/>
    <w:rsid w:val="00563664"/>
    <w:rsid w:val="00563B65"/>
    <w:rsid w:val="00563CED"/>
    <w:rsid w:val="00563F00"/>
    <w:rsid w:val="005651E1"/>
    <w:rsid w:val="00565D78"/>
    <w:rsid w:val="00565E89"/>
    <w:rsid w:val="005660D8"/>
    <w:rsid w:val="0056662C"/>
    <w:rsid w:val="00566ACB"/>
    <w:rsid w:val="00566D0E"/>
    <w:rsid w:val="00567106"/>
    <w:rsid w:val="00567BE0"/>
    <w:rsid w:val="00567C88"/>
    <w:rsid w:val="00570C03"/>
    <w:rsid w:val="00572B2F"/>
    <w:rsid w:val="00572CE1"/>
    <w:rsid w:val="00573584"/>
    <w:rsid w:val="00573791"/>
    <w:rsid w:val="00573F84"/>
    <w:rsid w:val="00574043"/>
    <w:rsid w:val="00575393"/>
    <w:rsid w:val="00575778"/>
    <w:rsid w:val="00575CA5"/>
    <w:rsid w:val="0057619F"/>
    <w:rsid w:val="00576B34"/>
    <w:rsid w:val="00576BFF"/>
    <w:rsid w:val="00576DE8"/>
    <w:rsid w:val="00576F26"/>
    <w:rsid w:val="00577040"/>
    <w:rsid w:val="0057709F"/>
    <w:rsid w:val="00580931"/>
    <w:rsid w:val="00580D6D"/>
    <w:rsid w:val="00581EB0"/>
    <w:rsid w:val="00584078"/>
    <w:rsid w:val="00584C88"/>
    <w:rsid w:val="00585F28"/>
    <w:rsid w:val="00586E37"/>
    <w:rsid w:val="00587167"/>
    <w:rsid w:val="00587B95"/>
    <w:rsid w:val="00587F87"/>
    <w:rsid w:val="00590CFC"/>
    <w:rsid w:val="00592AD7"/>
    <w:rsid w:val="00593595"/>
    <w:rsid w:val="00593774"/>
    <w:rsid w:val="00593929"/>
    <w:rsid w:val="00593F66"/>
    <w:rsid w:val="00593FD4"/>
    <w:rsid w:val="005949E1"/>
    <w:rsid w:val="0059546E"/>
    <w:rsid w:val="00595550"/>
    <w:rsid w:val="00595908"/>
    <w:rsid w:val="00595B42"/>
    <w:rsid w:val="005962A5"/>
    <w:rsid w:val="00596443"/>
    <w:rsid w:val="00596B20"/>
    <w:rsid w:val="0059761B"/>
    <w:rsid w:val="005A0410"/>
    <w:rsid w:val="005A1E6D"/>
    <w:rsid w:val="005A20D4"/>
    <w:rsid w:val="005A243D"/>
    <w:rsid w:val="005A2582"/>
    <w:rsid w:val="005A2676"/>
    <w:rsid w:val="005A35EE"/>
    <w:rsid w:val="005A3661"/>
    <w:rsid w:val="005A3AE2"/>
    <w:rsid w:val="005A4099"/>
    <w:rsid w:val="005A5726"/>
    <w:rsid w:val="005A5EB3"/>
    <w:rsid w:val="005A6610"/>
    <w:rsid w:val="005A782A"/>
    <w:rsid w:val="005B0306"/>
    <w:rsid w:val="005B0E0D"/>
    <w:rsid w:val="005B10BE"/>
    <w:rsid w:val="005B12F1"/>
    <w:rsid w:val="005B1B5F"/>
    <w:rsid w:val="005B233F"/>
    <w:rsid w:val="005B24F6"/>
    <w:rsid w:val="005B2A34"/>
    <w:rsid w:val="005B2AED"/>
    <w:rsid w:val="005B2C39"/>
    <w:rsid w:val="005B2F20"/>
    <w:rsid w:val="005B3060"/>
    <w:rsid w:val="005B35E7"/>
    <w:rsid w:val="005B39FE"/>
    <w:rsid w:val="005B3A1E"/>
    <w:rsid w:val="005B3C9F"/>
    <w:rsid w:val="005B3E83"/>
    <w:rsid w:val="005B5415"/>
    <w:rsid w:val="005B5EF8"/>
    <w:rsid w:val="005B6683"/>
    <w:rsid w:val="005B78BD"/>
    <w:rsid w:val="005C0C6C"/>
    <w:rsid w:val="005C0DE3"/>
    <w:rsid w:val="005C21AA"/>
    <w:rsid w:val="005C32FC"/>
    <w:rsid w:val="005C3657"/>
    <w:rsid w:val="005C3F6F"/>
    <w:rsid w:val="005C488B"/>
    <w:rsid w:val="005C58D3"/>
    <w:rsid w:val="005C60C8"/>
    <w:rsid w:val="005C615F"/>
    <w:rsid w:val="005C651A"/>
    <w:rsid w:val="005C7025"/>
    <w:rsid w:val="005C721B"/>
    <w:rsid w:val="005C7919"/>
    <w:rsid w:val="005C7BC4"/>
    <w:rsid w:val="005D1302"/>
    <w:rsid w:val="005D160B"/>
    <w:rsid w:val="005D1660"/>
    <w:rsid w:val="005D2088"/>
    <w:rsid w:val="005D20A2"/>
    <w:rsid w:val="005D2793"/>
    <w:rsid w:val="005D60D7"/>
    <w:rsid w:val="005D64A4"/>
    <w:rsid w:val="005D7A59"/>
    <w:rsid w:val="005D7B0F"/>
    <w:rsid w:val="005D7E22"/>
    <w:rsid w:val="005D7F9B"/>
    <w:rsid w:val="005D7FB3"/>
    <w:rsid w:val="005E05D7"/>
    <w:rsid w:val="005E1D31"/>
    <w:rsid w:val="005E1D3C"/>
    <w:rsid w:val="005E3005"/>
    <w:rsid w:val="005E335B"/>
    <w:rsid w:val="005E34BC"/>
    <w:rsid w:val="005E3D29"/>
    <w:rsid w:val="005E4250"/>
    <w:rsid w:val="005E4794"/>
    <w:rsid w:val="005E4F11"/>
    <w:rsid w:val="005E6178"/>
    <w:rsid w:val="005E61F7"/>
    <w:rsid w:val="005E7439"/>
    <w:rsid w:val="005F00A7"/>
    <w:rsid w:val="005F04B2"/>
    <w:rsid w:val="005F1B6B"/>
    <w:rsid w:val="005F1FD7"/>
    <w:rsid w:val="005F214D"/>
    <w:rsid w:val="005F3AA5"/>
    <w:rsid w:val="005F44F3"/>
    <w:rsid w:val="005F4BFC"/>
    <w:rsid w:val="005F6233"/>
    <w:rsid w:val="005F6860"/>
    <w:rsid w:val="005F73D9"/>
    <w:rsid w:val="005F7692"/>
    <w:rsid w:val="00600468"/>
    <w:rsid w:val="006005FA"/>
    <w:rsid w:val="00601356"/>
    <w:rsid w:val="00601701"/>
    <w:rsid w:val="00601A72"/>
    <w:rsid w:val="00601E67"/>
    <w:rsid w:val="0060267F"/>
    <w:rsid w:val="006026E4"/>
    <w:rsid w:val="00603046"/>
    <w:rsid w:val="00603A31"/>
    <w:rsid w:val="00603F3C"/>
    <w:rsid w:val="0060477F"/>
    <w:rsid w:val="00606117"/>
    <w:rsid w:val="006066DF"/>
    <w:rsid w:val="00606C76"/>
    <w:rsid w:val="006073AD"/>
    <w:rsid w:val="006106D7"/>
    <w:rsid w:val="00610AF4"/>
    <w:rsid w:val="00610BCD"/>
    <w:rsid w:val="00610F44"/>
    <w:rsid w:val="00611141"/>
    <w:rsid w:val="0061117A"/>
    <w:rsid w:val="00611907"/>
    <w:rsid w:val="00611F6F"/>
    <w:rsid w:val="006134F4"/>
    <w:rsid w:val="0061351E"/>
    <w:rsid w:val="00613B37"/>
    <w:rsid w:val="00613DCE"/>
    <w:rsid w:val="00614961"/>
    <w:rsid w:val="00614E1D"/>
    <w:rsid w:val="00615012"/>
    <w:rsid w:val="006156AE"/>
    <w:rsid w:val="006161D6"/>
    <w:rsid w:val="00617027"/>
    <w:rsid w:val="0061705B"/>
    <w:rsid w:val="00617501"/>
    <w:rsid w:val="00621206"/>
    <w:rsid w:val="006221E0"/>
    <w:rsid w:val="00622D6B"/>
    <w:rsid w:val="00623944"/>
    <w:rsid w:val="00623F64"/>
    <w:rsid w:val="00624844"/>
    <w:rsid w:val="00624B89"/>
    <w:rsid w:val="00624CFE"/>
    <w:rsid w:val="00625AE6"/>
    <w:rsid w:val="0062610B"/>
    <w:rsid w:val="006265CF"/>
    <w:rsid w:val="00627C90"/>
    <w:rsid w:val="00630273"/>
    <w:rsid w:val="00631087"/>
    <w:rsid w:val="00632253"/>
    <w:rsid w:val="00632622"/>
    <w:rsid w:val="006327B8"/>
    <w:rsid w:val="00632E44"/>
    <w:rsid w:val="006334FE"/>
    <w:rsid w:val="00634700"/>
    <w:rsid w:val="006358B1"/>
    <w:rsid w:val="00636178"/>
    <w:rsid w:val="006365D8"/>
    <w:rsid w:val="00636E66"/>
    <w:rsid w:val="00636EF3"/>
    <w:rsid w:val="00636F9E"/>
    <w:rsid w:val="00637B0B"/>
    <w:rsid w:val="00640C17"/>
    <w:rsid w:val="00640CBC"/>
    <w:rsid w:val="00641273"/>
    <w:rsid w:val="0064143C"/>
    <w:rsid w:val="00641D83"/>
    <w:rsid w:val="00642714"/>
    <w:rsid w:val="006438D8"/>
    <w:rsid w:val="00643AA3"/>
    <w:rsid w:val="00644905"/>
    <w:rsid w:val="006455CE"/>
    <w:rsid w:val="00645699"/>
    <w:rsid w:val="0064592C"/>
    <w:rsid w:val="00645F15"/>
    <w:rsid w:val="00646BC5"/>
    <w:rsid w:val="0064762E"/>
    <w:rsid w:val="00650CCC"/>
    <w:rsid w:val="00650DEF"/>
    <w:rsid w:val="00650F7D"/>
    <w:rsid w:val="00651575"/>
    <w:rsid w:val="00651798"/>
    <w:rsid w:val="00652A00"/>
    <w:rsid w:val="00652D8F"/>
    <w:rsid w:val="00652FE9"/>
    <w:rsid w:val="00653A70"/>
    <w:rsid w:val="0065405E"/>
    <w:rsid w:val="0065414C"/>
    <w:rsid w:val="00654C32"/>
    <w:rsid w:val="00654F05"/>
    <w:rsid w:val="0065550F"/>
    <w:rsid w:val="00655841"/>
    <w:rsid w:val="006561FB"/>
    <w:rsid w:val="00656BC3"/>
    <w:rsid w:val="00656CB4"/>
    <w:rsid w:val="00656E7B"/>
    <w:rsid w:val="00657582"/>
    <w:rsid w:val="006575BE"/>
    <w:rsid w:val="00657E2A"/>
    <w:rsid w:val="006604C4"/>
    <w:rsid w:val="00660F55"/>
    <w:rsid w:val="0066146D"/>
    <w:rsid w:val="006616BD"/>
    <w:rsid w:val="0066209E"/>
    <w:rsid w:val="006625C7"/>
    <w:rsid w:val="006635CC"/>
    <w:rsid w:val="006638D5"/>
    <w:rsid w:val="00663DA2"/>
    <w:rsid w:val="00664234"/>
    <w:rsid w:val="0066444F"/>
    <w:rsid w:val="00665CC3"/>
    <w:rsid w:val="0066704A"/>
    <w:rsid w:val="006673FA"/>
    <w:rsid w:val="00670088"/>
    <w:rsid w:val="006700C6"/>
    <w:rsid w:val="0067027F"/>
    <w:rsid w:val="00670B84"/>
    <w:rsid w:val="00670F73"/>
    <w:rsid w:val="006711E6"/>
    <w:rsid w:val="00671296"/>
    <w:rsid w:val="0067227B"/>
    <w:rsid w:val="006723E1"/>
    <w:rsid w:val="006730EA"/>
    <w:rsid w:val="006733B6"/>
    <w:rsid w:val="006737A9"/>
    <w:rsid w:val="00673C68"/>
    <w:rsid w:val="0067492E"/>
    <w:rsid w:val="00674F1B"/>
    <w:rsid w:val="00674FE7"/>
    <w:rsid w:val="006771F9"/>
    <w:rsid w:val="00677944"/>
    <w:rsid w:val="00677F66"/>
    <w:rsid w:val="006807FA"/>
    <w:rsid w:val="00680D7A"/>
    <w:rsid w:val="006810F6"/>
    <w:rsid w:val="006817C8"/>
    <w:rsid w:val="00681890"/>
    <w:rsid w:val="00681F58"/>
    <w:rsid w:val="006822F9"/>
    <w:rsid w:val="0068233A"/>
    <w:rsid w:val="00682509"/>
    <w:rsid w:val="006829E5"/>
    <w:rsid w:val="00682CDC"/>
    <w:rsid w:val="00683F56"/>
    <w:rsid w:val="006846E7"/>
    <w:rsid w:val="00684763"/>
    <w:rsid w:val="00684A25"/>
    <w:rsid w:val="00684CE0"/>
    <w:rsid w:val="0068592F"/>
    <w:rsid w:val="0068615E"/>
    <w:rsid w:val="00686916"/>
    <w:rsid w:val="00687215"/>
    <w:rsid w:val="00690414"/>
    <w:rsid w:val="00690A59"/>
    <w:rsid w:val="00691667"/>
    <w:rsid w:val="00692A18"/>
    <w:rsid w:val="00692C21"/>
    <w:rsid w:val="00692E71"/>
    <w:rsid w:val="00693034"/>
    <w:rsid w:val="00693D90"/>
    <w:rsid w:val="00694351"/>
    <w:rsid w:val="006947A9"/>
    <w:rsid w:val="00694E16"/>
    <w:rsid w:val="006950E1"/>
    <w:rsid w:val="0069566C"/>
    <w:rsid w:val="006974ED"/>
    <w:rsid w:val="00697E0A"/>
    <w:rsid w:val="006A0FF4"/>
    <w:rsid w:val="006A17B7"/>
    <w:rsid w:val="006A1FF3"/>
    <w:rsid w:val="006A204B"/>
    <w:rsid w:val="006A2506"/>
    <w:rsid w:val="006A2DE8"/>
    <w:rsid w:val="006A321C"/>
    <w:rsid w:val="006A3FA1"/>
    <w:rsid w:val="006A4231"/>
    <w:rsid w:val="006A4C05"/>
    <w:rsid w:val="006A5042"/>
    <w:rsid w:val="006A5AC1"/>
    <w:rsid w:val="006A7671"/>
    <w:rsid w:val="006B0AEA"/>
    <w:rsid w:val="006B0F3E"/>
    <w:rsid w:val="006B157A"/>
    <w:rsid w:val="006B180B"/>
    <w:rsid w:val="006B372A"/>
    <w:rsid w:val="006B4014"/>
    <w:rsid w:val="006B4253"/>
    <w:rsid w:val="006B45BB"/>
    <w:rsid w:val="006B4A08"/>
    <w:rsid w:val="006B4B89"/>
    <w:rsid w:val="006B53D7"/>
    <w:rsid w:val="006B5805"/>
    <w:rsid w:val="006B5A4B"/>
    <w:rsid w:val="006B61A8"/>
    <w:rsid w:val="006B77F8"/>
    <w:rsid w:val="006B7E82"/>
    <w:rsid w:val="006C06F3"/>
    <w:rsid w:val="006C0DCB"/>
    <w:rsid w:val="006C0EAD"/>
    <w:rsid w:val="006C1269"/>
    <w:rsid w:val="006C17AE"/>
    <w:rsid w:val="006C2918"/>
    <w:rsid w:val="006C30FC"/>
    <w:rsid w:val="006C45A5"/>
    <w:rsid w:val="006C4DE0"/>
    <w:rsid w:val="006C513C"/>
    <w:rsid w:val="006C5653"/>
    <w:rsid w:val="006C62AE"/>
    <w:rsid w:val="006C65F4"/>
    <w:rsid w:val="006C67A2"/>
    <w:rsid w:val="006C7E7C"/>
    <w:rsid w:val="006D109E"/>
    <w:rsid w:val="006D1640"/>
    <w:rsid w:val="006D19BC"/>
    <w:rsid w:val="006D2679"/>
    <w:rsid w:val="006D2D45"/>
    <w:rsid w:val="006D2E27"/>
    <w:rsid w:val="006D466A"/>
    <w:rsid w:val="006D480D"/>
    <w:rsid w:val="006D49F7"/>
    <w:rsid w:val="006D4A28"/>
    <w:rsid w:val="006D4B56"/>
    <w:rsid w:val="006D57C9"/>
    <w:rsid w:val="006D5DCE"/>
    <w:rsid w:val="006D6FD8"/>
    <w:rsid w:val="006D7571"/>
    <w:rsid w:val="006E03F5"/>
    <w:rsid w:val="006E195D"/>
    <w:rsid w:val="006E26A3"/>
    <w:rsid w:val="006E3D2D"/>
    <w:rsid w:val="006E4C53"/>
    <w:rsid w:val="006E5198"/>
    <w:rsid w:val="006E6420"/>
    <w:rsid w:val="006E7CA9"/>
    <w:rsid w:val="006F0434"/>
    <w:rsid w:val="006F1164"/>
    <w:rsid w:val="006F1C19"/>
    <w:rsid w:val="006F2F7B"/>
    <w:rsid w:val="006F345D"/>
    <w:rsid w:val="006F34C1"/>
    <w:rsid w:val="006F5455"/>
    <w:rsid w:val="006F6066"/>
    <w:rsid w:val="006F7458"/>
    <w:rsid w:val="006F7AA8"/>
    <w:rsid w:val="006F7F73"/>
    <w:rsid w:val="00700496"/>
    <w:rsid w:val="00701576"/>
    <w:rsid w:val="007018D2"/>
    <w:rsid w:val="00701FA8"/>
    <w:rsid w:val="007023EE"/>
    <w:rsid w:val="00702B05"/>
    <w:rsid w:val="00702BF8"/>
    <w:rsid w:val="00702EF5"/>
    <w:rsid w:val="00702F23"/>
    <w:rsid w:val="00703164"/>
    <w:rsid w:val="00703C85"/>
    <w:rsid w:val="0070568A"/>
    <w:rsid w:val="00705F83"/>
    <w:rsid w:val="007065DD"/>
    <w:rsid w:val="007069DC"/>
    <w:rsid w:val="00706ABD"/>
    <w:rsid w:val="00706DBF"/>
    <w:rsid w:val="007074DB"/>
    <w:rsid w:val="00707C39"/>
    <w:rsid w:val="00710A81"/>
    <w:rsid w:val="0071182F"/>
    <w:rsid w:val="00711DA7"/>
    <w:rsid w:val="0071206C"/>
    <w:rsid w:val="00712294"/>
    <w:rsid w:val="007127B5"/>
    <w:rsid w:val="00712AF4"/>
    <w:rsid w:val="0071396D"/>
    <w:rsid w:val="00713A7A"/>
    <w:rsid w:val="00716669"/>
    <w:rsid w:val="00717094"/>
    <w:rsid w:val="007172CA"/>
    <w:rsid w:val="007175FE"/>
    <w:rsid w:val="007211FC"/>
    <w:rsid w:val="00721307"/>
    <w:rsid w:val="00722ECA"/>
    <w:rsid w:val="00723D68"/>
    <w:rsid w:val="00723DD0"/>
    <w:rsid w:val="007241E1"/>
    <w:rsid w:val="00724BDA"/>
    <w:rsid w:val="00724EA7"/>
    <w:rsid w:val="007255AC"/>
    <w:rsid w:val="00725A61"/>
    <w:rsid w:val="00725B5B"/>
    <w:rsid w:val="0072683E"/>
    <w:rsid w:val="00726C35"/>
    <w:rsid w:val="00726F02"/>
    <w:rsid w:val="00726F97"/>
    <w:rsid w:val="00727D44"/>
    <w:rsid w:val="00730169"/>
    <w:rsid w:val="00730BAC"/>
    <w:rsid w:val="0073177E"/>
    <w:rsid w:val="00731826"/>
    <w:rsid w:val="00732A3E"/>
    <w:rsid w:val="00732AFA"/>
    <w:rsid w:val="00732B0A"/>
    <w:rsid w:val="00733017"/>
    <w:rsid w:val="00734F0F"/>
    <w:rsid w:val="007350D9"/>
    <w:rsid w:val="007353AF"/>
    <w:rsid w:val="00736C2C"/>
    <w:rsid w:val="00736F56"/>
    <w:rsid w:val="00737821"/>
    <w:rsid w:val="00737AD0"/>
    <w:rsid w:val="00737D4F"/>
    <w:rsid w:val="00740FD8"/>
    <w:rsid w:val="00742018"/>
    <w:rsid w:val="007428DA"/>
    <w:rsid w:val="00742C4B"/>
    <w:rsid w:val="00743161"/>
    <w:rsid w:val="00743C49"/>
    <w:rsid w:val="00744A5C"/>
    <w:rsid w:val="00746941"/>
    <w:rsid w:val="00746B75"/>
    <w:rsid w:val="0074706F"/>
    <w:rsid w:val="00747C1D"/>
    <w:rsid w:val="0075097D"/>
    <w:rsid w:val="00750F24"/>
    <w:rsid w:val="00751680"/>
    <w:rsid w:val="00751FFA"/>
    <w:rsid w:val="0075202D"/>
    <w:rsid w:val="00752439"/>
    <w:rsid w:val="007533BD"/>
    <w:rsid w:val="007534DB"/>
    <w:rsid w:val="00753813"/>
    <w:rsid w:val="0075386F"/>
    <w:rsid w:val="00754015"/>
    <w:rsid w:val="007550D0"/>
    <w:rsid w:val="00756343"/>
    <w:rsid w:val="007570E3"/>
    <w:rsid w:val="0076094A"/>
    <w:rsid w:val="00760C7D"/>
    <w:rsid w:val="00761BF9"/>
    <w:rsid w:val="00762E17"/>
    <w:rsid w:val="00762F52"/>
    <w:rsid w:val="00763203"/>
    <w:rsid w:val="007633BA"/>
    <w:rsid w:val="00763CBB"/>
    <w:rsid w:val="00764784"/>
    <w:rsid w:val="00764D2D"/>
    <w:rsid w:val="00765153"/>
    <w:rsid w:val="00765997"/>
    <w:rsid w:val="00765D98"/>
    <w:rsid w:val="00766CC9"/>
    <w:rsid w:val="007720D0"/>
    <w:rsid w:val="0077232C"/>
    <w:rsid w:val="00773098"/>
    <w:rsid w:val="007738BF"/>
    <w:rsid w:val="0077409E"/>
    <w:rsid w:val="0077410A"/>
    <w:rsid w:val="00774DCB"/>
    <w:rsid w:val="0077600D"/>
    <w:rsid w:val="007760DE"/>
    <w:rsid w:val="007763C7"/>
    <w:rsid w:val="0077723F"/>
    <w:rsid w:val="007772C8"/>
    <w:rsid w:val="00777D4C"/>
    <w:rsid w:val="00780269"/>
    <w:rsid w:val="00781838"/>
    <w:rsid w:val="00783310"/>
    <w:rsid w:val="00783A08"/>
    <w:rsid w:val="00783CB6"/>
    <w:rsid w:val="00783FED"/>
    <w:rsid w:val="00785AF0"/>
    <w:rsid w:val="0078688A"/>
    <w:rsid w:val="007869B5"/>
    <w:rsid w:val="007878F5"/>
    <w:rsid w:val="007907B1"/>
    <w:rsid w:val="0079251A"/>
    <w:rsid w:val="00792AEB"/>
    <w:rsid w:val="00792CFB"/>
    <w:rsid w:val="00792F9B"/>
    <w:rsid w:val="007939DB"/>
    <w:rsid w:val="00794674"/>
    <w:rsid w:val="007946ED"/>
    <w:rsid w:val="007947F5"/>
    <w:rsid w:val="00795CB7"/>
    <w:rsid w:val="0079626F"/>
    <w:rsid w:val="0079628A"/>
    <w:rsid w:val="007963C3"/>
    <w:rsid w:val="00796678"/>
    <w:rsid w:val="00797746"/>
    <w:rsid w:val="00797CB3"/>
    <w:rsid w:val="007A0223"/>
    <w:rsid w:val="007A02C8"/>
    <w:rsid w:val="007A0CD4"/>
    <w:rsid w:val="007A27FB"/>
    <w:rsid w:val="007A2D6D"/>
    <w:rsid w:val="007A35FC"/>
    <w:rsid w:val="007A36B4"/>
    <w:rsid w:val="007A4062"/>
    <w:rsid w:val="007A4A6D"/>
    <w:rsid w:val="007A54EA"/>
    <w:rsid w:val="007A5AAC"/>
    <w:rsid w:val="007A5DE3"/>
    <w:rsid w:val="007B0468"/>
    <w:rsid w:val="007B0C9A"/>
    <w:rsid w:val="007B0E1D"/>
    <w:rsid w:val="007B269B"/>
    <w:rsid w:val="007B2C2F"/>
    <w:rsid w:val="007B3D9A"/>
    <w:rsid w:val="007B4444"/>
    <w:rsid w:val="007B44E7"/>
    <w:rsid w:val="007B4C48"/>
    <w:rsid w:val="007B5A98"/>
    <w:rsid w:val="007B5CAB"/>
    <w:rsid w:val="007B6457"/>
    <w:rsid w:val="007B69DD"/>
    <w:rsid w:val="007B795E"/>
    <w:rsid w:val="007B7976"/>
    <w:rsid w:val="007B7E69"/>
    <w:rsid w:val="007C03B2"/>
    <w:rsid w:val="007C0792"/>
    <w:rsid w:val="007C0AB6"/>
    <w:rsid w:val="007C0B57"/>
    <w:rsid w:val="007C0CDF"/>
    <w:rsid w:val="007C1FEA"/>
    <w:rsid w:val="007C34EC"/>
    <w:rsid w:val="007C3DA0"/>
    <w:rsid w:val="007C4284"/>
    <w:rsid w:val="007C50DC"/>
    <w:rsid w:val="007C53E9"/>
    <w:rsid w:val="007C5681"/>
    <w:rsid w:val="007C5912"/>
    <w:rsid w:val="007C7016"/>
    <w:rsid w:val="007C7991"/>
    <w:rsid w:val="007D0A0D"/>
    <w:rsid w:val="007D0C8B"/>
    <w:rsid w:val="007D15CC"/>
    <w:rsid w:val="007D1BCF"/>
    <w:rsid w:val="007D3086"/>
    <w:rsid w:val="007D33A2"/>
    <w:rsid w:val="007D4860"/>
    <w:rsid w:val="007D4C97"/>
    <w:rsid w:val="007D5077"/>
    <w:rsid w:val="007D52D0"/>
    <w:rsid w:val="007D53F0"/>
    <w:rsid w:val="007D5B63"/>
    <w:rsid w:val="007D6560"/>
    <w:rsid w:val="007D75CF"/>
    <w:rsid w:val="007E0440"/>
    <w:rsid w:val="007E0E4D"/>
    <w:rsid w:val="007E1BA1"/>
    <w:rsid w:val="007E3862"/>
    <w:rsid w:val="007E4CF3"/>
    <w:rsid w:val="007E5B25"/>
    <w:rsid w:val="007E5B59"/>
    <w:rsid w:val="007E6B8D"/>
    <w:rsid w:val="007E6DC5"/>
    <w:rsid w:val="007E71F8"/>
    <w:rsid w:val="007F0127"/>
    <w:rsid w:val="007F16CC"/>
    <w:rsid w:val="007F1FC7"/>
    <w:rsid w:val="007F2C7C"/>
    <w:rsid w:val="007F37F9"/>
    <w:rsid w:val="007F3837"/>
    <w:rsid w:val="007F5395"/>
    <w:rsid w:val="007F6586"/>
    <w:rsid w:val="007F70C6"/>
    <w:rsid w:val="007F7F51"/>
    <w:rsid w:val="007F7FBB"/>
    <w:rsid w:val="00801185"/>
    <w:rsid w:val="00801B04"/>
    <w:rsid w:val="00801FB2"/>
    <w:rsid w:val="0080281F"/>
    <w:rsid w:val="008029EB"/>
    <w:rsid w:val="00802B0A"/>
    <w:rsid w:val="00803D49"/>
    <w:rsid w:val="0080416F"/>
    <w:rsid w:val="008044EE"/>
    <w:rsid w:val="00806F67"/>
    <w:rsid w:val="00807911"/>
    <w:rsid w:val="00810B78"/>
    <w:rsid w:val="00810F09"/>
    <w:rsid w:val="00811BDD"/>
    <w:rsid w:val="008121AF"/>
    <w:rsid w:val="0081334F"/>
    <w:rsid w:val="008139C3"/>
    <w:rsid w:val="00814AD5"/>
    <w:rsid w:val="00815323"/>
    <w:rsid w:val="00815A22"/>
    <w:rsid w:val="00816374"/>
    <w:rsid w:val="008167A8"/>
    <w:rsid w:val="00816A9C"/>
    <w:rsid w:val="00816F15"/>
    <w:rsid w:val="00817CB1"/>
    <w:rsid w:val="00820A39"/>
    <w:rsid w:val="00820B5E"/>
    <w:rsid w:val="00820CDF"/>
    <w:rsid w:val="00821F99"/>
    <w:rsid w:val="00824242"/>
    <w:rsid w:val="00824D53"/>
    <w:rsid w:val="00825024"/>
    <w:rsid w:val="008264DD"/>
    <w:rsid w:val="008264E4"/>
    <w:rsid w:val="00826918"/>
    <w:rsid w:val="00826C9A"/>
    <w:rsid w:val="008306BF"/>
    <w:rsid w:val="00830A2F"/>
    <w:rsid w:val="008320B8"/>
    <w:rsid w:val="00833F4F"/>
    <w:rsid w:val="0083422B"/>
    <w:rsid w:val="0083437C"/>
    <w:rsid w:val="00835A1A"/>
    <w:rsid w:val="00835D18"/>
    <w:rsid w:val="00836F80"/>
    <w:rsid w:val="0083719D"/>
    <w:rsid w:val="0084108B"/>
    <w:rsid w:val="008424E0"/>
    <w:rsid w:val="00842B56"/>
    <w:rsid w:val="0084388A"/>
    <w:rsid w:val="00844401"/>
    <w:rsid w:val="008449AE"/>
    <w:rsid w:val="00845044"/>
    <w:rsid w:val="008456AE"/>
    <w:rsid w:val="00845F77"/>
    <w:rsid w:val="00845FB1"/>
    <w:rsid w:val="00846433"/>
    <w:rsid w:val="00846687"/>
    <w:rsid w:val="008471B3"/>
    <w:rsid w:val="0085022D"/>
    <w:rsid w:val="008506E3"/>
    <w:rsid w:val="00850ECD"/>
    <w:rsid w:val="00851B7D"/>
    <w:rsid w:val="0085216A"/>
    <w:rsid w:val="00852A35"/>
    <w:rsid w:val="00853B24"/>
    <w:rsid w:val="0085401A"/>
    <w:rsid w:val="00854A9A"/>
    <w:rsid w:val="00854B2B"/>
    <w:rsid w:val="00854C0A"/>
    <w:rsid w:val="00854CFA"/>
    <w:rsid w:val="00856482"/>
    <w:rsid w:val="008564A7"/>
    <w:rsid w:val="008569C3"/>
    <w:rsid w:val="00856F2A"/>
    <w:rsid w:val="00857CBB"/>
    <w:rsid w:val="0086225E"/>
    <w:rsid w:val="00863203"/>
    <w:rsid w:val="00863310"/>
    <w:rsid w:val="00863494"/>
    <w:rsid w:val="00864264"/>
    <w:rsid w:val="00864719"/>
    <w:rsid w:val="008650CC"/>
    <w:rsid w:val="008658B9"/>
    <w:rsid w:val="00865CB1"/>
    <w:rsid w:val="00865F47"/>
    <w:rsid w:val="0086765B"/>
    <w:rsid w:val="008712D4"/>
    <w:rsid w:val="008727AC"/>
    <w:rsid w:val="00873871"/>
    <w:rsid w:val="008745B1"/>
    <w:rsid w:val="00875B3D"/>
    <w:rsid w:val="00875FD2"/>
    <w:rsid w:val="0087744B"/>
    <w:rsid w:val="0087753F"/>
    <w:rsid w:val="0088043C"/>
    <w:rsid w:val="008807B2"/>
    <w:rsid w:val="00880E3F"/>
    <w:rsid w:val="00881A8F"/>
    <w:rsid w:val="0088200A"/>
    <w:rsid w:val="00883107"/>
    <w:rsid w:val="00883468"/>
    <w:rsid w:val="008845E1"/>
    <w:rsid w:val="00884889"/>
    <w:rsid w:val="008858A7"/>
    <w:rsid w:val="00885981"/>
    <w:rsid w:val="00886B79"/>
    <w:rsid w:val="00887165"/>
    <w:rsid w:val="0088753B"/>
    <w:rsid w:val="00887CB2"/>
    <w:rsid w:val="00887D09"/>
    <w:rsid w:val="008906C9"/>
    <w:rsid w:val="00890B0B"/>
    <w:rsid w:val="00890E98"/>
    <w:rsid w:val="0089102C"/>
    <w:rsid w:val="00891708"/>
    <w:rsid w:val="00891EE2"/>
    <w:rsid w:val="00891FCD"/>
    <w:rsid w:val="00892A03"/>
    <w:rsid w:val="00892C49"/>
    <w:rsid w:val="0089316A"/>
    <w:rsid w:val="008941DD"/>
    <w:rsid w:val="00894285"/>
    <w:rsid w:val="00894346"/>
    <w:rsid w:val="0089434D"/>
    <w:rsid w:val="008951EC"/>
    <w:rsid w:val="008952AB"/>
    <w:rsid w:val="008969B9"/>
    <w:rsid w:val="00897002"/>
    <w:rsid w:val="008973B9"/>
    <w:rsid w:val="00897505"/>
    <w:rsid w:val="00897B42"/>
    <w:rsid w:val="008A02FB"/>
    <w:rsid w:val="008A19FC"/>
    <w:rsid w:val="008A1DE3"/>
    <w:rsid w:val="008A23AE"/>
    <w:rsid w:val="008A298D"/>
    <w:rsid w:val="008A30D1"/>
    <w:rsid w:val="008A31C8"/>
    <w:rsid w:val="008A4073"/>
    <w:rsid w:val="008A541A"/>
    <w:rsid w:val="008A55E4"/>
    <w:rsid w:val="008A59AB"/>
    <w:rsid w:val="008A6273"/>
    <w:rsid w:val="008A634A"/>
    <w:rsid w:val="008A6643"/>
    <w:rsid w:val="008A72C7"/>
    <w:rsid w:val="008A7CA8"/>
    <w:rsid w:val="008B0474"/>
    <w:rsid w:val="008B05AE"/>
    <w:rsid w:val="008B0EA2"/>
    <w:rsid w:val="008B101E"/>
    <w:rsid w:val="008B1447"/>
    <w:rsid w:val="008B16A7"/>
    <w:rsid w:val="008B188B"/>
    <w:rsid w:val="008B1E1A"/>
    <w:rsid w:val="008B2860"/>
    <w:rsid w:val="008B29D3"/>
    <w:rsid w:val="008B2C64"/>
    <w:rsid w:val="008B2D99"/>
    <w:rsid w:val="008B50C3"/>
    <w:rsid w:val="008B592F"/>
    <w:rsid w:val="008B7023"/>
    <w:rsid w:val="008B7F93"/>
    <w:rsid w:val="008C0371"/>
    <w:rsid w:val="008C06B5"/>
    <w:rsid w:val="008C06DF"/>
    <w:rsid w:val="008C1961"/>
    <w:rsid w:val="008C1C66"/>
    <w:rsid w:val="008C2477"/>
    <w:rsid w:val="008C3871"/>
    <w:rsid w:val="008C4C27"/>
    <w:rsid w:val="008C5738"/>
    <w:rsid w:val="008C5B00"/>
    <w:rsid w:val="008C7E63"/>
    <w:rsid w:val="008D0137"/>
    <w:rsid w:val="008D04F0"/>
    <w:rsid w:val="008D0652"/>
    <w:rsid w:val="008D09E1"/>
    <w:rsid w:val="008D12A7"/>
    <w:rsid w:val="008D1381"/>
    <w:rsid w:val="008D21D2"/>
    <w:rsid w:val="008D31EB"/>
    <w:rsid w:val="008D3B4B"/>
    <w:rsid w:val="008D4094"/>
    <w:rsid w:val="008D6099"/>
    <w:rsid w:val="008D650A"/>
    <w:rsid w:val="008D6617"/>
    <w:rsid w:val="008D72F7"/>
    <w:rsid w:val="008D7365"/>
    <w:rsid w:val="008D759B"/>
    <w:rsid w:val="008D7625"/>
    <w:rsid w:val="008D7AD4"/>
    <w:rsid w:val="008E08CC"/>
    <w:rsid w:val="008E0CFF"/>
    <w:rsid w:val="008E138F"/>
    <w:rsid w:val="008E16C2"/>
    <w:rsid w:val="008E1D59"/>
    <w:rsid w:val="008E24C9"/>
    <w:rsid w:val="008E2AB0"/>
    <w:rsid w:val="008E3603"/>
    <w:rsid w:val="008E4183"/>
    <w:rsid w:val="008E4789"/>
    <w:rsid w:val="008E496E"/>
    <w:rsid w:val="008E4CA9"/>
    <w:rsid w:val="008E5DEC"/>
    <w:rsid w:val="008E6005"/>
    <w:rsid w:val="008E7024"/>
    <w:rsid w:val="008E79C2"/>
    <w:rsid w:val="008F03FB"/>
    <w:rsid w:val="008F0D91"/>
    <w:rsid w:val="008F3500"/>
    <w:rsid w:val="008F3504"/>
    <w:rsid w:val="008F3EB7"/>
    <w:rsid w:val="008F40B4"/>
    <w:rsid w:val="008F5C5E"/>
    <w:rsid w:val="008F6AC6"/>
    <w:rsid w:val="008F6DB8"/>
    <w:rsid w:val="008F7E9B"/>
    <w:rsid w:val="009003EB"/>
    <w:rsid w:val="009003ED"/>
    <w:rsid w:val="0090117E"/>
    <w:rsid w:val="009022D5"/>
    <w:rsid w:val="009026E2"/>
    <w:rsid w:val="0090401C"/>
    <w:rsid w:val="00904E51"/>
    <w:rsid w:val="0090550A"/>
    <w:rsid w:val="00905C9D"/>
    <w:rsid w:val="00905FF1"/>
    <w:rsid w:val="00906858"/>
    <w:rsid w:val="0090741F"/>
    <w:rsid w:val="009075EB"/>
    <w:rsid w:val="00907A29"/>
    <w:rsid w:val="00907F48"/>
    <w:rsid w:val="0091147A"/>
    <w:rsid w:val="00911688"/>
    <w:rsid w:val="00913236"/>
    <w:rsid w:val="0091377D"/>
    <w:rsid w:val="00913E39"/>
    <w:rsid w:val="0091403C"/>
    <w:rsid w:val="00914086"/>
    <w:rsid w:val="009148BB"/>
    <w:rsid w:val="00914EB2"/>
    <w:rsid w:val="00916868"/>
    <w:rsid w:val="0091793C"/>
    <w:rsid w:val="00917E7B"/>
    <w:rsid w:val="0092037A"/>
    <w:rsid w:val="009213B0"/>
    <w:rsid w:val="00921646"/>
    <w:rsid w:val="009219C4"/>
    <w:rsid w:val="0092245E"/>
    <w:rsid w:val="00922547"/>
    <w:rsid w:val="00923145"/>
    <w:rsid w:val="00923DAE"/>
    <w:rsid w:val="0092493C"/>
    <w:rsid w:val="00924E3C"/>
    <w:rsid w:val="009251BE"/>
    <w:rsid w:val="00925549"/>
    <w:rsid w:val="0092603C"/>
    <w:rsid w:val="00926625"/>
    <w:rsid w:val="00926EE9"/>
    <w:rsid w:val="0092712D"/>
    <w:rsid w:val="009271F6"/>
    <w:rsid w:val="00927591"/>
    <w:rsid w:val="009301BB"/>
    <w:rsid w:val="009321B9"/>
    <w:rsid w:val="009329DE"/>
    <w:rsid w:val="00933AD2"/>
    <w:rsid w:val="00933E15"/>
    <w:rsid w:val="00934133"/>
    <w:rsid w:val="009353E1"/>
    <w:rsid w:val="00935796"/>
    <w:rsid w:val="00936BEC"/>
    <w:rsid w:val="00936E94"/>
    <w:rsid w:val="00940434"/>
    <w:rsid w:val="0094058A"/>
    <w:rsid w:val="00940A53"/>
    <w:rsid w:val="00940D39"/>
    <w:rsid w:val="00941913"/>
    <w:rsid w:val="00941F23"/>
    <w:rsid w:val="00941F69"/>
    <w:rsid w:val="00942123"/>
    <w:rsid w:val="00942878"/>
    <w:rsid w:val="00943571"/>
    <w:rsid w:val="00944186"/>
    <w:rsid w:val="009453D4"/>
    <w:rsid w:val="009457BF"/>
    <w:rsid w:val="00945B39"/>
    <w:rsid w:val="00945C70"/>
    <w:rsid w:val="00947429"/>
    <w:rsid w:val="00947D1F"/>
    <w:rsid w:val="00950464"/>
    <w:rsid w:val="00952346"/>
    <w:rsid w:val="00952876"/>
    <w:rsid w:val="0095309B"/>
    <w:rsid w:val="00954512"/>
    <w:rsid w:val="009550B0"/>
    <w:rsid w:val="009551B4"/>
    <w:rsid w:val="009552B6"/>
    <w:rsid w:val="00955F8F"/>
    <w:rsid w:val="0095621E"/>
    <w:rsid w:val="0095743B"/>
    <w:rsid w:val="00957A68"/>
    <w:rsid w:val="00957B35"/>
    <w:rsid w:val="00957B8E"/>
    <w:rsid w:val="00957F20"/>
    <w:rsid w:val="009612BB"/>
    <w:rsid w:val="00961B4A"/>
    <w:rsid w:val="00962402"/>
    <w:rsid w:val="00962D39"/>
    <w:rsid w:val="00962D5E"/>
    <w:rsid w:val="00962DD8"/>
    <w:rsid w:val="0096333C"/>
    <w:rsid w:val="00964886"/>
    <w:rsid w:val="0096583A"/>
    <w:rsid w:val="0096701F"/>
    <w:rsid w:val="009674AF"/>
    <w:rsid w:val="00967D39"/>
    <w:rsid w:val="0097040B"/>
    <w:rsid w:val="00970914"/>
    <w:rsid w:val="0097110C"/>
    <w:rsid w:val="00971C8A"/>
    <w:rsid w:val="00972775"/>
    <w:rsid w:val="009734BD"/>
    <w:rsid w:val="00973AA9"/>
    <w:rsid w:val="009742AF"/>
    <w:rsid w:val="0097456D"/>
    <w:rsid w:val="009747B9"/>
    <w:rsid w:val="009762EF"/>
    <w:rsid w:val="0097686D"/>
    <w:rsid w:val="00977967"/>
    <w:rsid w:val="009803C0"/>
    <w:rsid w:val="00980D2E"/>
    <w:rsid w:val="00980E00"/>
    <w:rsid w:val="00980F91"/>
    <w:rsid w:val="00982672"/>
    <w:rsid w:val="009826E7"/>
    <w:rsid w:val="009827D8"/>
    <w:rsid w:val="00982F13"/>
    <w:rsid w:val="00983705"/>
    <w:rsid w:val="00984731"/>
    <w:rsid w:val="00984EC8"/>
    <w:rsid w:val="00985BAA"/>
    <w:rsid w:val="0098605C"/>
    <w:rsid w:val="009911BA"/>
    <w:rsid w:val="00991547"/>
    <w:rsid w:val="00991A79"/>
    <w:rsid w:val="00991C6B"/>
    <w:rsid w:val="009925A2"/>
    <w:rsid w:val="00992729"/>
    <w:rsid w:val="00993EF8"/>
    <w:rsid w:val="00994A83"/>
    <w:rsid w:val="0099517D"/>
    <w:rsid w:val="009952A5"/>
    <w:rsid w:val="009952B2"/>
    <w:rsid w:val="00995928"/>
    <w:rsid w:val="009965EB"/>
    <w:rsid w:val="00996788"/>
    <w:rsid w:val="00997ADD"/>
    <w:rsid w:val="00997ED2"/>
    <w:rsid w:val="009A0655"/>
    <w:rsid w:val="009A0D8F"/>
    <w:rsid w:val="009A0DA1"/>
    <w:rsid w:val="009A2BBE"/>
    <w:rsid w:val="009A3657"/>
    <w:rsid w:val="009A3992"/>
    <w:rsid w:val="009A4A1D"/>
    <w:rsid w:val="009A5362"/>
    <w:rsid w:val="009A5D3B"/>
    <w:rsid w:val="009A6E3F"/>
    <w:rsid w:val="009A7500"/>
    <w:rsid w:val="009A7DFE"/>
    <w:rsid w:val="009B012E"/>
    <w:rsid w:val="009B0346"/>
    <w:rsid w:val="009B0DEF"/>
    <w:rsid w:val="009B1205"/>
    <w:rsid w:val="009B24A6"/>
    <w:rsid w:val="009B2B96"/>
    <w:rsid w:val="009B5B9F"/>
    <w:rsid w:val="009B75AD"/>
    <w:rsid w:val="009B7DB9"/>
    <w:rsid w:val="009C02F5"/>
    <w:rsid w:val="009C09CD"/>
    <w:rsid w:val="009C1787"/>
    <w:rsid w:val="009C2D3B"/>
    <w:rsid w:val="009C2E5A"/>
    <w:rsid w:val="009C2EC4"/>
    <w:rsid w:val="009C32B7"/>
    <w:rsid w:val="009C4DB3"/>
    <w:rsid w:val="009C5C45"/>
    <w:rsid w:val="009C5D2E"/>
    <w:rsid w:val="009C60CB"/>
    <w:rsid w:val="009C65E5"/>
    <w:rsid w:val="009C68E4"/>
    <w:rsid w:val="009C72BF"/>
    <w:rsid w:val="009C733C"/>
    <w:rsid w:val="009C740A"/>
    <w:rsid w:val="009D01DA"/>
    <w:rsid w:val="009D0B41"/>
    <w:rsid w:val="009D0B52"/>
    <w:rsid w:val="009D4F90"/>
    <w:rsid w:val="009D6EB2"/>
    <w:rsid w:val="009D6F50"/>
    <w:rsid w:val="009D7834"/>
    <w:rsid w:val="009D7CE5"/>
    <w:rsid w:val="009E0A8F"/>
    <w:rsid w:val="009E1BA8"/>
    <w:rsid w:val="009E1C0C"/>
    <w:rsid w:val="009E1EB5"/>
    <w:rsid w:val="009E2865"/>
    <w:rsid w:val="009E303C"/>
    <w:rsid w:val="009E32D8"/>
    <w:rsid w:val="009E3356"/>
    <w:rsid w:val="009E35D7"/>
    <w:rsid w:val="009E37DF"/>
    <w:rsid w:val="009E48FC"/>
    <w:rsid w:val="009E4DCE"/>
    <w:rsid w:val="009E4F82"/>
    <w:rsid w:val="009E51C1"/>
    <w:rsid w:val="009E529F"/>
    <w:rsid w:val="009E52E6"/>
    <w:rsid w:val="009E574C"/>
    <w:rsid w:val="009E57D9"/>
    <w:rsid w:val="009E626A"/>
    <w:rsid w:val="009E6427"/>
    <w:rsid w:val="009E6B16"/>
    <w:rsid w:val="009E6FD1"/>
    <w:rsid w:val="009E77E6"/>
    <w:rsid w:val="009E77F4"/>
    <w:rsid w:val="009E7964"/>
    <w:rsid w:val="009E79D2"/>
    <w:rsid w:val="009E7DAD"/>
    <w:rsid w:val="009F1A55"/>
    <w:rsid w:val="009F1C82"/>
    <w:rsid w:val="009F3612"/>
    <w:rsid w:val="009F3D7C"/>
    <w:rsid w:val="009F4C02"/>
    <w:rsid w:val="009F4C97"/>
    <w:rsid w:val="009F57FF"/>
    <w:rsid w:val="009F5C51"/>
    <w:rsid w:val="009F5EB1"/>
    <w:rsid w:val="009F6193"/>
    <w:rsid w:val="009F6AD9"/>
    <w:rsid w:val="009F6E5E"/>
    <w:rsid w:val="009F7EA9"/>
    <w:rsid w:val="00A007A0"/>
    <w:rsid w:val="00A01D74"/>
    <w:rsid w:val="00A022A3"/>
    <w:rsid w:val="00A022B6"/>
    <w:rsid w:val="00A029D9"/>
    <w:rsid w:val="00A02A7A"/>
    <w:rsid w:val="00A03280"/>
    <w:rsid w:val="00A049A9"/>
    <w:rsid w:val="00A055E8"/>
    <w:rsid w:val="00A05D88"/>
    <w:rsid w:val="00A06867"/>
    <w:rsid w:val="00A0687E"/>
    <w:rsid w:val="00A10CE9"/>
    <w:rsid w:val="00A11460"/>
    <w:rsid w:val="00A125C5"/>
    <w:rsid w:val="00A12653"/>
    <w:rsid w:val="00A12706"/>
    <w:rsid w:val="00A13592"/>
    <w:rsid w:val="00A14DF3"/>
    <w:rsid w:val="00A1533E"/>
    <w:rsid w:val="00A15CBA"/>
    <w:rsid w:val="00A160F0"/>
    <w:rsid w:val="00A16B28"/>
    <w:rsid w:val="00A17AD3"/>
    <w:rsid w:val="00A17C74"/>
    <w:rsid w:val="00A218B8"/>
    <w:rsid w:val="00A2207F"/>
    <w:rsid w:val="00A22C96"/>
    <w:rsid w:val="00A22D42"/>
    <w:rsid w:val="00A22E7A"/>
    <w:rsid w:val="00A231F1"/>
    <w:rsid w:val="00A233BC"/>
    <w:rsid w:val="00A23A50"/>
    <w:rsid w:val="00A2403E"/>
    <w:rsid w:val="00A2451C"/>
    <w:rsid w:val="00A25BC9"/>
    <w:rsid w:val="00A266A0"/>
    <w:rsid w:val="00A2700C"/>
    <w:rsid w:val="00A2705F"/>
    <w:rsid w:val="00A27CC9"/>
    <w:rsid w:val="00A31BC8"/>
    <w:rsid w:val="00A3280F"/>
    <w:rsid w:val="00A32871"/>
    <w:rsid w:val="00A331E6"/>
    <w:rsid w:val="00A33CB3"/>
    <w:rsid w:val="00A35558"/>
    <w:rsid w:val="00A35F81"/>
    <w:rsid w:val="00A36045"/>
    <w:rsid w:val="00A361A5"/>
    <w:rsid w:val="00A36F0D"/>
    <w:rsid w:val="00A36F98"/>
    <w:rsid w:val="00A3709B"/>
    <w:rsid w:val="00A3752D"/>
    <w:rsid w:val="00A3763E"/>
    <w:rsid w:val="00A4057F"/>
    <w:rsid w:val="00A42E62"/>
    <w:rsid w:val="00A43CC6"/>
    <w:rsid w:val="00A441B6"/>
    <w:rsid w:val="00A4469D"/>
    <w:rsid w:val="00A45970"/>
    <w:rsid w:val="00A46E0E"/>
    <w:rsid w:val="00A47891"/>
    <w:rsid w:val="00A5037A"/>
    <w:rsid w:val="00A504D8"/>
    <w:rsid w:val="00A5168D"/>
    <w:rsid w:val="00A52149"/>
    <w:rsid w:val="00A531C0"/>
    <w:rsid w:val="00A535DD"/>
    <w:rsid w:val="00A54A0A"/>
    <w:rsid w:val="00A550E6"/>
    <w:rsid w:val="00A560C9"/>
    <w:rsid w:val="00A56649"/>
    <w:rsid w:val="00A566CB"/>
    <w:rsid w:val="00A5765F"/>
    <w:rsid w:val="00A6018E"/>
    <w:rsid w:val="00A61F25"/>
    <w:rsid w:val="00A620D9"/>
    <w:rsid w:val="00A6269C"/>
    <w:rsid w:val="00A62905"/>
    <w:rsid w:val="00A6443F"/>
    <w:rsid w:val="00A64928"/>
    <w:rsid w:val="00A64F69"/>
    <w:rsid w:val="00A65359"/>
    <w:rsid w:val="00A65801"/>
    <w:rsid w:val="00A65EE7"/>
    <w:rsid w:val="00A660B7"/>
    <w:rsid w:val="00A660BD"/>
    <w:rsid w:val="00A6613B"/>
    <w:rsid w:val="00A662B6"/>
    <w:rsid w:val="00A66BE7"/>
    <w:rsid w:val="00A6734B"/>
    <w:rsid w:val="00A678A9"/>
    <w:rsid w:val="00A70133"/>
    <w:rsid w:val="00A70D63"/>
    <w:rsid w:val="00A716B2"/>
    <w:rsid w:val="00A72381"/>
    <w:rsid w:val="00A72509"/>
    <w:rsid w:val="00A73218"/>
    <w:rsid w:val="00A73372"/>
    <w:rsid w:val="00A73940"/>
    <w:rsid w:val="00A73D1D"/>
    <w:rsid w:val="00A75715"/>
    <w:rsid w:val="00A76A28"/>
    <w:rsid w:val="00A76F41"/>
    <w:rsid w:val="00A770A6"/>
    <w:rsid w:val="00A80085"/>
    <w:rsid w:val="00A813B1"/>
    <w:rsid w:val="00A81B65"/>
    <w:rsid w:val="00A81CB2"/>
    <w:rsid w:val="00A81DA4"/>
    <w:rsid w:val="00A828CD"/>
    <w:rsid w:val="00A82BB8"/>
    <w:rsid w:val="00A82D80"/>
    <w:rsid w:val="00A83E49"/>
    <w:rsid w:val="00A845DF"/>
    <w:rsid w:val="00A85979"/>
    <w:rsid w:val="00A8616D"/>
    <w:rsid w:val="00A86271"/>
    <w:rsid w:val="00A86AE0"/>
    <w:rsid w:val="00A875AC"/>
    <w:rsid w:val="00A87615"/>
    <w:rsid w:val="00A8764F"/>
    <w:rsid w:val="00A87F43"/>
    <w:rsid w:val="00A90168"/>
    <w:rsid w:val="00A9026D"/>
    <w:rsid w:val="00A90CC7"/>
    <w:rsid w:val="00A90D86"/>
    <w:rsid w:val="00A91237"/>
    <w:rsid w:val="00A925FF"/>
    <w:rsid w:val="00A92A64"/>
    <w:rsid w:val="00A930A5"/>
    <w:rsid w:val="00A93426"/>
    <w:rsid w:val="00A9385E"/>
    <w:rsid w:val="00A945E8"/>
    <w:rsid w:val="00A95DE6"/>
    <w:rsid w:val="00A96364"/>
    <w:rsid w:val="00A965AF"/>
    <w:rsid w:val="00A96AFC"/>
    <w:rsid w:val="00A97D71"/>
    <w:rsid w:val="00AA0782"/>
    <w:rsid w:val="00AA09E9"/>
    <w:rsid w:val="00AA0C11"/>
    <w:rsid w:val="00AA0EBF"/>
    <w:rsid w:val="00AA1C79"/>
    <w:rsid w:val="00AA2175"/>
    <w:rsid w:val="00AA60B0"/>
    <w:rsid w:val="00AA6892"/>
    <w:rsid w:val="00AA6943"/>
    <w:rsid w:val="00AA6CB7"/>
    <w:rsid w:val="00AB36C4"/>
    <w:rsid w:val="00AB3E59"/>
    <w:rsid w:val="00AB4D84"/>
    <w:rsid w:val="00AB4FA5"/>
    <w:rsid w:val="00AB563E"/>
    <w:rsid w:val="00AB5ADF"/>
    <w:rsid w:val="00AB7832"/>
    <w:rsid w:val="00AB7B0A"/>
    <w:rsid w:val="00AC0977"/>
    <w:rsid w:val="00AC0BC6"/>
    <w:rsid w:val="00AC1DD3"/>
    <w:rsid w:val="00AC262C"/>
    <w:rsid w:val="00AC32B2"/>
    <w:rsid w:val="00AC4497"/>
    <w:rsid w:val="00AC4B06"/>
    <w:rsid w:val="00AC6D5C"/>
    <w:rsid w:val="00AD02FB"/>
    <w:rsid w:val="00AD0693"/>
    <w:rsid w:val="00AD06D4"/>
    <w:rsid w:val="00AD1D3B"/>
    <w:rsid w:val="00AD2BDF"/>
    <w:rsid w:val="00AD36EA"/>
    <w:rsid w:val="00AD3C47"/>
    <w:rsid w:val="00AD411D"/>
    <w:rsid w:val="00AD4986"/>
    <w:rsid w:val="00AD53FA"/>
    <w:rsid w:val="00AD5AC9"/>
    <w:rsid w:val="00AD5D43"/>
    <w:rsid w:val="00AD65C8"/>
    <w:rsid w:val="00AD6CE8"/>
    <w:rsid w:val="00AD7263"/>
    <w:rsid w:val="00AD76D0"/>
    <w:rsid w:val="00AE0DC7"/>
    <w:rsid w:val="00AE14C0"/>
    <w:rsid w:val="00AE16E8"/>
    <w:rsid w:val="00AE18BD"/>
    <w:rsid w:val="00AE19E1"/>
    <w:rsid w:val="00AE2EEF"/>
    <w:rsid w:val="00AE361C"/>
    <w:rsid w:val="00AE3A8F"/>
    <w:rsid w:val="00AE3ABB"/>
    <w:rsid w:val="00AE3EDC"/>
    <w:rsid w:val="00AE492D"/>
    <w:rsid w:val="00AE4950"/>
    <w:rsid w:val="00AE52A2"/>
    <w:rsid w:val="00AE7909"/>
    <w:rsid w:val="00AF08C8"/>
    <w:rsid w:val="00AF10A6"/>
    <w:rsid w:val="00AF1339"/>
    <w:rsid w:val="00AF1BAC"/>
    <w:rsid w:val="00AF1FF3"/>
    <w:rsid w:val="00AF208E"/>
    <w:rsid w:val="00AF2E0A"/>
    <w:rsid w:val="00AF2EE4"/>
    <w:rsid w:val="00AF5BEB"/>
    <w:rsid w:val="00AF62CC"/>
    <w:rsid w:val="00AF7083"/>
    <w:rsid w:val="00B00DFB"/>
    <w:rsid w:val="00B00E4E"/>
    <w:rsid w:val="00B00E7D"/>
    <w:rsid w:val="00B018A4"/>
    <w:rsid w:val="00B027D1"/>
    <w:rsid w:val="00B02A77"/>
    <w:rsid w:val="00B03553"/>
    <w:rsid w:val="00B04202"/>
    <w:rsid w:val="00B044B1"/>
    <w:rsid w:val="00B04E09"/>
    <w:rsid w:val="00B05593"/>
    <w:rsid w:val="00B05D89"/>
    <w:rsid w:val="00B05F37"/>
    <w:rsid w:val="00B075AC"/>
    <w:rsid w:val="00B1013A"/>
    <w:rsid w:val="00B10D60"/>
    <w:rsid w:val="00B11B58"/>
    <w:rsid w:val="00B14154"/>
    <w:rsid w:val="00B161B3"/>
    <w:rsid w:val="00B16DC4"/>
    <w:rsid w:val="00B16FCA"/>
    <w:rsid w:val="00B17141"/>
    <w:rsid w:val="00B17639"/>
    <w:rsid w:val="00B201A0"/>
    <w:rsid w:val="00B2069C"/>
    <w:rsid w:val="00B20844"/>
    <w:rsid w:val="00B20867"/>
    <w:rsid w:val="00B216C1"/>
    <w:rsid w:val="00B220C3"/>
    <w:rsid w:val="00B22B32"/>
    <w:rsid w:val="00B233CD"/>
    <w:rsid w:val="00B234FF"/>
    <w:rsid w:val="00B2382F"/>
    <w:rsid w:val="00B2423F"/>
    <w:rsid w:val="00B2527F"/>
    <w:rsid w:val="00B25FC7"/>
    <w:rsid w:val="00B267F0"/>
    <w:rsid w:val="00B267F9"/>
    <w:rsid w:val="00B26C8C"/>
    <w:rsid w:val="00B277D5"/>
    <w:rsid w:val="00B27C7A"/>
    <w:rsid w:val="00B3013E"/>
    <w:rsid w:val="00B303EA"/>
    <w:rsid w:val="00B30561"/>
    <w:rsid w:val="00B31575"/>
    <w:rsid w:val="00B31619"/>
    <w:rsid w:val="00B318E1"/>
    <w:rsid w:val="00B31B3A"/>
    <w:rsid w:val="00B32094"/>
    <w:rsid w:val="00B32776"/>
    <w:rsid w:val="00B32D78"/>
    <w:rsid w:val="00B32DC6"/>
    <w:rsid w:val="00B32EF6"/>
    <w:rsid w:val="00B33A5C"/>
    <w:rsid w:val="00B33B64"/>
    <w:rsid w:val="00B33C15"/>
    <w:rsid w:val="00B34242"/>
    <w:rsid w:val="00B342DE"/>
    <w:rsid w:val="00B34372"/>
    <w:rsid w:val="00B34A8C"/>
    <w:rsid w:val="00B35198"/>
    <w:rsid w:val="00B3605E"/>
    <w:rsid w:val="00B37640"/>
    <w:rsid w:val="00B37CBF"/>
    <w:rsid w:val="00B403C3"/>
    <w:rsid w:val="00B40D61"/>
    <w:rsid w:val="00B41055"/>
    <w:rsid w:val="00B413D9"/>
    <w:rsid w:val="00B417CA"/>
    <w:rsid w:val="00B4191E"/>
    <w:rsid w:val="00B41E55"/>
    <w:rsid w:val="00B429D1"/>
    <w:rsid w:val="00B42E66"/>
    <w:rsid w:val="00B43739"/>
    <w:rsid w:val="00B43BC3"/>
    <w:rsid w:val="00B43E28"/>
    <w:rsid w:val="00B44F17"/>
    <w:rsid w:val="00B47911"/>
    <w:rsid w:val="00B47CA3"/>
    <w:rsid w:val="00B510AE"/>
    <w:rsid w:val="00B51672"/>
    <w:rsid w:val="00B51D70"/>
    <w:rsid w:val="00B51F20"/>
    <w:rsid w:val="00B520EC"/>
    <w:rsid w:val="00B52220"/>
    <w:rsid w:val="00B527D4"/>
    <w:rsid w:val="00B52850"/>
    <w:rsid w:val="00B52DC1"/>
    <w:rsid w:val="00B5307A"/>
    <w:rsid w:val="00B53D80"/>
    <w:rsid w:val="00B544A4"/>
    <w:rsid w:val="00B54CA2"/>
    <w:rsid w:val="00B55D5A"/>
    <w:rsid w:val="00B55EE3"/>
    <w:rsid w:val="00B565B5"/>
    <w:rsid w:val="00B5723F"/>
    <w:rsid w:val="00B6079F"/>
    <w:rsid w:val="00B6095F"/>
    <w:rsid w:val="00B610BE"/>
    <w:rsid w:val="00B616C3"/>
    <w:rsid w:val="00B617CF"/>
    <w:rsid w:val="00B61EFA"/>
    <w:rsid w:val="00B6215B"/>
    <w:rsid w:val="00B62624"/>
    <w:rsid w:val="00B631EF"/>
    <w:rsid w:val="00B63286"/>
    <w:rsid w:val="00B634F9"/>
    <w:rsid w:val="00B63727"/>
    <w:rsid w:val="00B64057"/>
    <w:rsid w:val="00B64162"/>
    <w:rsid w:val="00B641E0"/>
    <w:rsid w:val="00B647BE"/>
    <w:rsid w:val="00B66E7B"/>
    <w:rsid w:val="00B67586"/>
    <w:rsid w:val="00B67A3D"/>
    <w:rsid w:val="00B7032D"/>
    <w:rsid w:val="00B714AD"/>
    <w:rsid w:val="00B71E96"/>
    <w:rsid w:val="00B72C97"/>
    <w:rsid w:val="00B732CB"/>
    <w:rsid w:val="00B73DB1"/>
    <w:rsid w:val="00B76334"/>
    <w:rsid w:val="00B766E0"/>
    <w:rsid w:val="00B773BD"/>
    <w:rsid w:val="00B804CB"/>
    <w:rsid w:val="00B806EF"/>
    <w:rsid w:val="00B8129A"/>
    <w:rsid w:val="00B81EFB"/>
    <w:rsid w:val="00B8290A"/>
    <w:rsid w:val="00B82B12"/>
    <w:rsid w:val="00B82BC4"/>
    <w:rsid w:val="00B83DBF"/>
    <w:rsid w:val="00B85436"/>
    <w:rsid w:val="00B8547D"/>
    <w:rsid w:val="00B857A8"/>
    <w:rsid w:val="00B86ACC"/>
    <w:rsid w:val="00B9090C"/>
    <w:rsid w:val="00B90AAE"/>
    <w:rsid w:val="00B91A2A"/>
    <w:rsid w:val="00B921AB"/>
    <w:rsid w:val="00B9333E"/>
    <w:rsid w:val="00B938A0"/>
    <w:rsid w:val="00B93DF5"/>
    <w:rsid w:val="00B9513B"/>
    <w:rsid w:val="00B953CC"/>
    <w:rsid w:val="00B95530"/>
    <w:rsid w:val="00B9588A"/>
    <w:rsid w:val="00B9625A"/>
    <w:rsid w:val="00B963FC"/>
    <w:rsid w:val="00BA05F6"/>
    <w:rsid w:val="00BA0CD4"/>
    <w:rsid w:val="00BA0F6F"/>
    <w:rsid w:val="00BA12D7"/>
    <w:rsid w:val="00BA14FF"/>
    <w:rsid w:val="00BA1F87"/>
    <w:rsid w:val="00BA23B0"/>
    <w:rsid w:val="00BA2F90"/>
    <w:rsid w:val="00BA3AA8"/>
    <w:rsid w:val="00BA3BF3"/>
    <w:rsid w:val="00BA3FFE"/>
    <w:rsid w:val="00BA408D"/>
    <w:rsid w:val="00BA49A3"/>
    <w:rsid w:val="00BA554F"/>
    <w:rsid w:val="00BA6145"/>
    <w:rsid w:val="00BA63B9"/>
    <w:rsid w:val="00BA6D82"/>
    <w:rsid w:val="00BA6F0B"/>
    <w:rsid w:val="00BA786D"/>
    <w:rsid w:val="00BA7C44"/>
    <w:rsid w:val="00BB252D"/>
    <w:rsid w:val="00BB26EE"/>
    <w:rsid w:val="00BB2A84"/>
    <w:rsid w:val="00BB2DD2"/>
    <w:rsid w:val="00BB32A5"/>
    <w:rsid w:val="00BB3C27"/>
    <w:rsid w:val="00BB4575"/>
    <w:rsid w:val="00BB4D3C"/>
    <w:rsid w:val="00BB529A"/>
    <w:rsid w:val="00BB594E"/>
    <w:rsid w:val="00BB7A9E"/>
    <w:rsid w:val="00BB7B49"/>
    <w:rsid w:val="00BC0BDF"/>
    <w:rsid w:val="00BC1F1A"/>
    <w:rsid w:val="00BC23EA"/>
    <w:rsid w:val="00BC2898"/>
    <w:rsid w:val="00BC2D1F"/>
    <w:rsid w:val="00BC3639"/>
    <w:rsid w:val="00BC428C"/>
    <w:rsid w:val="00BC495C"/>
    <w:rsid w:val="00BC4B47"/>
    <w:rsid w:val="00BC4C2C"/>
    <w:rsid w:val="00BC5017"/>
    <w:rsid w:val="00BC5794"/>
    <w:rsid w:val="00BC6DA8"/>
    <w:rsid w:val="00BC73ED"/>
    <w:rsid w:val="00BD09B5"/>
    <w:rsid w:val="00BD0BB3"/>
    <w:rsid w:val="00BD11FB"/>
    <w:rsid w:val="00BD34BF"/>
    <w:rsid w:val="00BD3960"/>
    <w:rsid w:val="00BD3DC3"/>
    <w:rsid w:val="00BD448E"/>
    <w:rsid w:val="00BD4603"/>
    <w:rsid w:val="00BD505A"/>
    <w:rsid w:val="00BD5DB3"/>
    <w:rsid w:val="00BD5F1C"/>
    <w:rsid w:val="00BD7ABF"/>
    <w:rsid w:val="00BE08F0"/>
    <w:rsid w:val="00BE12E6"/>
    <w:rsid w:val="00BE15A0"/>
    <w:rsid w:val="00BE1C6A"/>
    <w:rsid w:val="00BE211D"/>
    <w:rsid w:val="00BE214C"/>
    <w:rsid w:val="00BE24C0"/>
    <w:rsid w:val="00BE3760"/>
    <w:rsid w:val="00BE416D"/>
    <w:rsid w:val="00BE4578"/>
    <w:rsid w:val="00BE46FE"/>
    <w:rsid w:val="00BE49AC"/>
    <w:rsid w:val="00BE6837"/>
    <w:rsid w:val="00BE6AC1"/>
    <w:rsid w:val="00BE7658"/>
    <w:rsid w:val="00BE7C25"/>
    <w:rsid w:val="00BF0DCD"/>
    <w:rsid w:val="00BF0FCA"/>
    <w:rsid w:val="00BF1058"/>
    <w:rsid w:val="00BF16C2"/>
    <w:rsid w:val="00BF1837"/>
    <w:rsid w:val="00BF192D"/>
    <w:rsid w:val="00BF1AA4"/>
    <w:rsid w:val="00BF232B"/>
    <w:rsid w:val="00BF2663"/>
    <w:rsid w:val="00BF3AAD"/>
    <w:rsid w:val="00BF5648"/>
    <w:rsid w:val="00BF5C11"/>
    <w:rsid w:val="00BF5C70"/>
    <w:rsid w:val="00BF74E1"/>
    <w:rsid w:val="00BF7CA9"/>
    <w:rsid w:val="00C00504"/>
    <w:rsid w:val="00C008D5"/>
    <w:rsid w:val="00C00EFD"/>
    <w:rsid w:val="00C01355"/>
    <w:rsid w:val="00C03581"/>
    <w:rsid w:val="00C03C70"/>
    <w:rsid w:val="00C0481E"/>
    <w:rsid w:val="00C04E4C"/>
    <w:rsid w:val="00C058CB"/>
    <w:rsid w:val="00C05BD5"/>
    <w:rsid w:val="00C05FE3"/>
    <w:rsid w:val="00C0609A"/>
    <w:rsid w:val="00C067A8"/>
    <w:rsid w:val="00C07081"/>
    <w:rsid w:val="00C07E2F"/>
    <w:rsid w:val="00C118A4"/>
    <w:rsid w:val="00C11C61"/>
    <w:rsid w:val="00C13983"/>
    <w:rsid w:val="00C13F72"/>
    <w:rsid w:val="00C14810"/>
    <w:rsid w:val="00C14D33"/>
    <w:rsid w:val="00C169AE"/>
    <w:rsid w:val="00C17F59"/>
    <w:rsid w:val="00C20571"/>
    <w:rsid w:val="00C20D91"/>
    <w:rsid w:val="00C20FC0"/>
    <w:rsid w:val="00C21668"/>
    <w:rsid w:val="00C21D1B"/>
    <w:rsid w:val="00C21DE5"/>
    <w:rsid w:val="00C21DF7"/>
    <w:rsid w:val="00C22339"/>
    <w:rsid w:val="00C22489"/>
    <w:rsid w:val="00C23583"/>
    <w:rsid w:val="00C23E48"/>
    <w:rsid w:val="00C24583"/>
    <w:rsid w:val="00C25065"/>
    <w:rsid w:val="00C250D5"/>
    <w:rsid w:val="00C25C86"/>
    <w:rsid w:val="00C27559"/>
    <w:rsid w:val="00C27782"/>
    <w:rsid w:val="00C27F86"/>
    <w:rsid w:val="00C303CB"/>
    <w:rsid w:val="00C30643"/>
    <w:rsid w:val="00C3069C"/>
    <w:rsid w:val="00C30FE4"/>
    <w:rsid w:val="00C31C4B"/>
    <w:rsid w:val="00C31F3B"/>
    <w:rsid w:val="00C32B8C"/>
    <w:rsid w:val="00C33417"/>
    <w:rsid w:val="00C33975"/>
    <w:rsid w:val="00C34CFD"/>
    <w:rsid w:val="00C34EEB"/>
    <w:rsid w:val="00C35666"/>
    <w:rsid w:val="00C35EE9"/>
    <w:rsid w:val="00C36ACA"/>
    <w:rsid w:val="00C36BB9"/>
    <w:rsid w:val="00C3705B"/>
    <w:rsid w:val="00C401FF"/>
    <w:rsid w:val="00C4043B"/>
    <w:rsid w:val="00C427B7"/>
    <w:rsid w:val="00C42E48"/>
    <w:rsid w:val="00C4385A"/>
    <w:rsid w:val="00C43B39"/>
    <w:rsid w:val="00C43BF6"/>
    <w:rsid w:val="00C44530"/>
    <w:rsid w:val="00C446BC"/>
    <w:rsid w:val="00C44E11"/>
    <w:rsid w:val="00C44FE6"/>
    <w:rsid w:val="00C45558"/>
    <w:rsid w:val="00C45E2A"/>
    <w:rsid w:val="00C460B8"/>
    <w:rsid w:val="00C4684F"/>
    <w:rsid w:val="00C4704E"/>
    <w:rsid w:val="00C47BCE"/>
    <w:rsid w:val="00C47F56"/>
    <w:rsid w:val="00C50BA3"/>
    <w:rsid w:val="00C51279"/>
    <w:rsid w:val="00C51D18"/>
    <w:rsid w:val="00C53313"/>
    <w:rsid w:val="00C53BB7"/>
    <w:rsid w:val="00C558D7"/>
    <w:rsid w:val="00C55B60"/>
    <w:rsid w:val="00C55DF9"/>
    <w:rsid w:val="00C55F5A"/>
    <w:rsid w:val="00C569B9"/>
    <w:rsid w:val="00C5732C"/>
    <w:rsid w:val="00C60A3B"/>
    <w:rsid w:val="00C6128B"/>
    <w:rsid w:val="00C61D59"/>
    <w:rsid w:val="00C623D1"/>
    <w:rsid w:val="00C62578"/>
    <w:rsid w:val="00C62997"/>
    <w:rsid w:val="00C62D51"/>
    <w:rsid w:val="00C64B3F"/>
    <w:rsid w:val="00C64F96"/>
    <w:rsid w:val="00C65DC5"/>
    <w:rsid w:val="00C662E9"/>
    <w:rsid w:val="00C6666B"/>
    <w:rsid w:val="00C66B13"/>
    <w:rsid w:val="00C66E4B"/>
    <w:rsid w:val="00C66FB1"/>
    <w:rsid w:val="00C70C7B"/>
    <w:rsid w:val="00C70EAC"/>
    <w:rsid w:val="00C715AB"/>
    <w:rsid w:val="00C71EEC"/>
    <w:rsid w:val="00C735D1"/>
    <w:rsid w:val="00C747A9"/>
    <w:rsid w:val="00C750D4"/>
    <w:rsid w:val="00C75848"/>
    <w:rsid w:val="00C75CEF"/>
    <w:rsid w:val="00C766CC"/>
    <w:rsid w:val="00C77534"/>
    <w:rsid w:val="00C77CA0"/>
    <w:rsid w:val="00C8013E"/>
    <w:rsid w:val="00C82B40"/>
    <w:rsid w:val="00C82DB5"/>
    <w:rsid w:val="00C836DD"/>
    <w:rsid w:val="00C83C12"/>
    <w:rsid w:val="00C856F2"/>
    <w:rsid w:val="00C85937"/>
    <w:rsid w:val="00C85A50"/>
    <w:rsid w:val="00C85BA0"/>
    <w:rsid w:val="00C85C6F"/>
    <w:rsid w:val="00C85EDB"/>
    <w:rsid w:val="00C865A5"/>
    <w:rsid w:val="00C86E5E"/>
    <w:rsid w:val="00C901EB"/>
    <w:rsid w:val="00C907A1"/>
    <w:rsid w:val="00C914D4"/>
    <w:rsid w:val="00C91A33"/>
    <w:rsid w:val="00C92058"/>
    <w:rsid w:val="00C921BB"/>
    <w:rsid w:val="00C9253C"/>
    <w:rsid w:val="00C92898"/>
    <w:rsid w:val="00C92C64"/>
    <w:rsid w:val="00C9332D"/>
    <w:rsid w:val="00C9398D"/>
    <w:rsid w:val="00C93E72"/>
    <w:rsid w:val="00C94B97"/>
    <w:rsid w:val="00C9513C"/>
    <w:rsid w:val="00C955A7"/>
    <w:rsid w:val="00C95D08"/>
    <w:rsid w:val="00C95ED5"/>
    <w:rsid w:val="00C963B0"/>
    <w:rsid w:val="00C96C5C"/>
    <w:rsid w:val="00CA0B86"/>
    <w:rsid w:val="00CA10F0"/>
    <w:rsid w:val="00CA1B72"/>
    <w:rsid w:val="00CA1B87"/>
    <w:rsid w:val="00CA2BF0"/>
    <w:rsid w:val="00CA2F23"/>
    <w:rsid w:val="00CA3EE5"/>
    <w:rsid w:val="00CA4340"/>
    <w:rsid w:val="00CA5181"/>
    <w:rsid w:val="00CA51E3"/>
    <w:rsid w:val="00CA52ED"/>
    <w:rsid w:val="00CA55FF"/>
    <w:rsid w:val="00CA5D4B"/>
    <w:rsid w:val="00CA6453"/>
    <w:rsid w:val="00CA6D04"/>
    <w:rsid w:val="00CA6F3C"/>
    <w:rsid w:val="00CA7E75"/>
    <w:rsid w:val="00CB0ACA"/>
    <w:rsid w:val="00CB1F7D"/>
    <w:rsid w:val="00CB20A1"/>
    <w:rsid w:val="00CB2205"/>
    <w:rsid w:val="00CB3F2D"/>
    <w:rsid w:val="00CB65EA"/>
    <w:rsid w:val="00CB688E"/>
    <w:rsid w:val="00CB6B7D"/>
    <w:rsid w:val="00CB794A"/>
    <w:rsid w:val="00CC235E"/>
    <w:rsid w:val="00CC2799"/>
    <w:rsid w:val="00CC29E4"/>
    <w:rsid w:val="00CC3580"/>
    <w:rsid w:val="00CC38D4"/>
    <w:rsid w:val="00CC412E"/>
    <w:rsid w:val="00CC5919"/>
    <w:rsid w:val="00CC6585"/>
    <w:rsid w:val="00CC6CA5"/>
    <w:rsid w:val="00CC6D99"/>
    <w:rsid w:val="00CC793B"/>
    <w:rsid w:val="00CD0B50"/>
    <w:rsid w:val="00CD0DAD"/>
    <w:rsid w:val="00CD214F"/>
    <w:rsid w:val="00CD2A86"/>
    <w:rsid w:val="00CD2D02"/>
    <w:rsid w:val="00CD3666"/>
    <w:rsid w:val="00CD4635"/>
    <w:rsid w:val="00CD4D57"/>
    <w:rsid w:val="00CD54A2"/>
    <w:rsid w:val="00CD5AFF"/>
    <w:rsid w:val="00CD7D14"/>
    <w:rsid w:val="00CE0AE9"/>
    <w:rsid w:val="00CE1967"/>
    <w:rsid w:val="00CE2EDB"/>
    <w:rsid w:val="00CE3D2F"/>
    <w:rsid w:val="00CE4535"/>
    <w:rsid w:val="00CE4DD1"/>
    <w:rsid w:val="00CE50E7"/>
    <w:rsid w:val="00CE5238"/>
    <w:rsid w:val="00CE5447"/>
    <w:rsid w:val="00CE5A7C"/>
    <w:rsid w:val="00CE5BCB"/>
    <w:rsid w:val="00CE6393"/>
    <w:rsid w:val="00CE66D3"/>
    <w:rsid w:val="00CE6CC0"/>
    <w:rsid w:val="00CE7087"/>
    <w:rsid w:val="00CE7514"/>
    <w:rsid w:val="00CE7BDD"/>
    <w:rsid w:val="00CE7E09"/>
    <w:rsid w:val="00CF077A"/>
    <w:rsid w:val="00CF0FDA"/>
    <w:rsid w:val="00CF2318"/>
    <w:rsid w:val="00CF2C66"/>
    <w:rsid w:val="00CF328F"/>
    <w:rsid w:val="00CF3FA7"/>
    <w:rsid w:val="00CF6DC8"/>
    <w:rsid w:val="00CF7586"/>
    <w:rsid w:val="00D0002D"/>
    <w:rsid w:val="00D00581"/>
    <w:rsid w:val="00D04184"/>
    <w:rsid w:val="00D052C0"/>
    <w:rsid w:val="00D05CCB"/>
    <w:rsid w:val="00D05F8E"/>
    <w:rsid w:val="00D06CAD"/>
    <w:rsid w:val="00D07B1B"/>
    <w:rsid w:val="00D10000"/>
    <w:rsid w:val="00D1061F"/>
    <w:rsid w:val="00D1064D"/>
    <w:rsid w:val="00D10B96"/>
    <w:rsid w:val="00D10F3D"/>
    <w:rsid w:val="00D11A21"/>
    <w:rsid w:val="00D11E3D"/>
    <w:rsid w:val="00D12185"/>
    <w:rsid w:val="00D12FD1"/>
    <w:rsid w:val="00D12FE7"/>
    <w:rsid w:val="00D135FD"/>
    <w:rsid w:val="00D13664"/>
    <w:rsid w:val="00D14048"/>
    <w:rsid w:val="00D150BC"/>
    <w:rsid w:val="00D15BC0"/>
    <w:rsid w:val="00D16D8E"/>
    <w:rsid w:val="00D205AC"/>
    <w:rsid w:val="00D209E4"/>
    <w:rsid w:val="00D21DEE"/>
    <w:rsid w:val="00D2254A"/>
    <w:rsid w:val="00D22860"/>
    <w:rsid w:val="00D228FA"/>
    <w:rsid w:val="00D22DE6"/>
    <w:rsid w:val="00D23100"/>
    <w:rsid w:val="00D231D9"/>
    <w:rsid w:val="00D23336"/>
    <w:rsid w:val="00D2391F"/>
    <w:rsid w:val="00D2394F"/>
    <w:rsid w:val="00D2437C"/>
    <w:rsid w:val="00D24683"/>
    <w:rsid w:val="00D248DE"/>
    <w:rsid w:val="00D252EE"/>
    <w:rsid w:val="00D2552F"/>
    <w:rsid w:val="00D25B0B"/>
    <w:rsid w:val="00D26144"/>
    <w:rsid w:val="00D268F3"/>
    <w:rsid w:val="00D269A1"/>
    <w:rsid w:val="00D27982"/>
    <w:rsid w:val="00D27A86"/>
    <w:rsid w:val="00D30112"/>
    <w:rsid w:val="00D315FD"/>
    <w:rsid w:val="00D31F43"/>
    <w:rsid w:val="00D328DB"/>
    <w:rsid w:val="00D33982"/>
    <w:rsid w:val="00D33F2D"/>
    <w:rsid w:val="00D348C3"/>
    <w:rsid w:val="00D34DD1"/>
    <w:rsid w:val="00D35758"/>
    <w:rsid w:val="00D37313"/>
    <w:rsid w:val="00D408C2"/>
    <w:rsid w:val="00D40CAE"/>
    <w:rsid w:val="00D40E6A"/>
    <w:rsid w:val="00D41B93"/>
    <w:rsid w:val="00D41F27"/>
    <w:rsid w:val="00D4212A"/>
    <w:rsid w:val="00D428A6"/>
    <w:rsid w:val="00D42C5E"/>
    <w:rsid w:val="00D43095"/>
    <w:rsid w:val="00D44800"/>
    <w:rsid w:val="00D45D35"/>
    <w:rsid w:val="00D45F41"/>
    <w:rsid w:val="00D4635F"/>
    <w:rsid w:val="00D47CA0"/>
    <w:rsid w:val="00D47DA4"/>
    <w:rsid w:val="00D50774"/>
    <w:rsid w:val="00D50844"/>
    <w:rsid w:val="00D51101"/>
    <w:rsid w:val="00D51C52"/>
    <w:rsid w:val="00D52C0E"/>
    <w:rsid w:val="00D5338E"/>
    <w:rsid w:val="00D546A5"/>
    <w:rsid w:val="00D546AF"/>
    <w:rsid w:val="00D54874"/>
    <w:rsid w:val="00D571A1"/>
    <w:rsid w:val="00D57B4E"/>
    <w:rsid w:val="00D60898"/>
    <w:rsid w:val="00D609B2"/>
    <w:rsid w:val="00D61241"/>
    <w:rsid w:val="00D614B9"/>
    <w:rsid w:val="00D61576"/>
    <w:rsid w:val="00D61645"/>
    <w:rsid w:val="00D61B01"/>
    <w:rsid w:val="00D61E48"/>
    <w:rsid w:val="00D64015"/>
    <w:rsid w:val="00D64114"/>
    <w:rsid w:val="00D6490B"/>
    <w:rsid w:val="00D64D06"/>
    <w:rsid w:val="00D65EF9"/>
    <w:rsid w:val="00D66309"/>
    <w:rsid w:val="00D66DCC"/>
    <w:rsid w:val="00D66E98"/>
    <w:rsid w:val="00D67312"/>
    <w:rsid w:val="00D67963"/>
    <w:rsid w:val="00D67B97"/>
    <w:rsid w:val="00D67D25"/>
    <w:rsid w:val="00D67E04"/>
    <w:rsid w:val="00D67FF8"/>
    <w:rsid w:val="00D70200"/>
    <w:rsid w:val="00D71CFE"/>
    <w:rsid w:val="00D73261"/>
    <w:rsid w:val="00D739C5"/>
    <w:rsid w:val="00D74A90"/>
    <w:rsid w:val="00D75375"/>
    <w:rsid w:val="00D76376"/>
    <w:rsid w:val="00D76D49"/>
    <w:rsid w:val="00D7704A"/>
    <w:rsid w:val="00D81867"/>
    <w:rsid w:val="00D81F5F"/>
    <w:rsid w:val="00D827B3"/>
    <w:rsid w:val="00D83C20"/>
    <w:rsid w:val="00D83E4B"/>
    <w:rsid w:val="00D85249"/>
    <w:rsid w:val="00D853A8"/>
    <w:rsid w:val="00D8542D"/>
    <w:rsid w:val="00D855C2"/>
    <w:rsid w:val="00D865DC"/>
    <w:rsid w:val="00D86A85"/>
    <w:rsid w:val="00D87140"/>
    <w:rsid w:val="00D876D3"/>
    <w:rsid w:val="00D87750"/>
    <w:rsid w:val="00D87CA3"/>
    <w:rsid w:val="00D87EFB"/>
    <w:rsid w:val="00D9005F"/>
    <w:rsid w:val="00D90747"/>
    <w:rsid w:val="00D90807"/>
    <w:rsid w:val="00D90BD3"/>
    <w:rsid w:val="00D90F02"/>
    <w:rsid w:val="00D923F9"/>
    <w:rsid w:val="00D9242B"/>
    <w:rsid w:val="00D92A3F"/>
    <w:rsid w:val="00D93538"/>
    <w:rsid w:val="00D94052"/>
    <w:rsid w:val="00D94581"/>
    <w:rsid w:val="00D94848"/>
    <w:rsid w:val="00D95117"/>
    <w:rsid w:val="00D9613C"/>
    <w:rsid w:val="00D9640D"/>
    <w:rsid w:val="00D96A7D"/>
    <w:rsid w:val="00D96B46"/>
    <w:rsid w:val="00D97763"/>
    <w:rsid w:val="00D97888"/>
    <w:rsid w:val="00D97CE0"/>
    <w:rsid w:val="00DA1177"/>
    <w:rsid w:val="00DA19C5"/>
    <w:rsid w:val="00DA3183"/>
    <w:rsid w:val="00DA3BD5"/>
    <w:rsid w:val="00DA4493"/>
    <w:rsid w:val="00DA54AA"/>
    <w:rsid w:val="00DA67A0"/>
    <w:rsid w:val="00DA7026"/>
    <w:rsid w:val="00DA710A"/>
    <w:rsid w:val="00DA71F4"/>
    <w:rsid w:val="00DA73D8"/>
    <w:rsid w:val="00DA78EB"/>
    <w:rsid w:val="00DB27FE"/>
    <w:rsid w:val="00DB2889"/>
    <w:rsid w:val="00DB2BF1"/>
    <w:rsid w:val="00DB2F5E"/>
    <w:rsid w:val="00DB3005"/>
    <w:rsid w:val="00DB36AE"/>
    <w:rsid w:val="00DB373D"/>
    <w:rsid w:val="00DB3C77"/>
    <w:rsid w:val="00DB3D06"/>
    <w:rsid w:val="00DB7266"/>
    <w:rsid w:val="00DB7AF3"/>
    <w:rsid w:val="00DC03A0"/>
    <w:rsid w:val="00DC156E"/>
    <w:rsid w:val="00DC16DC"/>
    <w:rsid w:val="00DC1A0A"/>
    <w:rsid w:val="00DC1AE7"/>
    <w:rsid w:val="00DC1E30"/>
    <w:rsid w:val="00DC1EB1"/>
    <w:rsid w:val="00DC3FDD"/>
    <w:rsid w:val="00DC4437"/>
    <w:rsid w:val="00DC4888"/>
    <w:rsid w:val="00DC4C89"/>
    <w:rsid w:val="00DC4DE8"/>
    <w:rsid w:val="00DC588B"/>
    <w:rsid w:val="00DC5F55"/>
    <w:rsid w:val="00DC60E2"/>
    <w:rsid w:val="00DC6A71"/>
    <w:rsid w:val="00DC704F"/>
    <w:rsid w:val="00DC7530"/>
    <w:rsid w:val="00DC76AA"/>
    <w:rsid w:val="00DC7810"/>
    <w:rsid w:val="00DD0017"/>
    <w:rsid w:val="00DD0B00"/>
    <w:rsid w:val="00DD0D74"/>
    <w:rsid w:val="00DD14E4"/>
    <w:rsid w:val="00DD323E"/>
    <w:rsid w:val="00DD327A"/>
    <w:rsid w:val="00DD345B"/>
    <w:rsid w:val="00DD53D2"/>
    <w:rsid w:val="00DD6679"/>
    <w:rsid w:val="00DD6B3D"/>
    <w:rsid w:val="00DD6C62"/>
    <w:rsid w:val="00DD7A6A"/>
    <w:rsid w:val="00DE3755"/>
    <w:rsid w:val="00DE431C"/>
    <w:rsid w:val="00DE4759"/>
    <w:rsid w:val="00DE49AE"/>
    <w:rsid w:val="00DE53D2"/>
    <w:rsid w:val="00DE65B4"/>
    <w:rsid w:val="00DE6BF1"/>
    <w:rsid w:val="00DE6E33"/>
    <w:rsid w:val="00DE7839"/>
    <w:rsid w:val="00DE7CBB"/>
    <w:rsid w:val="00DE7FCC"/>
    <w:rsid w:val="00DF0701"/>
    <w:rsid w:val="00DF22CC"/>
    <w:rsid w:val="00DF23F7"/>
    <w:rsid w:val="00DF2500"/>
    <w:rsid w:val="00DF2E0B"/>
    <w:rsid w:val="00DF31E3"/>
    <w:rsid w:val="00DF4D5D"/>
    <w:rsid w:val="00DF4DFD"/>
    <w:rsid w:val="00DF4EC5"/>
    <w:rsid w:val="00DF5256"/>
    <w:rsid w:val="00DF5A29"/>
    <w:rsid w:val="00DF5CF1"/>
    <w:rsid w:val="00DF5DCD"/>
    <w:rsid w:val="00DF6381"/>
    <w:rsid w:val="00DF69EC"/>
    <w:rsid w:val="00DF6EB7"/>
    <w:rsid w:val="00DF7BCD"/>
    <w:rsid w:val="00E00A0D"/>
    <w:rsid w:val="00E0357D"/>
    <w:rsid w:val="00E046D9"/>
    <w:rsid w:val="00E05CD4"/>
    <w:rsid w:val="00E06C9C"/>
    <w:rsid w:val="00E06CA0"/>
    <w:rsid w:val="00E10BA0"/>
    <w:rsid w:val="00E13EF0"/>
    <w:rsid w:val="00E1404E"/>
    <w:rsid w:val="00E1406A"/>
    <w:rsid w:val="00E16347"/>
    <w:rsid w:val="00E16510"/>
    <w:rsid w:val="00E16CD0"/>
    <w:rsid w:val="00E17056"/>
    <w:rsid w:val="00E1737F"/>
    <w:rsid w:val="00E17460"/>
    <w:rsid w:val="00E17462"/>
    <w:rsid w:val="00E20AC6"/>
    <w:rsid w:val="00E20B92"/>
    <w:rsid w:val="00E20BF2"/>
    <w:rsid w:val="00E2138E"/>
    <w:rsid w:val="00E215F7"/>
    <w:rsid w:val="00E23711"/>
    <w:rsid w:val="00E2394A"/>
    <w:rsid w:val="00E239F1"/>
    <w:rsid w:val="00E23D4F"/>
    <w:rsid w:val="00E24708"/>
    <w:rsid w:val="00E24E90"/>
    <w:rsid w:val="00E25693"/>
    <w:rsid w:val="00E2592D"/>
    <w:rsid w:val="00E25B39"/>
    <w:rsid w:val="00E27CDD"/>
    <w:rsid w:val="00E30075"/>
    <w:rsid w:val="00E3118A"/>
    <w:rsid w:val="00E316EB"/>
    <w:rsid w:val="00E322CB"/>
    <w:rsid w:val="00E326CB"/>
    <w:rsid w:val="00E328C2"/>
    <w:rsid w:val="00E33415"/>
    <w:rsid w:val="00E34076"/>
    <w:rsid w:val="00E35294"/>
    <w:rsid w:val="00E364C1"/>
    <w:rsid w:val="00E379A9"/>
    <w:rsid w:val="00E37C99"/>
    <w:rsid w:val="00E40240"/>
    <w:rsid w:val="00E406BF"/>
    <w:rsid w:val="00E4141B"/>
    <w:rsid w:val="00E4217E"/>
    <w:rsid w:val="00E423F3"/>
    <w:rsid w:val="00E42F18"/>
    <w:rsid w:val="00E437EA"/>
    <w:rsid w:val="00E45E6B"/>
    <w:rsid w:val="00E45EFC"/>
    <w:rsid w:val="00E467B5"/>
    <w:rsid w:val="00E46B21"/>
    <w:rsid w:val="00E470C6"/>
    <w:rsid w:val="00E479E3"/>
    <w:rsid w:val="00E50378"/>
    <w:rsid w:val="00E52248"/>
    <w:rsid w:val="00E534CF"/>
    <w:rsid w:val="00E53976"/>
    <w:rsid w:val="00E54761"/>
    <w:rsid w:val="00E5600E"/>
    <w:rsid w:val="00E56384"/>
    <w:rsid w:val="00E601B5"/>
    <w:rsid w:val="00E610BA"/>
    <w:rsid w:val="00E611D9"/>
    <w:rsid w:val="00E615A3"/>
    <w:rsid w:val="00E61AFF"/>
    <w:rsid w:val="00E6247C"/>
    <w:rsid w:val="00E6341B"/>
    <w:rsid w:val="00E638D9"/>
    <w:rsid w:val="00E648BE"/>
    <w:rsid w:val="00E64A4A"/>
    <w:rsid w:val="00E6548A"/>
    <w:rsid w:val="00E65DB1"/>
    <w:rsid w:val="00E66428"/>
    <w:rsid w:val="00E66587"/>
    <w:rsid w:val="00E66925"/>
    <w:rsid w:val="00E67F69"/>
    <w:rsid w:val="00E70BE2"/>
    <w:rsid w:val="00E719E4"/>
    <w:rsid w:val="00E72AE7"/>
    <w:rsid w:val="00E72E19"/>
    <w:rsid w:val="00E72F01"/>
    <w:rsid w:val="00E74478"/>
    <w:rsid w:val="00E74B2E"/>
    <w:rsid w:val="00E75582"/>
    <w:rsid w:val="00E769A2"/>
    <w:rsid w:val="00E76D53"/>
    <w:rsid w:val="00E771EB"/>
    <w:rsid w:val="00E77635"/>
    <w:rsid w:val="00E807A7"/>
    <w:rsid w:val="00E80C47"/>
    <w:rsid w:val="00E80C9D"/>
    <w:rsid w:val="00E817FE"/>
    <w:rsid w:val="00E81AEE"/>
    <w:rsid w:val="00E81BA4"/>
    <w:rsid w:val="00E82100"/>
    <w:rsid w:val="00E82955"/>
    <w:rsid w:val="00E82FD0"/>
    <w:rsid w:val="00E84347"/>
    <w:rsid w:val="00E843DD"/>
    <w:rsid w:val="00E850D6"/>
    <w:rsid w:val="00E86280"/>
    <w:rsid w:val="00E86A6F"/>
    <w:rsid w:val="00E86C88"/>
    <w:rsid w:val="00E9042D"/>
    <w:rsid w:val="00E91302"/>
    <w:rsid w:val="00E9201F"/>
    <w:rsid w:val="00E920BF"/>
    <w:rsid w:val="00E939E9"/>
    <w:rsid w:val="00E95138"/>
    <w:rsid w:val="00E95675"/>
    <w:rsid w:val="00E96B16"/>
    <w:rsid w:val="00E96C82"/>
    <w:rsid w:val="00E96D9C"/>
    <w:rsid w:val="00E97B4F"/>
    <w:rsid w:val="00EA19A5"/>
    <w:rsid w:val="00EA200C"/>
    <w:rsid w:val="00EA2363"/>
    <w:rsid w:val="00EA3717"/>
    <w:rsid w:val="00EA43AD"/>
    <w:rsid w:val="00EA6CC8"/>
    <w:rsid w:val="00EA7758"/>
    <w:rsid w:val="00EA78F0"/>
    <w:rsid w:val="00EA7C9A"/>
    <w:rsid w:val="00EB072F"/>
    <w:rsid w:val="00EB1003"/>
    <w:rsid w:val="00EB1933"/>
    <w:rsid w:val="00EB1EBB"/>
    <w:rsid w:val="00EB36F4"/>
    <w:rsid w:val="00EB39A2"/>
    <w:rsid w:val="00EB3BDC"/>
    <w:rsid w:val="00EB3C93"/>
    <w:rsid w:val="00EB3ECA"/>
    <w:rsid w:val="00EB4180"/>
    <w:rsid w:val="00EB4745"/>
    <w:rsid w:val="00EB515A"/>
    <w:rsid w:val="00EB5474"/>
    <w:rsid w:val="00EB7C4B"/>
    <w:rsid w:val="00EC25FF"/>
    <w:rsid w:val="00EC2788"/>
    <w:rsid w:val="00EC321C"/>
    <w:rsid w:val="00EC35B6"/>
    <w:rsid w:val="00EC4454"/>
    <w:rsid w:val="00EC4C76"/>
    <w:rsid w:val="00EC745F"/>
    <w:rsid w:val="00ED1C3E"/>
    <w:rsid w:val="00ED2ED4"/>
    <w:rsid w:val="00ED36BF"/>
    <w:rsid w:val="00ED4642"/>
    <w:rsid w:val="00ED48B9"/>
    <w:rsid w:val="00ED49AF"/>
    <w:rsid w:val="00ED5CDC"/>
    <w:rsid w:val="00ED6166"/>
    <w:rsid w:val="00ED66D3"/>
    <w:rsid w:val="00EE0217"/>
    <w:rsid w:val="00EE0B69"/>
    <w:rsid w:val="00EE1968"/>
    <w:rsid w:val="00EE2284"/>
    <w:rsid w:val="00EE2ACD"/>
    <w:rsid w:val="00EE3DCC"/>
    <w:rsid w:val="00EE425F"/>
    <w:rsid w:val="00EE5333"/>
    <w:rsid w:val="00EE6396"/>
    <w:rsid w:val="00EE6EF5"/>
    <w:rsid w:val="00EE79F0"/>
    <w:rsid w:val="00EE7C55"/>
    <w:rsid w:val="00EF0961"/>
    <w:rsid w:val="00EF105C"/>
    <w:rsid w:val="00EF228E"/>
    <w:rsid w:val="00EF3ADD"/>
    <w:rsid w:val="00EF3EA1"/>
    <w:rsid w:val="00EF437A"/>
    <w:rsid w:val="00EF5CE5"/>
    <w:rsid w:val="00EF6046"/>
    <w:rsid w:val="00EF6133"/>
    <w:rsid w:val="00EF6273"/>
    <w:rsid w:val="00EF631C"/>
    <w:rsid w:val="00EF6809"/>
    <w:rsid w:val="00EF6CB1"/>
    <w:rsid w:val="00EF74F6"/>
    <w:rsid w:val="00F01BF9"/>
    <w:rsid w:val="00F03379"/>
    <w:rsid w:val="00F034D8"/>
    <w:rsid w:val="00F04CBA"/>
    <w:rsid w:val="00F0505F"/>
    <w:rsid w:val="00F05550"/>
    <w:rsid w:val="00F05765"/>
    <w:rsid w:val="00F05B3C"/>
    <w:rsid w:val="00F06057"/>
    <w:rsid w:val="00F06557"/>
    <w:rsid w:val="00F06D4B"/>
    <w:rsid w:val="00F103E0"/>
    <w:rsid w:val="00F10D52"/>
    <w:rsid w:val="00F11A6A"/>
    <w:rsid w:val="00F11E5A"/>
    <w:rsid w:val="00F132CE"/>
    <w:rsid w:val="00F13B92"/>
    <w:rsid w:val="00F14308"/>
    <w:rsid w:val="00F143F8"/>
    <w:rsid w:val="00F14FAD"/>
    <w:rsid w:val="00F15FAC"/>
    <w:rsid w:val="00F169CA"/>
    <w:rsid w:val="00F17385"/>
    <w:rsid w:val="00F20933"/>
    <w:rsid w:val="00F21A95"/>
    <w:rsid w:val="00F2229D"/>
    <w:rsid w:val="00F22591"/>
    <w:rsid w:val="00F23ABD"/>
    <w:rsid w:val="00F240BB"/>
    <w:rsid w:val="00F24D4E"/>
    <w:rsid w:val="00F24E56"/>
    <w:rsid w:val="00F2515B"/>
    <w:rsid w:val="00F251B9"/>
    <w:rsid w:val="00F2566F"/>
    <w:rsid w:val="00F259F3"/>
    <w:rsid w:val="00F25D3A"/>
    <w:rsid w:val="00F26C5B"/>
    <w:rsid w:val="00F270CB"/>
    <w:rsid w:val="00F271C3"/>
    <w:rsid w:val="00F274C7"/>
    <w:rsid w:val="00F27967"/>
    <w:rsid w:val="00F3033C"/>
    <w:rsid w:val="00F30347"/>
    <w:rsid w:val="00F32360"/>
    <w:rsid w:val="00F3237E"/>
    <w:rsid w:val="00F335A9"/>
    <w:rsid w:val="00F35458"/>
    <w:rsid w:val="00F35B7D"/>
    <w:rsid w:val="00F35F4A"/>
    <w:rsid w:val="00F364E6"/>
    <w:rsid w:val="00F36798"/>
    <w:rsid w:val="00F3698B"/>
    <w:rsid w:val="00F36F1F"/>
    <w:rsid w:val="00F37DF2"/>
    <w:rsid w:val="00F40722"/>
    <w:rsid w:val="00F425B1"/>
    <w:rsid w:val="00F429C4"/>
    <w:rsid w:val="00F42E93"/>
    <w:rsid w:val="00F42EED"/>
    <w:rsid w:val="00F430AD"/>
    <w:rsid w:val="00F436C3"/>
    <w:rsid w:val="00F43CF8"/>
    <w:rsid w:val="00F443AF"/>
    <w:rsid w:val="00F4447F"/>
    <w:rsid w:val="00F45241"/>
    <w:rsid w:val="00F45D2C"/>
    <w:rsid w:val="00F46190"/>
    <w:rsid w:val="00F46AE0"/>
    <w:rsid w:val="00F47732"/>
    <w:rsid w:val="00F47BB7"/>
    <w:rsid w:val="00F511B5"/>
    <w:rsid w:val="00F51B8C"/>
    <w:rsid w:val="00F5265D"/>
    <w:rsid w:val="00F52CEB"/>
    <w:rsid w:val="00F54110"/>
    <w:rsid w:val="00F54C16"/>
    <w:rsid w:val="00F569E6"/>
    <w:rsid w:val="00F57B16"/>
    <w:rsid w:val="00F57FED"/>
    <w:rsid w:val="00F60412"/>
    <w:rsid w:val="00F623C0"/>
    <w:rsid w:val="00F624B0"/>
    <w:rsid w:val="00F6418D"/>
    <w:rsid w:val="00F6457F"/>
    <w:rsid w:val="00F64EA3"/>
    <w:rsid w:val="00F665C1"/>
    <w:rsid w:val="00F66A17"/>
    <w:rsid w:val="00F66E79"/>
    <w:rsid w:val="00F70330"/>
    <w:rsid w:val="00F705E9"/>
    <w:rsid w:val="00F70DDB"/>
    <w:rsid w:val="00F711B5"/>
    <w:rsid w:val="00F71424"/>
    <w:rsid w:val="00F71982"/>
    <w:rsid w:val="00F7240E"/>
    <w:rsid w:val="00F73D28"/>
    <w:rsid w:val="00F7410F"/>
    <w:rsid w:val="00F745DE"/>
    <w:rsid w:val="00F749B7"/>
    <w:rsid w:val="00F74CF8"/>
    <w:rsid w:val="00F753A3"/>
    <w:rsid w:val="00F755E6"/>
    <w:rsid w:val="00F75C2E"/>
    <w:rsid w:val="00F75D8E"/>
    <w:rsid w:val="00F76687"/>
    <w:rsid w:val="00F76970"/>
    <w:rsid w:val="00F76ECD"/>
    <w:rsid w:val="00F77EFC"/>
    <w:rsid w:val="00F810A8"/>
    <w:rsid w:val="00F810E6"/>
    <w:rsid w:val="00F81D76"/>
    <w:rsid w:val="00F842E3"/>
    <w:rsid w:val="00F84B6B"/>
    <w:rsid w:val="00F856F7"/>
    <w:rsid w:val="00F85836"/>
    <w:rsid w:val="00F877EF"/>
    <w:rsid w:val="00F91643"/>
    <w:rsid w:val="00F922A3"/>
    <w:rsid w:val="00F93FE4"/>
    <w:rsid w:val="00F94A47"/>
    <w:rsid w:val="00F96770"/>
    <w:rsid w:val="00F97D89"/>
    <w:rsid w:val="00FA097E"/>
    <w:rsid w:val="00FA0D10"/>
    <w:rsid w:val="00FA1FCB"/>
    <w:rsid w:val="00FA2487"/>
    <w:rsid w:val="00FA31F0"/>
    <w:rsid w:val="00FA3277"/>
    <w:rsid w:val="00FA32CC"/>
    <w:rsid w:val="00FA37FA"/>
    <w:rsid w:val="00FA3F6B"/>
    <w:rsid w:val="00FA4764"/>
    <w:rsid w:val="00FA56F4"/>
    <w:rsid w:val="00FA73B0"/>
    <w:rsid w:val="00FA755B"/>
    <w:rsid w:val="00FA7965"/>
    <w:rsid w:val="00FA7CEA"/>
    <w:rsid w:val="00FB0833"/>
    <w:rsid w:val="00FB10D2"/>
    <w:rsid w:val="00FB1439"/>
    <w:rsid w:val="00FB1B5C"/>
    <w:rsid w:val="00FB1C10"/>
    <w:rsid w:val="00FB21C6"/>
    <w:rsid w:val="00FB22B3"/>
    <w:rsid w:val="00FB2AAC"/>
    <w:rsid w:val="00FB2C2C"/>
    <w:rsid w:val="00FB3468"/>
    <w:rsid w:val="00FB4136"/>
    <w:rsid w:val="00FB420E"/>
    <w:rsid w:val="00FB49AB"/>
    <w:rsid w:val="00FB4DD3"/>
    <w:rsid w:val="00FB4FB3"/>
    <w:rsid w:val="00FB5065"/>
    <w:rsid w:val="00FB7902"/>
    <w:rsid w:val="00FC09F9"/>
    <w:rsid w:val="00FC1115"/>
    <w:rsid w:val="00FC1699"/>
    <w:rsid w:val="00FC3EA4"/>
    <w:rsid w:val="00FC4EE3"/>
    <w:rsid w:val="00FC5F1F"/>
    <w:rsid w:val="00FC6664"/>
    <w:rsid w:val="00FC7014"/>
    <w:rsid w:val="00FC72E8"/>
    <w:rsid w:val="00FC742E"/>
    <w:rsid w:val="00FC7B78"/>
    <w:rsid w:val="00FD0F53"/>
    <w:rsid w:val="00FD0FF2"/>
    <w:rsid w:val="00FD1235"/>
    <w:rsid w:val="00FD1386"/>
    <w:rsid w:val="00FD1812"/>
    <w:rsid w:val="00FD19EE"/>
    <w:rsid w:val="00FD1CE8"/>
    <w:rsid w:val="00FD2424"/>
    <w:rsid w:val="00FD2915"/>
    <w:rsid w:val="00FD35DE"/>
    <w:rsid w:val="00FD38D6"/>
    <w:rsid w:val="00FD3D06"/>
    <w:rsid w:val="00FD3E50"/>
    <w:rsid w:val="00FD4815"/>
    <w:rsid w:val="00FD4CD6"/>
    <w:rsid w:val="00FD4DAA"/>
    <w:rsid w:val="00FD5F1F"/>
    <w:rsid w:val="00FD5FB0"/>
    <w:rsid w:val="00FD659F"/>
    <w:rsid w:val="00FD71CC"/>
    <w:rsid w:val="00FE0488"/>
    <w:rsid w:val="00FE08F8"/>
    <w:rsid w:val="00FE0DF1"/>
    <w:rsid w:val="00FE0F83"/>
    <w:rsid w:val="00FE1343"/>
    <w:rsid w:val="00FE21ED"/>
    <w:rsid w:val="00FE2A20"/>
    <w:rsid w:val="00FE3714"/>
    <w:rsid w:val="00FE3853"/>
    <w:rsid w:val="00FE3CE8"/>
    <w:rsid w:val="00FE4011"/>
    <w:rsid w:val="00FE5425"/>
    <w:rsid w:val="00FE5F65"/>
    <w:rsid w:val="00FE663C"/>
    <w:rsid w:val="00FF09E6"/>
    <w:rsid w:val="00FF1D9B"/>
    <w:rsid w:val="00FF2A25"/>
    <w:rsid w:val="00FF3D49"/>
    <w:rsid w:val="00FF4F34"/>
    <w:rsid w:val="00FF5D97"/>
    <w:rsid w:val="00FF68BC"/>
    <w:rsid w:val="00FF729F"/>
    <w:rsid w:val="00FF7361"/>
    <w:rsid w:val="00FF755E"/>
    <w:rsid w:val="00FF75B1"/>
    <w:rsid w:val="00FF782C"/>
    <w:rsid w:val="00FF7B1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36FDA788"/>
  <w15:docId w15:val="{BBFF7C94-FC1B-469A-8C67-83DDEC05A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4592C"/>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0266FA"/>
    <w:pPr>
      <w:numPr>
        <w:numId w:val="17"/>
      </w:numPr>
      <w:spacing w:before="240" w:after="60"/>
      <w:jc w:val="both"/>
      <w:outlineLvl w:val="0"/>
    </w:pPr>
    <w:rPr>
      <w:bCs/>
      <w:kern w:val="32"/>
      <w:szCs w:val="20"/>
    </w:rPr>
  </w:style>
  <w:style w:type="paragraph" w:styleId="Naslov2">
    <w:name w:val="heading 2"/>
    <w:basedOn w:val="Navaden"/>
    <w:next w:val="Navaden"/>
    <w:link w:val="Naslov2Znak"/>
    <w:qFormat/>
    <w:rsid w:val="0017599A"/>
    <w:pPr>
      <w:keepNext/>
      <w:spacing w:before="240" w:after="60"/>
      <w:outlineLvl w:val="1"/>
    </w:pPr>
    <w:rPr>
      <w:rFonts w:ascii="Cambria" w:hAnsi="Cambria"/>
      <w:b/>
      <w:bCs/>
      <w:i/>
      <w:iCs/>
      <w:sz w:val="28"/>
      <w:szCs w:val="28"/>
      <w:lang w:val="en-US"/>
    </w:rPr>
  </w:style>
  <w:style w:type="paragraph" w:styleId="Naslov4">
    <w:name w:val="heading 4"/>
    <w:aliases w:val="Grafika"/>
    <w:basedOn w:val="Navaden"/>
    <w:next w:val="Odstavek"/>
    <w:link w:val="Naslov4Znak"/>
    <w:semiHidden/>
    <w:unhideWhenUsed/>
    <w:qFormat/>
    <w:rsid w:val="00F52CEB"/>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rPr>
      <w:lang w:val="en-US"/>
    </w:r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link w:val="Naslov2"/>
    <w:rsid w:val="0017599A"/>
    <w:rPr>
      <w:rFonts w:ascii="Cambria" w:hAnsi="Cambria"/>
      <w:b/>
      <w:bCs/>
      <w:i/>
      <w:iCs/>
      <w:sz w:val="28"/>
      <w:szCs w:val="28"/>
      <w:lang w:val="en-US" w:eastAsia="en-US"/>
    </w:rPr>
  </w:style>
  <w:style w:type="paragraph" w:customStyle="1" w:styleId="Naslovpredpisa">
    <w:name w:val="Naslov_predpisa"/>
    <w:basedOn w:val="Navaden"/>
    <w:link w:val="NaslovpredpisaZnak"/>
    <w:qFormat/>
    <w:rsid w:val="0017599A"/>
    <w:pPr>
      <w:suppressAutoHyphens/>
      <w:overflowPunct w:val="0"/>
      <w:autoSpaceDE w:val="0"/>
      <w:autoSpaceDN w:val="0"/>
      <w:adjustRightInd w:val="0"/>
      <w:spacing w:before="120" w:after="160" w:line="200" w:lineRule="exact"/>
      <w:jc w:val="center"/>
      <w:textAlignment w:val="baseline"/>
    </w:pPr>
    <w:rPr>
      <w:b/>
      <w:sz w:val="22"/>
      <w:szCs w:val="20"/>
    </w:rPr>
  </w:style>
  <w:style w:type="character" w:customStyle="1" w:styleId="NaslovpredpisaZnak">
    <w:name w:val="Naslov_predpisa Znak"/>
    <w:link w:val="Naslovpredpisa"/>
    <w:locked/>
    <w:rsid w:val="0017599A"/>
    <w:rPr>
      <w:rFonts w:ascii="Arial" w:hAnsi="Arial"/>
      <w:b/>
      <w:sz w:val="22"/>
    </w:rPr>
  </w:style>
  <w:style w:type="paragraph" w:customStyle="1" w:styleId="Oddelek">
    <w:name w:val="Oddelek"/>
    <w:basedOn w:val="Navaden"/>
    <w:link w:val="OddelekZnak1"/>
    <w:qFormat/>
    <w:rsid w:val="0017599A"/>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sid w:val="0017599A"/>
    <w:rPr>
      <w:rFonts w:ascii="Arial" w:hAnsi="Arial"/>
      <w:b/>
      <w:sz w:val="22"/>
      <w:lang w:eastAsia="en-US"/>
    </w:rPr>
  </w:style>
  <w:style w:type="paragraph" w:styleId="Brezrazmikov">
    <w:name w:val="No Spacing"/>
    <w:link w:val="BrezrazmikovZnak"/>
    <w:uiPriority w:val="1"/>
    <w:qFormat/>
    <w:rsid w:val="0017599A"/>
    <w:rPr>
      <w:rFonts w:ascii="Arial" w:hAnsi="Arial"/>
      <w:szCs w:val="24"/>
      <w:lang w:val="en-US" w:eastAsia="en-US"/>
    </w:rPr>
  </w:style>
  <w:style w:type="paragraph" w:customStyle="1" w:styleId="Neotevilenodstavek">
    <w:name w:val="Neoštevilčen odstavek"/>
    <w:basedOn w:val="Navaden"/>
    <w:link w:val="NeotevilenodstavekZnak"/>
    <w:qFormat/>
    <w:rsid w:val="0017599A"/>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17599A"/>
    <w:rPr>
      <w:rFonts w:ascii="Arial" w:hAnsi="Arial"/>
      <w:sz w:val="22"/>
    </w:rPr>
  </w:style>
  <w:style w:type="character" w:customStyle="1" w:styleId="GlavaZnak">
    <w:name w:val="Glava Znak"/>
    <w:link w:val="Glava"/>
    <w:locked/>
    <w:rsid w:val="0017599A"/>
    <w:rPr>
      <w:rFonts w:ascii="Arial" w:hAnsi="Arial"/>
      <w:szCs w:val="24"/>
      <w:lang w:val="en-US" w:eastAsia="en-US"/>
    </w:rPr>
  </w:style>
  <w:style w:type="paragraph" w:styleId="Telobesedila-zamik2">
    <w:name w:val="Body Text Indent 2"/>
    <w:basedOn w:val="Navaden"/>
    <w:link w:val="Telobesedila-zamik2Znak"/>
    <w:uiPriority w:val="99"/>
    <w:rsid w:val="0017599A"/>
    <w:pPr>
      <w:spacing w:after="120" w:line="480" w:lineRule="auto"/>
      <w:ind w:left="283"/>
    </w:pPr>
    <w:rPr>
      <w:lang w:val="en-US"/>
    </w:rPr>
  </w:style>
  <w:style w:type="character" w:customStyle="1" w:styleId="Telobesedila-zamik2Znak">
    <w:name w:val="Telo besedila - zamik 2 Znak"/>
    <w:link w:val="Telobesedila-zamik2"/>
    <w:uiPriority w:val="99"/>
    <w:rsid w:val="0017599A"/>
    <w:rPr>
      <w:rFonts w:ascii="Arial" w:hAnsi="Arial"/>
      <w:szCs w:val="24"/>
      <w:lang w:val="en-US" w:eastAsia="en-US"/>
    </w:rPr>
  </w:style>
  <w:style w:type="character" w:customStyle="1" w:styleId="st">
    <w:name w:val="st"/>
    <w:rsid w:val="0017599A"/>
  </w:style>
  <w:style w:type="paragraph" w:styleId="Besedilooblaka">
    <w:name w:val="Balloon Text"/>
    <w:basedOn w:val="Navaden"/>
    <w:link w:val="BesedilooblakaZnak"/>
    <w:uiPriority w:val="99"/>
    <w:rsid w:val="009B75AD"/>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9B75AD"/>
    <w:rPr>
      <w:rFonts w:ascii="Tahoma" w:hAnsi="Tahoma" w:cs="Tahoma"/>
      <w:sz w:val="16"/>
      <w:szCs w:val="16"/>
      <w:lang w:val="en-US" w:eastAsia="en-US"/>
    </w:rPr>
  </w:style>
  <w:style w:type="character" w:customStyle="1" w:styleId="Bodytext">
    <w:name w:val="Body text_"/>
    <w:link w:val="BodyText2"/>
    <w:rsid w:val="00C51D18"/>
    <w:rPr>
      <w:rFonts w:ascii="Arial" w:eastAsia="Arial" w:hAnsi="Arial" w:cs="Arial"/>
      <w:sz w:val="18"/>
      <w:szCs w:val="18"/>
      <w:shd w:val="clear" w:color="auto" w:fill="FFFFFF"/>
    </w:rPr>
  </w:style>
  <w:style w:type="character" w:customStyle="1" w:styleId="Heading1">
    <w:name w:val="Heading #1_"/>
    <w:link w:val="Heading10"/>
    <w:rsid w:val="00C51D18"/>
    <w:rPr>
      <w:rFonts w:ascii="Arial" w:eastAsia="Arial" w:hAnsi="Arial" w:cs="Arial"/>
      <w:sz w:val="19"/>
      <w:szCs w:val="19"/>
      <w:shd w:val="clear" w:color="auto" w:fill="FFFFFF"/>
    </w:rPr>
  </w:style>
  <w:style w:type="paragraph" w:customStyle="1" w:styleId="BodyText2">
    <w:name w:val="Body Text2"/>
    <w:basedOn w:val="Navaden"/>
    <w:link w:val="Bodytext"/>
    <w:rsid w:val="00C51D18"/>
    <w:pPr>
      <w:shd w:val="clear" w:color="auto" w:fill="FFFFFF"/>
      <w:spacing w:line="259" w:lineRule="exact"/>
      <w:jc w:val="both"/>
    </w:pPr>
    <w:rPr>
      <w:rFonts w:eastAsia="Arial"/>
      <w:sz w:val="18"/>
      <w:szCs w:val="18"/>
    </w:rPr>
  </w:style>
  <w:style w:type="paragraph" w:customStyle="1" w:styleId="Heading10">
    <w:name w:val="Heading #1"/>
    <w:basedOn w:val="Navaden"/>
    <w:link w:val="Heading1"/>
    <w:rsid w:val="00C51D18"/>
    <w:pPr>
      <w:shd w:val="clear" w:color="auto" w:fill="FFFFFF"/>
      <w:spacing w:before="240" w:line="259" w:lineRule="exact"/>
      <w:jc w:val="both"/>
      <w:outlineLvl w:val="0"/>
    </w:pPr>
    <w:rPr>
      <w:rFonts w:eastAsia="Arial"/>
      <w:sz w:val="19"/>
      <w:szCs w:val="19"/>
    </w:rPr>
  </w:style>
  <w:style w:type="paragraph" w:styleId="Odstavekseznama">
    <w:name w:val="List Paragraph"/>
    <w:aliases w:val="numbered list"/>
    <w:basedOn w:val="Navaden"/>
    <w:link w:val="OdstavekseznamaZnak"/>
    <w:uiPriority w:val="1"/>
    <w:qFormat/>
    <w:rsid w:val="009E1BA8"/>
    <w:pPr>
      <w:ind w:left="720"/>
      <w:contextualSpacing/>
    </w:pPr>
  </w:style>
  <w:style w:type="character" w:styleId="Pripombasklic">
    <w:name w:val="annotation reference"/>
    <w:uiPriority w:val="99"/>
    <w:unhideWhenUsed/>
    <w:rsid w:val="00016506"/>
    <w:rPr>
      <w:sz w:val="16"/>
      <w:szCs w:val="16"/>
    </w:rPr>
  </w:style>
  <w:style w:type="paragraph" w:styleId="Pripombabesedilo">
    <w:name w:val="annotation text"/>
    <w:basedOn w:val="Navaden"/>
    <w:link w:val="PripombabesediloZnak"/>
    <w:uiPriority w:val="99"/>
    <w:unhideWhenUsed/>
    <w:rsid w:val="00016506"/>
    <w:rPr>
      <w:szCs w:val="20"/>
      <w:lang w:val="en-US"/>
    </w:rPr>
  </w:style>
  <w:style w:type="character" w:customStyle="1" w:styleId="PripombabesediloZnak">
    <w:name w:val="Pripomba – besedilo Znak"/>
    <w:link w:val="Pripombabesedilo"/>
    <w:uiPriority w:val="99"/>
    <w:rsid w:val="00016506"/>
    <w:rPr>
      <w:rFonts w:ascii="Arial" w:hAnsi="Arial"/>
      <w:lang w:val="en-US" w:eastAsia="en-US"/>
    </w:rPr>
  </w:style>
  <w:style w:type="character" w:customStyle="1" w:styleId="shorttext">
    <w:name w:val="short_text"/>
    <w:rsid w:val="00482410"/>
  </w:style>
  <w:style w:type="character" w:styleId="Krepko">
    <w:name w:val="Strong"/>
    <w:uiPriority w:val="22"/>
    <w:qFormat/>
    <w:rsid w:val="001A60E5"/>
    <w:rPr>
      <w:b/>
      <w:bCs/>
    </w:rPr>
  </w:style>
  <w:style w:type="character" w:customStyle="1" w:styleId="BodyText1">
    <w:name w:val="Body Text1"/>
    <w:rsid w:val="00C5732C"/>
    <w:rPr>
      <w:rFonts w:ascii="Arial" w:eastAsia="Arial" w:hAnsi="Arial" w:cs="Arial"/>
      <w:b w:val="0"/>
      <w:bCs w:val="0"/>
      <w:i w:val="0"/>
      <w:iCs w:val="0"/>
      <w:smallCaps w:val="0"/>
      <w:strike w:val="0"/>
      <w:spacing w:val="0"/>
      <w:sz w:val="18"/>
      <w:szCs w:val="18"/>
      <w:u w:val="single"/>
      <w:shd w:val="clear" w:color="auto" w:fill="FFFFFF"/>
    </w:rPr>
  </w:style>
  <w:style w:type="paragraph" w:customStyle="1" w:styleId="BodyText3">
    <w:name w:val="Body Text3"/>
    <w:basedOn w:val="Navaden"/>
    <w:rsid w:val="00C5732C"/>
    <w:pPr>
      <w:shd w:val="clear" w:color="auto" w:fill="FFFFFF"/>
      <w:spacing w:after="720" w:line="259" w:lineRule="exact"/>
    </w:pPr>
    <w:rPr>
      <w:rFonts w:eastAsia="Arial" w:cs="Arial"/>
      <w:color w:val="000000"/>
      <w:sz w:val="18"/>
      <w:szCs w:val="18"/>
      <w:lang w:eastAsia="sl-SI"/>
    </w:rPr>
  </w:style>
  <w:style w:type="paragraph" w:customStyle="1" w:styleId="BodyText4">
    <w:name w:val="Body Text4"/>
    <w:basedOn w:val="Navaden"/>
    <w:rsid w:val="004042E9"/>
    <w:pPr>
      <w:shd w:val="clear" w:color="auto" w:fill="FFFFFF"/>
      <w:spacing w:before="480" w:after="180" w:line="252" w:lineRule="exact"/>
      <w:jc w:val="both"/>
    </w:pPr>
    <w:rPr>
      <w:rFonts w:ascii="Arial Unicode MS" w:eastAsia="Arial Unicode MS" w:hAnsi="Arial Unicode MS" w:cs="Arial Unicode MS"/>
      <w:color w:val="000000"/>
      <w:sz w:val="21"/>
      <w:szCs w:val="21"/>
      <w:lang w:eastAsia="sl-SI"/>
    </w:rPr>
  </w:style>
  <w:style w:type="character" w:styleId="Poudarek">
    <w:name w:val="Emphasis"/>
    <w:uiPriority w:val="20"/>
    <w:qFormat/>
    <w:rsid w:val="00050C2E"/>
    <w:rPr>
      <w:b/>
      <w:bCs/>
      <w:i w:val="0"/>
      <w:iCs w:val="0"/>
    </w:rPr>
  </w:style>
  <w:style w:type="character" w:customStyle="1" w:styleId="st1">
    <w:name w:val="st1"/>
    <w:rsid w:val="00050C2E"/>
  </w:style>
  <w:style w:type="character" w:customStyle="1" w:styleId="Bodytext5">
    <w:name w:val="Body text (5)_"/>
    <w:link w:val="Bodytext50"/>
    <w:rsid w:val="00A049A9"/>
    <w:rPr>
      <w:sz w:val="17"/>
      <w:szCs w:val="17"/>
      <w:shd w:val="clear" w:color="auto" w:fill="FFFFFF"/>
    </w:rPr>
  </w:style>
  <w:style w:type="paragraph" w:customStyle="1" w:styleId="Bodytext50">
    <w:name w:val="Body text (5)"/>
    <w:basedOn w:val="Navaden"/>
    <w:link w:val="Bodytext5"/>
    <w:rsid w:val="00A049A9"/>
    <w:pPr>
      <w:shd w:val="clear" w:color="auto" w:fill="FFFFFF"/>
      <w:spacing w:after="180" w:line="259" w:lineRule="exact"/>
      <w:ind w:hanging="700"/>
      <w:jc w:val="both"/>
    </w:pPr>
    <w:rPr>
      <w:rFonts w:ascii="Times New Roman" w:hAnsi="Times New Roman"/>
      <w:sz w:val="17"/>
      <w:szCs w:val="17"/>
    </w:rPr>
  </w:style>
  <w:style w:type="character" w:customStyle="1" w:styleId="Footnote2">
    <w:name w:val="Footnote (2)_"/>
    <w:link w:val="Footnote20"/>
    <w:rsid w:val="00A049A9"/>
    <w:rPr>
      <w:shd w:val="clear" w:color="auto" w:fill="FFFFFF"/>
    </w:rPr>
  </w:style>
  <w:style w:type="character" w:customStyle="1" w:styleId="Footnote3">
    <w:name w:val="Footnote (3)_"/>
    <w:link w:val="Footnote30"/>
    <w:rsid w:val="00A049A9"/>
    <w:rPr>
      <w:shd w:val="clear" w:color="auto" w:fill="FFFFFF"/>
    </w:rPr>
  </w:style>
  <w:style w:type="character" w:customStyle="1" w:styleId="Footnote385ptNotBoldItalic">
    <w:name w:val="Footnote (3) + 8;5 pt;Not Bold;Italic"/>
    <w:rsid w:val="00A049A9"/>
    <w:rPr>
      <w:b/>
      <w:bCs/>
      <w:i/>
      <w:iCs/>
      <w:smallCaps w:val="0"/>
      <w:strike w:val="0"/>
      <w:spacing w:val="0"/>
      <w:sz w:val="17"/>
      <w:szCs w:val="17"/>
    </w:rPr>
  </w:style>
  <w:style w:type="paragraph" w:customStyle="1" w:styleId="Footnote20">
    <w:name w:val="Footnote (2)"/>
    <w:basedOn w:val="Navaden"/>
    <w:link w:val="Footnote2"/>
    <w:rsid w:val="00A049A9"/>
    <w:pPr>
      <w:shd w:val="clear" w:color="auto" w:fill="FFFFFF"/>
      <w:spacing w:line="278" w:lineRule="exact"/>
      <w:jc w:val="both"/>
    </w:pPr>
    <w:rPr>
      <w:rFonts w:ascii="Times New Roman" w:hAnsi="Times New Roman"/>
      <w:szCs w:val="20"/>
    </w:rPr>
  </w:style>
  <w:style w:type="paragraph" w:customStyle="1" w:styleId="Footnote30">
    <w:name w:val="Footnote (3)"/>
    <w:basedOn w:val="Navaden"/>
    <w:link w:val="Footnote3"/>
    <w:rsid w:val="00A049A9"/>
    <w:pPr>
      <w:shd w:val="clear" w:color="auto" w:fill="FFFFFF"/>
      <w:spacing w:line="278" w:lineRule="exact"/>
      <w:jc w:val="both"/>
    </w:pPr>
    <w:rPr>
      <w:rFonts w:ascii="Times New Roman" w:hAnsi="Times New Roman"/>
      <w:szCs w:val="20"/>
    </w:rPr>
  </w:style>
  <w:style w:type="paragraph" w:styleId="Navadensplet">
    <w:name w:val="Normal (Web)"/>
    <w:basedOn w:val="Navaden"/>
    <w:uiPriority w:val="99"/>
    <w:unhideWhenUsed/>
    <w:rsid w:val="009E6427"/>
    <w:pPr>
      <w:spacing w:before="100" w:beforeAutospacing="1" w:after="100" w:afterAutospacing="1" w:line="240" w:lineRule="auto"/>
    </w:pPr>
    <w:rPr>
      <w:rFonts w:ascii="Times New Roman" w:hAnsi="Times New Roman"/>
      <w:sz w:val="24"/>
      <w:lang w:eastAsia="sl-SI"/>
    </w:rPr>
  </w:style>
  <w:style w:type="paragraph" w:customStyle="1" w:styleId="text-justify1">
    <w:name w:val="text-justify1"/>
    <w:basedOn w:val="Navaden"/>
    <w:rsid w:val="00E638D9"/>
    <w:pPr>
      <w:spacing w:line="240" w:lineRule="auto"/>
      <w:jc w:val="both"/>
    </w:pPr>
    <w:rPr>
      <w:rFonts w:ascii="Times New Roman" w:hAnsi="Times New Roman"/>
      <w:sz w:val="24"/>
      <w:lang w:eastAsia="sl-SI"/>
    </w:rPr>
  </w:style>
  <w:style w:type="character" w:customStyle="1" w:styleId="Nerazreenaomemba1">
    <w:name w:val="Nerazrešena omemba1"/>
    <w:uiPriority w:val="99"/>
    <w:semiHidden/>
    <w:unhideWhenUsed/>
    <w:rsid w:val="00E638D9"/>
    <w:rPr>
      <w:color w:val="605E5C"/>
      <w:shd w:val="clear" w:color="auto" w:fill="E1DFDD"/>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unhideWhenUsed/>
    <w:rsid w:val="00A4469D"/>
    <w:pPr>
      <w:spacing w:line="240" w:lineRule="auto"/>
      <w:jc w:val="both"/>
    </w:pPr>
    <w:rPr>
      <w:rFonts w:ascii="Times New Roman" w:hAnsi="Times New Roman"/>
      <w:szCs w:val="20"/>
      <w:lang w:eastAsia="zh-CN"/>
    </w:r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link w:val="Sprotnaopomba-besedilo"/>
    <w:uiPriority w:val="99"/>
    <w:rsid w:val="00A4469D"/>
    <w:rPr>
      <w:lang w:eastAsia="zh-CN"/>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unhideWhenUsed/>
    <w:qFormat/>
    <w:rsid w:val="00A4469D"/>
    <w:rPr>
      <w:vertAlign w:val="superscript"/>
    </w:rPr>
  </w:style>
  <w:style w:type="paragraph" w:customStyle="1" w:styleId="Brezrazmikov1">
    <w:name w:val="Brez razmikov1"/>
    <w:uiPriority w:val="1"/>
    <w:qFormat/>
    <w:rsid w:val="00A4469D"/>
    <w:rPr>
      <w:rFonts w:ascii="Trebuchet MS" w:eastAsia="Calibri" w:hAnsi="Trebuchet MS"/>
      <w:szCs w:val="22"/>
      <w:lang w:eastAsia="en-US"/>
    </w:rPr>
  </w:style>
  <w:style w:type="paragraph" w:customStyle="1" w:styleId="Zadevakomentarja1">
    <w:name w:val="Zadeva komentarja1"/>
    <w:basedOn w:val="Pripombabesedilo"/>
    <w:next w:val="Pripombabesedilo"/>
    <w:link w:val="ZadevakomentarjaZnak"/>
    <w:rsid w:val="00C93E72"/>
    <w:rPr>
      <w:b/>
      <w:bCs/>
    </w:rPr>
  </w:style>
  <w:style w:type="character" w:customStyle="1" w:styleId="ZadevakomentarjaZnak">
    <w:name w:val="Zadeva komentarja Znak"/>
    <w:link w:val="Zadevakomentarja1"/>
    <w:rsid w:val="00C93E72"/>
    <w:rPr>
      <w:rFonts w:ascii="Arial" w:hAnsi="Arial"/>
      <w:b/>
      <w:bCs/>
      <w:lang w:val="en-US" w:eastAsia="en-US"/>
    </w:rPr>
  </w:style>
  <w:style w:type="character" w:customStyle="1" w:styleId="Nerazreenaomemba10">
    <w:name w:val="Nerazrešena omemba1"/>
    <w:uiPriority w:val="99"/>
    <w:semiHidden/>
    <w:unhideWhenUsed/>
    <w:rsid w:val="009B24A6"/>
    <w:rPr>
      <w:color w:val="605E5C"/>
      <w:shd w:val="clear" w:color="auto" w:fill="E1DFDD"/>
    </w:rPr>
  </w:style>
  <w:style w:type="character" w:customStyle="1" w:styleId="ZadevapripombeZnak">
    <w:name w:val="Zadeva pripombe Znak"/>
    <w:uiPriority w:val="99"/>
    <w:rsid w:val="009B24A6"/>
    <w:rPr>
      <w:rFonts w:ascii="Arial" w:hAnsi="Arial"/>
      <w:b/>
      <w:bCs/>
      <w:lang w:val="en-US" w:eastAsia="en-US"/>
    </w:rPr>
  </w:style>
  <w:style w:type="paragraph" w:styleId="Revizija">
    <w:name w:val="Revision"/>
    <w:hidden/>
    <w:uiPriority w:val="99"/>
    <w:semiHidden/>
    <w:rsid w:val="009B24A6"/>
    <w:rPr>
      <w:rFonts w:ascii="Arial" w:hAnsi="Arial"/>
      <w:szCs w:val="24"/>
      <w:lang w:eastAsia="en-US"/>
    </w:rPr>
  </w:style>
  <w:style w:type="character" w:styleId="SledenaHiperpovezava">
    <w:name w:val="FollowedHyperlink"/>
    <w:uiPriority w:val="99"/>
    <w:rsid w:val="009B24A6"/>
    <w:rPr>
      <w:color w:val="954F72"/>
      <w:u w:val="single"/>
    </w:rPr>
  </w:style>
  <w:style w:type="character" w:customStyle="1" w:styleId="Naslov1Znak">
    <w:name w:val="Naslov 1 Znak"/>
    <w:aliases w:val="NASLOV Znak"/>
    <w:link w:val="Naslov1"/>
    <w:uiPriority w:val="9"/>
    <w:rsid w:val="000266FA"/>
    <w:rPr>
      <w:rFonts w:ascii="Arial" w:hAnsi="Arial"/>
      <w:bCs/>
      <w:kern w:val="32"/>
      <w:lang w:eastAsia="en-US"/>
    </w:rPr>
  </w:style>
  <w:style w:type="paragraph" w:customStyle="1" w:styleId="Odstavek">
    <w:name w:val="Odstavek"/>
    <w:basedOn w:val="Navaden"/>
    <w:link w:val="OdstavekZnak"/>
    <w:qFormat/>
    <w:rsid w:val="00794674"/>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94674"/>
    <w:rPr>
      <w:rFonts w:ascii="Arial" w:hAnsi="Arial"/>
      <w:sz w:val="22"/>
      <w:szCs w:val="22"/>
    </w:rPr>
  </w:style>
  <w:style w:type="character" w:customStyle="1" w:styleId="OdstavekseznamaZnak">
    <w:name w:val="Odstavek seznama Znak"/>
    <w:aliases w:val="numbered list Znak"/>
    <w:link w:val="Odstavekseznama"/>
    <w:uiPriority w:val="34"/>
    <w:qFormat/>
    <w:locked/>
    <w:rsid w:val="00794674"/>
    <w:rPr>
      <w:rFonts w:ascii="Arial" w:hAnsi="Arial"/>
      <w:szCs w:val="24"/>
      <w:lang w:eastAsia="en-US"/>
    </w:rPr>
  </w:style>
  <w:style w:type="character" w:customStyle="1" w:styleId="BrezrazmikovZnak">
    <w:name w:val="Brez razmikov Znak"/>
    <w:link w:val="Brezrazmikov"/>
    <w:uiPriority w:val="1"/>
    <w:rsid w:val="00794674"/>
    <w:rPr>
      <w:rFonts w:ascii="Arial" w:hAnsi="Arial"/>
      <w:szCs w:val="24"/>
      <w:lang w:val="en-US" w:eastAsia="en-US" w:bidi="ar-SA"/>
    </w:rPr>
  </w:style>
  <w:style w:type="paragraph" w:customStyle="1" w:styleId="Default">
    <w:name w:val="Default"/>
    <w:rsid w:val="00794674"/>
    <w:pPr>
      <w:autoSpaceDE w:val="0"/>
      <w:autoSpaceDN w:val="0"/>
      <w:adjustRightInd w:val="0"/>
    </w:pPr>
    <w:rPr>
      <w:rFonts w:ascii="Arial" w:eastAsia="Calibri" w:hAnsi="Arial" w:cs="Arial"/>
      <w:color w:val="000000"/>
      <w:sz w:val="24"/>
      <w:szCs w:val="24"/>
      <w:lang w:eastAsia="en-US"/>
    </w:rPr>
  </w:style>
  <w:style w:type="paragraph" w:styleId="Zadevapripombe">
    <w:name w:val="annotation subject"/>
    <w:basedOn w:val="Pripombabesedilo"/>
    <w:next w:val="Pripombabesedilo"/>
    <w:link w:val="ZadevapripombeZnak1"/>
    <w:uiPriority w:val="99"/>
    <w:rsid w:val="00EF105C"/>
    <w:pPr>
      <w:spacing w:line="240" w:lineRule="auto"/>
    </w:pPr>
    <w:rPr>
      <w:b/>
      <w:bCs/>
      <w:lang w:val="sl-SI"/>
    </w:rPr>
  </w:style>
  <w:style w:type="character" w:customStyle="1" w:styleId="ZadevapripombeZnak1">
    <w:name w:val="Zadeva pripombe Znak1"/>
    <w:basedOn w:val="PripombabesediloZnak"/>
    <w:link w:val="Zadevapripombe"/>
    <w:rsid w:val="00EF105C"/>
    <w:rPr>
      <w:rFonts w:ascii="Arial" w:hAnsi="Arial"/>
      <w:b/>
      <w:bCs/>
      <w:lang w:val="en-US" w:eastAsia="en-US"/>
    </w:rPr>
  </w:style>
  <w:style w:type="paragraph" w:customStyle="1" w:styleId="Vrstapredpisa">
    <w:name w:val="Vrsta predpisa"/>
    <w:basedOn w:val="Navaden"/>
    <w:link w:val="VrstapredpisaZnak"/>
    <w:qFormat/>
    <w:rsid w:val="00621206"/>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621206"/>
    <w:rPr>
      <w:rFonts w:ascii="Arial" w:hAnsi="Arial" w:cs="Arial"/>
      <w:b/>
      <w:bCs/>
      <w:color w:val="000000"/>
      <w:spacing w:val="40"/>
      <w:sz w:val="22"/>
      <w:szCs w:val="22"/>
    </w:rPr>
  </w:style>
  <w:style w:type="paragraph" w:customStyle="1" w:styleId="len">
    <w:name w:val="Člen"/>
    <w:basedOn w:val="Navaden"/>
    <w:link w:val="lenZnak"/>
    <w:qFormat/>
    <w:rsid w:val="00621206"/>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621206"/>
    <w:rPr>
      <w:rFonts w:ascii="Arial" w:hAnsi="Arial"/>
      <w:b/>
      <w:sz w:val="22"/>
      <w:szCs w:val="22"/>
    </w:rPr>
  </w:style>
  <w:style w:type="paragraph" w:customStyle="1" w:styleId="lennaslov">
    <w:name w:val="Člen_naslov"/>
    <w:basedOn w:val="len"/>
    <w:qFormat/>
    <w:rsid w:val="00621206"/>
    <w:pPr>
      <w:spacing w:before="0"/>
    </w:pPr>
  </w:style>
  <w:style w:type="paragraph" w:customStyle="1" w:styleId="tevilnatoka111">
    <w:name w:val="Številčna točka 1.1.1"/>
    <w:basedOn w:val="Navaden"/>
    <w:qFormat/>
    <w:rsid w:val="00621206"/>
    <w:pPr>
      <w:widowControl w:val="0"/>
      <w:numPr>
        <w:ilvl w:val="2"/>
        <w:numId w:val="15"/>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621206"/>
    <w:pPr>
      <w:numPr>
        <w:numId w:val="15"/>
      </w:numPr>
      <w:spacing w:line="240" w:lineRule="auto"/>
      <w:jc w:val="both"/>
    </w:pPr>
    <w:rPr>
      <w:sz w:val="22"/>
      <w:szCs w:val="22"/>
    </w:rPr>
  </w:style>
  <w:style w:type="character" w:customStyle="1" w:styleId="tevilnatokaZnak">
    <w:name w:val="Številčna točka Znak"/>
    <w:link w:val="tevilnatoka"/>
    <w:rsid w:val="00621206"/>
    <w:rPr>
      <w:rFonts w:ascii="Arial" w:hAnsi="Arial"/>
      <w:sz w:val="22"/>
      <w:szCs w:val="22"/>
      <w:lang w:eastAsia="en-US"/>
    </w:rPr>
  </w:style>
  <w:style w:type="paragraph" w:customStyle="1" w:styleId="tevilnatoka11Nova">
    <w:name w:val="Številčna točka 1.1 Nova"/>
    <w:basedOn w:val="tevilnatoka"/>
    <w:link w:val="tevilnatoka11NovaZnak"/>
    <w:qFormat/>
    <w:rsid w:val="00621206"/>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621206"/>
    <w:pPr>
      <w:numPr>
        <w:numId w:val="14"/>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621206"/>
    <w:rPr>
      <w:rFonts w:ascii="Arial" w:hAnsi="Arial" w:cs="Arial"/>
      <w:sz w:val="22"/>
      <w:szCs w:val="22"/>
    </w:rPr>
  </w:style>
  <w:style w:type="paragraph" w:customStyle="1" w:styleId="odstavek0">
    <w:name w:val="odstavek"/>
    <w:basedOn w:val="Navaden"/>
    <w:rsid w:val="00621206"/>
    <w:pPr>
      <w:spacing w:before="100" w:beforeAutospacing="1" w:after="100" w:afterAutospacing="1" w:line="240" w:lineRule="auto"/>
    </w:pPr>
    <w:rPr>
      <w:rFonts w:ascii="Times New Roman" w:hAnsi="Times New Roman"/>
      <w:sz w:val="24"/>
      <w:lang w:eastAsia="sl-SI"/>
    </w:rPr>
  </w:style>
  <w:style w:type="paragraph" w:customStyle="1" w:styleId="Telobesedila1">
    <w:name w:val="Telo besedila1"/>
    <w:basedOn w:val="Navaden"/>
    <w:rsid w:val="00A6018E"/>
    <w:pPr>
      <w:shd w:val="clear" w:color="auto" w:fill="FFFFFF"/>
      <w:spacing w:before="300" w:after="1560" w:line="0" w:lineRule="atLeast"/>
      <w:jc w:val="both"/>
    </w:pPr>
    <w:rPr>
      <w:rFonts w:eastAsia="Arial" w:cs="Arial"/>
      <w:color w:val="000000"/>
      <w:sz w:val="18"/>
      <w:szCs w:val="18"/>
      <w:lang w:eastAsia="sl-SI"/>
    </w:rPr>
  </w:style>
  <w:style w:type="paragraph" w:customStyle="1" w:styleId="Brezrazmikov2">
    <w:name w:val="Brez razmikov2"/>
    <w:uiPriority w:val="1"/>
    <w:qFormat/>
    <w:rsid w:val="00260A88"/>
    <w:rPr>
      <w:rFonts w:ascii="Trebuchet MS" w:eastAsia="Calibri" w:hAnsi="Trebuchet MS"/>
      <w:szCs w:val="22"/>
      <w:lang w:eastAsia="en-US"/>
    </w:rPr>
  </w:style>
  <w:style w:type="paragraph" w:customStyle="1" w:styleId="len0">
    <w:name w:val="len"/>
    <w:basedOn w:val="Navaden"/>
    <w:rsid w:val="00D052C0"/>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D052C0"/>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D052C0"/>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8B2C64"/>
    <w:rPr>
      <w:color w:val="605E5C"/>
      <w:shd w:val="clear" w:color="auto" w:fill="E1DFDD"/>
    </w:rPr>
  </w:style>
  <w:style w:type="paragraph" w:styleId="Telobesedila">
    <w:name w:val="Body Text"/>
    <w:basedOn w:val="Navaden"/>
    <w:link w:val="TelobesedilaZnak"/>
    <w:uiPriority w:val="1"/>
    <w:qFormat/>
    <w:rsid w:val="000258C6"/>
    <w:pPr>
      <w:spacing w:after="120"/>
    </w:pPr>
  </w:style>
  <w:style w:type="character" w:customStyle="1" w:styleId="TelobesedilaZnak">
    <w:name w:val="Telo besedila Znak"/>
    <w:basedOn w:val="Privzetapisavaodstavka"/>
    <w:link w:val="Telobesedila"/>
    <w:uiPriority w:val="1"/>
    <w:rsid w:val="000258C6"/>
    <w:rPr>
      <w:rFonts w:ascii="Arial" w:hAnsi="Arial"/>
      <w:szCs w:val="24"/>
      <w:lang w:eastAsia="en-US"/>
    </w:rPr>
  </w:style>
  <w:style w:type="paragraph" w:customStyle="1" w:styleId="Pododdelek">
    <w:name w:val="Pododdelek"/>
    <w:basedOn w:val="Navaden"/>
    <w:link w:val="PododdelekZnak"/>
    <w:qFormat/>
    <w:rsid w:val="000258C6"/>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0258C6"/>
    <w:rPr>
      <w:rFonts w:ascii="Arial" w:hAnsi="Arial"/>
      <w:sz w:val="22"/>
      <w:szCs w:val="22"/>
    </w:rPr>
  </w:style>
  <w:style w:type="paragraph" w:customStyle="1" w:styleId="tevilnatoka1">
    <w:name w:val="tevilnatoka1"/>
    <w:basedOn w:val="Navaden"/>
    <w:rsid w:val="000258C6"/>
    <w:pPr>
      <w:spacing w:line="240" w:lineRule="auto"/>
      <w:ind w:left="425" w:hanging="425"/>
      <w:jc w:val="both"/>
    </w:pPr>
    <w:rPr>
      <w:rFonts w:cs="Arial"/>
      <w:sz w:val="22"/>
      <w:szCs w:val="22"/>
      <w:lang w:eastAsia="sl-SI"/>
    </w:rPr>
  </w:style>
  <w:style w:type="paragraph" w:customStyle="1" w:styleId="len1">
    <w:name w:val="len1"/>
    <w:basedOn w:val="Navaden"/>
    <w:rsid w:val="000258C6"/>
    <w:pPr>
      <w:spacing w:before="480" w:line="240" w:lineRule="auto"/>
      <w:jc w:val="center"/>
    </w:pPr>
    <w:rPr>
      <w:rFonts w:cs="Arial"/>
      <w:b/>
      <w:bCs/>
      <w:sz w:val="22"/>
      <w:szCs w:val="22"/>
      <w:lang w:eastAsia="sl-SI"/>
    </w:rPr>
  </w:style>
  <w:style w:type="paragraph" w:customStyle="1" w:styleId="odstavek1">
    <w:name w:val="odstavek1"/>
    <w:basedOn w:val="Navaden"/>
    <w:rsid w:val="000258C6"/>
    <w:pPr>
      <w:spacing w:before="240" w:line="240" w:lineRule="auto"/>
      <w:ind w:firstLine="1021"/>
      <w:jc w:val="both"/>
    </w:pPr>
    <w:rPr>
      <w:rFonts w:cs="Arial"/>
      <w:sz w:val="22"/>
      <w:szCs w:val="22"/>
      <w:lang w:eastAsia="sl-SI"/>
    </w:rPr>
  </w:style>
  <w:style w:type="paragraph" w:customStyle="1" w:styleId="lennaslov1">
    <w:name w:val="lennaslov1"/>
    <w:basedOn w:val="Navaden"/>
    <w:rsid w:val="000258C6"/>
    <w:pPr>
      <w:spacing w:line="240" w:lineRule="auto"/>
      <w:jc w:val="center"/>
    </w:pPr>
    <w:rPr>
      <w:rFonts w:cs="Arial"/>
      <w:b/>
      <w:bCs/>
      <w:sz w:val="22"/>
      <w:szCs w:val="22"/>
      <w:lang w:eastAsia="sl-SI"/>
    </w:rPr>
  </w:style>
  <w:style w:type="character" w:customStyle="1" w:styleId="NogaZnak">
    <w:name w:val="Noga Znak"/>
    <w:basedOn w:val="Privzetapisavaodstavka"/>
    <w:link w:val="Noga"/>
    <w:uiPriority w:val="99"/>
    <w:rsid w:val="000258C6"/>
    <w:rPr>
      <w:rFonts w:ascii="Arial" w:hAnsi="Arial"/>
      <w:szCs w:val="24"/>
      <w:lang w:eastAsia="en-US"/>
    </w:rPr>
  </w:style>
  <w:style w:type="character" w:customStyle="1" w:styleId="oj-super">
    <w:name w:val="oj-super"/>
    <w:basedOn w:val="Privzetapisavaodstavka"/>
    <w:rsid w:val="000258C6"/>
    <w:rPr>
      <w:sz w:val="17"/>
      <w:szCs w:val="17"/>
      <w:vertAlign w:val="superscript"/>
    </w:rPr>
  </w:style>
  <w:style w:type="paragraph" w:customStyle="1" w:styleId="oj-normal1">
    <w:name w:val="oj-normal1"/>
    <w:basedOn w:val="Navaden"/>
    <w:rsid w:val="000258C6"/>
    <w:pPr>
      <w:spacing w:before="120" w:line="312" w:lineRule="atLeast"/>
      <w:jc w:val="both"/>
    </w:pPr>
    <w:rPr>
      <w:rFonts w:ascii="Times New Roman" w:hAnsi="Times New Roman"/>
      <w:sz w:val="24"/>
      <w:lang w:eastAsia="sl-SI"/>
    </w:rPr>
  </w:style>
  <w:style w:type="character" w:customStyle="1" w:styleId="UnresolvedMention1">
    <w:name w:val="Unresolved Mention1"/>
    <w:basedOn w:val="Privzetapisavaodstavka"/>
    <w:uiPriority w:val="99"/>
    <w:semiHidden/>
    <w:unhideWhenUsed/>
    <w:rsid w:val="000258C6"/>
    <w:rPr>
      <w:color w:val="605E5C"/>
      <w:shd w:val="clear" w:color="auto" w:fill="E1DFDD"/>
    </w:rPr>
  </w:style>
  <w:style w:type="paragraph" w:customStyle="1" w:styleId="msonormal0">
    <w:name w:val="msonormal"/>
    <w:basedOn w:val="Navaden"/>
    <w:uiPriority w:val="99"/>
    <w:rsid w:val="000258C6"/>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0258C6"/>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0258C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F44F3"/>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A93426"/>
    <w:rPr>
      <w:rFonts w:ascii="Segoe UI" w:hAnsi="Segoe UI" w:cs="Segoe UI" w:hint="default"/>
      <w:sz w:val="18"/>
      <w:szCs w:val="18"/>
    </w:rPr>
  </w:style>
  <w:style w:type="character" w:customStyle="1" w:styleId="cf11">
    <w:name w:val="cf11"/>
    <w:basedOn w:val="Privzetapisavaodstavka"/>
    <w:rsid w:val="00A93426"/>
    <w:rPr>
      <w:rFonts w:ascii="Segoe UI" w:hAnsi="Segoe UI" w:cs="Segoe UI" w:hint="default"/>
      <w:sz w:val="18"/>
      <w:szCs w:val="18"/>
    </w:rPr>
  </w:style>
  <w:style w:type="character" w:customStyle="1" w:styleId="Nerazreenaomemba3">
    <w:name w:val="Nerazrešena omemba3"/>
    <w:basedOn w:val="Privzetapisavaodstavka"/>
    <w:uiPriority w:val="99"/>
    <w:semiHidden/>
    <w:unhideWhenUsed/>
    <w:rsid w:val="003065CC"/>
    <w:rPr>
      <w:color w:val="605E5C"/>
      <w:shd w:val="clear" w:color="auto" w:fill="E1DFDD"/>
    </w:rPr>
  </w:style>
  <w:style w:type="paragraph" w:customStyle="1" w:styleId="zamik">
    <w:name w:val="zamik"/>
    <w:basedOn w:val="Navaden"/>
    <w:rsid w:val="00854B2B"/>
    <w:pPr>
      <w:spacing w:line="240" w:lineRule="auto"/>
      <w:ind w:firstLine="1021"/>
    </w:pPr>
    <w:rPr>
      <w:rFonts w:ascii="Times New Roman" w:hAnsi="Times New Roman"/>
      <w:sz w:val="24"/>
    </w:rPr>
  </w:style>
  <w:style w:type="paragraph" w:customStyle="1" w:styleId="mainText">
    <w:name w:val="mainText"/>
    <w:basedOn w:val="Navaden"/>
    <w:rsid w:val="00512760"/>
    <w:pPr>
      <w:spacing w:line="240" w:lineRule="auto"/>
    </w:pPr>
    <w:rPr>
      <w:rFonts w:ascii="Times New Roman" w:hAnsi="Times New Roman"/>
      <w:sz w:val="24"/>
      <w:lang w:val="en-US"/>
    </w:rPr>
  </w:style>
  <w:style w:type="paragraph" w:customStyle="1" w:styleId="textJustify">
    <w:name w:val="textJustify"/>
    <w:basedOn w:val="Navaden"/>
    <w:rsid w:val="00512760"/>
    <w:pPr>
      <w:spacing w:line="240" w:lineRule="auto"/>
      <w:jc w:val="both"/>
    </w:pPr>
    <w:rPr>
      <w:rFonts w:ascii="Times New Roman" w:hAnsi="Times New Roman"/>
      <w:sz w:val="24"/>
      <w:lang w:val="en-US"/>
    </w:rPr>
  </w:style>
  <w:style w:type="paragraph" w:customStyle="1" w:styleId="alineazaodstavkom1">
    <w:name w:val="alinea_za_odstavkom"/>
    <w:basedOn w:val="Navaden"/>
    <w:rsid w:val="00512760"/>
    <w:pPr>
      <w:spacing w:line="240" w:lineRule="auto"/>
      <w:ind w:hanging="425"/>
      <w:jc w:val="both"/>
    </w:pPr>
    <w:rPr>
      <w:rFonts w:ascii="Times New Roman" w:hAnsi="Times New Roman"/>
      <w:sz w:val="24"/>
      <w:lang w:val="en-US"/>
    </w:rPr>
  </w:style>
  <w:style w:type="paragraph" w:customStyle="1" w:styleId="center">
    <w:name w:val="center"/>
    <w:basedOn w:val="Navaden"/>
    <w:rsid w:val="00512760"/>
    <w:pPr>
      <w:spacing w:line="240" w:lineRule="auto"/>
      <w:jc w:val="center"/>
    </w:pPr>
    <w:rPr>
      <w:rFonts w:ascii="Times New Roman" w:hAnsi="Times New Roman"/>
      <w:sz w:val="24"/>
      <w:lang w:val="en-US"/>
    </w:rPr>
  </w:style>
  <w:style w:type="paragraph" w:customStyle="1" w:styleId="alineazastevilcnotocko">
    <w:name w:val="alinea_za_stevilcno_tocko"/>
    <w:basedOn w:val="Navaden"/>
    <w:rsid w:val="00512760"/>
    <w:pPr>
      <w:spacing w:line="240" w:lineRule="auto"/>
      <w:ind w:hanging="142"/>
      <w:jc w:val="both"/>
    </w:pPr>
    <w:rPr>
      <w:rFonts w:ascii="Times New Roman" w:hAnsi="Times New Roman"/>
      <w:sz w:val="24"/>
      <w:lang w:val="en-US"/>
    </w:rPr>
  </w:style>
  <w:style w:type="character" w:customStyle="1" w:styleId="Bodytext20">
    <w:name w:val="Body text|2_"/>
    <w:basedOn w:val="Privzetapisavaodstavka"/>
    <w:link w:val="Bodytext21"/>
    <w:uiPriority w:val="99"/>
    <w:locked/>
    <w:rsid w:val="00AE4950"/>
    <w:rPr>
      <w:rFonts w:ascii="Arial" w:hAnsi="Arial" w:cs="Arial"/>
      <w:color w:val="000000"/>
      <w:sz w:val="12"/>
      <w:szCs w:val="12"/>
    </w:rPr>
  </w:style>
  <w:style w:type="paragraph" w:customStyle="1" w:styleId="Bodytext21">
    <w:name w:val="Body text|2"/>
    <w:basedOn w:val="Navaden"/>
    <w:link w:val="Bodytext20"/>
    <w:uiPriority w:val="99"/>
    <w:rsid w:val="00AE4950"/>
    <w:pPr>
      <w:widowControl w:val="0"/>
      <w:spacing w:line="240" w:lineRule="auto"/>
    </w:pPr>
    <w:rPr>
      <w:rFonts w:cs="Arial"/>
      <w:color w:val="000000"/>
      <w:sz w:val="12"/>
      <w:szCs w:val="12"/>
      <w:lang w:eastAsia="sl-SI"/>
    </w:rPr>
  </w:style>
  <w:style w:type="character" w:customStyle="1" w:styleId="PripombabesediloZnak1">
    <w:name w:val="Pripomba – besedilo Znak1"/>
    <w:aliases w:val="Komentar - besedilo Znak"/>
    <w:basedOn w:val="Privzetapisavaodstavka"/>
    <w:rsid w:val="00C32B8C"/>
    <w:rPr>
      <w:rFonts w:ascii="Arial" w:eastAsia="Arial" w:hAnsi="Arial" w:cs="Arial"/>
      <w:sz w:val="20"/>
      <w:szCs w:val="20"/>
    </w:rPr>
  </w:style>
  <w:style w:type="character" w:customStyle="1" w:styleId="tevilnatoka11NovaZnak">
    <w:name w:val="Številčna točka 1.1 Nova Znak"/>
    <w:basedOn w:val="tevilnatokaZnak"/>
    <w:link w:val="tevilnatoka11Nova"/>
    <w:locked/>
    <w:rsid w:val="00530D11"/>
    <w:rPr>
      <w:rFonts w:ascii="Arial" w:hAnsi="Arial"/>
      <w:sz w:val="22"/>
      <w:szCs w:val="22"/>
      <w:lang w:eastAsia="en-US"/>
    </w:rPr>
  </w:style>
  <w:style w:type="paragraph" w:customStyle="1" w:styleId="whitespace-pre-wrap">
    <w:name w:val="whitespace-pre-wrap"/>
    <w:basedOn w:val="Navaden"/>
    <w:rsid w:val="00530D11"/>
    <w:pPr>
      <w:spacing w:before="100" w:beforeAutospacing="1" w:after="100" w:afterAutospacing="1" w:line="240" w:lineRule="auto"/>
    </w:pPr>
    <w:rPr>
      <w:rFonts w:ascii="Times New Roman" w:hAnsi="Times New Roman"/>
      <w:sz w:val="24"/>
      <w:lang w:eastAsia="sl-SI"/>
    </w:rPr>
  </w:style>
  <w:style w:type="paragraph" w:customStyle="1" w:styleId="Odsek">
    <w:name w:val="Odsek"/>
    <w:basedOn w:val="Oddelek"/>
    <w:link w:val="OdsekZnak"/>
    <w:qFormat/>
    <w:rsid w:val="00AC4497"/>
    <w:pPr>
      <w:numPr>
        <w:numId w:val="1"/>
      </w:numPr>
    </w:pPr>
    <w:rPr>
      <w:rFonts w:cs="Arial"/>
      <w:szCs w:val="22"/>
    </w:rPr>
  </w:style>
  <w:style w:type="character" w:customStyle="1" w:styleId="OdsekZnak">
    <w:name w:val="Odsek Znak"/>
    <w:basedOn w:val="OddelekZnak1"/>
    <w:link w:val="Odsek"/>
    <w:rsid w:val="00AC4497"/>
    <w:rPr>
      <w:rFonts w:ascii="Arial" w:hAnsi="Arial" w:cs="Arial"/>
      <w:b/>
      <w:sz w:val="22"/>
      <w:szCs w:val="22"/>
      <w:lang w:eastAsia="en-US"/>
    </w:rPr>
  </w:style>
  <w:style w:type="character" w:customStyle="1" w:styleId="Naslov4Znak">
    <w:name w:val="Naslov 4 Znak"/>
    <w:aliases w:val="Grafika Znak"/>
    <w:basedOn w:val="Privzetapisavaodstavka"/>
    <w:link w:val="Naslov4"/>
    <w:semiHidden/>
    <w:rsid w:val="00F52CEB"/>
    <w:rPr>
      <w:rFonts w:ascii="Arial" w:hAnsi="Arial" w:cs="Arial"/>
      <w:bCs/>
      <w:color w:val="000000"/>
      <w:sz w:val="22"/>
      <w:szCs w:val="27"/>
    </w:rPr>
  </w:style>
  <w:style w:type="paragraph" w:customStyle="1" w:styleId="Poglavje0">
    <w:name w:val="Poglavje"/>
    <w:basedOn w:val="Navaden"/>
    <w:uiPriority w:val="99"/>
    <w:qFormat/>
    <w:rsid w:val="00F52CE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stavekseznama1">
    <w:name w:val="Odstavek seznama1"/>
    <w:basedOn w:val="Navaden"/>
    <w:qFormat/>
    <w:rsid w:val="00F52CEB"/>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F52CEB"/>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F52CEB"/>
    <w:rPr>
      <w:rFonts w:ascii="Arial" w:hAnsi="Arial" w:cs="Arial"/>
      <w:sz w:val="22"/>
      <w:szCs w:val="22"/>
    </w:rPr>
  </w:style>
  <w:style w:type="character" w:customStyle="1" w:styleId="rkovnatokazaodstavkomZnak">
    <w:name w:val="Črkovna točka_za odstavkom Znak"/>
    <w:link w:val="rkovnatokazaodstavkom"/>
    <w:rsid w:val="00F52CEB"/>
    <w:rPr>
      <w:rFonts w:ascii="Arial" w:hAnsi="Arial"/>
    </w:rPr>
  </w:style>
  <w:style w:type="paragraph" w:customStyle="1" w:styleId="rkovnatokazaodstavkom">
    <w:name w:val="Črkovna točka_za odstavkom"/>
    <w:basedOn w:val="Navaden"/>
    <w:link w:val="rkovnatokazaodstavkomZnak"/>
    <w:qFormat/>
    <w:rsid w:val="00F52CEB"/>
    <w:pPr>
      <w:numPr>
        <w:numId w:val="33"/>
      </w:numPr>
      <w:overflowPunct w:val="0"/>
      <w:autoSpaceDE w:val="0"/>
      <w:autoSpaceDN w:val="0"/>
      <w:adjustRightInd w:val="0"/>
      <w:spacing w:line="200" w:lineRule="exact"/>
      <w:jc w:val="both"/>
      <w:textAlignment w:val="baseline"/>
    </w:pPr>
    <w:rPr>
      <w:szCs w:val="20"/>
      <w:lang w:eastAsia="sl-SI"/>
    </w:rPr>
  </w:style>
  <w:style w:type="character" w:styleId="tevilkastrani">
    <w:name w:val="page number"/>
    <w:rsid w:val="00F52CEB"/>
  </w:style>
  <w:style w:type="paragraph" w:customStyle="1" w:styleId="Alineazatevilnotoko0">
    <w:name w:val="Alinea za številčno točko"/>
    <w:basedOn w:val="Alineazaodstavkom"/>
    <w:link w:val="AlineazatevilnotokoZnak"/>
    <w:uiPriority w:val="99"/>
    <w:qFormat/>
    <w:rsid w:val="00F52CEB"/>
    <w:pPr>
      <w:tabs>
        <w:tab w:val="clear" w:pos="425"/>
        <w:tab w:val="num" w:pos="-134"/>
        <w:tab w:val="left" w:pos="567"/>
        <w:tab w:val="num" w:pos="1560"/>
      </w:tabs>
      <w:ind w:left="-134" w:hanging="720"/>
    </w:pPr>
  </w:style>
  <w:style w:type="character" w:customStyle="1" w:styleId="AlineazatevilnotokoZnak">
    <w:name w:val="Alinea za številčno točko Znak"/>
    <w:basedOn w:val="rkovnatokazaodstavkomZnak"/>
    <w:link w:val="Alineazatevilnotoko0"/>
    <w:uiPriority w:val="99"/>
    <w:rsid w:val="00F52CEB"/>
    <w:rPr>
      <w:rFonts w:ascii="Arial" w:hAnsi="Arial" w:cs="Arial"/>
      <w:sz w:val="22"/>
      <w:szCs w:val="22"/>
    </w:rPr>
  </w:style>
  <w:style w:type="paragraph" w:customStyle="1" w:styleId="article-paragraph">
    <w:name w:val="article-paragraph"/>
    <w:basedOn w:val="Navaden"/>
    <w:rsid w:val="00F52CEB"/>
    <w:pPr>
      <w:spacing w:before="100" w:beforeAutospacing="1" w:after="100" w:afterAutospacing="1" w:line="240" w:lineRule="auto"/>
    </w:pPr>
    <w:rPr>
      <w:rFonts w:ascii="Times New Roman" w:hAnsi="Times New Roman"/>
      <w:sz w:val="24"/>
      <w:lang w:eastAsia="sl-SI"/>
    </w:rPr>
  </w:style>
  <w:style w:type="character" w:customStyle="1" w:styleId="Naslov4Znak1">
    <w:name w:val="Naslov 4 Znak1"/>
    <w:aliases w:val="Grafika Znak1"/>
    <w:basedOn w:val="Privzetapisavaodstavka"/>
    <w:semiHidden/>
    <w:rsid w:val="00F52CEB"/>
    <w:rPr>
      <w:rFonts w:asciiTheme="majorHAnsi" w:eastAsiaTheme="majorEastAsia" w:hAnsiTheme="majorHAnsi" w:cstheme="majorBidi"/>
      <w:i/>
      <w:iCs/>
      <w:color w:val="2F5496" w:themeColor="accent1" w:themeShade="BF"/>
      <w:sz w:val="22"/>
      <w:szCs w:val="16"/>
    </w:rPr>
  </w:style>
  <w:style w:type="character" w:customStyle="1" w:styleId="PravnapodlagaZnak">
    <w:name w:val="Pravna podlaga Znak"/>
    <w:basedOn w:val="OdstavekZnak"/>
    <w:link w:val="Pravnapodlaga"/>
    <w:semiHidden/>
    <w:locked/>
    <w:rsid w:val="00F52CEB"/>
    <w:rPr>
      <w:rFonts w:ascii="Arial" w:hAnsi="Arial" w:cs="Arial"/>
      <w:sz w:val="22"/>
      <w:szCs w:val="22"/>
    </w:rPr>
  </w:style>
  <w:style w:type="paragraph" w:customStyle="1" w:styleId="Pravnapodlaga">
    <w:name w:val="Pravna podlaga"/>
    <w:basedOn w:val="Odstavek"/>
    <w:link w:val="PravnapodlagaZnak"/>
    <w:semiHidden/>
    <w:qFormat/>
    <w:rsid w:val="00F52CEB"/>
    <w:pPr>
      <w:spacing w:before="480"/>
      <w:textAlignment w:val="auto"/>
    </w:pPr>
    <w:rPr>
      <w:rFonts w:cs="Arial"/>
      <w:sz w:val="20"/>
      <w:szCs w:val="20"/>
      <w:lang w:eastAsia="sl-SI"/>
    </w:rPr>
  </w:style>
  <w:style w:type="paragraph" w:customStyle="1" w:styleId="Prehodneinkoncnedolocbe">
    <w:name w:val="Prehodne in koncne dolocbe"/>
    <w:basedOn w:val="Navaden"/>
    <w:uiPriority w:val="99"/>
    <w:semiHidden/>
    <w:rsid w:val="00F52CEB"/>
    <w:pPr>
      <w:overflowPunct w:val="0"/>
      <w:autoSpaceDE w:val="0"/>
      <w:autoSpaceDN w:val="0"/>
      <w:adjustRightInd w:val="0"/>
      <w:spacing w:before="400" w:after="600" w:line="240" w:lineRule="auto"/>
      <w:jc w:val="both"/>
    </w:pPr>
    <w:rPr>
      <w:b/>
      <w:sz w:val="22"/>
      <w:szCs w:val="16"/>
      <w:lang w:eastAsia="sl-SI"/>
    </w:rPr>
  </w:style>
  <w:style w:type="character" w:customStyle="1" w:styleId="DelZnak">
    <w:name w:val="Del Znak"/>
    <w:link w:val="Del"/>
    <w:semiHidden/>
    <w:locked/>
    <w:rsid w:val="00F52CEB"/>
    <w:rPr>
      <w:rFonts w:ascii="Arial" w:hAnsi="Arial" w:cs="Arial"/>
    </w:rPr>
  </w:style>
  <w:style w:type="paragraph" w:customStyle="1" w:styleId="Del">
    <w:name w:val="Del"/>
    <w:basedOn w:val="Poglavje0"/>
    <w:link w:val="DelZnak"/>
    <w:semiHidden/>
    <w:qFormat/>
    <w:rsid w:val="00F52CEB"/>
    <w:pPr>
      <w:spacing w:before="480" w:after="0" w:line="240" w:lineRule="auto"/>
      <w:textAlignment w:val="auto"/>
      <w:outlineLvl w:val="9"/>
    </w:pPr>
    <w:rPr>
      <w:b w:val="0"/>
      <w:sz w:val="20"/>
      <w:szCs w:val="20"/>
    </w:rPr>
  </w:style>
  <w:style w:type="character" w:customStyle="1" w:styleId="NaslovnadlenomZnak">
    <w:name w:val="Naslov nad členom Znak"/>
    <w:link w:val="Naslovnadlenom"/>
    <w:semiHidden/>
    <w:locked/>
    <w:rsid w:val="00F52CEB"/>
    <w:rPr>
      <w:rFonts w:ascii="Arial" w:hAnsi="Arial" w:cs="Arial"/>
      <w:b/>
    </w:rPr>
  </w:style>
  <w:style w:type="paragraph" w:customStyle="1" w:styleId="Naslovnadlenom">
    <w:name w:val="Naslov nad členom"/>
    <w:basedOn w:val="Navaden"/>
    <w:link w:val="NaslovnadlenomZnak"/>
    <w:semiHidden/>
    <w:qFormat/>
    <w:rsid w:val="00F52CEB"/>
    <w:pPr>
      <w:overflowPunct w:val="0"/>
      <w:autoSpaceDE w:val="0"/>
      <w:autoSpaceDN w:val="0"/>
      <w:adjustRightInd w:val="0"/>
      <w:spacing w:before="480" w:line="240" w:lineRule="auto"/>
      <w:jc w:val="center"/>
    </w:pPr>
    <w:rPr>
      <w:rFonts w:cs="Arial"/>
      <w:b/>
      <w:szCs w:val="20"/>
      <w:lang w:eastAsia="sl-SI"/>
    </w:rPr>
  </w:style>
  <w:style w:type="character" w:customStyle="1" w:styleId="NazivpodpisnikaZnak">
    <w:name w:val="Naziv podpisnika Znak"/>
    <w:link w:val="Nazivpodpisnika"/>
    <w:semiHidden/>
    <w:locked/>
    <w:rsid w:val="00F52CEB"/>
    <w:rPr>
      <w:rFonts w:ascii="Arial" w:hAnsi="Arial" w:cs="Arial"/>
    </w:rPr>
  </w:style>
  <w:style w:type="paragraph" w:customStyle="1" w:styleId="Nazivpodpisnika">
    <w:name w:val="Naziv podpisnika"/>
    <w:basedOn w:val="Navaden"/>
    <w:link w:val="NazivpodpisnikaZnak"/>
    <w:semiHidden/>
    <w:rsid w:val="00F52CEB"/>
    <w:pPr>
      <w:overflowPunct w:val="0"/>
      <w:autoSpaceDE w:val="0"/>
      <w:autoSpaceDN w:val="0"/>
      <w:adjustRightInd w:val="0"/>
      <w:spacing w:line="240" w:lineRule="auto"/>
      <w:ind w:left="5670"/>
      <w:jc w:val="center"/>
    </w:pPr>
    <w:rPr>
      <w:rFonts w:cs="Arial"/>
      <w:szCs w:val="20"/>
      <w:lang w:eastAsia="sl-SI"/>
    </w:rPr>
  </w:style>
  <w:style w:type="character" w:customStyle="1" w:styleId="rkovnatokazatevilnotokoZnak">
    <w:name w:val="Črkovna točka za številčno točko Znak"/>
    <w:link w:val="rkovnatokazatevilnotoko"/>
    <w:semiHidden/>
    <w:locked/>
    <w:rsid w:val="00F52CEB"/>
    <w:rPr>
      <w:rFonts w:ascii="Arial" w:hAnsi="Arial" w:cs="Arial"/>
    </w:rPr>
  </w:style>
  <w:style w:type="paragraph" w:customStyle="1" w:styleId="rkovnatokazatevilnotoko">
    <w:name w:val="Črkovna točka za številčno točko"/>
    <w:link w:val="rkovnatokazatevilnotokoZnak"/>
    <w:semiHidden/>
    <w:qFormat/>
    <w:rsid w:val="00F52CEB"/>
    <w:pPr>
      <w:numPr>
        <w:numId w:val="34"/>
      </w:numPr>
      <w:jc w:val="both"/>
    </w:pPr>
    <w:rPr>
      <w:rFonts w:ascii="Arial" w:hAnsi="Arial" w:cs="Arial"/>
    </w:rPr>
  </w:style>
  <w:style w:type="character" w:customStyle="1" w:styleId="DatumsprejetjaZnak">
    <w:name w:val="Datum sprejetja Znak"/>
    <w:link w:val="Datumsprejetja"/>
    <w:semiHidden/>
    <w:locked/>
    <w:rsid w:val="00F52CEB"/>
    <w:rPr>
      <w:rFonts w:ascii="Arial" w:hAnsi="Arial" w:cs="Arial"/>
      <w:color w:val="000000"/>
    </w:rPr>
  </w:style>
  <w:style w:type="paragraph" w:customStyle="1" w:styleId="Datumsprejetja">
    <w:name w:val="Datum sprejetja"/>
    <w:basedOn w:val="Navaden"/>
    <w:link w:val="DatumsprejetjaZnak"/>
    <w:semiHidden/>
    <w:qFormat/>
    <w:rsid w:val="00F52CEB"/>
    <w:pPr>
      <w:overflowPunct w:val="0"/>
      <w:autoSpaceDE w:val="0"/>
      <w:autoSpaceDN w:val="0"/>
      <w:adjustRightInd w:val="0"/>
      <w:snapToGrid w:val="0"/>
      <w:spacing w:line="240" w:lineRule="auto"/>
      <w:jc w:val="both"/>
    </w:pPr>
    <w:rPr>
      <w:rFonts w:cs="Arial"/>
      <w:color w:val="000000"/>
      <w:szCs w:val="20"/>
      <w:lang w:eastAsia="sl-SI"/>
    </w:rPr>
  </w:style>
  <w:style w:type="character" w:customStyle="1" w:styleId="PodpisnikZnak">
    <w:name w:val="Podpisnik Znak"/>
    <w:basedOn w:val="NazivpodpisnikaZnak"/>
    <w:link w:val="Podpisnik"/>
    <w:semiHidden/>
    <w:locked/>
    <w:rsid w:val="00F52CEB"/>
    <w:rPr>
      <w:rFonts w:ascii="Arial" w:hAnsi="Arial" w:cs="Arial"/>
    </w:rPr>
  </w:style>
  <w:style w:type="paragraph" w:customStyle="1" w:styleId="Podpisnik">
    <w:name w:val="Podpisnik"/>
    <w:basedOn w:val="Navaden"/>
    <w:link w:val="PodpisnikZnak"/>
    <w:semiHidden/>
    <w:qFormat/>
    <w:rsid w:val="00F52CEB"/>
    <w:pPr>
      <w:overflowPunct w:val="0"/>
      <w:autoSpaceDE w:val="0"/>
      <w:autoSpaceDN w:val="0"/>
      <w:adjustRightInd w:val="0"/>
      <w:spacing w:line="240" w:lineRule="auto"/>
      <w:ind w:left="5670"/>
      <w:jc w:val="center"/>
    </w:pPr>
    <w:rPr>
      <w:rFonts w:cs="Arial"/>
      <w:szCs w:val="20"/>
      <w:lang w:eastAsia="sl-SI"/>
    </w:rPr>
  </w:style>
  <w:style w:type="character" w:customStyle="1" w:styleId="EVAZnak">
    <w:name w:val="EVA Znak"/>
    <w:link w:val="EVA"/>
    <w:semiHidden/>
    <w:locked/>
    <w:rsid w:val="00F52CEB"/>
    <w:rPr>
      <w:rFonts w:ascii="Arial" w:hAnsi="Arial" w:cs="Arial"/>
    </w:rPr>
  </w:style>
  <w:style w:type="paragraph" w:customStyle="1" w:styleId="EVA">
    <w:name w:val="EVA"/>
    <w:basedOn w:val="Navaden"/>
    <w:link w:val="EVAZnak"/>
    <w:semiHidden/>
    <w:qFormat/>
    <w:rsid w:val="00F52CEB"/>
    <w:pPr>
      <w:overflowPunct w:val="0"/>
      <w:autoSpaceDE w:val="0"/>
      <w:autoSpaceDN w:val="0"/>
      <w:adjustRightInd w:val="0"/>
      <w:spacing w:line="240" w:lineRule="auto"/>
      <w:jc w:val="both"/>
    </w:pPr>
    <w:rPr>
      <w:rFonts w:cs="Arial"/>
      <w:szCs w:val="20"/>
      <w:lang w:eastAsia="sl-SI"/>
    </w:rPr>
  </w:style>
  <w:style w:type="character" w:customStyle="1" w:styleId="ImeorganaZnak">
    <w:name w:val="Ime organa Znak"/>
    <w:link w:val="Imeorgana"/>
    <w:semiHidden/>
    <w:locked/>
    <w:rsid w:val="00F52CEB"/>
    <w:rPr>
      <w:rFonts w:ascii="Arial" w:hAnsi="Arial" w:cs="Arial"/>
    </w:rPr>
  </w:style>
  <w:style w:type="paragraph" w:customStyle="1" w:styleId="Imeorgana">
    <w:name w:val="Ime organa"/>
    <w:basedOn w:val="Navaden"/>
    <w:link w:val="ImeorganaZnak"/>
    <w:semiHidden/>
    <w:qFormat/>
    <w:rsid w:val="00F52CEB"/>
    <w:pPr>
      <w:overflowPunct w:val="0"/>
      <w:autoSpaceDE w:val="0"/>
      <w:autoSpaceDN w:val="0"/>
      <w:adjustRightInd w:val="0"/>
      <w:spacing w:before="480" w:line="240" w:lineRule="auto"/>
      <w:ind w:left="5670"/>
      <w:jc w:val="center"/>
    </w:pPr>
    <w:rPr>
      <w:rFonts w:cs="Arial"/>
      <w:szCs w:val="20"/>
      <w:lang w:eastAsia="sl-SI"/>
    </w:rPr>
  </w:style>
  <w:style w:type="paragraph" w:customStyle="1" w:styleId="esegmenth4">
    <w:name w:val="esegment_h4"/>
    <w:basedOn w:val="Navaden"/>
    <w:uiPriority w:val="99"/>
    <w:semiHidden/>
    <w:rsid w:val="00F52CEB"/>
    <w:pPr>
      <w:spacing w:after="168" w:line="240" w:lineRule="auto"/>
      <w:jc w:val="center"/>
    </w:pPr>
    <w:rPr>
      <w:rFonts w:ascii="Times New Roman" w:hAnsi="Times New Roman"/>
      <w:b/>
      <w:bCs/>
      <w:color w:val="333333"/>
      <w:sz w:val="14"/>
      <w:szCs w:val="14"/>
      <w:lang w:eastAsia="sl-SI"/>
    </w:rPr>
  </w:style>
  <w:style w:type="character" w:customStyle="1" w:styleId="OpozoriloZnak">
    <w:name w:val="Opozorilo Znak"/>
    <w:link w:val="Opozorilo"/>
    <w:semiHidden/>
    <w:locked/>
    <w:rsid w:val="00F52CEB"/>
    <w:rPr>
      <w:rFonts w:ascii="Arial" w:hAnsi="Arial" w:cs="Arial"/>
      <w:color w:val="808080"/>
    </w:rPr>
  </w:style>
  <w:style w:type="paragraph" w:customStyle="1" w:styleId="Opozorilo">
    <w:name w:val="Opozorilo"/>
    <w:basedOn w:val="Navaden"/>
    <w:link w:val="OpozoriloZnak"/>
    <w:semiHidden/>
    <w:qFormat/>
    <w:rsid w:val="00F52CEB"/>
    <w:pPr>
      <w:overflowPunct w:val="0"/>
      <w:autoSpaceDE w:val="0"/>
      <w:autoSpaceDN w:val="0"/>
      <w:adjustRightInd w:val="0"/>
      <w:spacing w:before="480" w:line="240" w:lineRule="auto"/>
      <w:jc w:val="both"/>
    </w:pPr>
    <w:rPr>
      <w:rFonts w:cs="Arial"/>
      <w:color w:val="808080"/>
      <w:szCs w:val="20"/>
      <w:lang w:eastAsia="sl-SI"/>
    </w:rPr>
  </w:style>
  <w:style w:type="character" w:customStyle="1" w:styleId="lennoveleZnak">
    <w:name w:val="Člen_novele Znak"/>
    <w:basedOn w:val="lenZnak"/>
    <w:link w:val="lennovele"/>
    <w:locked/>
    <w:rsid w:val="00F52CEB"/>
    <w:rPr>
      <w:rFonts w:ascii="Arial" w:hAnsi="Arial" w:cs="Arial"/>
      <w:b w:val="0"/>
      <w:sz w:val="22"/>
      <w:szCs w:val="22"/>
    </w:rPr>
  </w:style>
  <w:style w:type="paragraph" w:customStyle="1" w:styleId="lennovele">
    <w:name w:val="Člen_novele"/>
    <w:basedOn w:val="len"/>
    <w:link w:val="lennoveleZnak"/>
    <w:qFormat/>
    <w:rsid w:val="00F52CEB"/>
    <w:pPr>
      <w:textAlignment w:val="auto"/>
    </w:pPr>
    <w:rPr>
      <w:rFonts w:cs="Arial"/>
      <w:b w:val="0"/>
      <w:sz w:val="20"/>
      <w:szCs w:val="20"/>
      <w:lang w:eastAsia="sl-SI"/>
    </w:rPr>
  </w:style>
  <w:style w:type="character" w:customStyle="1" w:styleId="PrilogaZnak">
    <w:name w:val="Priloga Znak"/>
    <w:link w:val="Priloga"/>
    <w:semiHidden/>
    <w:locked/>
    <w:rsid w:val="00F52CEB"/>
    <w:rPr>
      <w:rFonts w:ascii="Arial" w:hAnsi="Arial" w:cs="Arial"/>
      <w:szCs w:val="17"/>
    </w:rPr>
  </w:style>
  <w:style w:type="paragraph" w:customStyle="1" w:styleId="Priloga">
    <w:name w:val="Priloga"/>
    <w:basedOn w:val="Navaden"/>
    <w:link w:val="PrilogaZnak"/>
    <w:semiHidden/>
    <w:qFormat/>
    <w:rsid w:val="00F52CEB"/>
    <w:pPr>
      <w:overflowPunct w:val="0"/>
      <w:autoSpaceDE w:val="0"/>
      <w:autoSpaceDN w:val="0"/>
      <w:adjustRightInd w:val="0"/>
      <w:spacing w:before="380" w:after="60" w:line="200" w:lineRule="exact"/>
      <w:jc w:val="both"/>
    </w:pPr>
    <w:rPr>
      <w:rFonts w:cs="Arial"/>
      <w:szCs w:val="17"/>
      <w:lang w:eastAsia="sl-SI"/>
    </w:rPr>
  </w:style>
  <w:style w:type="character" w:customStyle="1" w:styleId="rtaZnak">
    <w:name w:val="Črta Znak"/>
    <w:link w:val="rta"/>
    <w:semiHidden/>
    <w:locked/>
    <w:rsid w:val="00F52CEB"/>
    <w:rPr>
      <w:rFonts w:ascii="Arial" w:hAnsi="Arial" w:cs="Arial"/>
    </w:rPr>
  </w:style>
  <w:style w:type="paragraph" w:customStyle="1" w:styleId="rta">
    <w:name w:val="Črta"/>
    <w:basedOn w:val="Navaden"/>
    <w:link w:val="rtaZnak"/>
    <w:semiHidden/>
    <w:qFormat/>
    <w:rsid w:val="00F52CEB"/>
    <w:pPr>
      <w:overflowPunct w:val="0"/>
      <w:autoSpaceDE w:val="0"/>
      <w:autoSpaceDN w:val="0"/>
      <w:adjustRightInd w:val="0"/>
      <w:spacing w:before="360" w:line="240" w:lineRule="auto"/>
      <w:jc w:val="center"/>
    </w:pPr>
    <w:rPr>
      <w:rFonts w:cs="Arial"/>
      <w:szCs w:val="20"/>
      <w:lang w:eastAsia="sl-SI"/>
    </w:rPr>
  </w:style>
  <w:style w:type="paragraph" w:customStyle="1" w:styleId="NPB">
    <w:name w:val="NPB"/>
    <w:basedOn w:val="Vrstapredpisa"/>
    <w:uiPriority w:val="99"/>
    <w:semiHidden/>
    <w:qFormat/>
    <w:rsid w:val="00F52CEB"/>
    <w:pPr>
      <w:textAlignment w:val="auto"/>
    </w:pPr>
    <w:rPr>
      <w:spacing w:val="0"/>
      <w:lang w:eastAsia="en-US"/>
    </w:rPr>
  </w:style>
  <w:style w:type="character" w:customStyle="1" w:styleId="ZamaknjenadolobaprvinivoZnak">
    <w:name w:val="Zamaknjena določba_prvi nivo Znak"/>
    <w:basedOn w:val="OdstavekZnak"/>
    <w:link w:val="Zamaknjenadolobaprvinivo"/>
    <w:semiHidden/>
    <w:locked/>
    <w:rsid w:val="00F52CEB"/>
    <w:rPr>
      <w:rFonts w:ascii="Arial" w:hAnsi="Arial" w:cs="Arial"/>
      <w:sz w:val="22"/>
      <w:szCs w:val="22"/>
    </w:rPr>
  </w:style>
  <w:style w:type="paragraph" w:customStyle="1" w:styleId="Zamaknjenadolobaprvinivo">
    <w:name w:val="Zamaknjena določba_prvi nivo"/>
    <w:basedOn w:val="Alineazaodstavkom"/>
    <w:link w:val="ZamaknjenadolobaprvinivoZnak"/>
    <w:semiHidden/>
    <w:qFormat/>
    <w:rsid w:val="00F52CEB"/>
    <w:pPr>
      <w:numPr>
        <w:numId w:val="0"/>
      </w:numPr>
    </w:pPr>
    <w:rPr>
      <w:sz w:val="20"/>
      <w:szCs w:val="20"/>
    </w:rPr>
  </w:style>
  <w:style w:type="character" w:customStyle="1" w:styleId="ZamaknjenadolobadruginivoZnak">
    <w:name w:val="Zamaknjena določba_drugi nivo Znak"/>
    <w:link w:val="Zamaknjenadolobadruginivo"/>
    <w:semiHidden/>
    <w:locked/>
    <w:rsid w:val="00F52CEB"/>
    <w:rPr>
      <w:rFonts w:ascii="Arial" w:hAnsi="Arial" w:cs="Arial"/>
    </w:rPr>
  </w:style>
  <w:style w:type="paragraph" w:customStyle="1" w:styleId="Zamaknjenadolobadruginivo">
    <w:name w:val="Zamaknjena določba_drugi nivo"/>
    <w:basedOn w:val="rkovnatokazatevilnotoko"/>
    <w:link w:val="ZamaknjenadolobadruginivoZnak"/>
    <w:semiHidden/>
    <w:qFormat/>
    <w:rsid w:val="00F52CEB"/>
    <w:pPr>
      <w:numPr>
        <w:numId w:val="0"/>
      </w:numPr>
      <w:ind w:left="425"/>
    </w:pPr>
  </w:style>
  <w:style w:type="character" w:customStyle="1" w:styleId="AlineazapodtokoZnak">
    <w:name w:val="Alinea za podtočko Znak"/>
    <w:link w:val="Alineazapodtoko"/>
    <w:semiHidden/>
    <w:locked/>
    <w:rsid w:val="00F52CEB"/>
    <w:rPr>
      <w:rFonts w:ascii="Arial" w:hAnsi="Arial" w:cs="Arial"/>
    </w:rPr>
  </w:style>
  <w:style w:type="paragraph" w:customStyle="1" w:styleId="Alineazapodtoko">
    <w:name w:val="Alinea za podtočko"/>
    <w:basedOn w:val="Alineazaodstavkom"/>
    <w:link w:val="AlineazapodtokoZnak"/>
    <w:semiHidden/>
    <w:qFormat/>
    <w:rsid w:val="00F52CEB"/>
    <w:pPr>
      <w:tabs>
        <w:tab w:val="clear" w:pos="425"/>
        <w:tab w:val="left" w:pos="794"/>
      </w:tabs>
      <w:ind w:left="794" w:hanging="227"/>
    </w:pPr>
    <w:rPr>
      <w:sz w:val="20"/>
      <w:szCs w:val="20"/>
    </w:rPr>
  </w:style>
  <w:style w:type="character" w:customStyle="1" w:styleId="ZamakanjenadolobatretjinivoZnak">
    <w:name w:val="Zamakanjena določba_tretji nivo Znak"/>
    <w:basedOn w:val="ZamaknjenadolobadruginivoZnak"/>
    <w:link w:val="Zamakanjenadolobatretjinivo"/>
    <w:semiHidden/>
    <w:locked/>
    <w:rsid w:val="00F52CEB"/>
    <w:rPr>
      <w:rFonts w:ascii="Arial" w:hAnsi="Arial" w:cs="Arial"/>
    </w:rPr>
  </w:style>
  <w:style w:type="paragraph" w:customStyle="1" w:styleId="Zamakanjenadolobatretjinivo">
    <w:name w:val="Zamakanjena določba_tretji nivo"/>
    <w:basedOn w:val="Zamaknjenadolobadruginivo"/>
    <w:link w:val="ZamakanjenadolobatretjinivoZnak"/>
    <w:semiHidden/>
    <w:qFormat/>
    <w:rsid w:val="00F52CEB"/>
    <w:pPr>
      <w:ind w:left="993"/>
    </w:pPr>
  </w:style>
  <w:style w:type="character" w:customStyle="1" w:styleId="rkovnatokazaodstavkomaZnak">
    <w:name w:val="Črkovna točka za odstavkom (a) Znak"/>
    <w:link w:val="rkovnatokazaodstavkoma"/>
    <w:semiHidden/>
    <w:locked/>
    <w:rsid w:val="00F52CEB"/>
    <w:rPr>
      <w:rFonts w:ascii="Arial" w:hAnsi="Arial" w:cs="Arial"/>
      <w:szCs w:val="16"/>
    </w:rPr>
  </w:style>
  <w:style w:type="paragraph" w:customStyle="1" w:styleId="rkovnatokazaodstavkoma">
    <w:name w:val="Črkovna točka za odstavkom (a)"/>
    <w:link w:val="rkovnatokazaodstavkomaZnak"/>
    <w:semiHidden/>
    <w:qFormat/>
    <w:rsid w:val="00F52CEB"/>
    <w:pPr>
      <w:numPr>
        <w:numId w:val="35"/>
      </w:numPr>
      <w:jc w:val="both"/>
    </w:pPr>
    <w:rPr>
      <w:rFonts w:ascii="Arial" w:hAnsi="Arial" w:cs="Arial"/>
      <w:szCs w:val="16"/>
    </w:rPr>
  </w:style>
  <w:style w:type="paragraph" w:customStyle="1" w:styleId="rkovnatokazaodstavkomA1">
    <w:name w:val="Črkovna točka za odstavkom A."/>
    <w:basedOn w:val="Navaden"/>
    <w:uiPriority w:val="99"/>
    <w:semiHidden/>
    <w:rsid w:val="00F52CEB"/>
    <w:pPr>
      <w:numPr>
        <w:numId w:val="36"/>
      </w:numPr>
      <w:overflowPunct w:val="0"/>
      <w:autoSpaceDE w:val="0"/>
      <w:autoSpaceDN w:val="0"/>
      <w:adjustRightInd w:val="0"/>
      <w:spacing w:line="240" w:lineRule="auto"/>
      <w:jc w:val="both"/>
    </w:pPr>
    <w:rPr>
      <w:sz w:val="22"/>
      <w:szCs w:val="16"/>
      <w:lang w:eastAsia="sl-SI"/>
    </w:rPr>
  </w:style>
  <w:style w:type="paragraph" w:customStyle="1" w:styleId="lennaslovnovele">
    <w:name w:val="Člen naslov novele"/>
    <w:basedOn w:val="lennaslov"/>
    <w:uiPriority w:val="99"/>
    <w:semiHidden/>
    <w:rsid w:val="00F52CEB"/>
    <w:pPr>
      <w:textAlignment w:val="auto"/>
    </w:pPr>
    <w:rPr>
      <w:rFonts w:cs="Arial"/>
      <w:b w:val="0"/>
    </w:rPr>
  </w:style>
  <w:style w:type="paragraph" w:customStyle="1" w:styleId="rkovnatokazaodstavkoma3">
    <w:name w:val="Črkovna točka za odstavkom a."/>
    <w:uiPriority w:val="99"/>
    <w:semiHidden/>
    <w:rsid w:val="00F52CE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uiPriority w:val="99"/>
    <w:semiHidden/>
    <w:rsid w:val="00F52CEB"/>
    <w:pPr>
      <w:numPr>
        <w:numId w:val="37"/>
      </w:numPr>
      <w:tabs>
        <w:tab w:val="left" w:pos="782"/>
      </w:tabs>
      <w:ind w:left="782" w:hanging="357"/>
      <w:jc w:val="both"/>
    </w:pPr>
    <w:rPr>
      <w:rFonts w:ascii="Arial" w:hAnsi="Arial"/>
      <w:sz w:val="22"/>
      <w:szCs w:val="16"/>
    </w:rPr>
  </w:style>
  <w:style w:type="paragraph" w:customStyle="1" w:styleId="Rimskatevilnatoka">
    <w:name w:val="Rimska številčna točka"/>
    <w:basedOn w:val="Navaden"/>
    <w:uiPriority w:val="99"/>
    <w:semiHidden/>
    <w:rsid w:val="00F52CEB"/>
    <w:pPr>
      <w:numPr>
        <w:numId w:val="38"/>
      </w:numPr>
      <w:overflowPunct w:val="0"/>
      <w:autoSpaceDE w:val="0"/>
      <w:autoSpaceDN w:val="0"/>
      <w:adjustRightInd w:val="0"/>
      <w:spacing w:line="240" w:lineRule="auto"/>
      <w:jc w:val="both"/>
    </w:pPr>
    <w:rPr>
      <w:sz w:val="22"/>
      <w:szCs w:val="16"/>
      <w:lang w:eastAsia="sl-SI"/>
    </w:rPr>
  </w:style>
  <w:style w:type="character" w:customStyle="1" w:styleId="rkovnatokazaodstavkomiZnak">
    <w:name w:val="Črkovna točka za odstavkom (i) Znak"/>
    <w:basedOn w:val="AlineazaodstavkomZnak"/>
    <w:link w:val="rkovnatokazaodstavkomi"/>
    <w:semiHidden/>
    <w:locked/>
    <w:rsid w:val="00F52CEB"/>
    <w:rPr>
      <w:rFonts w:ascii="Arial" w:hAnsi="Arial" w:cs="Arial"/>
      <w:sz w:val="22"/>
      <w:szCs w:val="22"/>
    </w:rPr>
  </w:style>
  <w:style w:type="paragraph" w:customStyle="1" w:styleId="rkovnatokazaodstavkomi">
    <w:name w:val="Črkovna točka za odstavkom (i)"/>
    <w:basedOn w:val="Alineazaodstavkom"/>
    <w:link w:val="rkovnatokazaodstavkomiZnak"/>
    <w:semiHidden/>
    <w:rsid w:val="00F52CEB"/>
    <w:pPr>
      <w:numPr>
        <w:numId w:val="39"/>
      </w:numPr>
    </w:pPr>
    <w:rPr>
      <w:sz w:val="20"/>
      <w:szCs w:val="20"/>
    </w:rPr>
  </w:style>
  <w:style w:type="paragraph" w:customStyle="1" w:styleId="rkovnatokazatevilnotokoi">
    <w:name w:val="Črkovna točka za številčno točko (i)"/>
    <w:uiPriority w:val="99"/>
    <w:semiHidden/>
    <w:rsid w:val="00F52CEB"/>
    <w:pPr>
      <w:numPr>
        <w:numId w:val="40"/>
      </w:numPr>
    </w:pPr>
    <w:rPr>
      <w:rFonts w:ascii="Arial" w:hAnsi="Arial" w:cs="Arial"/>
      <w:sz w:val="22"/>
      <w:szCs w:val="22"/>
    </w:rPr>
  </w:style>
  <w:style w:type="character" w:customStyle="1" w:styleId="rkovnatokazaodstavkomAZnak0">
    <w:name w:val="Črkovna točka za odstavkom (A) Znak"/>
    <w:link w:val="rkovnatokazaodstavkomA0"/>
    <w:semiHidden/>
    <w:locked/>
    <w:rsid w:val="00F52CEB"/>
    <w:rPr>
      <w:rFonts w:ascii="Arial" w:hAnsi="Arial" w:cs="Arial"/>
      <w:szCs w:val="16"/>
    </w:rPr>
  </w:style>
  <w:style w:type="paragraph" w:customStyle="1" w:styleId="rkovnatokazaodstavkomA0">
    <w:name w:val="Črkovna točka za odstavkom (A)"/>
    <w:link w:val="rkovnatokazaodstavkomAZnak0"/>
    <w:semiHidden/>
    <w:qFormat/>
    <w:rsid w:val="00F52CEB"/>
    <w:pPr>
      <w:numPr>
        <w:numId w:val="41"/>
      </w:numPr>
      <w:jc w:val="both"/>
    </w:pPr>
    <w:rPr>
      <w:rFonts w:ascii="Arial" w:hAnsi="Arial" w:cs="Arial"/>
      <w:szCs w:val="16"/>
    </w:rPr>
  </w:style>
  <w:style w:type="character" w:customStyle="1" w:styleId="rkovnatokazaodstavkomAZnak1">
    <w:name w:val="Črkovna točka za odstavkom A) Znak"/>
    <w:link w:val="rkovnatokazaodstavkomA2"/>
    <w:semiHidden/>
    <w:locked/>
    <w:rsid w:val="00F52CEB"/>
    <w:rPr>
      <w:rFonts w:ascii="Arial" w:hAnsi="Arial" w:cs="Arial"/>
      <w:szCs w:val="16"/>
    </w:rPr>
  </w:style>
  <w:style w:type="paragraph" w:customStyle="1" w:styleId="rkovnatokazaodstavkomA2">
    <w:name w:val="Črkovna točka za odstavkom A)"/>
    <w:link w:val="rkovnatokazaodstavkomAZnak1"/>
    <w:semiHidden/>
    <w:qFormat/>
    <w:rsid w:val="00F52CEB"/>
    <w:pPr>
      <w:numPr>
        <w:numId w:val="42"/>
      </w:numPr>
      <w:jc w:val="both"/>
    </w:pPr>
    <w:rPr>
      <w:rFonts w:ascii="Arial" w:hAnsi="Arial" w:cs="Arial"/>
      <w:szCs w:val="16"/>
    </w:rPr>
  </w:style>
  <w:style w:type="character" w:customStyle="1" w:styleId="rkovnatokazatevilnotokoAZnak">
    <w:name w:val="Črkovna točka za številčno točko (A) Znak"/>
    <w:link w:val="rkovnatokazatevilnotokoA1"/>
    <w:semiHidden/>
    <w:locked/>
    <w:rsid w:val="00F52CEB"/>
    <w:rPr>
      <w:rFonts w:ascii="Arial" w:hAnsi="Arial" w:cs="Arial"/>
      <w:szCs w:val="16"/>
    </w:rPr>
  </w:style>
  <w:style w:type="paragraph" w:customStyle="1" w:styleId="rkovnatokazatevilnotokoA1">
    <w:name w:val="Črkovna točka za številčno točko (A)"/>
    <w:link w:val="rkovnatokazatevilnotokoAZnak"/>
    <w:semiHidden/>
    <w:qFormat/>
    <w:rsid w:val="00F52CEB"/>
    <w:pPr>
      <w:numPr>
        <w:numId w:val="43"/>
      </w:numPr>
      <w:jc w:val="both"/>
    </w:pPr>
    <w:rPr>
      <w:rFonts w:ascii="Arial" w:hAnsi="Arial" w:cs="Arial"/>
      <w:szCs w:val="16"/>
    </w:rPr>
  </w:style>
  <w:style w:type="character" w:customStyle="1" w:styleId="rkovnatokazatevilnotokoAZnak0">
    <w:name w:val="Črkovna točka za številčno točko A) Znak"/>
    <w:link w:val="rkovnatokazatevilnotokoA0"/>
    <w:semiHidden/>
    <w:locked/>
    <w:rsid w:val="00F52CEB"/>
    <w:rPr>
      <w:rFonts w:ascii="Arial" w:hAnsi="Arial" w:cs="Arial"/>
      <w:szCs w:val="16"/>
    </w:rPr>
  </w:style>
  <w:style w:type="paragraph" w:customStyle="1" w:styleId="rkovnatokazatevilnotokoA0">
    <w:name w:val="Črkovna točka za številčno točko A)"/>
    <w:link w:val="rkovnatokazatevilnotokoAZnak0"/>
    <w:semiHidden/>
    <w:qFormat/>
    <w:rsid w:val="00F52CEB"/>
    <w:pPr>
      <w:numPr>
        <w:numId w:val="44"/>
      </w:numPr>
      <w:jc w:val="both"/>
    </w:pPr>
    <w:rPr>
      <w:rFonts w:ascii="Arial" w:hAnsi="Arial" w:cs="Arial"/>
      <w:szCs w:val="16"/>
    </w:rPr>
  </w:style>
  <w:style w:type="paragraph" w:customStyle="1" w:styleId="Slikanasredino">
    <w:name w:val="Slika_na sredino"/>
    <w:basedOn w:val="Navaden"/>
    <w:uiPriority w:val="99"/>
    <w:semiHidden/>
    <w:qFormat/>
    <w:rsid w:val="00F52CEB"/>
    <w:pPr>
      <w:overflowPunct w:val="0"/>
      <w:autoSpaceDE w:val="0"/>
      <w:autoSpaceDN w:val="0"/>
      <w:adjustRightInd w:val="0"/>
      <w:spacing w:before="400" w:after="400" w:line="240" w:lineRule="auto"/>
      <w:jc w:val="center"/>
    </w:pPr>
    <w:rPr>
      <w:sz w:val="22"/>
      <w:szCs w:val="16"/>
      <w:lang w:eastAsia="sl-SI"/>
    </w:rPr>
  </w:style>
  <w:style w:type="paragraph" w:customStyle="1" w:styleId="tevilkanakoncupredpisa">
    <w:name w:val="Številka na koncu predpisa"/>
    <w:basedOn w:val="Datumsprejetja"/>
    <w:link w:val="tevilkanakoncupredpisaZnak"/>
    <w:qFormat/>
    <w:rsid w:val="00F52CEB"/>
    <w:pPr>
      <w:spacing w:before="480"/>
    </w:pPr>
  </w:style>
  <w:style w:type="character" w:customStyle="1" w:styleId="tevilkanakoncupredpisaZnak">
    <w:name w:val="Številka na koncu predpisa Znak"/>
    <w:link w:val="tevilkanakoncupredpisa"/>
    <w:locked/>
    <w:rsid w:val="00F52CEB"/>
    <w:rPr>
      <w:rFonts w:ascii="Arial" w:hAnsi="Arial" w:cs="Arial"/>
      <w:color w:val="000000"/>
    </w:rPr>
  </w:style>
  <w:style w:type="character" w:customStyle="1" w:styleId="Neuvrsceno">
    <w:name w:val="Neuvrsceno"/>
    <w:uiPriority w:val="1"/>
    <w:rsid w:val="00F52CEB"/>
    <w:rPr>
      <w:bdr w:val="none" w:sz="0" w:space="0" w:color="auto" w:frame="1"/>
      <w:shd w:val="clear" w:color="auto" w:fill="FFFF00"/>
    </w:rPr>
  </w:style>
  <w:style w:type="character" w:customStyle="1" w:styleId="AlinejazarkovnotokoZnak">
    <w:name w:val="Alineja za črkovno točko Znak"/>
    <w:basedOn w:val="Privzetapisavaodstavka"/>
    <w:link w:val="Alinejazarkovnotoko"/>
    <w:rsid w:val="00F52CEB"/>
  </w:style>
  <w:style w:type="paragraph" w:customStyle="1" w:styleId="Alinejazarkovnotoko">
    <w:name w:val="Alineja za črkovno točko"/>
    <w:basedOn w:val="Alineazatevilnotoko0"/>
    <w:link w:val="AlinejazarkovnotokoZnak"/>
    <w:qFormat/>
    <w:rsid w:val="00F52CEB"/>
    <w:pPr>
      <w:tabs>
        <w:tab w:val="clear" w:pos="-134"/>
        <w:tab w:val="clear" w:pos="1560"/>
      </w:tabs>
    </w:pPr>
    <w:rPr>
      <w:rFonts w:ascii="Times New Roman" w:hAnsi="Times New Roman" w:cs="Times New Roman"/>
      <w:sz w:val="20"/>
      <w:szCs w:val="20"/>
    </w:rPr>
  </w:style>
  <w:style w:type="paragraph" w:customStyle="1" w:styleId="rkovnatokazatevilnotokoa2">
    <w:name w:val="Črkovna točka za številčno točko (a)"/>
    <w:basedOn w:val="rkovnatokazatevilnotoko"/>
    <w:rsid w:val="00F52CEB"/>
    <w:pPr>
      <w:numPr>
        <w:numId w:val="45"/>
      </w:numPr>
      <w:tabs>
        <w:tab w:val="clear" w:pos="782"/>
        <w:tab w:val="num" w:pos="360"/>
      </w:tabs>
      <w:ind w:left="1068" w:hanging="356"/>
    </w:pPr>
  </w:style>
  <w:style w:type="numbering" w:customStyle="1" w:styleId="Alinejazaodstavkom">
    <w:name w:val="Alineja za odstavkom"/>
    <w:uiPriority w:val="99"/>
    <w:rsid w:val="00F52CEB"/>
    <w:pPr>
      <w:numPr>
        <w:numId w:val="46"/>
      </w:numPr>
    </w:pPr>
  </w:style>
  <w:style w:type="character" w:customStyle="1" w:styleId="Nerazreenaomemba4">
    <w:name w:val="Nerazrešena omemba4"/>
    <w:basedOn w:val="Privzetapisavaodstavka"/>
    <w:uiPriority w:val="99"/>
    <w:semiHidden/>
    <w:unhideWhenUsed/>
    <w:rsid w:val="006449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970">
      <w:bodyDiv w:val="1"/>
      <w:marLeft w:val="0"/>
      <w:marRight w:val="0"/>
      <w:marTop w:val="0"/>
      <w:marBottom w:val="0"/>
      <w:divBdr>
        <w:top w:val="none" w:sz="0" w:space="0" w:color="auto"/>
        <w:left w:val="none" w:sz="0" w:space="0" w:color="auto"/>
        <w:bottom w:val="none" w:sz="0" w:space="0" w:color="auto"/>
        <w:right w:val="none" w:sz="0" w:space="0" w:color="auto"/>
      </w:divBdr>
      <w:divsChild>
        <w:div w:id="1732464025">
          <w:marLeft w:val="0"/>
          <w:marRight w:val="0"/>
          <w:marTop w:val="240"/>
          <w:marBottom w:val="0"/>
          <w:divBdr>
            <w:top w:val="none" w:sz="0" w:space="0" w:color="auto"/>
            <w:left w:val="none" w:sz="0" w:space="0" w:color="auto"/>
            <w:bottom w:val="none" w:sz="0" w:space="0" w:color="auto"/>
            <w:right w:val="none" w:sz="0" w:space="0" w:color="auto"/>
          </w:divBdr>
        </w:div>
        <w:div w:id="143009872">
          <w:marLeft w:val="425"/>
          <w:marRight w:val="0"/>
          <w:marTop w:val="0"/>
          <w:marBottom w:val="0"/>
          <w:divBdr>
            <w:top w:val="none" w:sz="0" w:space="0" w:color="auto"/>
            <w:left w:val="none" w:sz="0" w:space="0" w:color="auto"/>
            <w:bottom w:val="none" w:sz="0" w:space="0" w:color="auto"/>
            <w:right w:val="none" w:sz="0" w:space="0" w:color="auto"/>
          </w:divBdr>
        </w:div>
        <w:div w:id="272371285">
          <w:marLeft w:val="425"/>
          <w:marRight w:val="0"/>
          <w:marTop w:val="0"/>
          <w:marBottom w:val="0"/>
          <w:divBdr>
            <w:top w:val="none" w:sz="0" w:space="0" w:color="auto"/>
            <w:left w:val="none" w:sz="0" w:space="0" w:color="auto"/>
            <w:bottom w:val="none" w:sz="0" w:space="0" w:color="auto"/>
            <w:right w:val="none" w:sz="0" w:space="0" w:color="auto"/>
          </w:divBdr>
        </w:div>
        <w:div w:id="1343825341">
          <w:marLeft w:val="425"/>
          <w:marRight w:val="0"/>
          <w:marTop w:val="0"/>
          <w:marBottom w:val="0"/>
          <w:divBdr>
            <w:top w:val="none" w:sz="0" w:space="0" w:color="auto"/>
            <w:left w:val="none" w:sz="0" w:space="0" w:color="auto"/>
            <w:bottom w:val="none" w:sz="0" w:space="0" w:color="auto"/>
            <w:right w:val="none" w:sz="0" w:space="0" w:color="auto"/>
          </w:divBdr>
        </w:div>
        <w:div w:id="1738475966">
          <w:marLeft w:val="425"/>
          <w:marRight w:val="0"/>
          <w:marTop w:val="0"/>
          <w:marBottom w:val="0"/>
          <w:divBdr>
            <w:top w:val="none" w:sz="0" w:space="0" w:color="auto"/>
            <w:left w:val="none" w:sz="0" w:space="0" w:color="auto"/>
            <w:bottom w:val="none" w:sz="0" w:space="0" w:color="auto"/>
            <w:right w:val="none" w:sz="0" w:space="0" w:color="auto"/>
          </w:divBdr>
        </w:div>
        <w:div w:id="906305117">
          <w:marLeft w:val="425"/>
          <w:marRight w:val="0"/>
          <w:marTop w:val="0"/>
          <w:marBottom w:val="0"/>
          <w:divBdr>
            <w:top w:val="none" w:sz="0" w:space="0" w:color="auto"/>
            <w:left w:val="none" w:sz="0" w:space="0" w:color="auto"/>
            <w:bottom w:val="none" w:sz="0" w:space="0" w:color="auto"/>
            <w:right w:val="none" w:sz="0" w:space="0" w:color="auto"/>
          </w:divBdr>
        </w:div>
        <w:div w:id="1495877809">
          <w:marLeft w:val="425"/>
          <w:marRight w:val="0"/>
          <w:marTop w:val="0"/>
          <w:marBottom w:val="0"/>
          <w:divBdr>
            <w:top w:val="none" w:sz="0" w:space="0" w:color="auto"/>
            <w:left w:val="none" w:sz="0" w:space="0" w:color="auto"/>
            <w:bottom w:val="none" w:sz="0" w:space="0" w:color="auto"/>
            <w:right w:val="none" w:sz="0" w:space="0" w:color="auto"/>
          </w:divBdr>
        </w:div>
        <w:div w:id="1016542478">
          <w:marLeft w:val="425"/>
          <w:marRight w:val="0"/>
          <w:marTop w:val="0"/>
          <w:marBottom w:val="0"/>
          <w:divBdr>
            <w:top w:val="none" w:sz="0" w:space="0" w:color="auto"/>
            <w:left w:val="none" w:sz="0" w:space="0" w:color="auto"/>
            <w:bottom w:val="none" w:sz="0" w:space="0" w:color="auto"/>
            <w:right w:val="none" w:sz="0" w:space="0" w:color="auto"/>
          </w:divBdr>
        </w:div>
      </w:divsChild>
    </w:div>
    <w:div w:id="35662076">
      <w:bodyDiv w:val="1"/>
      <w:marLeft w:val="0"/>
      <w:marRight w:val="0"/>
      <w:marTop w:val="0"/>
      <w:marBottom w:val="0"/>
      <w:divBdr>
        <w:top w:val="none" w:sz="0" w:space="0" w:color="auto"/>
        <w:left w:val="none" w:sz="0" w:space="0" w:color="auto"/>
        <w:bottom w:val="none" w:sz="0" w:space="0" w:color="auto"/>
        <w:right w:val="none" w:sz="0" w:space="0" w:color="auto"/>
      </w:divBdr>
      <w:divsChild>
        <w:div w:id="1550805500">
          <w:marLeft w:val="0"/>
          <w:marRight w:val="0"/>
          <w:marTop w:val="0"/>
          <w:marBottom w:val="0"/>
          <w:divBdr>
            <w:top w:val="none" w:sz="0" w:space="0" w:color="auto"/>
            <w:left w:val="none" w:sz="0" w:space="0" w:color="auto"/>
            <w:bottom w:val="none" w:sz="0" w:space="0" w:color="auto"/>
            <w:right w:val="none" w:sz="0" w:space="0" w:color="auto"/>
          </w:divBdr>
        </w:div>
      </w:divsChild>
    </w:div>
    <w:div w:id="36010991">
      <w:bodyDiv w:val="1"/>
      <w:marLeft w:val="0"/>
      <w:marRight w:val="0"/>
      <w:marTop w:val="0"/>
      <w:marBottom w:val="0"/>
      <w:divBdr>
        <w:top w:val="none" w:sz="0" w:space="0" w:color="auto"/>
        <w:left w:val="none" w:sz="0" w:space="0" w:color="auto"/>
        <w:bottom w:val="none" w:sz="0" w:space="0" w:color="auto"/>
        <w:right w:val="none" w:sz="0" w:space="0" w:color="auto"/>
      </w:divBdr>
    </w:div>
    <w:div w:id="54664778">
      <w:bodyDiv w:val="1"/>
      <w:marLeft w:val="0"/>
      <w:marRight w:val="0"/>
      <w:marTop w:val="0"/>
      <w:marBottom w:val="0"/>
      <w:divBdr>
        <w:top w:val="none" w:sz="0" w:space="0" w:color="auto"/>
        <w:left w:val="none" w:sz="0" w:space="0" w:color="auto"/>
        <w:bottom w:val="none" w:sz="0" w:space="0" w:color="auto"/>
        <w:right w:val="none" w:sz="0" w:space="0" w:color="auto"/>
      </w:divBdr>
      <w:divsChild>
        <w:div w:id="464813300">
          <w:marLeft w:val="0"/>
          <w:marRight w:val="0"/>
          <w:marTop w:val="480"/>
          <w:marBottom w:val="0"/>
          <w:divBdr>
            <w:top w:val="none" w:sz="0" w:space="0" w:color="auto"/>
            <w:left w:val="none" w:sz="0" w:space="0" w:color="auto"/>
            <w:bottom w:val="none" w:sz="0" w:space="0" w:color="auto"/>
            <w:right w:val="none" w:sz="0" w:space="0" w:color="auto"/>
          </w:divBdr>
        </w:div>
        <w:div w:id="1133401495">
          <w:marLeft w:val="0"/>
          <w:marRight w:val="0"/>
          <w:marTop w:val="0"/>
          <w:marBottom w:val="0"/>
          <w:divBdr>
            <w:top w:val="none" w:sz="0" w:space="0" w:color="auto"/>
            <w:left w:val="none" w:sz="0" w:space="0" w:color="auto"/>
            <w:bottom w:val="none" w:sz="0" w:space="0" w:color="auto"/>
            <w:right w:val="none" w:sz="0" w:space="0" w:color="auto"/>
          </w:divBdr>
        </w:div>
        <w:div w:id="329064066">
          <w:marLeft w:val="0"/>
          <w:marRight w:val="0"/>
          <w:marTop w:val="240"/>
          <w:marBottom w:val="0"/>
          <w:divBdr>
            <w:top w:val="none" w:sz="0" w:space="0" w:color="auto"/>
            <w:left w:val="none" w:sz="0" w:space="0" w:color="auto"/>
            <w:bottom w:val="none" w:sz="0" w:space="0" w:color="auto"/>
            <w:right w:val="none" w:sz="0" w:space="0" w:color="auto"/>
          </w:divBdr>
        </w:div>
        <w:div w:id="44988968">
          <w:marLeft w:val="0"/>
          <w:marRight w:val="0"/>
          <w:marTop w:val="240"/>
          <w:marBottom w:val="0"/>
          <w:divBdr>
            <w:top w:val="none" w:sz="0" w:space="0" w:color="auto"/>
            <w:left w:val="none" w:sz="0" w:space="0" w:color="auto"/>
            <w:bottom w:val="none" w:sz="0" w:space="0" w:color="auto"/>
            <w:right w:val="none" w:sz="0" w:space="0" w:color="auto"/>
          </w:divBdr>
        </w:div>
        <w:div w:id="1821918691">
          <w:marLeft w:val="425"/>
          <w:marRight w:val="0"/>
          <w:marTop w:val="0"/>
          <w:marBottom w:val="0"/>
          <w:divBdr>
            <w:top w:val="none" w:sz="0" w:space="0" w:color="auto"/>
            <w:left w:val="none" w:sz="0" w:space="0" w:color="auto"/>
            <w:bottom w:val="none" w:sz="0" w:space="0" w:color="auto"/>
            <w:right w:val="none" w:sz="0" w:space="0" w:color="auto"/>
          </w:divBdr>
        </w:div>
        <w:div w:id="661348673">
          <w:marLeft w:val="425"/>
          <w:marRight w:val="0"/>
          <w:marTop w:val="0"/>
          <w:marBottom w:val="0"/>
          <w:divBdr>
            <w:top w:val="none" w:sz="0" w:space="0" w:color="auto"/>
            <w:left w:val="none" w:sz="0" w:space="0" w:color="auto"/>
            <w:bottom w:val="none" w:sz="0" w:space="0" w:color="auto"/>
            <w:right w:val="none" w:sz="0" w:space="0" w:color="auto"/>
          </w:divBdr>
        </w:div>
        <w:div w:id="769591154">
          <w:marLeft w:val="425"/>
          <w:marRight w:val="0"/>
          <w:marTop w:val="0"/>
          <w:marBottom w:val="0"/>
          <w:divBdr>
            <w:top w:val="none" w:sz="0" w:space="0" w:color="auto"/>
            <w:left w:val="none" w:sz="0" w:space="0" w:color="auto"/>
            <w:bottom w:val="none" w:sz="0" w:space="0" w:color="auto"/>
            <w:right w:val="none" w:sz="0" w:space="0" w:color="auto"/>
          </w:divBdr>
        </w:div>
        <w:div w:id="710031088">
          <w:marLeft w:val="425"/>
          <w:marRight w:val="0"/>
          <w:marTop w:val="0"/>
          <w:marBottom w:val="0"/>
          <w:divBdr>
            <w:top w:val="none" w:sz="0" w:space="0" w:color="auto"/>
            <w:left w:val="none" w:sz="0" w:space="0" w:color="auto"/>
            <w:bottom w:val="none" w:sz="0" w:space="0" w:color="auto"/>
            <w:right w:val="none" w:sz="0" w:space="0" w:color="auto"/>
          </w:divBdr>
        </w:div>
        <w:div w:id="668993743">
          <w:marLeft w:val="425"/>
          <w:marRight w:val="0"/>
          <w:marTop w:val="0"/>
          <w:marBottom w:val="0"/>
          <w:divBdr>
            <w:top w:val="none" w:sz="0" w:space="0" w:color="auto"/>
            <w:left w:val="none" w:sz="0" w:space="0" w:color="auto"/>
            <w:bottom w:val="none" w:sz="0" w:space="0" w:color="auto"/>
            <w:right w:val="none" w:sz="0" w:space="0" w:color="auto"/>
          </w:divBdr>
        </w:div>
        <w:div w:id="136532843">
          <w:marLeft w:val="425"/>
          <w:marRight w:val="0"/>
          <w:marTop w:val="0"/>
          <w:marBottom w:val="0"/>
          <w:divBdr>
            <w:top w:val="none" w:sz="0" w:space="0" w:color="auto"/>
            <w:left w:val="none" w:sz="0" w:space="0" w:color="auto"/>
            <w:bottom w:val="none" w:sz="0" w:space="0" w:color="auto"/>
            <w:right w:val="none" w:sz="0" w:space="0" w:color="auto"/>
          </w:divBdr>
        </w:div>
        <w:div w:id="1174951484">
          <w:marLeft w:val="425"/>
          <w:marRight w:val="0"/>
          <w:marTop w:val="0"/>
          <w:marBottom w:val="0"/>
          <w:divBdr>
            <w:top w:val="none" w:sz="0" w:space="0" w:color="auto"/>
            <w:left w:val="none" w:sz="0" w:space="0" w:color="auto"/>
            <w:bottom w:val="none" w:sz="0" w:space="0" w:color="auto"/>
            <w:right w:val="none" w:sz="0" w:space="0" w:color="auto"/>
          </w:divBdr>
        </w:div>
        <w:div w:id="1538617373">
          <w:marLeft w:val="0"/>
          <w:marRight w:val="0"/>
          <w:marTop w:val="240"/>
          <w:marBottom w:val="0"/>
          <w:divBdr>
            <w:top w:val="none" w:sz="0" w:space="0" w:color="auto"/>
            <w:left w:val="none" w:sz="0" w:space="0" w:color="auto"/>
            <w:bottom w:val="none" w:sz="0" w:space="0" w:color="auto"/>
            <w:right w:val="none" w:sz="0" w:space="0" w:color="auto"/>
          </w:divBdr>
        </w:div>
        <w:div w:id="758671964">
          <w:marLeft w:val="0"/>
          <w:marRight w:val="0"/>
          <w:marTop w:val="240"/>
          <w:marBottom w:val="0"/>
          <w:divBdr>
            <w:top w:val="none" w:sz="0" w:space="0" w:color="auto"/>
            <w:left w:val="none" w:sz="0" w:space="0" w:color="auto"/>
            <w:bottom w:val="none" w:sz="0" w:space="0" w:color="auto"/>
            <w:right w:val="none" w:sz="0" w:space="0" w:color="auto"/>
          </w:divBdr>
        </w:div>
      </w:divsChild>
    </w:div>
    <w:div w:id="55054399">
      <w:bodyDiv w:val="1"/>
      <w:marLeft w:val="0"/>
      <w:marRight w:val="0"/>
      <w:marTop w:val="0"/>
      <w:marBottom w:val="0"/>
      <w:divBdr>
        <w:top w:val="none" w:sz="0" w:space="0" w:color="auto"/>
        <w:left w:val="none" w:sz="0" w:space="0" w:color="auto"/>
        <w:bottom w:val="none" w:sz="0" w:space="0" w:color="auto"/>
        <w:right w:val="none" w:sz="0" w:space="0" w:color="auto"/>
      </w:divBdr>
      <w:divsChild>
        <w:div w:id="98305991">
          <w:marLeft w:val="0"/>
          <w:marRight w:val="0"/>
          <w:marTop w:val="480"/>
          <w:marBottom w:val="0"/>
          <w:divBdr>
            <w:top w:val="none" w:sz="0" w:space="0" w:color="auto"/>
            <w:left w:val="none" w:sz="0" w:space="0" w:color="auto"/>
            <w:bottom w:val="none" w:sz="0" w:space="0" w:color="auto"/>
            <w:right w:val="none" w:sz="0" w:space="0" w:color="auto"/>
          </w:divBdr>
        </w:div>
        <w:div w:id="1703558340">
          <w:marLeft w:val="0"/>
          <w:marRight w:val="0"/>
          <w:marTop w:val="0"/>
          <w:marBottom w:val="0"/>
          <w:divBdr>
            <w:top w:val="none" w:sz="0" w:space="0" w:color="auto"/>
            <w:left w:val="none" w:sz="0" w:space="0" w:color="auto"/>
            <w:bottom w:val="none" w:sz="0" w:space="0" w:color="auto"/>
            <w:right w:val="none" w:sz="0" w:space="0" w:color="auto"/>
          </w:divBdr>
        </w:div>
        <w:div w:id="1136021659">
          <w:marLeft w:val="0"/>
          <w:marRight w:val="0"/>
          <w:marTop w:val="240"/>
          <w:marBottom w:val="0"/>
          <w:divBdr>
            <w:top w:val="none" w:sz="0" w:space="0" w:color="auto"/>
            <w:left w:val="none" w:sz="0" w:space="0" w:color="auto"/>
            <w:bottom w:val="none" w:sz="0" w:space="0" w:color="auto"/>
            <w:right w:val="none" w:sz="0" w:space="0" w:color="auto"/>
          </w:divBdr>
        </w:div>
        <w:div w:id="1868641306">
          <w:marLeft w:val="0"/>
          <w:marRight w:val="0"/>
          <w:marTop w:val="240"/>
          <w:marBottom w:val="0"/>
          <w:divBdr>
            <w:top w:val="none" w:sz="0" w:space="0" w:color="auto"/>
            <w:left w:val="none" w:sz="0" w:space="0" w:color="auto"/>
            <w:bottom w:val="none" w:sz="0" w:space="0" w:color="auto"/>
            <w:right w:val="none" w:sz="0" w:space="0" w:color="auto"/>
          </w:divBdr>
        </w:div>
        <w:div w:id="1411807556">
          <w:marLeft w:val="0"/>
          <w:marRight w:val="0"/>
          <w:marTop w:val="240"/>
          <w:marBottom w:val="0"/>
          <w:divBdr>
            <w:top w:val="none" w:sz="0" w:space="0" w:color="auto"/>
            <w:left w:val="none" w:sz="0" w:space="0" w:color="auto"/>
            <w:bottom w:val="none" w:sz="0" w:space="0" w:color="auto"/>
            <w:right w:val="none" w:sz="0" w:space="0" w:color="auto"/>
          </w:divBdr>
        </w:div>
        <w:div w:id="1462920789">
          <w:marLeft w:val="0"/>
          <w:marRight w:val="0"/>
          <w:marTop w:val="240"/>
          <w:marBottom w:val="0"/>
          <w:divBdr>
            <w:top w:val="none" w:sz="0" w:space="0" w:color="auto"/>
            <w:left w:val="none" w:sz="0" w:space="0" w:color="auto"/>
            <w:bottom w:val="none" w:sz="0" w:space="0" w:color="auto"/>
            <w:right w:val="none" w:sz="0" w:space="0" w:color="auto"/>
          </w:divBdr>
        </w:div>
      </w:divsChild>
    </w:div>
    <w:div w:id="81074583">
      <w:bodyDiv w:val="1"/>
      <w:marLeft w:val="0"/>
      <w:marRight w:val="0"/>
      <w:marTop w:val="0"/>
      <w:marBottom w:val="0"/>
      <w:divBdr>
        <w:top w:val="none" w:sz="0" w:space="0" w:color="auto"/>
        <w:left w:val="none" w:sz="0" w:space="0" w:color="auto"/>
        <w:bottom w:val="none" w:sz="0" w:space="0" w:color="auto"/>
        <w:right w:val="none" w:sz="0" w:space="0" w:color="auto"/>
      </w:divBdr>
    </w:div>
    <w:div w:id="101262814">
      <w:bodyDiv w:val="1"/>
      <w:marLeft w:val="0"/>
      <w:marRight w:val="0"/>
      <w:marTop w:val="0"/>
      <w:marBottom w:val="0"/>
      <w:divBdr>
        <w:top w:val="none" w:sz="0" w:space="0" w:color="auto"/>
        <w:left w:val="none" w:sz="0" w:space="0" w:color="auto"/>
        <w:bottom w:val="none" w:sz="0" w:space="0" w:color="auto"/>
        <w:right w:val="none" w:sz="0" w:space="0" w:color="auto"/>
      </w:divBdr>
      <w:divsChild>
        <w:div w:id="375203595">
          <w:marLeft w:val="0"/>
          <w:marRight w:val="0"/>
          <w:marTop w:val="0"/>
          <w:marBottom w:val="0"/>
          <w:divBdr>
            <w:top w:val="none" w:sz="0" w:space="0" w:color="auto"/>
            <w:left w:val="none" w:sz="0" w:space="0" w:color="auto"/>
            <w:bottom w:val="none" w:sz="0" w:space="0" w:color="auto"/>
            <w:right w:val="none" w:sz="0" w:space="0" w:color="auto"/>
          </w:divBdr>
          <w:divsChild>
            <w:div w:id="1775589482">
              <w:marLeft w:val="0"/>
              <w:marRight w:val="0"/>
              <w:marTop w:val="480"/>
              <w:marBottom w:val="0"/>
              <w:divBdr>
                <w:top w:val="none" w:sz="0" w:space="0" w:color="auto"/>
                <w:left w:val="none" w:sz="0" w:space="0" w:color="auto"/>
                <w:bottom w:val="none" w:sz="0" w:space="0" w:color="auto"/>
                <w:right w:val="none" w:sz="0" w:space="0" w:color="auto"/>
              </w:divBdr>
            </w:div>
            <w:div w:id="1846047861">
              <w:marLeft w:val="0"/>
              <w:marRight w:val="0"/>
              <w:marTop w:val="0"/>
              <w:marBottom w:val="0"/>
              <w:divBdr>
                <w:top w:val="none" w:sz="0" w:space="0" w:color="auto"/>
                <w:left w:val="none" w:sz="0" w:space="0" w:color="auto"/>
                <w:bottom w:val="none" w:sz="0" w:space="0" w:color="auto"/>
                <w:right w:val="none" w:sz="0" w:space="0" w:color="auto"/>
              </w:divBdr>
            </w:div>
            <w:div w:id="1473138770">
              <w:marLeft w:val="0"/>
              <w:marRight w:val="0"/>
              <w:marTop w:val="240"/>
              <w:marBottom w:val="0"/>
              <w:divBdr>
                <w:top w:val="none" w:sz="0" w:space="0" w:color="auto"/>
                <w:left w:val="none" w:sz="0" w:space="0" w:color="auto"/>
                <w:bottom w:val="none" w:sz="0" w:space="0" w:color="auto"/>
                <w:right w:val="none" w:sz="0" w:space="0" w:color="auto"/>
              </w:divBdr>
            </w:div>
            <w:div w:id="4981166">
              <w:marLeft w:val="0"/>
              <w:marRight w:val="0"/>
              <w:marTop w:val="240"/>
              <w:marBottom w:val="0"/>
              <w:divBdr>
                <w:top w:val="none" w:sz="0" w:space="0" w:color="auto"/>
                <w:left w:val="none" w:sz="0" w:space="0" w:color="auto"/>
                <w:bottom w:val="none" w:sz="0" w:space="0" w:color="auto"/>
                <w:right w:val="none" w:sz="0" w:space="0" w:color="auto"/>
              </w:divBdr>
            </w:div>
            <w:div w:id="33044645">
              <w:marLeft w:val="0"/>
              <w:marRight w:val="0"/>
              <w:marTop w:val="240"/>
              <w:marBottom w:val="0"/>
              <w:divBdr>
                <w:top w:val="none" w:sz="0" w:space="0" w:color="auto"/>
                <w:left w:val="none" w:sz="0" w:space="0" w:color="auto"/>
                <w:bottom w:val="none" w:sz="0" w:space="0" w:color="auto"/>
                <w:right w:val="none" w:sz="0" w:space="0" w:color="auto"/>
              </w:divBdr>
            </w:div>
            <w:div w:id="867179042">
              <w:marLeft w:val="0"/>
              <w:marRight w:val="0"/>
              <w:marTop w:val="240"/>
              <w:marBottom w:val="0"/>
              <w:divBdr>
                <w:top w:val="none" w:sz="0" w:space="0" w:color="auto"/>
                <w:left w:val="none" w:sz="0" w:space="0" w:color="auto"/>
                <w:bottom w:val="none" w:sz="0" w:space="0" w:color="auto"/>
                <w:right w:val="none" w:sz="0" w:space="0" w:color="auto"/>
              </w:divBdr>
            </w:div>
          </w:divsChild>
        </w:div>
        <w:div w:id="993950165">
          <w:marLeft w:val="0"/>
          <w:marRight w:val="0"/>
          <w:marTop w:val="0"/>
          <w:marBottom w:val="0"/>
          <w:divBdr>
            <w:top w:val="none" w:sz="0" w:space="0" w:color="auto"/>
            <w:left w:val="none" w:sz="0" w:space="0" w:color="auto"/>
            <w:bottom w:val="none" w:sz="0" w:space="0" w:color="auto"/>
            <w:right w:val="none" w:sz="0" w:space="0" w:color="auto"/>
          </w:divBdr>
          <w:divsChild>
            <w:div w:id="1385254951">
              <w:marLeft w:val="0"/>
              <w:marRight w:val="0"/>
              <w:marTop w:val="480"/>
              <w:marBottom w:val="0"/>
              <w:divBdr>
                <w:top w:val="none" w:sz="0" w:space="0" w:color="auto"/>
                <w:left w:val="none" w:sz="0" w:space="0" w:color="auto"/>
                <w:bottom w:val="none" w:sz="0" w:space="0" w:color="auto"/>
                <w:right w:val="none" w:sz="0" w:space="0" w:color="auto"/>
              </w:divBdr>
            </w:div>
            <w:div w:id="2105950762">
              <w:marLeft w:val="0"/>
              <w:marRight w:val="0"/>
              <w:marTop w:val="0"/>
              <w:marBottom w:val="0"/>
              <w:divBdr>
                <w:top w:val="none" w:sz="0" w:space="0" w:color="auto"/>
                <w:left w:val="none" w:sz="0" w:space="0" w:color="auto"/>
                <w:bottom w:val="none" w:sz="0" w:space="0" w:color="auto"/>
                <w:right w:val="none" w:sz="0" w:space="0" w:color="auto"/>
              </w:divBdr>
            </w:div>
            <w:div w:id="1454791209">
              <w:marLeft w:val="0"/>
              <w:marRight w:val="0"/>
              <w:marTop w:val="240"/>
              <w:marBottom w:val="0"/>
              <w:divBdr>
                <w:top w:val="none" w:sz="0" w:space="0" w:color="auto"/>
                <w:left w:val="none" w:sz="0" w:space="0" w:color="auto"/>
                <w:bottom w:val="none" w:sz="0" w:space="0" w:color="auto"/>
                <w:right w:val="none" w:sz="0" w:space="0" w:color="auto"/>
              </w:divBdr>
            </w:div>
            <w:div w:id="29887273">
              <w:marLeft w:val="425"/>
              <w:marRight w:val="0"/>
              <w:marTop w:val="0"/>
              <w:marBottom w:val="0"/>
              <w:divBdr>
                <w:top w:val="none" w:sz="0" w:space="0" w:color="auto"/>
                <w:left w:val="none" w:sz="0" w:space="0" w:color="auto"/>
                <w:bottom w:val="none" w:sz="0" w:space="0" w:color="auto"/>
                <w:right w:val="none" w:sz="0" w:space="0" w:color="auto"/>
              </w:divBdr>
              <w:divsChild>
                <w:div w:id="1737363397">
                  <w:marLeft w:val="0"/>
                  <w:marRight w:val="0"/>
                  <w:marTop w:val="0"/>
                  <w:marBottom w:val="0"/>
                  <w:divBdr>
                    <w:top w:val="none" w:sz="0" w:space="0" w:color="auto"/>
                    <w:left w:val="none" w:sz="0" w:space="0" w:color="auto"/>
                    <w:bottom w:val="none" w:sz="0" w:space="0" w:color="auto"/>
                    <w:right w:val="none" w:sz="0" w:space="0" w:color="auto"/>
                  </w:divBdr>
                </w:div>
              </w:divsChild>
            </w:div>
            <w:div w:id="1528714444">
              <w:marLeft w:val="425"/>
              <w:marRight w:val="0"/>
              <w:marTop w:val="0"/>
              <w:marBottom w:val="0"/>
              <w:divBdr>
                <w:top w:val="none" w:sz="0" w:space="0" w:color="auto"/>
                <w:left w:val="none" w:sz="0" w:space="0" w:color="auto"/>
                <w:bottom w:val="none" w:sz="0" w:space="0" w:color="auto"/>
                <w:right w:val="none" w:sz="0" w:space="0" w:color="auto"/>
              </w:divBdr>
              <w:divsChild>
                <w:div w:id="938484928">
                  <w:marLeft w:val="0"/>
                  <w:marRight w:val="0"/>
                  <w:marTop w:val="0"/>
                  <w:marBottom w:val="0"/>
                  <w:divBdr>
                    <w:top w:val="none" w:sz="0" w:space="0" w:color="auto"/>
                    <w:left w:val="none" w:sz="0" w:space="0" w:color="auto"/>
                    <w:bottom w:val="none" w:sz="0" w:space="0" w:color="auto"/>
                    <w:right w:val="none" w:sz="0" w:space="0" w:color="auto"/>
                  </w:divBdr>
                </w:div>
              </w:divsChild>
            </w:div>
            <w:div w:id="297229530">
              <w:marLeft w:val="425"/>
              <w:marRight w:val="0"/>
              <w:marTop w:val="0"/>
              <w:marBottom w:val="0"/>
              <w:divBdr>
                <w:top w:val="none" w:sz="0" w:space="0" w:color="auto"/>
                <w:left w:val="none" w:sz="0" w:space="0" w:color="auto"/>
                <w:bottom w:val="none" w:sz="0" w:space="0" w:color="auto"/>
                <w:right w:val="none" w:sz="0" w:space="0" w:color="auto"/>
              </w:divBdr>
              <w:divsChild>
                <w:div w:id="621614639">
                  <w:marLeft w:val="0"/>
                  <w:marRight w:val="0"/>
                  <w:marTop w:val="0"/>
                  <w:marBottom w:val="0"/>
                  <w:divBdr>
                    <w:top w:val="none" w:sz="0" w:space="0" w:color="auto"/>
                    <w:left w:val="none" w:sz="0" w:space="0" w:color="auto"/>
                    <w:bottom w:val="none" w:sz="0" w:space="0" w:color="auto"/>
                    <w:right w:val="none" w:sz="0" w:space="0" w:color="auto"/>
                  </w:divBdr>
                </w:div>
              </w:divsChild>
            </w:div>
            <w:div w:id="1190296396">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13713786">
      <w:bodyDiv w:val="1"/>
      <w:marLeft w:val="0"/>
      <w:marRight w:val="0"/>
      <w:marTop w:val="0"/>
      <w:marBottom w:val="0"/>
      <w:divBdr>
        <w:top w:val="none" w:sz="0" w:space="0" w:color="auto"/>
        <w:left w:val="none" w:sz="0" w:space="0" w:color="auto"/>
        <w:bottom w:val="none" w:sz="0" w:space="0" w:color="auto"/>
        <w:right w:val="none" w:sz="0" w:space="0" w:color="auto"/>
      </w:divBdr>
      <w:divsChild>
        <w:div w:id="2076707850">
          <w:marLeft w:val="0"/>
          <w:marRight w:val="0"/>
          <w:marTop w:val="480"/>
          <w:marBottom w:val="0"/>
          <w:divBdr>
            <w:top w:val="none" w:sz="0" w:space="0" w:color="auto"/>
            <w:left w:val="none" w:sz="0" w:space="0" w:color="auto"/>
            <w:bottom w:val="none" w:sz="0" w:space="0" w:color="auto"/>
            <w:right w:val="none" w:sz="0" w:space="0" w:color="auto"/>
          </w:divBdr>
        </w:div>
        <w:div w:id="1761558477">
          <w:marLeft w:val="0"/>
          <w:marRight w:val="0"/>
          <w:marTop w:val="0"/>
          <w:marBottom w:val="0"/>
          <w:divBdr>
            <w:top w:val="none" w:sz="0" w:space="0" w:color="auto"/>
            <w:left w:val="none" w:sz="0" w:space="0" w:color="auto"/>
            <w:bottom w:val="none" w:sz="0" w:space="0" w:color="auto"/>
            <w:right w:val="none" w:sz="0" w:space="0" w:color="auto"/>
          </w:divBdr>
        </w:div>
        <w:div w:id="776799264">
          <w:marLeft w:val="0"/>
          <w:marRight w:val="0"/>
          <w:marTop w:val="240"/>
          <w:marBottom w:val="0"/>
          <w:divBdr>
            <w:top w:val="none" w:sz="0" w:space="0" w:color="auto"/>
            <w:left w:val="none" w:sz="0" w:space="0" w:color="auto"/>
            <w:bottom w:val="none" w:sz="0" w:space="0" w:color="auto"/>
            <w:right w:val="none" w:sz="0" w:space="0" w:color="auto"/>
          </w:divBdr>
        </w:div>
        <w:div w:id="1349915751">
          <w:marLeft w:val="0"/>
          <w:marRight w:val="0"/>
          <w:marTop w:val="240"/>
          <w:marBottom w:val="0"/>
          <w:divBdr>
            <w:top w:val="none" w:sz="0" w:space="0" w:color="auto"/>
            <w:left w:val="none" w:sz="0" w:space="0" w:color="auto"/>
            <w:bottom w:val="none" w:sz="0" w:space="0" w:color="auto"/>
            <w:right w:val="none" w:sz="0" w:space="0" w:color="auto"/>
          </w:divBdr>
        </w:div>
        <w:div w:id="450827615">
          <w:marLeft w:val="425"/>
          <w:marRight w:val="0"/>
          <w:marTop w:val="0"/>
          <w:marBottom w:val="0"/>
          <w:divBdr>
            <w:top w:val="none" w:sz="0" w:space="0" w:color="auto"/>
            <w:left w:val="none" w:sz="0" w:space="0" w:color="auto"/>
            <w:bottom w:val="none" w:sz="0" w:space="0" w:color="auto"/>
            <w:right w:val="none" w:sz="0" w:space="0" w:color="auto"/>
          </w:divBdr>
          <w:divsChild>
            <w:div w:id="1290283418">
              <w:marLeft w:val="0"/>
              <w:marRight w:val="0"/>
              <w:marTop w:val="0"/>
              <w:marBottom w:val="0"/>
              <w:divBdr>
                <w:top w:val="none" w:sz="0" w:space="0" w:color="auto"/>
                <w:left w:val="none" w:sz="0" w:space="0" w:color="auto"/>
                <w:bottom w:val="none" w:sz="0" w:space="0" w:color="auto"/>
                <w:right w:val="none" w:sz="0" w:space="0" w:color="auto"/>
              </w:divBdr>
            </w:div>
          </w:divsChild>
        </w:div>
        <w:div w:id="951548780">
          <w:marLeft w:val="425"/>
          <w:marRight w:val="0"/>
          <w:marTop w:val="0"/>
          <w:marBottom w:val="0"/>
          <w:divBdr>
            <w:top w:val="none" w:sz="0" w:space="0" w:color="auto"/>
            <w:left w:val="none" w:sz="0" w:space="0" w:color="auto"/>
            <w:bottom w:val="none" w:sz="0" w:space="0" w:color="auto"/>
            <w:right w:val="none" w:sz="0" w:space="0" w:color="auto"/>
          </w:divBdr>
          <w:divsChild>
            <w:div w:id="1728256787">
              <w:marLeft w:val="0"/>
              <w:marRight w:val="0"/>
              <w:marTop w:val="0"/>
              <w:marBottom w:val="0"/>
              <w:divBdr>
                <w:top w:val="none" w:sz="0" w:space="0" w:color="auto"/>
                <w:left w:val="none" w:sz="0" w:space="0" w:color="auto"/>
                <w:bottom w:val="none" w:sz="0" w:space="0" w:color="auto"/>
                <w:right w:val="none" w:sz="0" w:space="0" w:color="auto"/>
              </w:divBdr>
            </w:div>
          </w:divsChild>
        </w:div>
        <w:div w:id="2122724442">
          <w:marLeft w:val="425"/>
          <w:marRight w:val="0"/>
          <w:marTop w:val="0"/>
          <w:marBottom w:val="0"/>
          <w:divBdr>
            <w:top w:val="none" w:sz="0" w:space="0" w:color="auto"/>
            <w:left w:val="none" w:sz="0" w:space="0" w:color="auto"/>
            <w:bottom w:val="none" w:sz="0" w:space="0" w:color="auto"/>
            <w:right w:val="none" w:sz="0" w:space="0" w:color="auto"/>
          </w:divBdr>
          <w:divsChild>
            <w:div w:id="33249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65966">
      <w:bodyDiv w:val="1"/>
      <w:marLeft w:val="0"/>
      <w:marRight w:val="0"/>
      <w:marTop w:val="0"/>
      <w:marBottom w:val="0"/>
      <w:divBdr>
        <w:top w:val="none" w:sz="0" w:space="0" w:color="auto"/>
        <w:left w:val="none" w:sz="0" w:space="0" w:color="auto"/>
        <w:bottom w:val="none" w:sz="0" w:space="0" w:color="auto"/>
        <w:right w:val="none" w:sz="0" w:space="0" w:color="auto"/>
      </w:divBdr>
      <w:divsChild>
        <w:div w:id="691957687">
          <w:marLeft w:val="0"/>
          <w:marRight w:val="0"/>
          <w:marTop w:val="480"/>
          <w:marBottom w:val="0"/>
          <w:divBdr>
            <w:top w:val="none" w:sz="0" w:space="0" w:color="auto"/>
            <w:left w:val="none" w:sz="0" w:space="0" w:color="auto"/>
            <w:bottom w:val="none" w:sz="0" w:space="0" w:color="auto"/>
            <w:right w:val="none" w:sz="0" w:space="0" w:color="auto"/>
          </w:divBdr>
        </w:div>
        <w:div w:id="1916233188">
          <w:marLeft w:val="0"/>
          <w:marRight w:val="0"/>
          <w:marTop w:val="0"/>
          <w:marBottom w:val="0"/>
          <w:divBdr>
            <w:top w:val="none" w:sz="0" w:space="0" w:color="auto"/>
            <w:left w:val="none" w:sz="0" w:space="0" w:color="auto"/>
            <w:bottom w:val="none" w:sz="0" w:space="0" w:color="auto"/>
            <w:right w:val="none" w:sz="0" w:space="0" w:color="auto"/>
          </w:divBdr>
        </w:div>
        <w:div w:id="223566364">
          <w:marLeft w:val="0"/>
          <w:marRight w:val="0"/>
          <w:marTop w:val="240"/>
          <w:marBottom w:val="0"/>
          <w:divBdr>
            <w:top w:val="none" w:sz="0" w:space="0" w:color="auto"/>
            <w:left w:val="none" w:sz="0" w:space="0" w:color="auto"/>
            <w:bottom w:val="none" w:sz="0" w:space="0" w:color="auto"/>
            <w:right w:val="none" w:sz="0" w:space="0" w:color="auto"/>
          </w:divBdr>
        </w:div>
        <w:div w:id="185292308">
          <w:marLeft w:val="425"/>
          <w:marRight w:val="0"/>
          <w:marTop w:val="0"/>
          <w:marBottom w:val="0"/>
          <w:divBdr>
            <w:top w:val="none" w:sz="0" w:space="0" w:color="auto"/>
            <w:left w:val="none" w:sz="0" w:space="0" w:color="auto"/>
            <w:bottom w:val="none" w:sz="0" w:space="0" w:color="auto"/>
            <w:right w:val="none" w:sz="0" w:space="0" w:color="auto"/>
          </w:divBdr>
        </w:div>
        <w:div w:id="1327127384">
          <w:marLeft w:val="425"/>
          <w:marRight w:val="0"/>
          <w:marTop w:val="0"/>
          <w:marBottom w:val="0"/>
          <w:divBdr>
            <w:top w:val="none" w:sz="0" w:space="0" w:color="auto"/>
            <w:left w:val="none" w:sz="0" w:space="0" w:color="auto"/>
            <w:bottom w:val="none" w:sz="0" w:space="0" w:color="auto"/>
            <w:right w:val="none" w:sz="0" w:space="0" w:color="auto"/>
          </w:divBdr>
        </w:div>
        <w:div w:id="1634477331">
          <w:marLeft w:val="425"/>
          <w:marRight w:val="0"/>
          <w:marTop w:val="0"/>
          <w:marBottom w:val="0"/>
          <w:divBdr>
            <w:top w:val="none" w:sz="0" w:space="0" w:color="auto"/>
            <w:left w:val="none" w:sz="0" w:space="0" w:color="auto"/>
            <w:bottom w:val="none" w:sz="0" w:space="0" w:color="auto"/>
            <w:right w:val="none" w:sz="0" w:space="0" w:color="auto"/>
          </w:divBdr>
        </w:div>
        <w:div w:id="1701083493">
          <w:marLeft w:val="425"/>
          <w:marRight w:val="0"/>
          <w:marTop w:val="0"/>
          <w:marBottom w:val="0"/>
          <w:divBdr>
            <w:top w:val="none" w:sz="0" w:space="0" w:color="auto"/>
            <w:left w:val="none" w:sz="0" w:space="0" w:color="auto"/>
            <w:bottom w:val="none" w:sz="0" w:space="0" w:color="auto"/>
            <w:right w:val="none" w:sz="0" w:space="0" w:color="auto"/>
          </w:divBdr>
        </w:div>
        <w:div w:id="1074011841">
          <w:marLeft w:val="0"/>
          <w:marRight w:val="0"/>
          <w:marTop w:val="240"/>
          <w:marBottom w:val="0"/>
          <w:divBdr>
            <w:top w:val="none" w:sz="0" w:space="0" w:color="auto"/>
            <w:left w:val="none" w:sz="0" w:space="0" w:color="auto"/>
            <w:bottom w:val="none" w:sz="0" w:space="0" w:color="auto"/>
            <w:right w:val="none" w:sz="0" w:space="0" w:color="auto"/>
          </w:divBdr>
        </w:div>
        <w:div w:id="1689985078">
          <w:marLeft w:val="425"/>
          <w:marRight w:val="0"/>
          <w:marTop w:val="0"/>
          <w:marBottom w:val="0"/>
          <w:divBdr>
            <w:top w:val="none" w:sz="0" w:space="0" w:color="auto"/>
            <w:left w:val="none" w:sz="0" w:space="0" w:color="auto"/>
            <w:bottom w:val="none" w:sz="0" w:space="0" w:color="auto"/>
            <w:right w:val="none" w:sz="0" w:space="0" w:color="auto"/>
          </w:divBdr>
        </w:div>
        <w:div w:id="1526484713">
          <w:marLeft w:val="425"/>
          <w:marRight w:val="0"/>
          <w:marTop w:val="0"/>
          <w:marBottom w:val="0"/>
          <w:divBdr>
            <w:top w:val="none" w:sz="0" w:space="0" w:color="auto"/>
            <w:left w:val="none" w:sz="0" w:space="0" w:color="auto"/>
            <w:bottom w:val="none" w:sz="0" w:space="0" w:color="auto"/>
            <w:right w:val="none" w:sz="0" w:space="0" w:color="auto"/>
          </w:divBdr>
        </w:div>
        <w:div w:id="1564295283">
          <w:marLeft w:val="425"/>
          <w:marRight w:val="0"/>
          <w:marTop w:val="0"/>
          <w:marBottom w:val="0"/>
          <w:divBdr>
            <w:top w:val="none" w:sz="0" w:space="0" w:color="auto"/>
            <w:left w:val="none" w:sz="0" w:space="0" w:color="auto"/>
            <w:bottom w:val="none" w:sz="0" w:space="0" w:color="auto"/>
            <w:right w:val="none" w:sz="0" w:space="0" w:color="auto"/>
          </w:divBdr>
        </w:div>
        <w:div w:id="344090181">
          <w:marLeft w:val="425"/>
          <w:marRight w:val="0"/>
          <w:marTop w:val="0"/>
          <w:marBottom w:val="0"/>
          <w:divBdr>
            <w:top w:val="none" w:sz="0" w:space="0" w:color="auto"/>
            <w:left w:val="none" w:sz="0" w:space="0" w:color="auto"/>
            <w:bottom w:val="none" w:sz="0" w:space="0" w:color="auto"/>
            <w:right w:val="none" w:sz="0" w:space="0" w:color="auto"/>
          </w:divBdr>
        </w:div>
        <w:div w:id="445664314">
          <w:marLeft w:val="425"/>
          <w:marRight w:val="0"/>
          <w:marTop w:val="0"/>
          <w:marBottom w:val="0"/>
          <w:divBdr>
            <w:top w:val="none" w:sz="0" w:space="0" w:color="auto"/>
            <w:left w:val="none" w:sz="0" w:space="0" w:color="auto"/>
            <w:bottom w:val="none" w:sz="0" w:space="0" w:color="auto"/>
            <w:right w:val="none" w:sz="0" w:space="0" w:color="auto"/>
          </w:divBdr>
        </w:div>
        <w:div w:id="1631738796">
          <w:marLeft w:val="425"/>
          <w:marRight w:val="0"/>
          <w:marTop w:val="0"/>
          <w:marBottom w:val="0"/>
          <w:divBdr>
            <w:top w:val="none" w:sz="0" w:space="0" w:color="auto"/>
            <w:left w:val="none" w:sz="0" w:space="0" w:color="auto"/>
            <w:bottom w:val="none" w:sz="0" w:space="0" w:color="auto"/>
            <w:right w:val="none" w:sz="0" w:space="0" w:color="auto"/>
          </w:divBdr>
        </w:div>
        <w:div w:id="151064322">
          <w:marLeft w:val="425"/>
          <w:marRight w:val="0"/>
          <w:marTop w:val="0"/>
          <w:marBottom w:val="0"/>
          <w:divBdr>
            <w:top w:val="none" w:sz="0" w:space="0" w:color="auto"/>
            <w:left w:val="none" w:sz="0" w:space="0" w:color="auto"/>
            <w:bottom w:val="none" w:sz="0" w:space="0" w:color="auto"/>
            <w:right w:val="none" w:sz="0" w:space="0" w:color="auto"/>
          </w:divBdr>
        </w:div>
        <w:div w:id="1018845892">
          <w:marLeft w:val="425"/>
          <w:marRight w:val="0"/>
          <w:marTop w:val="0"/>
          <w:marBottom w:val="0"/>
          <w:divBdr>
            <w:top w:val="none" w:sz="0" w:space="0" w:color="auto"/>
            <w:left w:val="none" w:sz="0" w:space="0" w:color="auto"/>
            <w:bottom w:val="none" w:sz="0" w:space="0" w:color="auto"/>
            <w:right w:val="none" w:sz="0" w:space="0" w:color="auto"/>
          </w:divBdr>
        </w:div>
        <w:div w:id="847674167">
          <w:marLeft w:val="0"/>
          <w:marRight w:val="0"/>
          <w:marTop w:val="240"/>
          <w:marBottom w:val="0"/>
          <w:divBdr>
            <w:top w:val="none" w:sz="0" w:space="0" w:color="auto"/>
            <w:left w:val="none" w:sz="0" w:space="0" w:color="auto"/>
            <w:bottom w:val="none" w:sz="0" w:space="0" w:color="auto"/>
            <w:right w:val="none" w:sz="0" w:space="0" w:color="auto"/>
          </w:divBdr>
        </w:div>
      </w:divsChild>
    </w:div>
    <w:div w:id="148330294">
      <w:bodyDiv w:val="1"/>
      <w:marLeft w:val="0"/>
      <w:marRight w:val="0"/>
      <w:marTop w:val="0"/>
      <w:marBottom w:val="0"/>
      <w:divBdr>
        <w:top w:val="none" w:sz="0" w:space="0" w:color="auto"/>
        <w:left w:val="none" w:sz="0" w:space="0" w:color="auto"/>
        <w:bottom w:val="none" w:sz="0" w:space="0" w:color="auto"/>
        <w:right w:val="none" w:sz="0" w:space="0" w:color="auto"/>
      </w:divBdr>
    </w:div>
    <w:div w:id="152989193">
      <w:bodyDiv w:val="1"/>
      <w:marLeft w:val="0"/>
      <w:marRight w:val="0"/>
      <w:marTop w:val="0"/>
      <w:marBottom w:val="0"/>
      <w:divBdr>
        <w:top w:val="none" w:sz="0" w:space="0" w:color="auto"/>
        <w:left w:val="none" w:sz="0" w:space="0" w:color="auto"/>
        <w:bottom w:val="none" w:sz="0" w:space="0" w:color="auto"/>
        <w:right w:val="none" w:sz="0" w:space="0" w:color="auto"/>
      </w:divBdr>
    </w:div>
    <w:div w:id="158885652">
      <w:bodyDiv w:val="1"/>
      <w:marLeft w:val="0"/>
      <w:marRight w:val="0"/>
      <w:marTop w:val="0"/>
      <w:marBottom w:val="0"/>
      <w:divBdr>
        <w:top w:val="none" w:sz="0" w:space="0" w:color="auto"/>
        <w:left w:val="none" w:sz="0" w:space="0" w:color="auto"/>
        <w:bottom w:val="none" w:sz="0" w:space="0" w:color="auto"/>
        <w:right w:val="none" w:sz="0" w:space="0" w:color="auto"/>
      </w:divBdr>
      <w:divsChild>
        <w:div w:id="850755435">
          <w:marLeft w:val="0"/>
          <w:marRight w:val="0"/>
          <w:marTop w:val="480"/>
          <w:marBottom w:val="0"/>
          <w:divBdr>
            <w:top w:val="none" w:sz="0" w:space="0" w:color="auto"/>
            <w:left w:val="none" w:sz="0" w:space="0" w:color="auto"/>
            <w:bottom w:val="none" w:sz="0" w:space="0" w:color="auto"/>
            <w:right w:val="none" w:sz="0" w:space="0" w:color="auto"/>
          </w:divBdr>
        </w:div>
        <w:div w:id="1205141767">
          <w:marLeft w:val="0"/>
          <w:marRight w:val="0"/>
          <w:marTop w:val="0"/>
          <w:marBottom w:val="0"/>
          <w:divBdr>
            <w:top w:val="none" w:sz="0" w:space="0" w:color="auto"/>
            <w:left w:val="none" w:sz="0" w:space="0" w:color="auto"/>
            <w:bottom w:val="none" w:sz="0" w:space="0" w:color="auto"/>
            <w:right w:val="none" w:sz="0" w:space="0" w:color="auto"/>
          </w:divBdr>
        </w:div>
        <w:div w:id="1783569341">
          <w:marLeft w:val="0"/>
          <w:marRight w:val="0"/>
          <w:marTop w:val="240"/>
          <w:marBottom w:val="0"/>
          <w:divBdr>
            <w:top w:val="none" w:sz="0" w:space="0" w:color="auto"/>
            <w:left w:val="none" w:sz="0" w:space="0" w:color="auto"/>
            <w:bottom w:val="none" w:sz="0" w:space="0" w:color="auto"/>
            <w:right w:val="none" w:sz="0" w:space="0" w:color="auto"/>
          </w:divBdr>
        </w:div>
        <w:div w:id="1122336217">
          <w:marLeft w:val="425"/>
          <w:marRight w:val="0"/>
          <w:marTop w:val="0"/>
          <w:marBottom w:val="0"/>
          <w:divBdr>
            <w:top w:val="none" w:sz="0" w:space="0" w:color="auto"/>
            <w:left w:val="none" w:sz="0" w:space="0" w:color="auto"/>
            <w:bottom w:val="none" w:sz="0" w:space="0" w:color="auto"/>
            <w:right w:val="none" w:sz="0" w:space="0" w:color="auto"/>
          </w:divBdr>
        </w:div>
        <w:div w:id="181362059">
          <w:marLeft w:val="425"/>
          <w:marRight w:val="0"/>
          <w:marTop w:val="0"/>
          <w:marBottom w:val="0"/>
          <w:divBdr>
            <w:top w:val="none" w:sz="0" w:space="0" w:color="auto"/>
            <w:left w:val="none" w:sz="0" w:space="0" w:color="auto"/>
            <w:bottom w:val="none" w:sz="0" w:space="0" w:color="auto"/>
            <w:right w:val="none" w:sz="0" w:space="0" w:color="auto"/>
          </w:divBdr>
        </w:div>
        <w:div w:id="929047683">
          <w:marLeft w:val="425"/>
          <w:marRight w:val="0"/>
          <w:marTop w:val="0"/>
          <w:marBottom w:val="0"/>
          <w:divBdr>
            <w:top w:val="none" w:sz="0" w:space="0" w:color="auto"/>
            <w:left w:val="none" w:sz="0" w:space="0" w:color="auto"/>
            <w:bottom w:val="none" w:sz="0" w:space="0" w:color="auto"/>
            <w:right w:val="none" w:sz="0" w:space="0" w:color="auto"/>
          </w:divBdr>
        </w:div>
        <w:div w:id="1401446387">
          <w:marLeft w:val="425"/>
          <w:marRight w:val="0"/>
          <w:marTop w:val="0"/>
          <w:marBottom w:val="0"/>
          <w:divBdr>
            <w:top w:val="none" w:sz="0" w:space="0" w:color="auto"/>
            <w:left w:val="none" w:sz="0" w:space="0" w:color="auto"/>
            <w:bottom w:val="none" w:sz="0" w:space="0" w:color="auto"/>
            <w:right w:val="none" w:sz="0" w:space="0" w:color="auto"/>
          </w:divBdr>
        </w:div>
      </w:divsChild>
    </w:div>
    <w:div w:id="161435107">
      <w:bodyDiv w:val="1"/>
      <w:marLeft w:val="0"/>
      <w:marRight w:val="0"/>
      <w:marTop w:val="0"/>
      <w:marBottom w:val="0"/>
      <w:divBdr>
        <w:top w:val="none" w:sz="0" w:space="0" w:color="auto"/>
        <w:left w:val="none" w:sz="0" w:space="0" w:color="auto"/>
        <w:bottom w:val="none" w:sz="0" w:space="0" w:color="auto"/>
        <w:right w:val="none" w:sz="0" w:space="0" w:color="auto"/>
      </w:divBdr>
      <w:divsChild>
        <w:div w:id="646321498">
          <w:marLeft w:val="0"/>
          <w:marRight w:val="0"/>
          <w:marTop w:val="480"/>
          <w:marBottom w:val="0"/>
          <w:divBdr>
            <w:top w:val="none" w:sz="0" w:space="0" w:color="auto"/>
            <w:left w:val="none" w:sz="0" w:space="0" w:color="auto"/>
            <w:bottom w:val="none" w:sz="0" w:space="0" w:color="auto"/>
            <w:right w:val="none" w:sz="0" w:space="0" w:color="auto"/>
          </w:divBdr>
        </w:div>
        <w:div w:id="834371487">
          <w:marLeft w:val="0"/>
          <w:marRight w:val="0"/>
          <w:marTop w:val="0"/>
          <w:marBottom w:val="0"/>
          <w:divBdr>
            <w:top w:val="none" w:sz="0" w:space="0" w:color="auto"/>
            <w:left w:val="none" w:sz="0" w:space="0" w:color="auto"/>
            <w:bottom w:val="none" w:sz="0" w:space="0" w:color="auto"/>
            <w:right w:val="none" w:sz="0" w:space="0" w:color="auto"/>
          </w:divBdr>
        </w:div>
        <w:div w:id="592930901">
          <w:marLeft w:val="0"/>
          <w:marRight w:val="0"/>
          <w:marTop w:val="240"/>
          <w:marBottom w:val="0"/>
          <w:divBdr>
            <w:top w:val="none" w:sz="0" w:space="0" w:color="auto"/>
            <w:left w:val="none" w:sz="0" w:space="0" w:color="auto"/>
            <w:bottom w:val="none" w:sz="0" w:space="0" w:color="auto"/>
            <w:right w:val="none" w:sz="0" w:space="0" w:color="auto"/>
          </w:divBdr>
        </w:div>
        <w:div w:id="536893442">
          <w:marLeft w:val="425"/>
          <w:marRight w:val="0"/>
          <w:marTop w:val="0"/>
          <w:marBottom w:val="0"/>
          <w:divBdr>
            <w:top w:val="none" w:sz="0" w:space="0" w:color="auto"/>
            <w:left w:val="none" w:sz="0" w:space="0" w:color="auto"/>
            <w:bottom w:val="none" w:sz="0" w:space="0" w:color="auto"/>
            <w:right w:val="none" w:sz="0" w:space="0" w:color="auto"/>
          </w:divBdr>
        </w:div>
        <w:div w:id="1521385094">
          <w:marLeft w:val="425"/>
          <w:marRight w:val="0"/>
          <w:marTop w:val="0"/>
          <w:marBottom w:val="0"/>
          <w:divBdr>
            <w:top w:val="none" w:sz="0" w:space="0" w:color="auto"/>
            <w:left w:val="none" w:sz="0" w:space="0" w:color="auto"/>
            <w:bottom w:val="none" w:sz="0" w:space="0" w:color="auto"/>
            <w:right w:val="none" w:sz="0" w:space="0" w:color="auto"/>
          </w:divBdr>
        </w:div>
        <w:div w:id="2007441277">
          <w:marLeft w:val="425"/>
          <w:marRight w:val="0"/>
          <w:marTop w:val="0"/>
          <w:marBottom w:val="0"/>
          <w:divBdr>
            <w:top w:val="none" w:sz="0" w:space="0" w:color="auto"/>
            <w:left w:val="none" w:sz="0" w:space="0" w:color="auto"/>
            <w:bottom w:val="none" w:sz="0" w:space="0" w:color="auto"/>
            <w:right w:val="none" w:sz="0" w:space="0" w:color="auto"/>
          </w:divBdr>
        </w:div>
        <w:div w:id="134152589">
          <w:marLeft w:val="425"/>
          <w:marRight w:val="0"/>
          <w:marTop w:val="0"/>
          <w:marBottom w:val="0"/>
          <w:divBdr>
            <w:top w:val="none" w:sz="0" w:space="0" w:color="auto"/>
            <w:left w:val="none" w:sz="0" w:space="0" w:color="auto"/>
            <w:bottom w:val="none" w:sz="0" w:space="0" w:color="auto"/>
            <w:right w:val="none" w:sz="0" w:space="0" w:color="auto"/>
          </w:divBdr>
        </w:div>
        <w:div w:id="24644177">
          <w:marLeft w:val="425"/>
          <w:marRight w:val="0"/>
          <w:marTop w:val="0"/>
          <w:marBottom w:val="0"/>
          <w:divBdr>
            <w:top w:val="none" w:sz="0" w:space="0" w:color="auto"/>
            <w:left w:val="none" w:sz="0" w:space="0" w:color="auto"/>
            <w:bottom w:val="none" w:sz="0" w:space="0" w:color="auto"/>
            <w:right w:val="none" w:sz="0" w:space="0" w:color="auto"/>
          </w:divBdr>
        </w:div>
        <w:div w:id="1656035366">
          <w:marLeft w:val="425"/>
          <w:marRight w:val="0"/>
          <w:marTop w:val="0"/>
          <w:marBottom w:val="0"/>
          <w:divBdr>
            <w:top w:val="none" w:sz="0" w:space="0" w:color="auto"/>
            <w:left w:val="none" w:sz="0" w:space="0" w:color="auto"/>
            <w:bottom w:val="none" w:sz="0" w:space="0" w:color="auto"/>
            <w:right w:val="none" w:sz="0" w:space="0" w:color="auto"/>
          </w:divBdr>
        </w:div>
        <w:div w:id="1754234126">
          <w:marLeft w:val="425"/>
          <w:marRight w:val="0"/>
          <w:marTop w:val="0"/>
          <w:marBottom w:val="0"/>
          <w:divBdr>
            <w:top w:val="none" w:sz="0" w:space="0" w:color="auto"/>
            <w:left w:val="none" w:sz="0" w:space="0" w:color="auto"/>
            <w:bottom w:val="none" w:sz="0" w:space="0" w:color="auto"/>
            <w:right w:val="none" w:sz="0" w:space="0" w:color="auto"/>
          </w:divBdr>
        </w:div>
        <w:div w:id="643850473">
          <w:marLeft w:val="425"/>
          <w:marRight w:val="0"/>
          <w:marTop w:val="0"/>
          <w:marBottom w:val="0"/>
          <w:divBdr>
            <w:top w:val="none" w:sz="0" w:space="0" w:color="auto"/>
            <w:left w:val="none" w:sz="0" w:space="0" w:color="auto"/>
            <w:bottom w:val="none" w:sz="0" w:space="0" w:color="auto"/>
            <w:right w:val="none" w:sz="0" w:space="0" w:color="auto"/>
          </w:divBdr>
        </w:div>
        <w:div w:id="1667590961">
          <w:marLeft w:val="425"/>
          <w:marRight w:val="0"/>
          <w:marTop w:val="0"/>
          <w:marBottom w:val="0"/>
          <w:divBdr>
            <w:top w:val="none" w:sz="0" w:space="0" w:color="auto"/>
            <w:left w:val="none" w:sz="0" w:space="0" w:color="auto"/>
            <w:bottom w:val="none" w:sz="0" w:space="0" w:color="auto"/>
            <w:right w:val="none" w:sz="0" w:space="0" w:color="auto"/>
          </w:divBdr>
        </w:div>
        <w:div w:id="1469321753">
          <w:marLeft w:val="425"/>
          <w:marRight w:val="0"/>
          <w:marTop w:val="0"/>
          <w:marBottom w:val="0"/>
          <w:divBdr>
            <w:top w:val="none" w:sz="0" w:space="0" w:color="auto"/>
            <w:left w:val="none" w:sz="0" w:space="0" w:color="auto"/>
            <w:bottom w:val="none" w:sz="0" w:space="0" w:color="auto"/>
            <w:right w:val="none" w:sz="0" w:space="0" w:color="auto"/>
          </w:divBdr>
        </w:div>
        <w:div w:id="1259753996">
          <w:marLeft w:val="425"/>
          <w:marRight w:val="0"/>
          <w:marTop w:val="0"/>
          <w:marBottom w:val="0"/>
          <w:divBdr>
            <w:top w:val="none" w:sz="0" w:space="0" w:color="auto"/>
            <w:left w:val="none" w:sz="0" w:space="0" w:color="auto"/>
            <w:bottom w:val="none" w:sz="0" w:space="0" w:color="auto"/>
            <w:right w:val="none" w:sz="0" w:space="0" w:color="auto"/>
          </w:divBdr>
        </w:div>
        <w:div w:id="1047729158">
          <w:marLeft w:val="425"/>
          <w:marRight w:val="0"/>
          <w:marTop w:val="0"/>
          <w:marBottom w:val="0"/>
          <w:divBdr>
            <w:top w:val="none" w:sz="0" w:space="0" w:color="auto"/>
            <w:left w:val="none" w:sz="0" w:space="0" w:color="auto"/>
            <w:bottom w:val="none" w:sz="0" w:space="0" w:color="auto"/>
            <w:right w:val="none" w:sz="0" w:space="0" w:color="auto"/>
          </w:divBdr>
        </w:div>
        <w:div w:id="1246502125">
          <w:marLeft w:val="425"/>
          <w:marRight w:val="0"/>
          <w:marTop w:val="0"/>
          <w:marBottom w:val="0"/>
          <w:divBdr>
            <w:top w:val="none" w:sz="0" w:space="0" w:color="auto"/>
            <w:left w:val="none" w:sz="0" w:space="0" w:color="auto"/>
            <w:bottom w:val="none" w:sz="0" w:space="0" w:color="auto"/>
            <w:right w:val="none" w:sz="0" w:space="0" w:color="auto"/>
          </w:divBdr>
        </w:div>
        <w:div w:id="881407434">
          <w:marLeft w:val="425"/>
          <w:marRight w:val="0"/>
          <w:marTop w:val="0"/>
          <w:marBottom w:val="0"/>
          <w:divBdr>
            <w:top w:val="none" w:sz="0" w:space="0" w:color="auto"/>
            <w:left w:val="none" w:sz="0" w:space="0" w:color="auto"/>
            <w:bottom w:val="none" w:sz="0" w:space="0" w:color="auto"/>
            <w:right w:val="none" w:sz="0" w:space="0" w:color="auto"/>
          </w:divBdr>
        </w:div>
        <w:div w:id="664865693">
          <w:marLeft w:val="425"/>
          <w:marRight w:val="0"/>
          <w:marTop w:val="0"/>
          <w:marBottom w:val="0"/>
          <w:divBdr>
            <w:top w:val="none" w:sz="0" w:space="0" w:color="auto"/>
            <w:left w:val="none" w:sz="0" w:space="0" w:color="auto"/>
            <w:bottom w:val="none" w:sz="0" w:space="0" w:color="auto"/>
            <w:right w:val="none" w:sz="0" w:space="0" w:color="auto"/>
          </w:divBdr>
        </w:div>
        <w:div w:id="2514199">
          <w:marLeft w:val="425"/>
          <w:marRight w:val="0"/>
          <w:marTop w:val="0"/>
          <w:marBottom w:val="0"/>
          <w:divBdr>
            <w:top w:val="none" w:sz="0" w:space="0" w:color="auto"/>
            <w:left w:val="none" w:sz="0" w:space="0" w:color="auto"/>
            <w:bottom w:val="none" w:sz="0" w:space="0" w:color="auto"/>
            <w:right w:val="none" w:sz="0" w:space="0" w:color="auto"/>
          </w:divBdr>
        </w:div>
        <w:div w:id="1353070312">
          <w:marLeft w:val="425"/>
          <w:marRight w:val="0"/>
          <w:marTop w:val="0"/>
          <w:marBottom w:val="0"/>
          <w:divBdr>
            <w:top w:val="none" w:sz="0" w:space="0" w:color="auto"/>
            <w:left w:val="none" w:sz="0" w:space="0" w:color="auto"/>
            <w:bottom w:val="none" w:sz="0" w:space="0" w:color="auto"/>
            <w:right w:val="none" w:sz="0" w:space="0" w:color="auto"/>
          </w:divBdr>
        </w:div>
        <w:div w:id="2071615579">
          <w:marLeft w:val="425"/>
          <w:marRight w:val="0"/>
          <w:marTop w:val="0"/>
          <w:marBottom w:val="0"/>
          <w:divBdr>
            <w:top w:val="none" w:sz="0" w:space="0" w:color="auto"/>
            <w:left w:val="none" w:sz="0" w:space="0" w:color="auto"/>
            <w:bottom w:val="none" w:sz="0" w:space="0" w:color="auto"/>
            <w:right w:val="none" w:sz="0" w:space="0" w:color="auto"/>
          </w:divBdr>
        </w:div>
        <w:div w:id="1028070389">
          <w:marLeft w:val="425"/>
          <w:marRight w:val="0"/>
          <w:marTop w:val="0"/>
          <w:marBottom w:val="0"/>
          <w:divBdr>
            <w:top w:val="none" w:sz="0" w:space="0" w:color="auto"/>
            <w:left w:val="none" w:sz="0" w:space="0" w:color="auto"/>
            <w:bottom w:val="none" w:sz="0" w:space="0" w:color="auto"/>
            <w:right w:val="none" w:sz="0" w:space="0" w:color="auto"/>
          </w:divBdr>
        </w:div>
        <w:div w:id="275798375">
          <w:marLeft w:val="425"/>
          <w:marRight w:val="0"/>
          <w:marTop w:val="0"/>
          <w:marBottom w:val="0"/>
          <w:divBdr>
            <w:top w:val="none" w:sz="0" w:space="0" w:color="auto"/>
            <w:left w:val="none" w:sz="0" w:space="0" w:color="auto"/>
            <w:bottom w:val="none" w:sz="0" w:space="0" w:color="auto"/>
            <w:right w:val="none" w:sz="0" w:space="0" w:color="auto"/>
          </w:divBdr>
        </w:div>
        <w:div w:id="1957134026">
          <w:marLeft w:val="425"/>
          <w:marRight w:val="0"/>
          <w:marTop w:val="0"/>
          <w:marBottom w:val="0"/>
          <w:divBdr>
            <w:top w:val="none" w:sz="0" w:space="0" w:color="auto"/>
            <w:left w:val="none" w:sz="0" w:space="0" w:color="auto"/>
            <w:bottom w:val="none" w:sz="0" w:space="0" w:color="auto"/>
            <w:right w:val="none" w:sz="0" w:space="0" w:color="auto"/>
          </w:divBdr>
        </w:div>
        <w:div w:id="1270696496">
          <w:marLeft w:val="425"/>
          <w:marRight w:val="0"/>
          <w:marTop w:val="0"/>
          <w:marBottom w:val="0"/>
          <w:divBdr>
            <w:top w:val="none" w:sz="0" w:space="0" w:color="auto"/>
            <w:left w:val="none" w:sz="0" w:space="0" w:color="auto"/>
            <w:bottom w:val="none" w:sz="0" w:space="0" w:color="auto"/>
            <w:right w:val="none" w:sz="0" w:space="0" w:color="auto"/>
          </w:divBdr>
        </w:div>
        <w:div w:id="1122074621">
          <w:marLeft w:val="425"/>
          <w:marRight w:val="0"/>
          <w:marTop w:val="0"/>
          <w:marBottom w:val="0"/>
          <w:divBdr>
            <w:top w:val="none" w:sz="0" w:space="0" w:color="auto"/>
            <w:left w:val="none" w:sz="0" w:space="0" w:color="auto"/>
            <w:bottom w:val="none" w:sz="0" w:space="0" w:color="auto"/>
            <w:right w:val="none" w:sz="0" w:space="0" w:color="auto"/>
          </w:divBdr>
        </w:div>
        <w:div w:id="824056314">
          <w:marLeft w:val="425"/>
          <w:marRight w:val="0"/>
          <w:marTop w:val="0"/>
          <w:marBottom w:val="0"/>
          <w:divBdr>
            <w:top w:val="none" w:sz="0" w:space="0" w:color="auto"/>
            <w:left w:val="none" w:sz="0" w:space="0" w:color="auto"/>
            <w:bottom w:val="none" w:sz="0" w:space="0" w:color="auto"/>
            <w:right w:val="none" w:sz="0" w:space="0" w:color="auto"/>
          </w:divBdr>
        </w:div>
        <w:div w:id="625813878">
          <w:marLeft w:val="425"/>
          <w:marRight w:val="0"/>
          <w:marTop w:val="0"/>
          <w:marBottom w:val="0"/>
          <w:divBdr>
            <w:top w:val="none" w:sz="0" w:space="0" w:color="auto"/>
            <w:left w:val="none" w:sz="0" w:space="0" w:color="auto"/>
            <w:bottom w:val="none" w:sz="0" w:space="0" w:color="auto"/>
            <w:right w:val="none" w:sz="0" w:space="0" w:color="auto"/>
          </w:divBdr>
        </w:div>
        <w:div w:id="602764548">
          <w:marLeft w:val="425"/>
          <w:marRight w:val="0"/>
          <w:marTop w:val="0"/>
          <w:marBottom w:val="0"/>
          <w:divBdr>
            <w:top w:val="none" w:sz="0" w:space="0" w:color="auto"/>
            <w:left w:val="none" w:sz="0" w:space="0" w:color="auto"/>
            <w:bottom w:val="none" w:sz="0" w:space="0" w:color="auto"/>
            <w:right w:val="none" w:sz="0" w:space="0" w:color="auto"/>
          </w:divBdr>
        </w:div>
        <w:div w:id="929774137">
          <w:marLeft w:val="425"/>
          <w:marRight w:val="0"/>
          <w:marTop w:val="0"/>
          <w:marBottom w:val="0"/>
          <w:divBdr>
            <w:top w:val="none" w:sz="0" w:space="0" w:color="auto"/>
            <w:left w:val="none" w:sz="0" w:space="0" w:color="auto"/>
            <w:bottom w:val="none" w:sz="0" w:space="0" w:color="auto"/>
            <w:right w:val="none" w:sz="0" w:space="0" w:color="auto"/>
          </w:divBdr>
        </w:div>
        <w:div w:id="1110777774">
          <w:marLeft w:val="425"/>
          <w:marRight w:val="0"/>
          <w:marTop w:val="0"/>
          <w:marBottom w:val="0"/>
          <w:divBdr>
            <w:top w:val="none" w:sz="0" w:space="0" w:color="auto"/>
            <w:left w:val="none" w:sz="0" w:space="0" w:color="auto"/>
            <w:bottom w:val="none" w:sz="0" w:space="0" w:color="auto"/>
            <w:right w:val="none" w:sz="0" w:space="0" w:color="auto"/>
          </w:divBdr>
        </w:div>
        <w:div w:id="1616212922">
          <w:marLeft w:val="425"/>
          <w:marRight w:val="0"/>
          <w:marTop w:val="0"/>
          <w:marBottom w:val="0"/>
          <w:divBdr>
            <w:top w:val="none" w:sz="0" w:space="0" w:color="auto"/>
            <w:left w:val="none" w:sz="0" w:space="0" w:color="auto"/>
            <w:bottom w:val="none" w:sz="0" w:space="0" w:color="auto"/>
            <w:right w:val="none" w:sz="0" w:space="0" w:color="auto"/>
          </w:divBdr>
        </w:div>
        <w:div w:id="1269040546">
          <w:marLeft w:val="425"/>
          <w:marRight w:val="0"/>
          <w:marTop w:val="0"/>
          <w:marBottom w:val="0"/>
          <w:divBdr>
            <w:top w:val="none" w:sz="0" w:space="0" w:color="auto"/>
            <w:left w:val="none" w:sz="0" w:space="0" w:color="auto"/>
            <w:bottom w:val="none" w:sz="0" w:space="0" w:color="auto"/>
            <w:right w:val="none" w:sz="0" w:space="0" w:color="auto"/>
          </w:divBdr>
        </w:div>
        <w:div w:id="841433075">
          <w:marLeft w:val="425"/>
          <w:marRight w:val="0"/>
          <w:marTop w:val="0"/>
          <w:marBottom w:val="0"/>
          <w:divBdr>
            <w:top w:val="none" w:sz="0" w:space="0" w:color="auto"/>
            <w:left w:val="none" w:sz="0" w:space="0" w:color="auto"/>
            <w:bottom w:val="none" w:sz="0" w:space="0" w:color="auto"/>
            <w:right w:val="none" w:sz="0" w:space="0" w:color="auto"/>
          </w:divBdr>
        </w:div>
        <w:div w:id="1471283430">
          <w:marLeft w:val="425"/>
          <w:marRight w:val="0"/>
          <w:marTop w:val="0"/>
          <w:marBottom w:val="0"/>
          <w:divBdr>
            <w:top w:val="none" w:sz="0" w:space="0" w:color="auto"/>
            <w:left w:val="none" w:sz="0" w:space="0" w:color="auto"/>
            <w:bottom w:val="none" w:sz="0" w:space="0" w:color="auto"/>
            <w:right w:val="none" w:sz="0" w:space="0" w:color="auto"/>
          </w:divBdr>
        </w:div>
        <w:div w:id="2084989826">
          <w:marLeft w:val="425"/>
          <w:marRight w:val="0"/>
          <w:marTop w:val="0"/>
          <w:marBottom w:val="0"/>
          <w:divBdr>
            <w:top w:val="none" w:sz="0" w:space="0" w:color="auto"/>
            <w:left w:val="none" w:sz="0" w:space="0" w:color="auto"/>
            <w:bottom w:val="none" w:sz="0" w:space="0" w:color="auto"/>
            <w:right w:val="none" w:sz="0" w:space="0" w:color="auto"/>
          </w:divBdr>
        </w:div>
        <w:div w:id="178858567">
          <w:marLeft w:val="425"/>
          <w:marRight w:val="0"/>
          <w:marTop w:val="0"/>
          <w:marBottom w:val="0"/>
          <w:divBdr>
            <w:top w:val="none" w:sz="0" w:space="0" w:color="auto"/>
            <w:left w:val="none" w:sz="0" w:space="0" w:color="auto"/>
            <w:bottom w:val="none" w:sz="0" w:space="0" w:color="auto"/>
            <w:right w:val="none" w:sz="0" w:space="0" w:color="auto"/>
          </w:divBdr>
        </w:div>
        <w:div w:id="1744985778">
          <w:marLeft w:val="425"/>
          <w:marRight w:val="0"/>
          <w:marTop w:val="0"/>
          <w:marBottom w:val="0"/>
          <w:divBdr>
            <w:top w:val="none" w:sz="0" w:space="0" w:color="auto"/>
            <w:left w:val="none" w:sz="0" w:space="0" w:color="auto"/>
            <w:bottom w:val="none" w:sz="0" w:space="0" w:color="auto"/>
            <w:right w:val="none" w:sz="0" w:space="0" w:color="auto"/>
          </w:divBdr>
        </w:div>
        <w:div w:id="18354975">
          <w:marLeft w:val="425"/>
          <w:marRight w:val="0"/>
          <w:marTop w:val="0"/>
          <w:marBottom w:val="0"/>
          <w:divBdr>
            <w:top w:val="none" w:sz="0" w:space="0" w:color="auto"/>
            <w:left w:val="none" w:sz="0" w:space="0" w:color="auto"/>
            <w:bottom w:val="none" w:sz="0" w:space="0" w:color="auto"/>
            <w:right w:val="none" w:sz="0" w:space="0" w:color="auto"/>
          </w:divBdr>
        </w:div>
        <w:div w:id="478888897">
          <w:marLeft w:val="425"/>
          <w:marRight w:val="0"/>
          <w:marTop w:val="0"/>
          <w:marBottom w:val="0"/>
          <w:divBdr>
            <w:top w:val="none" w:sz="0" w:space="0" w:color="auto"/>
            <w:left w:val="none" w:sz="0" w:space="0" w:color="auto"/>
            <w:bottom w:val="none" w:sz="0" w:space="0" w:color="auto"/>
            <w:right w:val="none" w:sz="0" w:space="0" w:color="auto"/>
          </w:divBdr>
        </w:div>
        <w:div w:id="1607419644">
          <w:marLeft w:val="425"/>
          <w:marRight w:val="0"/>
          <w:marTop w:val="0"/>
          <w:marBottom w:val="0"/>
          <w:divBdr>
            <w:top w:val="none" w:sz="0" w:space="0" w:color="auto"/>
            <w:left w:val="none" w:sz="0" w:space="0" w:color="auto"/>
            <w:bottom w:val="none" w:sz="0" w:space="0" w:color="auto"/>
            <w:right w:val="none" w:sz="0" w:space="0" w:color="auto"/>
          </w:divBdr>
        </w:div>
        <w:div w:id="1155343415">
          <w:marLeft w:val="425"/>
          <w:marRight w:val="0"/>
          <w:marTop w:val="0"/>
          <w:marBottom w:val="0"/>
          <w:divBdr>
            <w:top w:val="none" w:sz="0" w:space="0" w:color="auto"/>
            <w:left w:val="none" w:sz="0" w:space="0" w:color="auto"/>
            <w:bottom w:val="none" w:sz="0" w:space="0" w:color="auto"/>
            <w:right w:val="none" w:sz="0" w:space="0" w:color="auto"/>
          </w:divBdr>
        </w:div>
        <w:div w:id="1581138198">
          <w:marLeft w:val="425"/>
          <w:marRight w:val="0"/>
          <w:marTop w:val="0"/>
          <w:marBottom w:val="0"/>
          <w:divBdr>
            <w:top w:val="none" w:sz="0" w:space="0" w:color="auto"/>
            <w:left w:val="none" w:sz="0" w:space="0" w:color="auto"/>
            <w:bottom w:val="none" w:sz="0" w:space="0" w:color="auto"/>
            <w:right w:val="none" w:sz="0" w:space="0" w:color="auto"/>
          </w:divBdr>
        </w:div>
        <w:div w:id="1940868615">
          <w:marLeft w:val="0"/>
          <w:marRight w:val="0"/>
          <w:marTop w:val="240"/>
          <w:marBottom w:val="0"/>
          <w:divBdr>
            <w:top w:val="none" w:sz="0" w:space="0" w:color="auto"/>
            <w:left w:val="none" w:sz="0" w:space="0" w:color="auto"/>
            <w:bottom w:val="none" w:sz="0" w:space="0" w:color="auto"/>
            <w:right w:val="none" w:sz="0" w:space="0" w:color="auto"/>
          </w:divBdr>
        </w:div>
      </w:divsChild>
    </w:div>
    <w:div w:id="167255954">
      <w:bodyDiv w:val="1"/>
      <w:marLeft w:val="0"/>
      <w:marRight w:val="0"/>
      <w:marTop w:val="0"/>
      <w:marBottom w:val="0"/>
      <w:divBdr>
        <w:top w:val="none" w:sz="0" w:space="0" w:color="auto"/>
        <w:left w:val="none" w:sz="0" w:space="0" w:color="auto"/>
        <w:bottom w:val="none" w:sz="0" w:space="0" w:color="auto"/>
        <w:right w:val="none" w:sz="0" w:space="0" w:color="auto"/>
      </w:divBdr>
    </w:div>
    <w:div w:id="185675101">
      <w:bodyDiv w:val="1"/>
      <w:marLeft w:val="0"/>
      <w:marRight w:val="0"/>
      <w:marTop w:val="0"/>
      <w:marBottom w:val="0"/>
      <w:divBdr>
        <w:top w:val="none" w:sz="0" w:space="0" w:color="auto"/>
        <w:left w:val="none" w:sz="0" w:space="0" w:color="auto"/>
        <w:bottom w:val="none" w:sz="0" w:space="0" w:color="auto"/>
        <w:right w:val="none" w:sz="0" w:space="0" w:color="auto"/>
      </w:divBdr>
      <w:divsChild>
        <w:div w:id="2077893648">
          <w:marLeft w:val="0"/>
          <w:marRight w:val="0"/>
          <w:marTop w:val="480"/>
          <w:marBottom w:val="0"/>
          <w:divBdr>
            <w:top w:val="none" w:sz="0" w:space="0" w:color="auto"/>
            <w:left w:val="none" w:sz="0" w:space="0" w:color="auto"/>
            <w:bottom w:val="none" w:sz="0" w:space="0" w:color="auto"/>
            <w:right w:val="none" w:sz="0" w:space="0" w:color="auto"/>
          </w:divBdr>
        </w:div>
        <w:div w:id="184103944">
          <w:marLeft w:val="0"/>
          <w:marRight w:val="0"/>
          <w:marTop w:val="0"/>
          <w:marBottom w:val="0"/>
          <w:divBdr>
            <w:top w:val="none" w:sz="0" w:space="0" w:color="auto"/>
            <w:left w:val="none" w:sz="0" w:space="0" w:color="auto"/>
            <w:bottom w:val="none" w:sz="0" w:space="0" w:color="auto"/>
            <w:right w:val="none" w:sz="0" w:space="0" w:color="auto"/>
          </w:divBdr>
        </w:div>
        <w:div w:id="580602056">
          <w:marLeft w:val="0"/>
          <w:marRight w:val="0"/>
          <w:marTop w:val="240"/>
          <w:marBottom w:val="0"/>
          <w:divBdr>
            <w:top w:val="none" w:sz="0" w:space="0" w:color="auto"/>
            <w:left w:val="none" w:sz="0" w:space="0" w:color="auto"/>
            <w:bottom w:val="none" w:sz="0" w:space="0" w:color="auto"/>
            <w:right w:val="none" w:sz="0" w:space="0" w:color="auto"/>
          </w:divBdr>
        </w:div>
        <w:div w:id="924920624">
          <w:marLeft w:val="425"/>
          <w:marRight w:val="0"/>
          <w:marTop w:val="0"/>
          <w:marBottom w:val="0"/>
          <w:divBdr>
            <w:top w:val="none" w:sz="0" w:space="0" w:color="auto"/>
            <w:left w:val="none" w:sz="0" w:space="0" w:color="auto"/>
            <w:bottom w:val="none" w:sz="0" w:space="0" w:color="auto"/>
            <w:right w:val="none" w:sz="0" w:space="0" w:color="auto"/>
          </w:divBdr>
        </w:div>
        <w:div w:id="1737699401">
          <w:marLeft w:val="425"/>
          <w:marRight w:val="0"/>
          <w:marTop w:val="0"/>
          <w:marBottom w:val="0"/>
          <w:divBdr>
            <w:top w:val="none" w:sz="0" w:space="0" w:color="auto"/>
            <w:left w:val="none" w:sz="0" w:space="0" w:color="auto"/>
            <w:bottom w:val="none" w:sz="0" w:space="0" w:color="auto"/>
            <w:right w:val="none" w:sz="0" w:space="0" w:color="auto"/>
          </w:divBdr>
        </w:div>
        <w:div w:id="82074415">
          <w:marLeft w:val="425"/>
          <w:marRight w:val="0"/>
          <w:marTop w:val="0"/>
          <w:marBottom w:val="0"/>
          <w:divBdr>
            <w:top w:val="none" w:sz="0" w:space="0" w:color="auto"/>
            <w:left w:val="none" w:sz="0" w:space="0" w:color="auto"/>
            <w:bottom w:val="none" w:sz="0" w:space="0" w:color="auto"/>
            <w:right w:val="none" w:sz="0" w:space="0" w:color="auto"/>
          </w:divBdr>
        </w:div>
        <w:div w:id="1141967460">
          <w:marLeft w:val="425"/>
          <w:marRight w:val="0"/>
          <w:marTop w:val="0"/>
          <w:marBottom w:val="0"/>
          <w:divBdr>
            <w:top w:val="none" w:sz="0" w:space="0" w:color="auto"/>
            <w:left w:val="none" w:sz="0" w:space="0" w:color="auto"/>
            <w:bottom w:val="none" w:sz="0" w:space="0" w:color="auto"/>
            <w:right w:val="none" w:sz="0" w:space="0" w:color="auto"/>
          </w:divBdr>
        </w:div>
        <w:div w:id="839587629">
          <w:marLeft w:val="425"/>
          <w:marRight w:val="0"/>
          <w:marTop w:val="0"/>
          <w:marBottom w:val="0"/>
          <w:divBdr>
            <w:top w:val="none" w:sz="0" w:space="0" w:color="auto"/>
            <w:left w:val="none" w:sz="0" w:space="0" w:color="auto"/>
            <w:bottom w:val="none" w:sz="0" w:space="0" w:color="auto"/>
            <w:right w:val="none" w:sz="0" w:space="0" w:color="auto"/>
          </w:divBdr>
        </w:div>
        <w:div w:id="909115662">
          <w:marLeft w:val="0"/>
          <w:marRight w:val="0"/>
          <w:marTop w:val="240"/>
          <w:marBottom w:val="0"/>
          <w:divBdr>
            <w:top w:val="none" w:sz="0" w:space="0" w:color="auto"/>
            <w:left w:val="none" w:sz="0" w:space="0" w:color="auto"/>
            <w:bottom w:val="none" w:sz="0" w:space="0" w:color="auto"/>
            <w:right w:val="none" w:sz="0" w:space="0" w:color="auto"/>
          </w:divBdr>
        </w:div>
      </w:divsChild>
    </w:div>
    <w:div w:id="206069543">
      <w:bodyDiv w:val="1"/>
      <w:marLeft w:val="0"/>
      <w:marRight w:val="0"/>
      <w:marTop w:val="0"/>
      <w:marBottom w:val="0"/>
      <w:divBdr>
        <w:top w:val="none" w:sz="0" w:space="0" w:color="auto"/>
        <w:left w:val="none" w:sz="0" w:space="0" w:color="auto"/>
        <w:bottom w:val="none" w:sz="0" w:space="0" w:color="auto"/>
        <w:right w:val="none" w:sz="0" w:space="0" w:color="auto"/>
      </w:divBdr>
    </w:div>
    <w:div w:id="228539407">
      <w:bodyDiv w:val="1"/>
      <w:marLeft w:val="0"/>
      <w:marRight w:val="0"/>
      <w:marTop w:val="0"/>
      <w:marBottom w:val="0"/>
      <w:divBdr>
        <w:top w:val="none" w:sz="0" w:space="0" w:color="auto"/>
        <w:left w:val="none" w:sz="0" w:space="0" w:color="auto"/>
        <w:bottom w:val="none" w:sz="0" w:space="0" w:color="auto"/>
        <w:right w:val="none" w:sz="0" w:space="0" w:color="auto"/>
      </w:divBdr>
      <w:divsChild>
        <w:div w:id="1397627546">
          <w:marLeft w:val="0"/>
          <w:marRight w:val="0"/>
          <w:marTop w:val="480"/>
          <w:marBottom w:val="0"/>
          <w:divBdr>
            <w:top w:val="none" w:sz="0" w:space="0" w:color="auto"/>
            <w:left w:val="none" w:sz="0" w:space="0" w:color="auto"/>
            <w:bottom w:val="none" w:sz="0" w:space="0" w:color="auto"/>
            <w:right w:val="none" w:sz="0" w:space="0" w:color="auto"/>
          </w:divBdr>
        </w:div>
        <w:div w:id="656228055">
          <w:marLeft w:val="0"/>
          <w:marRight w:val="0"/>
          <w:marTop w:val="0"/>
          <w:marBottom w:val="0"/>
          <w:divBdr>
            <w:top w:val="none" w:sz="0" w:space="0" w:color="auto"/>
            <w:left w:val="none" w:sz="0" w:space="0" w:color="auto"/>
            <w:bottom w:val="none" w:sz="0" w:space="0" w:color="auto"/>
            <w:right w:val="none" w:sz="0" w:space="0" w:color="auto"/>
          </w:divBdr>
        </w:div>
        <w:div w:id="1497726548">
          <w:marLeft w:val="0"/>
          <w:marRight w:val="0"/>
          <w:marTop w:val="240"/>
          <w:marBottom w:val="0"/>
          <w:divBdr>
            <w:top w:val="none" w:sz="0" w:space="0" w:color="auto"/>
            <w:left w:val="none" w:sz="0" w:space="0" w:color="auto"/>
            <w:bottom w:val="none" w:sz="0" w:space="0" w:color="auto"/>
            <w:right w:val="none" w:sz="0" w:space="0" w:color="auto"/>
          </w:divBdr>
        </w:div>
      </w:divsChild>
    </w:div>
    <w:div w:id="229197102">
      <w:bodyDiv w:val="1"/>
      <w:marLeft w:val="0"/>
      <w:marRight w:val="0"/>
      <w:marTop w:val="0"/>
      <w:marBottom w:val="0"/>
      <w:divBdr>
        <w:top w:val="none" w:sz="0" w:space="0" w:color="auto"/>
        <w:left w:val="none" w:sz="0" w:space="0" w:color="auto"/>
        <w:bottom w:val="none" w:sz="0" w:space="0" w:color="auto"/>
        <w:right w:val="none" w:sz="0" w:space="0" w:color="auto"/>
      </w:divBdr>
      <w:divsChild>
        <w:div w:id="1229342305">
          <w:marLeft w:val="0"/>
          <w:marRight w:val="0"/>
          <w:marTop w:val="0"/>
          <w:marBottom w:val="0"/>
          <w:divBdr>
            <w:top w:val="none" w:sz="0" w:space="0" w:color="auto"/>
            <w:left w:val="none" w:sz="0" w:space="0" w:color="auto"/>
            <w:bottom w:val="none" w:sz="0" w:space="0" w:color="auto"/>
            <w:right w:val="none" w:sz="0" w:space="0" w:color="auto"/>
          </w:divBdr>
          <w:divsChild>
            <w:div w:id="115521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704278">
      <w:bodyDiv w:val="1"/>
      <w:marLeft w:val="0"/>
      <w:marRight w:val="0"/>
      <w:marTop w:val="0"/>
      <w:marBottom w:val="0"/>
      <w:divBdr>
        <w:top w:val="none" w:sz="0" w:space="0" w:color="auto"/>
        <w:left w:val="none" w:sz="0" w:space="0" w:color="auto"/>
        <w:bottom w:val="none" w:sz="0" w:space="0" w:color="auto"/>
        <w:right w:val="none" w:sz="0" w:space="0" w:color="auto"/>
      </w:divBdr>
      <w:divsChild>
        <w:div w:id="1712997627">
          <w:marLeft w:val="0"/>
          <w:marRight w:val="0"/>
          <w:marTop w:val="480"/>
          <w:marBottom w:val="0"/>
          <w:divBdr>
            <w:top w:val="none" w:sz="0" w:space="0" w:color="auto"/>
            <w:left w:val="none" w:sz="0" w:space="0" w:color="auto"/>
            <w:bottom w:val="none" w:sz="0" w:space="0" w:color="auto"/>
            <w:right w:val="none" w:sz="0" w:space="0" w:color="auto"/>
          </w:divBdr>
        </w:div>
        <w:div w:id="2090492926">
          <w:marLeft w:val="0"/>
          <w:marRight w:val="0"/>
          <w:marTop w:val="0"/>
          <w:marBottom w:val="0"/>
          <w:divBdr>
            <w:top w:val="none" w:sz="0" w:space="0" w:color="auto"/>
            <w:left w:val="none" w:sz="0" w:space="0" w:color="auto"/>
            <w:bottom w:val="none" w:sz="0" w:space="0" w:color="auto"/>
            <w:right w:val="none" w:sz="0" w:space="0" w:color="auto"/>
          </w:divBdr>
        </w:div>
        <w:div w:id="799806433">
          <w:marLeft w:val="0"/>
          <w:marRight w:val="0"/>
          <w:marTop w:val="240"/>
          <w:marBottom w:val="0"/>
          <w:divBdr>
            <w:top w:val="none" w:sz="0" w:space="0" w:color="auto"/>
            <w:left w:val="none" w:sz="0" w:space="0" w:color="auto"/>
            <w:bottom w:val="none" w:sz="0" w:space="0" w:color="auto"/>
            <w:right w:val="none" w:sz="0" w:space="0" w:color="auto"/>
          </w:divBdr>
        </w:div>
        <w:div w:id="632755578">
          <w:marLeft w:val="425"/>
          <w:marRight w:val="0"/>
          <w:marTop w:val="0"/>
          <w:marBottom w:val="0"/>
          <w:divBdr>
            <w:top w:val="none" w:sz="0" w:space="0" w:color="auto"/>
            <w:left w:val="none" w:sz="0" w:space="0" w:color="auto"/>
            <w:bottom w:val="none" w:sz="0" w:space="0" w:color="auto"/>
            <w:right w:val="none" w:sz="0" w:space="0" w:color="auto"/>
          </w:divBdr>
        </w:div>
        <w:div w:id="41486386">
          <w:marLeft w:val="425"/>
          <w:marRight w:val="0"/>
          <w:marTop w:val="0"/>
          <w:marBottom w:val="0"/>
          <w:divBdr>
            <w:top w:val="none" w:sz="0" w:space="0" w:color="auto"/>
            <w:left w:val="none" w:sz="0" w:space="0" w:color="auto"/>
            <w:bottom w:val="none" w:sz="0" w:space="0" w:color="auto"/>
            <w:right w:val="none" w:sz="0" w:space="0" w:color="auto"/>
          </w:divBdr>
        </w:div>
        <w:div w:id="1635863304">
          <w:marLeft w:val="425"/>
          <w:marRight w:val="0"/>
          <w:marTop w:val="0"/>
          <w:marBottom w:val="0"/>
          <w:divBdr>
            <w:top w:val="none" w:sz="0" w:space="0" w:color="auto"/>
            <w:left w:val="none" w:sz="0" w:space="0" w:color="auto"/>
            <w:bottom w:val="none" w:sz="0" w:space="0" w:color="auto"/>
            <w:right w:val="none" w:sz="0" w:space="0" w:color="auto"/>
          </w:divBdr>
        </w:div>
        <w:div w:id="363872235">
          <w:marLeft w:val="425"/>
          <w:marRight w:val="0"/>
          <w:marTop w:val="0"/>
          <w:marBottom w:val="0"/>
          <w:divBdr>
            <w:top w:val="none" w:sz="0" w:space="0" w:color="auto"/>
            <w:left w:val="none" w:sz="0" w:space="0" w:color="auto"/>
            <w:bottom w:val="none" w:sz="0" w:space="0" w:color="auto"/>
            <w:right w:val="none" w:sz="0" w:space="0" w:color="auto"/>
          </w:divBdr>
        </w:div>
        <w:div w:id="910308563">
          <w:marLeft w:val="425"/>
          <w:marRight w:val="0"/>
          <w:marTop w:val="0"/>
          <w:marBottom w:val="0"/>
          <w:divBdr>
            <w:top w:val="none" w:sz="0" w:space="0" w:color="auto"/>
            <w:left w:val="none" w:sz="0" w:space="0" w:color="auto"/>
            <w:bottom w:val="none" w:sz="0" w:space="0" w:color="auto"/>
            <w:right w:val="none" w:sz="0" w:space="0" w:color="auto"/>
          </w:divBdr>
        </w:div>
        <w:div w:id="211498473">
          <w:marLeft w:val="425"/>
          <w:marRight w:val="0"/>
          <w:marTop w:val="0"/>
          <w:marBottom w:val="0"/>
          <w:divBdr>
            <w:top w:val="none" w:sz="0" w:space="0" w:color="auto"/>
            <w:left w:val="none" w:sz="0" w:space="0" w:color="auto"/>
            <w:bottom w:val="none" w:sz="0" w:space="0" w:color="auto"/>
            <w:right w:val="none" w:sz="0" w:space="0" w:color="auto"/>
          </w:divBdr>
        </w:div>
        <w:div w:id="1324159055">
          <w:marLeft w:val="425"/>
          <w:marRight w:val="0"/>
          <w:marTop w:val="0"/>
          <w:marBottom w:val="0"/>
          <w:divBdr>
            <w:top w:val="none" w:sz="0" w:space="0" w:color="auto"/>
            <w:left w:val="none" w:sz="0" w:space="0" w:color="auto"/>
            <w:bottom w:val="none" w:sz="0" w:space="0" w:color="auto"/>
            <w:right w:val="none" w:sz="0" w:space="0" w:color="auto"/>
          </w:divBdr>
        </w:div>
        <w:div w:id="841697444">
          <w:marLeft w:val="425"/>
          <w:marRight w:val="0"/>
          <w:marTop w:val="0"/>
          <w:marBottom w:val="0"/>
          <w:divBdr>
            <w:top w:val="none" w:sz="0" w:space="0" w:color="auto"/>
            <w:left w:val="none" w:sz="0" w:space="0" w:color="auto"/>
            <w:bottom w:val="none" w:sz="0" w:space="0" w:color="auto"/>
            <w:right w:val="none" w:sz="0" w:space="0" w:color="auto"/>
          </w:divBdr>
        </w:div>
        <w:div w:id="1726679234">
          <w:marLeft w:val="425"/>
          <w:marRight w:val="0"/>
          <w:marTop w:val="0"/>
          <w:marBottom w:val="0"/>
          <w:divBdr>
            <w:top w:val="none" w:sz="0" w:space="0" w:color="auto"/>
            <w:left w:val="none" w:sz="0" w:space="0" w:color="auto"/>
            <w:bottom w:val="none" w:sz="0" w:space="0" w:color="auto"/>
            <w:right w:val="none" w:sz="0" w:space="0" w:color="auto"/>
          </w:divBdr>
        </w:div>
        <w:div w:id="214857613">
          <w:marLeft w:val="425"/>
          <w:marRight w:val="0"/>
          <w:marTop w:val="0"/>
          <w:marBottom w:val="0"/>
          <w:divBdr>
            <w:top w:val="none" w:sz="0" w:space="0" w:color="auto"/>
            <w:left w:val="none" w:sz="0" w:space="0" w:color="auto"/>
            <w:bottom w:val="none" w:sz="0" w:space="0" w:color="auto"/>
            <w:right w:val="none" w:sz="0" w:space="0" w:color="auto"/>
          </w:divBdr>
        </w:div>
        <w:div w:id="92211975">
          <w:marLeft w:val="425"/>
          <w:marRight w:val="0"/>
          <w:marTop w:val="0"/>
          <w:marBottom w:val="0"/>
          <w:divBdr>
            <w:top w:val="none" w:sz="0" w:space="0" w:color="auto"/>
            <w:left w:val="none" w:sz="0" w:space="0" w:color="auto"/>
            <w:bottom w:val="none" w:sz="0" w:space="0" w:color="auto"/>
            <w:right w:val="none" w:sz="0" w:space="0" w:color="auto"/>
          </w:divBdr>
        </w:div>
        <w:div w:id="75633648">
          <w:marLeft w:val="425"/>
          <w:marRight w:val="0"/>
          <w:marTop w:val="0"/>
          <w:marBottom w:val="0"/>
          <w:divBdr>
            <w:top w:val="none" w:sz="0" w:space="0" w:color="auto"/>
            <w:left w:val="none" w:sz="0" w:space="0" w:color="auto"/>
            <w:bottom w:val="none" w:sz="0" w:space="0" w:color="auto"/>
            <w:right w:val="none" w:sz="0" w:space="0" w:color="auto"/>
          </w:divBdr>
        </w:div>
        <w:div w:id="1929997178">
          <w:marLeft w:val="425"/>
          <w:marRight w:val="0"/>
          <w:marTop w:val="0"/>
          <w:marBottom w:val="0"/>
          <w:divBdr>
            <w:top w:val="none" w:sz="0" w:space="0" w:color="auto"/>
            <w:left w:val="none" w:sz="0" w:space="0" w:color="auto"/>
            <w:bottom w:val="none" w:sz="0" w:space="0" w:color="auto"/>
            <w:right w:val="none" w:sz="0" w:space="0" w:color="auto"/>
          </w:divBdr>
        </w:div>
        <w:div w:id="1565137624">
          <w:marLeft w:val="425"/>
          <w:marRight w:val="0"/>
          <w:marTop w:val="0"/>
          <w:marBottom w:val="0"/>
          <w:divBdr>
            <w:top w:val="none" w:sz="0" w:space="0" w:color="auto"/>
            <w:left w:val="none" w:sz="0" w:space="0" w:color="auto"/>
            <w:bottom w:val="none" w:sz="0" w:space="0" w:color="auto"/>
            <w:right w:val="none" w:sz="0" w:space="0" w:color="auto"/>
          </w:divBdr>
        </w:div>
        <w:div w:id="1381519872">
          <w:marLeft w:val="425"/>
          <w:marRight w:val="0"/>
          <w:marTop w:val="0"/>
          <w:marBottom w:val="0"/>
          <w:divBdr>
            <w:top w:val="none" w:sz="0" w:space="0" w:color="auto"/>
            <w:left w:val="none" w:sz="0" w:space="0" w:color="auto"/>
            <w:bottom w:val="none" w:sz="0" w:space="0" w:color="auto"/>
            <w:right w:val="none" w:sz="0" w:space="0" w:color="auto"/>
          </w:divBdr>
        </w:div>
        <w:div w:id="1717271971">
          <w:marLeft w:val="425"/>
          <w:marRight w:val="0"/>
          <w:marTop w:val="0"/>
          <w:marBottom w:val="0"/>
          <w:divBdr>
            <w:top w:val="none" w:sz="0" w:space="0" w:color="auto"/>
            <w:left w:val="none" w:sz="0" w:space="0" w:color="auto"/>
            <w:bottom w:val="none" w:sz="0" w:space="0" w:color="auto"/>
            <w:right w:val="none" w:sz="0" w:space="0" w:color="auto"/>
          </w:divBdr>
        </w:div>
        <w:div w:id="252933483">
          <w:marLeft w:val="425"/>
          <w:marRight w:val="0"/>
          <w:marTop w:val="0"/>
          <w:marBottom w:val="0"/>
          <w:divBdr>
            <w:top w:val="none" w:sz="0" w:space="0" w:color="auto"/>
            <w:left w:val="none" w:sz="0" w:space="0" w:color="auto"/>
            <w:bottom w:val="none" w:sz="0" w:space="0" w:color="auto"/>
            <w:right w:val="none" w:sz="0" w:space="0" w:color="auto"/>
          </w:divBdr>
        </w:div>
        <w:div w:id="952398648">
          <w:marLeft w:val="425"/>
          <w:marRight w:val="0"/>
          <w:marTop w:val="0"/>
          <w:marBottom w:val="0"/>
          <w:divBdr>
            <w:top w:val="none" w:sz="0" w:space="0" w:color="auto"/>
            <w:left w:val="none" w:sz="0" w:space="0" w:color="auto"/>
            <w:bottom w:val="none" w:sz="0" w:space="0" w:color="auto"/>
            <w:right w:val="none" w:sz="0" w:space="0" w:color="auto"/>
          </w:divBdr>
        </w:div>
        <w:div w:id="1309096646">
          <w:marLeft w:val="425"/>
          <w:marRight w:val="0"/>
          <w:marTop w:val="0"/>
          <w:marBottom w:val="0"/>
          <w:divBdr>
            <w:top w:val="none" w:sz="0" w:space="0" w:color="auto"/>
            <w:left w:val="none" w:sz="0" w:space="0" w:color="auto"/>
            <w:bottom w:val="none" w:sz="0" w:space="0" w:color="auto"/>
            <w:right w:val="none" w:sz="0" w:space="0" w:color="auto"/>
          </w:divBdr>
        </w:div>
        <w:div w:id="1422750915">
          <w:marLeft w:val="0"/>
          <w:marRight w:val="0"/>
          <w:marTop w:val="240"/>
          <w:marBottom w:val="0"/>
          <w:divBdr>
            <w:top w:val="none" w:sz="0" w:space="0" w:color="auto"/>
            <w:left w:val="none" w:sz="0" w:space="0" w:color="auto"/>
            <w:bottom w:val="none" w:sz="0" w:space="0" w:color="auto"/>
            <w:right w:val="none" w:sz="0" w:space="0" w:color="auto"/>
          </w:divBdr>
        </w:div>
        <w:div w:id="16736306">
          <w:marLeft w:val="0"/>
          <w:marRight w:val="0"/>
          <w:marTop w:val="240"/>
          <w:marBottom w:val="0"/>
          <w:divBdr>
            <w:top w:val="none" w:sz="0" w:space="0" w:color="auto"/>
            <w:left w:val="none" w:sz="0" w:space="0" w:color="auto"/>
            <w:bottom w:val="none" w:sz="0" w:space="0" w:color="auto"/>
            <w:right w:val="none" w:sz="0" w:space="0" w:color="auto"/>
          </w:divBdr>
        </w:div>
      </w:divsChild>
    </w:div>
    <w:div w:id="271935958">
      <w:bodyDiv w:val="1"/>
      <w:marLeft w:val="0"/>
      <w:marRight w:val="0"/>
      <w:marTop w:val="0"/>
      <w:marBottom w:val="0"/>
      <w:divBdr>
        <w:top w:val="none" w:sz="0" w:space="0" w:color="auto"/>
        <w:left w:val="none" w:sz="0" w:space="0" w:color="auto"/>
        <w:bottom w:val="none" w:sz="0" w:space="0" w:color="auto"/>
        <w:right w:val="none" w:sz="0" w:space="0" w:color="auto"/>
      </w:divBdr>
      <w:divsChild>
        <w:div w:id="1074279096">
          <w:marLeft w:val="0"/>
          <w:marRight w:val="0"/>
          <w:marTop w:val="480"/>
          <w:marBottom w:val="0"/>
          <w:divBdr>
            <w:top w:val="none" w:sz="0" w:space="0" w:color="auto"/>
            <w:left w:val="none" w:sz="0" w:space="0" w:color="auto"/>
            <w:bottom w:val="none" w:sz="0" w:space="0" w:color="auto"/>
            <w:right w:val="none" w:sz="0" w:space="0" w:color="auto"/>
          </w:divBdr>
        </w:div>
        <w:div w:id="1342662537">
          <w:marLeft w:val="0"/>
          <w:marRight w:val="0"/>
          <w:marTop w:val="0"/>
          <w:marBottom w:val="0"/>
          <w:divBdr>
            <w:top w:val="none" w:sz="0" w:space="0" w:color="auto"/>
            <w:left w:val="none" w:sz="0" w:space="0" w:color="auto"/>
            <w:bottom w:val="none" w:sz="0" w:space="0" w:color="auto"/>
            <w:right w:val="none" w:sz="0" w:space="0" w:color="auto"/>
          </w:divBdr>
        </w:div>
        <w:div w:id="463885055">
          <w:marLeft w:val="0"/>
          <w:marRight w:val="0"/>
          <w:marTop w:val="240"/>
          <w:marBottom w:val="0"/>
          <w:divBdr>
            <w:top w:val="none" w:sz="0" w:space="0" w:color="auto"/>
            <w:left w:val="none" w:sz="0" w:space="0" w:color="auto"/>
            <w:bottom w:val="none" w:sz="0" w:space="0" w:color="auto"/>
            <w:right w:val="none" w:sz="0" w:space="0" w:color="auto"/>
          </w:divBdr>
        </w:div>
      </w:divsChild>
    </w:div>
    <w:div w:id="275870356">
      <w:bodyDiv w:val="1"/>
      <w:marLeft w:val="0"/>
      <w:marRight w:val="0"/>
      <w:marTop w:val="0"/>
      <w:marBottom w:val="0"/>
      <w:divBdr>
        <w:top w:val="none" w:sz="0" w:space="0" w:color="auto"/>
        <w:left w:val="none" w:sz="0" w:space="0" w:color="auto"/>
        <w:bottom w:val="none" w:sz="0" w:space="0" w:color="auto"/>
        <w:right w:val="none" w:sz="0" w:space="0" w:color="auto"/>
      </w:divBdr>
      <w:divsChild>
        <w:div w:id="524637954">
          <w:marLeft w:val="0"/>
          <w:marRight w:val="0"/>
          <w:marTop w:val="0"/>
          <w:marBottom w:val="0"/>
          <w:divBdr>
            <w:top w:val="none" w:sz="0" w:space="0" w:color="auto"/>
            <w:left w:val="none" w:sz="0" w:space="0" w:color="auto"/>
            <w:bottom w:val="none" w:sz="0" w:space="0" w:color="auto"/>
            <w:right w:val="none" w:sz="0" w:space="0" w:color="auto"/>
          </w:divBdr>
          <w:divsChild>
            <w:div w:id="1972779751">
              <w:marLeft w:val="0"/>
              <w:marRight w:val="0"/>
              <w:marTop w:val="480"/>
              <w:marBottom w:val="0"/>
              <w:divBdr>
                <w:top w:val="none" w:sz="0" w:space="0" w:color="auto"/>
                <w:left w:val="none" w:sz="0" w:space="0" w:color="auto"/>
                <w:bottom w:val="none" w:sz="0" w:space="0" w:color="auto"/>
                <w:right w:val="none" w:sz="0" w:space="0" w:color="auto"/>
              </w:divBdr>
            </w:div>
            <w:div w:id="1343707536">
              <w:marLeft w:val="0"/>
              <w:marRight w:val="0"/>
              <w:marTop w:val="0"/>
              <w:marBottom w:val="0"/>
              <w:divBdr>
                <w:top w:val="none" w:sz="0" w:space="0" w:color="auto"/>
                <w:left w:val="none" w:sz="0" w:space="0" w:color="auto"/>
                <w:bottom w:val="none" w:sz="0" w:space="0" w:color="auto"/>
                <w:right w:val="none" w:sz="0" w:space="0" w:color="auto"/>
              </w:divBdr>
            </w:div>
            <w:div w:id="315496310">
              <w:marLeft w:val="0"/>
              <w:marRight w:val="0"/>
              <w:marTop w:val="240"/>
              <w:marBottom w:val="0"/>
              <w:divBdr>
                <w:top w:val="none" w:sz="0" w:space="0" w:color="auto"/>
                <w:left w:val="none" w:sz="0" w:space="0" w:color="auto"/>
                <w:bottom w:val="none" w:sz="0" w:space="0" w:color="auto"/>
                <w:right w:val="none" w:sz="0" w:space="0" w:color="auto"/>
              </w:divBdr>
            </w:div>
            <w:div w:id="444038881">
              <w:marLeft w:val="425"/>
              <w:marRight w:val="0"/>
              <w:marTop w:val="0"/>
              <w:marBottom w:val="0"/>
              <w:divBdr>
                <w:top w:val="none" w:sz="0" w:space="0" w:color="auto"/>
                <w:left w:val="none" w:sz="0" w:space="0" w:color="auto"/>
                <w:bottom w:val="none" w:sz="0" w:space="0" w:color="auto"/>
                <w:right w:val="none" w:sz="0" w:space="0" w:color="auto"/>
              </w:divBdr>
            </w:div>
            <w:div w:id="956251624">
              <w:marLeft w:val="425"/>
              <w:marRight w:val="0"/>
              <w:marTop w:val="0"/>
              <w:marBottom w:val="0"/>
              <w:divBdr>
                <w:top w:val="none" w:sz="0" w:space="0" w:color="auto"/>
                <w:left w:val="none" w:sz="0" w:space="0" w:color="auto"/>
                <w:bottom w:val="none" w:sz="0" w:space="0" w:color="auto"/>
                <w:right w:val="none" w:sz="0" w:space="0" w:color="auto"/>
              </w:divBdr>
            </w:div>
            <w:div w:id="379280322">
              <w:marLeft w:val="425"/>
              <w:marRight w:val="0"/>
              <w:marTop w:val="0"/>
              <w:marBottom w:val="0"/>
              <w:divBdr>
                <w:top w:val="none" w:sz="0" w:space="0" w:color="auto"/>
                <w:left w:val="none" w:sz="0" w:space="0" w:color="auto"/>
                <w:bottom w:val="none" w:sz="0" w:space="0" w:color="auto"/>
                <w:right w:val="none" w:sz="0" w:space="0" w:color="auto"/>
              </w:divBdr>
            </w:div>
            <w:div w:id="1062488123">
              <w:marLeft w:val="425"/>
              <w:marRight w:val="0"/>
              <w:marTop w:val="0"/>
              <w:marBottom w:val="0"/>
              <w:divBdr>
                <w:top w:val="none" w:sz="0" w:space="0" w:color="auto"/>
                <w:left w:val="none" w:sz="0" w:space="0" w:color="auto"/>
                <w:bottom w:val="none" w:sz="0" w:space="0" w:color="auto"/>
                <w:right w:val="none" w:sz="0" w:space="0" w:color="auto"/>
              </w:divBdr>
            </w:div>
          </w:divsChild>
        </w:div>
        <w:div w:id="1716276542">
          <w:marLeft w:val="0"/>
          <w:marRight w:val="0"/>
          <w:marTop w:val="0"/>
          <w:marBottom w:val="0"/>
          <w:divBdr>
            <w:top w:val="none" w:sz="0" w:space="0" w:color="auto"/>
            <w:left w:val="none" w:sz="0" w:space="0" w:color="auto"/>
            <w:bottom w:val="none" w:sz="0" w:space="0" w:color="auto"/>
            <w:right w:val="none" w:sz="0" w:space="0" w:color="auto"/>
          </w:divBdr>
          <w:divsChild>
            <w:div w:id="2109616387">
              <w:marLeft w:val="0"/>
              <w:marRight w:val="0"/>
              <w:marTop w:val="480"/>
              <w:marBottom w:val="0"/>
              <w:divBdr>
                <w:top w:val="none" w:sz="0" w:space="0" w:color="auto"/>
                <w:left w:val="none" w:sz="0" w:space="0" w:color="auto"/>
                <w:bottom w:val="none" w:sz="0" w:space="0" w:color="auto"/>
                <w:right w:val="none" w:sz="0" w:space="0" w:color="auto"/>
              </w:divBdr>
            </w:div>
            <w:div w:id="1502769586">
              <w:marLeft w:val="0"/>
              <w:marRight w:val="0"/>
              <w:marTop w:val="0"/>
              <w:marBottom w:val="0"/>
              <w:divBdr>
                <w:top w:val="none" w:sz="0" w:space="0" w:color="auto"/>
                <w:left w:val="none" w:sz="0" w:space="0" w:color="auto"/>
                <w:bottom w:val="none" w:sz="0" w:space="0" w:color="auto"/>
                <w:right w:val="none" w:sz="0" w:space="0" w:color="auto"/>
              </w:divBdr>
            </w:div>
            <w:div w:id="1740472072">
              <w:marLeft w:val="0"/>
              <w:marRight w:val="0"/>
              <w:marTop w:val="240"/>
              <w:marBottom w:val="0"/>
              <w:divBdr>
                <w:top w:val="none" w:sz="0" w:space="0" w:color="auto"/>
                <w:left w:val="none" w:sz="0" w:space="0" w:color="auto"/>
                <w:bottom w:val="none" w:sz="0" w:space="0" w:color="auto"/>
                <w:right w:val="none" w:sz="0" w:space="0" w:color="auto"/>
              </w:divBdr>
            </w:div>
            <w:div w:id="96367857">
              <w:marLeft w:val="0"/>
              <w:marRight w:val="0"/>
              <w:marTop w:val="240"/>
              <w:marBottom w:val="0"/>
              <w:divBdr>
                <w:top w:val="none" w:sz="0" w:space="0" w:color="auto"/>
                <w:left w:val="none" w:sz="0" w:space="0" w:color="auto"/>
                <w:bottom w:val="none" w:sz="0" w:space="0" w:color="auto"/>
                <w:right w:val="none" w:sz="0" w:space="0" w:color="auto"/>
              </w:divBdr>
            </w:div>
          </w:divsChild>
        </w:div>
        <w:div w:id="1162618269">
          <w:marLeft w:val="0"/>
          <w:marRight w:val="0"/>
          <w:marTop w:val="0"/>
          <w:marBottom w:val="0"/>
          <w:divBdr>
            <w:top w:val="none" w:sz="0" w:space="0" w:color="auto"/>
            <w:left w:val="none" w:sz="0" w:space="0" w:color="auto"/>
            <w:bottom w:val="none" w:sz="0" w:space="0" w:color="auto"/>
            <w:right w:val="none" w:sz="0" w:space="0" w:color="auto"/>
          </w:divBdr>
          <w:divsChild>
            <w:div w:id="1530333675">
              <w:marLeft w:val="0"/>
              <w:marRight w:val="0"/>
              <w:marTop w:val="480"/>
              <w:marBottom w:val="0"/>
              <w:divBdr>
                <w:top w:val="none" w:sz="0" w:space="0" w:color="auto"/>
                <w:left w:val="none" w:sz="0" w:space="0" w:color="auto"/>
                <w:bottom w:val="none" w:sz="0" w:space="0" w:color="auto"/>
                <w:right w:val="none" w:sz="0" w:space="0" w:color="auto"/>
              </w:divBdr>
            </w:div>
            <w:div w:id="437523787">
              <w:marLeft w:val="0"/>
              <w:marRight w:val="0"/>
              <w:marTop w:val="0"/>
              <w:marBottom w:val="0"/>
              <w:divBdr>
                <w:top w:val="none" w:sz="0" w:space="0" w:color="auto"/>
                <w:left w:val="none" w:sz="0" w:space="0" w:color="auto"/>
                <w:bottom w:val="none" w:sz="0" w:space="0" w:color="auto"/>
                <w:right w:val="none" w:sz="0" w:space="0" w:color="auto"/>
              </w:divBdr>
            </w:div>
            <w:div w:id="1975282751">
              <w:marLeft w:val="0"/>
              <w:marRight w:val="0"/>
              <w:marTop w:val="240"/>
              <w:marBottom w:val="0"/>
              <w:divBdr>
                <w:top w:val="none" w:sz="0" w:space="0" w:color="auto"/>
                <w:left w:val="none" w:sz="0" w:space="0" w:color="auto"/>
                <w:bottom w:val="none" w:sz="0" w:space="0" w:color="auto"/>
                <w:right w:val="none" w:sz="0" w:space="0" w:color="auto"/>
              </w:divBdr>
            </w:div>
            <w:div w:id="1355158311">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302584064">
      <w:bodyDiv w:val="1"/>
      <w:marLeft w:val="0"/>
      <w:marRight w:val="0"/>
      <w:marTop w:val="0"/>
      <w:marBottom w:val="0"/>
      <w:divBdr>
        <w:top w:val="none" w:sz="0" w:space="0" w:color="auto"/>
        <w:left w:val="none" w:sz="0" w:space="0" w:color="auto"/>
        <w:bottom w:val="none" w:sz="0" w:space="0" w:color="auto"/>
        <w:right w:val="none" w:sz="0" w:space="0" w:color="auto"/>
      </w:divBdr>
      <w:divsChild>
        <w:div w:id="1975868853">
          <w:marLeft w:val="0"/>
          <w:marRight w:val="0"/>
          <w:marTop w:val="0"/>
          <w:marBottom w:val="0"/>
          <w:divBdr>
            <w:top w:val="none" w:sz="0" w:space="0" w:color="auto"/>
            <w:left w:val="none" w:sz="0" w:space="0" w:color="auto"/>
            <w:bottom w:val="none" w:sz="0" w:space="0" w:color="auto"/>
            <w:right w:val="none" w:sz="0" w:space="0" w:color="auto"/>
          </w:divBdr>
        </w:div>
      </w:divsChild>
    </w:div>
    <w:div w:id="303510948">
      <w:bodyDiv w:val="1"/>
      <w:marLeft w:val="0"/>
      <w:marRight w:val="0"/>
      <w:marTop w:val="0"/>
      <w:marBottom w:val="0"/>
      <w:divBdr>
        <w:top w:val="none" w:sz="0" w:space="0" w:color="auto"/>
        <w:left w:val="none" w:sz="0" w:space="0" w:color="auto"/>
        <w:bottom w:val="none" w:sz="0" w:space="0" w:color="auto"/>
        <w:right w:val="none" w:sz="0" w:space="0" w:color="auto"/>
      </w:divBdr>
      <w:divsChild>
        <w:div w:id="1313024738">
          <w:marLeft w:val="0"/>
          <w:marRight w:val="0"/>
          <w:marTop w:val="0"/>
          <w:marBottom w:val="0"/>
          <w:divBdr>
            <w:top w:val="none" w:sz="0" w:space="0" w:color="auto"/>
            <w:left w:val="none" w:sz="0" w:space="0" w:color="auto"/>
            <w:bottom w:val="none" w:sz="0" w:space="0" w:color="auto"/>
            <w:right w:val="none" w:sz="0" w:space="0" w:color="auto"/>
          </w:divBdr>
          <w:divsChild>
            <w:div w:id="1372917980">
              <w:marLeft w:val="0"/>
              <w:marRight w:val="0"/>
              <w:marTop w:val="480"/>
              <w:marBottom w:val="0"/>
              <w:divBdr>
                <w:top w:val="none" w:sz="0" w:space="0" w:color="auto"/>
                <w:left w:val="none" w:sz="0" w:space="0" w:color="auto"/>
                <w:bottom w:val="none" w:sz="0" w:space="0" w:color="auto"/>
                <w:right w:val="none" w:sz="0" w:space="0" w:color="auto"/>
              </w:divBdr>
            </w:div>
            <w:div w:id="1226335246">
              <w:marLeft w:val="0"/>
              <w:marRight w:val="0"/>
              <w:marTop w:val="0"/>
              <w:marBottom w:val="0"/>
              <w:divBdr>
                <w:top w:val="none" w:sz="0" w:space="0" w:color="auto"/>
                <w:left w:val="none" w:sz="0" w:space="0" w:color="auto"/>
                <w:bottom w:val="none" w:sz="0" w:space="0" w:color="auto"/>
                <w:right w:val="none" w:sz="0" w:space="0" w:color="auto"/>
              </w:divBdr>
            </w:div>
            <w:div w:id="142549483">
              <w:marLeft w:val="0"/>
              <w:marRight w:val="0"/>
              <w:marTop w:val="240"/>
              <w:marBottom w:val="0"/>
              <w:divBdr>
                <w:top w:val="none" w:sz="0" w:space="0" w:color="auto"/>
                <w:left w:val="none" w:sz="0" w:space="0" w:color="auto"/>
                <w:bottom w:val="none" w:sz="0" w:space="0" w:color="auto"/>
                <w:right w:val="none" w:sz="0" w:space="0" w:color="auto"/>
              </w:divBdr>
            </w:div>
            <w:div w:id="1444153379">
              <w:marLeft w:val="425"/>
              <w:marRight w:val="0"/>
              <w:marTop w:val="0"/>
              <w:marBottom w:val="0"/>
              <w:divBdr>
                <w:top w:val="none" w:sz="0" w:space="0" w:color="auto"/>
                <w:left w:val="none" w:sz="0" w:space="0" w:color="auto"/>
                <w:bottom w:val="none" w:sz="0" w:space="0" w:color="auto"/>
                <w:right w:val="none" w:sz="0" w:space="0" w:color="auto"/>
              </w:divBdr>
            </w:div>
            <w:div w:id="775371142">
              <w:marLeft w:val="425"/>
              <w:marRight w:val="0"/>
              <w:marTop w:val="0"/>
              <w:marBottom w:val="0"/>
              <w:divBdr>
                <w:top w:val="none" w:sz="0" w:space="0" w:color="auto"/>
                <w:left w:val="none" w:sz="0" w:space="0" w:color="auto"/>
                <w:bottom w:val="none" w:sz="0" w:space="0" w:color="auto"/>
                <w:right w:val="none" w:sz="0" w:space="0" w:color="auto"/>
              </w:divBdr>
            </w:div>
            <w:div w:id="1807501738">
              <w:marLeft w:val="425"/>
              <w:marRight w:val="0"/>
              <w:marTop w:val="0"/>
              <w:marBottom w:val="0"/>
              <w:divBdr>
                <w:top w:val="none" w:sz="0" w:space="0" w:color="auto"/>
                <w:left w:val="none" w:sz="0" w:space="0" w:color="auto"/>
                <w:bottom w:val="none" w:sz="0" w:space="0" w:color="auto"/>
                <w:right w:val="none" w:sz="0" w:space="0" w:color="auto"/>
              </w:divBdr>
            </w:div>
            <w:div w:id="393937225">
              <w:marLeft w:val="425"/>
              <w:marRight w:val="0"/>
              <w:marTop w:val="0"/>
              <w:marBottom w:val="0"/>
              <w:divBdr>
                <w:top w:val="none" w:sz="0" w:space="0" w:color="auto"/>
                <w:left w:val="none" w:sz="0" w:space="0" w:color="auto"/>
                <w:bottom w:val="none" w:sz="0" w:space="0" w:color="auto"/>
                <w:right w:val="none" w:sz="0" w:space="0" w:color="auto"/>
              </w:divBdr>
            </w:div>
            <w:div w:id="1285580958">
              <w:marLeft w:val="425"/>
              <w:marRight w:val="0"/>
              <w:marTop w:val="0"/>
              <w:marBottom w:val="0"/>
              <w:divBdr>
                <w:top w:val="none" w:sz="0" w:space="0" w:color="auto"/>
                <w:left w:val="none" w:sz="0" w:space="0" w:color="auto"/>
                <w:bottom w:val="none" w:sz="0" w:space="0" w:color="auto"/>
                <w:right w:val="none" w:sz="0" w:space="0" w:color="auto"/>
              </w:divBdr>
            </w:div>
            <w:div w:id="204562193">
              <w:marLeft w:val="425"/>
              <w:marRight w:val="0"/>
              <w:marTop w:val="0"/>
              <w:marBottom w:val="0"/>
              <w:divBdr>
                <w:top w:val="none" w:sz="0" w:space="0" w:color="auto"/>
                <w:left w:val="none" w:sz="0" w:space="0" w:color="auto"/>
                <w:bottom w:val="none" w:sz="0" w:space="0" w:color="auto"/>
                <w:right w:val="none" w:sz="0" w:space="0" w:color="auto"/>
              </w:divBdr>
            </w:div>
            <w:div w:id="607546895">
              <w:marLeft w:val="425"/>
              <w:marRight w:val="0"/>
              <w:marTop w:val="0"/>
              <w:marBottom w:val="0"/>
              <w:divBdr>
                <w:top w:val="none" w:sz="0" w:space="0" w:color="auto"/>
                <w:left w:val="none" w:sz="0" w:space="0" w:color="auto"/>
                <w:bottom w:val="none" w:sz="0" w:space="0" w:color="auto"/>
                <w:right w:val="none" w:sz="0" w:space="0" w:color="auto"/>
              </w:divBdr>
            </w:div>
            <w:div w:id="1510438467">
              <w:marLeft w:val="425"/>
              <w:marRight w:val="0"/>
              <w:marTop w:val="0"/>
              <w:marBottom w:val="0"/>
              <w:divBdr>
                <w:top w:val="none" w:sz="0" w:space="0" w:color="auto"/>
                <w:left w:val="none" w:sz="0" w:space="0" w:color="auto"/>
                <w:bottom w:val="none" w:sz="0" w:space="0" w:color="auto"/>
                <w:right w:val="none" w:sz="0" w:space="0" w:color="auto"/>
              </w:divBdr>
            </w:div>
            <w:div w:id="536940853">
              <w:marLeft w:val="0"/>
              <w:marRight w:val="0"/>
              <w:marTop w:val="240"/>
              <w:marBottom w:val="0"/>
              <w:divBdr>
                <w:top w:val="none" w:sz="0" w:space="0" w:color="auto"/>
                <w:left w:val="none" w:sz="0" w:space="0" w:color="auto"/>
                <w:bottom w:val="none" w:sz="0" w:space="0" w:color="auto"/>
                <w:right w:val="none" w:sz="0" w:space="0" w:color="auto"/>
              </w:divBdr>
            </w:div>
            <w:div w:id="428894789">
              <w:marLeft w:val="425"/>
              <w:marRight w:val="0"/>
              <w:marTop w:val="0"/>
              <w:marBottom w:val="0"/>
              <w:divBdr>
                <w:top w:val="none" w:sz="0" w:space="0" w:color="auto"/>
                <w:left w:val="none" w:sz="0" w:space="0" w:color="auto"/>
                <w:bottom w:val="none" w:sz="0" w:space="0" w:color="auto"/>
                <w:right w:val="none" w:sz="0" w:space="0" w:color="auto"/>
              </w:divBdr>
            </w:div>
            <w:div w:id="103312809">
              <w:marLeft w:val="425"/>
              <w:marRight w:val="0"/>
              <w:marTop w:val="0"/>
              <w:marBottom w:val="0"/>
              <w:divBdr>
                <w:top w:val="none" w:sz="0" w:space="0" w:color="auto"/>
                <w:left w:val="none" w:sz="0" w:space="0" w:color="auto"/>
                <w:bottom w:val="none" w:sz="0" w:space="0" w:color="auto"/>
                <w:right w:val="none" w:sz="0" w:space="0" w:color="auto"/>
              </w:divBdr>
            </w:div>
            <w:div w:id="207494176">
              <w:marLeft w:val="425"/>
              <w:marRight w:val="0"/>
              <w:marTop w:val="0"/>
              <w:marBottom w:val="0"/>
              <w:divBdr>
                <w:top w:val="none" w:sz="0" w:space="0" w:color="auto"/>
                <w:left w:val="none" w:sz="0" w:space="0" w:color="auto"/>
                <w:bottom w:val="none" w:sz="0" w:space="0" w:color="auto"/>
                <w:right w:val="none" w:sz="0" w:space="0" w:color="auto"/>
              </w:divBdr>
            </w:div>
            <w:div w:id="192885205">
              <w:marLeft w:val="425"/>
              <w:marRight w:val="0"/>
              <w:marTop w:val="0"/>
              <w:marBottom w:val="0"/>
              <w:divBdr>
                <w:top w:val="none" w:sz="0" w:space="0" w:color="auto"/>
                <w:left w:val="none" w:sz="0" w:space="0" w:color="auto"/>
                <w:bottom w:val="none" w:sz="0" w:space="0" w:color="auto"/>
                <w:right w:val="none" w:sz="0" w:space="0" w:color="auto"/>
              </w:divBdr>
            </w:div>
            <w:div w:id="1022172067">
              <w:marLeft w:val="425"/>
              <w:marRight w:val="0"/>
              <w:marTop w:val="0"/>
              <w:marBottom w:val="0"/>
              <w:divBdr>
                <w:top w:val="none" w:sz="0" w:space="0" w:color="auto"/>
                <w:left w:val="none" w:sz="0" w:space="0" w:color="auto"/>
                <w:bottom w:val="none" w:sz="0" w:space="0" w:color="auto"/>
                <w:right w:val="none" w:sz="0" w:space="0" w:color="auto"/>
              </w:divBdr>
            </w:div>
          </w:divsChild>
        </w:div>
        <w:div w:id="1559391967">
          <w:marLeft w:val="0"/>
          <w:marRight w:val="0"/>
          <w:marTop w:val="0"/>
          <w:marBottom w:val="0"/>
          <w:divBdr>
            <w:top w:val="none" w:sz="0" w:space="0" w:color="auto"/>
            <w:left w:val="none" w:sz="0" w:space="0" w:color="auto"/>
            <w:bottom w:val="none" w:sz="0" w:space="0" w:color="auto"/>
            <w:right w:val="none" w:sz="0" w:space="0" w:color="auto"/>
          </w:divBdr>
          <w:divsChild>
            <w:div w:id="683746269">
              <w:marLeft w:val="0"/>
              <w:marRight w:val="0"/>
              <w:marTop w:val="480"/>
              <w:marBottom w:val="0"/>
              <w:divBdr>
                <w:top w:val="none" w:sz="0" w:space="0" w:color="auto"/>
                <w:left w:val="none" w:sz="0" w:space="0" w:color="auto"/>
                <w:bottom w:val="none" w:sz="0" w:space="0" w:color="auto"/>
                <w:right w:val="none" w:sz="0" w:space="0" w:color="auto"/>
              </w:divBdr>
            </w:div>
          </w:divsChild>
        </w:div>
        <w:div w:id="416755840">
          <w:marLeft w:val="0"/>
          <w:marRight w:val="0"/>
          <w:marTop w:val="0"/>
          <w:marBottom w:val="0"/>
          <w:divBdr>
            <w:top w:val="none" w:sz="0" w:space="0" w:color="auto"/>
            <w:left w:val="none" w:sz="0" w:space="0" w:color="auto"/>
            <w:bottom w:val="none" w:sz="0" w:space="0" w:color="auto"/>
            <w:right w:val="none" w:sz="0" w:space="0" w:color="auto"/>
          </w:divBdr>
          <w:divsChild>
            <w:div w:id="2057659266">
              <w:marLeft w:val="0"/>
              <w:marRight w:val="0"/>
              <w:marTop w:val="480"/>
              <w:marBottom w:val="0"/>
              <w:divBdr>
                <w:top w:val="none" w:sz="0" w:space="0" w:color="auto"/>
                <w:left w:val="none" w:sz="0" w:space="0" w:color="auto"/>
                <w:bottom w:val="none" w:sz="0" w:space="0" w:color="auto"/>
                <w:right w:val="none" w:sz="0" w:space="0" w:color="auto"/>
              </w:divBdr>
            </w:div>
          </w:divsChild>
        </w:div>
        <w:div w:id="440608070">
          <w:marLeft w:val="0"/>
          <w:marRight w:val="0"/>
          <w:marTop w:val="0"/>
          <w:marBottom w:val="0"/>
          <w:divBdr>
            <w:top w:val="none" w:sz="0" w:space="0" w:color="auto"/>
            <w:left w:val="none" w:sz="0" w:space="0" w:color="auto"/>
            <w:bottom w:val="none" w:sz="0" w:space="0" w:color="auto"/>
            <w:right w:val="none" w:sz="0" w:space="0" w:color="auto"/>
          </w:divBdr>
          <w:divsChild>
            <w:div w:id="635111460">
              <w:marLeft w:val="0"/>
              <w:marRight w:val="0"/>
              <w:marTop w:val="480"/>
              <w:marBottom w:val="0"/>
              <w:divBdr>
                <w:top w:val="none" w:sz="0" w:space="0" w:color="auto"/>
                <w:left w:val="none" w:sz="0" w:space="0" w:color="auto"/>
                <w:bottom w:val="none" w:sz="0" w:space="0" w:color="auto"/>
                <w:right w:val="none" w:sz="0" w:space="0" w:color="auto"/>
              </w:divBdr>
            </w:div>
            <w:div w:id="1372263584">
              <w:marLeft w:val="0"/>
              <w:marRight w:val="0"/>
              <w:marTop w:val="0"/>
              <w:marBottom w:val="0"/>
              <w:divBdr>
                <w:top w:val="none" w:sz="0" w:space="0" w:color="auto"/>
                <w:left w:val="none" w:sz="0" w:space="0" w:color="auto"/>
                <w:bottom w:val="none" w:sz="0" w:space="0" w:color="auto"/>
                <w:right w:val="none" w:sz="0" w:space="0" w:color="auto"/>
              </w:divBdr>
            </w:div>
            <w:div w:id="1095248491">
              <w:marLeft w:val="0"/>
              <w:marRight w:val="0"/>
              <w:marTop w:val="240"/>
              <w:marBottom w:val="0"/>
              <w:divBdr>
                <w:top w:val="none" w:sz="0" w:space="0" w:color="auto"/>
                <w:left w:val="none" w:sz="0" w:space="0" w:color="auto"/>
                <w:bottom w:val="none" w:sz="0" w:space="0" w:color="auto"/>
                <w:right w:val="none" w:sz="0" w:space="0" w:color="auto"/>
              </w:divBdr>
            </w:div>
            <w:div w:id="1366952542">
              <w:marLeft w:val="425"/>
              <w:marRight w:val="0"/>
              <w:marTop w:val="0"/>
              <w:marBottom w:val="0"/>
              <w:divBdr>
                <w:top w:val="none" w:sz="0" w:space="0" w:color="auto"/>
                <w:left w:val="none" w:sz="0" w:space="0" w:color="auto"/>
                <w:bottom w:val="none" w:sz="0" w:space="0" w:color="auto"/>
                <w:right w:val="none" w:sz="0" w:space="0" w:color="auto"/>
              </w:divBdr>
            </w:div>
            <w:div w:id="985936390">
              <w:marLeft w:val="425"/>
              <w:marRight w:val="0"/>
              <w:marTop w:val="0"/>
              <w:marBottom w:val="0"/>
              <w:divBdr>
                <w:top w:val="none" w:sz="0" w:space="0" w:color="auto"/>
                <w:left w:val="none" w:sz="0" w:space="0" w:color="auto"/>
                <w:bottom w:val="none" w:sz="0" w:space="0" w:color="auto"/>
                <w:right w:val="none" w:sz="0" w:space="0" w:color="auto"/>
              </w:divBdr>
            </w:div>
            <w:div w:id="895287525">
              <w:marLeft w:val="425"/>
              <w:marRight w:val="0"/>
              <w:marTop w:val="0"/>
              <w:marBottom w:val="0"/>
              <w:divBdr>
                <w:top w:val="none" w:sz="0" w:space="0" w:color="auto"/>
                <w:left w:val="none" w:sz="0" w:space="0" w:color="auto"/>
                <w:bottom w:val="none" w:sz="0" w:space="0" w:color="auto"/>
                <w:right w:val="none" w:sz="0" w:space="0" w:color="auto"/>
              </w:divBdr>
            </w:div>
            <w:div w:id="1812014554">
              <w:marLeft w:val="425"/>
              <w:marRight w:val="0"/>
              <w:marTop w:val="0"/>
              <w:marBottom w:val="0"/>
              <w:divBdr>
                <w:top w:val="none" w:sz="0" w:space="0" w:color="auto"/>
                <w:left w:val="none" w:sz="0" w:space="0" w:color="auto"/>
                <w:bottom w:val="none" w:sz="0" w:space="0" w:color="auto"/>
                <w:right w:val="none" w:sz="0" w:space="0" w:color="auto"/>
              </w:divBdr>
            </w:div>
            <w:div w:id="816994132">
              <w:marLeft w:val="0"/>
              <w:marRight w:val="0"/>
              <w:marTop w:val="240"/>
              <w:marBottom w:val="0"/>
              <w:divBdr>
                <w:top w:val="none" w:sz="0" w:space="0" w:color="auto"/>
                <w:left w:val="none" w:sz="0" w:space="0" w:color="auto"/>
                <w:bottom w:val="none" w:sz="0" w:space="0" w:color="auto"/>
                <w:right w:val="none" w:sz="0" w:space="0" w:color="auto"/>
              </w:divBdr>
            </w:div>
            <w:div w:id="1242523515">
              <w:marLeft w:val="425"/>
              <w:marRight w:val="0"/>
              <w:marTop w:val="0"/>
              <w:marBottom w:val="0"/>
              <w:divBdr>
                <w:top w:val="none" w:sz="0" w:space="0" w:color="auto"/>
                <w:left w:val="none" w:sz="0" w:space="0" w:color="auto"/>
                <w:bottom w:val="none" w:sz="0" w:space="0" w:color="auto"/>
                <w:right w:val="none" w:sz="0" w:space="0" w:color="auto"/>
              </w:divBdr>
            </w:div>
            <w:div w:id="305283421">
              <w:marLeft w:val="425"/>
              <w:marRight w:val="0"/>
              <w:marTop w:val="0"/>
              <w:marBottom w:val="0"/>
              <w:divBdr>
                <w:top w:val="none" w:sz="0" w:space="0" w:color="auto"/>
                <w:left w:val="none" w:sz="0" w:space="0" w:color="auto"/>
                <w:bottom w:val="none" w:sz="0" w:space="0" w:color="auto"/>
                <w:right w:val="none" w:sz="0" w:space="0" w:color="auto"/>
              </w:divBdr>
            </w:div>
            <w:div w:id="378628140">
              <w:marLeft w:val="425"/>
              <w:marRight w:val="0"/>
              <w:marTop w:val="0"/>
              <w:marBottom w:val="0"/>
              <w:divBdr>
                <w:top w:val="none" w:sz="0" w:space="0" w:color="auto"/>
                <w:left w:val="none" w:sz="0" w:space="0" w:color="auto"/>
                <w:bottom w:val="none" w:sz="0" w:space="0" w:color="auto"/>
                <w:right w:val="none" w:sz="0" w:space="0" w:color="auto"/>
              </w:divBdr>
            </w:div>
            <w:div w:id="1947226775">
              <w:marLeft w:val="425"/>
              <w:marRight w:val="0"/>
              <w:marTop w:val="0"/>
              <w:marBottom w:val="0"/>
              <w:divBdr>
                <w:top w:val="none" w:sz="0" w:space="0" w:color="auto"/>
                <w:left w:val="none" w:sz="0" w:space="0" w:color="auto"/>
                <w:bottom w:val="none" w:sz="0" w:space="0" w:color="auto"/>
                <w:right w:val="none" w:sz="0" w:space="0" w:color="auto"/>
              </w:divBdr>
            </w:div>
            <w:div w:id="2058120389">
              <w:marLeft w:val="425"/>
              <w:marRight w:val="0"/>
              <w:marTop w:val="0"/>
              <w:marBottom w:val="0"/>
              <w:divBdr>
                <w:top w:val="none" w:sz="0" w:space="0" w:color="auto"/>
                <w:left w:val="none" w:sz="0" w:space="0" w:color="auto"/>
                <w:bottom w:val="none" w:sz="0" w:space="0" w:color="auto"/>
                <w:right w:val="none" w:sz="0" w:space="0" w:color="auto"/>
              </w:divBdr>
            </w:div>
            <w:div w:id="1554074663">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361058452">
      <w:bodyDiv w:val="1"/>
      <w:marLeft w:val="0"/>
      <w:marRight w:val="0"/>
      <w:marTop w:val="0"/>
      <w:marBottom w:val="0"/>
      <w:divBdr>
        <w:top w:val="none" w:sz="0" w:space="0" w:color="auto"/>
        <w:left w:val="none" w:sz="0" w:space="0" w:color="auto"/>
        <w:bottom w:val="none" w:sz="0" w:space="0" w:color="auto"/>
        <w:right w:val="none" w:sz="0" w:space="0" w:color="auto"/>
      </w:divBdr>
      <w:divsChild>
        <w:div w:id="25911135">
          <w:marLeft w:val="0"/>
          <w:marRight w:val="0"/>
          <w:marTop w:val="480"/>
          <w:marBottom w:val="0"/>
          <w:divBdr>
            <w:top w:val="none" w:sz="0" w:space="0" w:color="auto"/>
            <w:left w:val="none" w:sz="0" w:space="0" w:color="auto"/>
            <w:bottom w:val="none" w:sz="0" w:space="0" w:color="auto"/>
            <w:right w:val="none" w:sz="0" w:space="0" w:color="auto"/>
          </w:divBdr>
        </w:div>
        <w:div w:id="1422028052">
          <w:marLeft w:val="0"/>
          <w:marRight w:val="0"/>
          <w:marTop w:val="0"/>
          <w:marBottom w:val="0"/>
          <w:divBdr>
            <w:top w:val="none" w:sz="0" w:space="0" w:color="auto"/>
            <w:left w:val="none" w:sz="0" w:space="0" w:color="auto"/>
            <w:bottom w:val="none" w:sz="0" w:space="0" w:color="auto"/>
            <w:right w:val="none" w:sz="0" w:space="0" w:color="auto"/>
          </w:divBdr>
        </w:div>
        <w:div w:id="1300040051">
          <w:marLeft w:val="0"/>
          <w:marRight w:val="0"/>
          <w:marTop w:val="240"/>
          <w:marBottom w:val="0"/>
          <w:divBdr>
            <w:top w:val="none" w:sz="0" w:space="0" w:color="auto"/>
            <w:left w:val="none" w:sz="0" w:space="0" w:color="auto"/>
            <w:bottom w:val="none" w:sz="0" w:space="0" w:color="auto"/>
            <w:right w:val="none" w:sz="0" w:space="0" w:color="auto"/>
          </w:divBdr>
        </w:div>
      </w:divsChild>
    </w:div>
    <w:div w:id="361327352">
      <w:bodyDiv w:val="1"/>
      <w:marLeft w:val="0"/>
      <w:marRight w:val="0"/>
      <w:marTop w:val="0"/>
      <w:marBottom w:val="0"/>
      <w:divBdr>
        <w:top w:val="none" w:sz="0" w:space="0" w:color="auto"/>
        <w:left w:val="none" w:sz="0" w:space="0" w:color="auto"/>
        <w:bottom w:val="none" w:sz="0" w:space="0" w:color="auto"/>
        <w:right w:val="none" w:sz="0" w:space="0" w:color="auto"/>
      </w:divBdr>
    </w:div>
    <w:div w:id="363948176">
      <w:bodyDiv w:val="1"/>
      <w:marLeft w:val="0"/>
      <w:marRight w:val="0"/>
      <w:marTop w:val="0"/>
      <w:marBottom w:val="0"/>
      <w:divBdr>
        <w:top w:val="none" w:sz="0" w:space="0" w:color="auto"/>
        <w:left w:val="none" w:sz="0" w:space="0" w:color="auto"/>
        <w:bottom w:val="none" w:sz="0" w:space="0" w:color="auto"/>
        <w:right w:val="none" w:sz="0" w:space="0" w:color="auto"/>
      </w:divBdr>
    </w:div>
    <w:div w:id="365452907">
      <w:bodyDiv w:val="1"/>
      <w:marLeft w:val="0"/>
      <w:marRight w:val="0"/>
      <w:marTop w:val="0"/>
      <w:marBottom w:val="0"/>
      <w:divBdr>
        <w:top w:val="none" w:sz="0" w:space="0" w:color="auto"/>
        <w:left w:val="none" w:sz="0" w:space="0" w:color="auto"/>
        <w:bottom w:val="none" w:sz="0" w:space="0" w:color="auto"/>
        <w:right w:val="none" w:sz="0" w:space="0" w:color="auto"/>
      </w:divBdr>
      <w:divsChild>
        <w:div w:id="1658802863">
          <w:marLeft w:val="0"/>
          <w:marRight w:val="0"/>
          <w:marTop w:val="0"/>
          <w:marBottom w:val="0"/>
          <w:divBdr>
            <w:top w:val="none" w:sz="0" w:space="0" w:color="auto"/>
            <w:left w:val="none" w:sz="0" w:space="0" w:color="auto"/>
            <w:bottom w:val="none" w:sz="0" w:space="0" w:color="auto"/>
            <w:right w:val="none" w:sz="0" w:space="0" w:color="auto"/>
          </w:divBdr>
        </w:div>
      </w:divsChild>
    </w:div>
    <w:div w:id="366569063">
      <w:bodyDiv w:val="1"/>
      <w:marLeft w:val="0"/>
      <w:marRight w:val="0"/>
      <w:marTop w:val="0"/>
      <w:marBottom w:val="0"/>
      <w:divBdr>
        <w:top w:val="none" w:sz="0" w:space="0" w:color="auto"/>
        <w:left w:val="none" w:sz="0" w:space="0" w:color="auto"/>
        <w:bottom w:val="none" w:sz="0" w:space="0" w:color="auto"/>
        <w:right w:val="none" w:sz="0" w:space="0" w:color="auto"/>
      </w:divBdr>
    </w:div>
    <w:div w:id="376322814">
      <w:bodyDiv w:val="1"/>
      <w:marLeft w:val="0"/>
      <w:marRight w:val="0"/>
      <w:marTop w:val="0"/>
      <w:marBottom w:val="0"/>
      <w:divBdr>
        <w:top w:val="none" w:sz="0" w:space="0" w:color="auto"/>
        <w:left w:val="none" w:sz="0" w:space="0" w:color="auto"/>
        <w:bottom w:val="none" w:sz="0" w:space="0" w:color="auto"/>
        <w:right w:val="none" w:sz="0" w:space="0" w:color="auto"/>
      </w:divBdr>
    </w:div>
    <w:div w:id="380523468">
      <w:bodyDiv w:val="1"/>
      <w:marLeft w:val="0"/>
      <w:marRight w:val="0"/>
      <w:marTop w:val="0"/>
      <w:marBottom w:val="0"/>
      <w:divBdr>
        <w:top w:val="none" w:sz="0" w:space="0" w:color="auto"/>
        <w:left w:val="none" w:sz="0" w:space="0" w:color="auto"/>
        <w:bottom w:val="none" w:sz="0" w:space="0" w:color="auto"/>
        <w:right w:val="none" w:sz="0" w:space="0" w:color="auto"/>
      </w:divBdr>
    </w:div>
    <w:div w:id="381947652">
      <w:bodyDiv w:val="1"/>
      <w:marLeft w:val="0"/>
      <w:marRight w:val="0"/>
      <w:marTop w:val="0"/>
      <w:marBottom w:val="0"/>
      <w:divBdr>
        <w:top w:val="none" w:sz="0" w:space="0" w:color="auto"/>
        <w:left w:val="none" w:sz="0" w:space="0" w:color="auto"/>
        <w:bottom w:val="none" w:sz="0" w:space="0" w:color="auto"/>
        <w:right w:val="none" w:sz="0" w:space="0" w:color="auto"/>
      </w:divBdr>
    </w:div>
    <w:div w:id="408308570">
      <w:bodyDiv w:val="1"/>
      <w:marLeft w:val="0"/>
      <w:marRight w:val="0"/>
      <w:marTop w:val="0"/>
      <w:marBottom w:val="0"/>
      <w:divBdr>
        <w:top w:val="none" w:sz="0" w:space="0" w:color="auto"/>
        <w:left w:val="none" w:sz="0" w:space="0" w:color="auto"/>
        <w:bottom w:val="none" w:sz="0" w:space="0" w:color="auto"/>
        <w:right w:val="none" w:sz="0" w:space="0" w:color="auto"/>
      </w:divBdr>
      <w:divsChild>
        <w:div w:id="400561909">
          <w:marLeft w:val="0"/>
          <w:marRight w:val="0"/>
          <w:marTop w:val="480"/>
          <w:marBottom w:val="0"/>
          <w:divBdr>
            <w:top w:val="none" w:sz="0" w:space="0" w:color="auto"/>
            <w:left w:val="none" w:sz="0" w:space="0" w:color="auto"/>
            <w:bottom w:val="none" w:sz="0" w:space="0" w:color="auto"/>
            <w:right w:val="none" w:sz="0" w:space="0" w:color="auto"/>
          </w:divBdr>
        </w:div>
        <w:div w:id="985083215">
          <w:marLeft w:val="0"/>
          <w:marRight w:val="0"/>
          <w:marTop w:val="0"/>
          <w:marBottom w:val="0"/>
          <w:divBdr>
            <w:top w:val="none" w:sz="0" w:space="0" w:color="auto"/>
            <w:left w:val="none" w:sz="0" w:space="0" w:color="auto"/>
            <w:bottom w:val="none" w:sz="0" w:space="0" w:color="auto"/>
            <w:right w:val="none" w:sz="0" w:space="0" w:color="auto"/>
          </w:divBdr>
        </w:div>
        <w:div w:id="1228613162">
          <w:marLeft w:val="0"/>
          <w:marRight w:val="0"/>
          <w:marTop w:val="240"/>
          <w:marBottom w:val="0"/>
          <w:divBdr>
            <w:top w:val="none" w:sz="0" w:space="0" w:color="auto"/>
            <w:left w:val="none" w:sz="0" w:space="0" w:color="auto"/>
            <w:bottom w:val="none" w:sz="0" w:space="0" w:color="auto"/>
            <w:right w:val="none" w:sz="0" w:space="0" w:color="auto"/>
          </w:divBdr>
        </w:div>
        <w:div w:id="748775924">
          <w:marLeft w:val="425"/>
          <w:marRight w:val="0"/>
          <w:marTop w:val="0"/>
          <w:marBottom w:val="0"/>
          <w:divBdr>
            <w:top w:val="none" w:sz="0" w:space="0" w:color="auto"/>
            <w:left w:val="none" w:sz="0" w:space="0" w:color="auto"/>
            <w:bottom w:val="none" w:sz="0" w:space="0" w:color="auto"/>
            <w:right w:val="none" w:sz="0" w:space="0" w:color="auto"/>
          </w:divBdr>
        </w:div>
        <w:div w:id="1531647221">
          <w:marLeft w:val="425"/>
          <w:marRight w:val="0"/>
          <w:marTop w:val="0"/>
          <w:marBottom w:val="0"/>
          <w:divBdr>
            <w:top w:val="none" w:sz="0" w:space="0" w:color="auto"/>
            <w:left w:val="none" w:sz="0" w:space="0" w:color="auto"/>
            <w:bottom w:val="none" w:sz="0" w:space="0" w:color="auto"/>
            <w:right w:val="none" w:sz="0" w:space="0" w:color="auto"/>
          </w:divBdr>
        </w:div>
        <w:div w:id="101193173">
          <w:marLeft w:val="425"/>
          <w:marRight w:val="0"/>
          <w:marTop w:val="0"/>
          <w:marBottom w:val="0"/>
          <w:divBdr>
            <w:top w:val="none" w:sz="0" w:space="0" w:color="auto"/>
            <w:left w:val="none" w:sz="0" w:space="0" w:color="auto"/>
            <w:bottom w:val="none" w:sz="0" w:space="0" w:color="auto"/>
            <w:right w:val="none" w:sz="0" w:space="0" w:color="auto"/>
          </w:divBdr>
        </w:div>
      </w:divsChild>
    </w:div>
    <w:div w:id="413279032">
      <w:bodyDiv w:val="1"/>
      <w:marLeft w:val="0"/>
      <w:marRight w:val="0"/>
      <w:marTop w:val="0"/>
      <w:marBottom w:val="0"/>
      <w:divBdr>
        <w:top w:val="none" w:sz="0" w:space="0" w:color="auto"/>
        <w:left w:val="none" w:sz="0" w:space="0" w:color="auto"/>
        <w:bottom w:val="none" w:sz="0" w:space="0" w:color="auto"/>
        <w:right w:val="none" w:sz="0" w:space="0" w:color="auto"/>
      </w:divBdr>
      <w:divsChild>
        <w:div w:id="2039891964">
          <w:marLeft w:val="0"/>
          <w:marRight w:val="0"/>
          <w:marTop w:val="480"/>
          <w:marBottom w:val="0"/>
          <w:divBdr>
            <w:top w:val="none" w:sz="0" w:space="0" w:color="auto"/>
            <w:left w:val="none" w:sz="0" w:space="0" w:color="auto"/>
            <w:bottom w:val="none" w:sz="0" w:space="0" w:color="auto"/>
            <w:right w:val="none" w:sz="0" w:space="0" w:color="auto"/>
          </w:divBdr>
        </w:div>
        <w:div w:id="945699289">
          <w:marLeft w:val="0"/>
          <w:marRight w:val="0"/>
          <w:marTop w:val="0"/>
          <w:marBottom w:val="0"/>
          <w:divBdr>
            <w:top w:val="none" w:sz="0" w:space="0" w:color="auto"/>
            <w:left w:val="none" w:sz="0" w:space="0" w:color="auto"/>
            <w:bottom w:val="none" w:sz="0" w:space="0" w:color="auto"/>
            <w:right w:val="none" w:sz="0" w:space="0" w:color="auto"/>
          </w:divBdr>
        </w:div>
        <w:div w:id="1704549810">
          <w:marLeft w:val="0"/>
          <w:marRight w:val="0"/>
          <w:marTop w:val="240"/>
          <w:marBottom w:val="0"/>
          <w:divBdr>
            <w:top w:val="none" w:sz="0" w:space="0" w:color="auto"/>
            <w:left w:val="none" w:sz="0" w:space="0" w:color="auto"/>
            <w:bottom w:val="none" w:sz="0" w:space="0" w:color="auto"/>
            <w:right w:val="none" w:sz="0" w:space="0" w:color="auto"/>
          </w:divBdr>
        </w:div>
      </w:divsChild>
    </w:div>
    <w:div w:id="424226284">
      <w:bodyDiv w:val="1"/>
      <w:marLeft w:val="0"/>
      <w:marRight w:val="0"/>
      <w:marTop w:val="0"/>
      <w:marBottom w:val="0"/>
      <w:divBdr>
        <w:top w:val="none" w:sz="0" w:space="0" w:color="auto"/>
        <w:left w:val="none" w:sz="0" w:space="0" w:color="auto"/>
        <w:bottom w:val="none" w:sz="0" w:space="0" w:color="auto"/>
        <w:right w:val="none" w:sz="0" w:space="0" w:color="auto"/>
      </w:divBdr>
    </w:div>
    <w:div w:id="469055278">
      <w:bodyDiv w:val="1"/>
      <w:marLeft w:val="0"/>
      <w:marRight w:val="0"/>
      <w:marTop w:val="0"/>
      <w:marBottom w:val="0"/>
      <w:divBdr>
        <w:top w:val="none" w:sz="0" w:space="0" w:color="auto"/>
        <w:left w:val="none" w:sz="0" w:space="0" w:color="auto"/>
        <w:bottom w:val="none" w:sz="0" w:space="0" w:color="auto"/>
        <w:right w:val="none" w:sz="0" w:space="0" w:color="auto"/>
      </w:divBdr>
    </w:div>
    <w:div w:id="495998015">
      <w:bodyDiv w:val="1"/>
      <w:marLeft w:val="0"/>
      <w:marRight w:val="0"/>
      <w:marTop w:val="0"/>
      <w:marBottom w:val="0"/>
      <w:divBdr>
        <w:top w:val="none" w:sz="0" w:space="0" w:color="auto"/>
        <w:left w:val="none" w:sz="0" w:space="0" w:color="auto"/>
        <w:bottom w:val="none" w:sz="0" w:space="0" w:color="auto"/>
        <w:right w:val="none" w:sz="0" w:space="0" w:color="auto"/>
      </w:divBdr>
    </w:div>
    <w:div w:id="512960402">
      <w:bodyDiv w:val="1"/>
      <w:marLeft w:val="0"/>
      <w:marRight w:val="0"/>
      <w:marTop w:val="0"/>
      <w:marBottom w:val="0"/>
      <w:divBdr>
        <w:top w:val="none" w:sz="0" w:space="0" w:color="auto"/>
        <w:left w:val="none" w:sz="0" w:space="0" w:color="auto"/>
        <w:bottom w:val="none" w:sz="0" w:space="0" w:color="auto"/>
        <w:right w:val="none" w:sz="0" w:space="0" w:color="auto"/>
      </w:divBdr>
    </w:div>
    <w:div w:id="514468403">
      <w:bodyDiv w:val="1"/>
      <w:marLeft w:val="0"/>
      <w:marRight w:val="0"/>
      <w:marTop w:val="0"/>
      <w:marBottom w:val="0"/>
      <w:divBdr>
        <w:top w:val="none" w:sz="0" w:space="0" w:color="auto"/>
        <w:left w:val="none" w:sz="0" w:space="0" w:color="auto"/>
        <w:bottom w:val="none" w:sz="0" w:space="0" w:color="auto"/>
        <w:right w:val="none" w:sz="0" w:space="0" w:color="auto"/>
      </w:divBdr>
    </w:div>
    <w:div w:id="547112870">
      <w:bodyDiv w:val="1"/>
      <w:marLeft w:val="0"/>
      <w:marRight w:val="0"/>
      <w:marTop w:val="0"/>
      <w:marBottom w:val="0"/>
      <w:divBdr>
        <w:top w:val="none" w:sz="0" w:space="0" w:color="auto"/>
        <w:left w:val="none" w:sz="0" w:space="0" w:color="auto"/>
        <w:bottom w:val="none" w:sz="0" w:space="0" w:color="auto"/>
        <w:right w:val="none" w:sz="0" w:space="0" w:color="auto"/>
      </w:divBdr>
      <w:divsChild>
        <w:div w:id="1721979550">
          <w:marLeft w:val="0"/>
          <w:marRight w:val="0"/>
          <w:marTop w:val="480"/>
          <w:marBottom w:val="0"/>
          <w:divBdr>
            <w:top w:val="none" w:sz="0" w:space="0" w:color="auto"/>
            <w:left w:val="none" w:sz="0" w:space="0" w:color="auto"/>
            <w:bottom w:val="none" w:sz="0" w:space="0" w:color="auto"/>
            <w:right w:val="none" w:sz="0" w:space="0" w:color="auto"/>
          </w:divBdr>
        </w:div>
        <w:div w:id="392048204">
          <w:marLeft w:val="0"/>
          <w:marRight w:val="0"/>
          <w:marTop w:val="0"/>
          <w:marBottom w:val="0"/>
          <w:divBdr>
            <w:top w:val="none" w:sz="0" w:space="0" w:color="auto"/>
            <w:left w:val="none" w:sz="0" w:space="0" w:color="auto"/>
            <w:bottom w:val="none" w:sz="0" w:space="0" w:color="auto"/>
            <w:right w:val="none" w:sz="0" w:space="0" w:color="auto"/>
          </w:divBdr>
        </w:div>
        <w:div w:id="1076973529">
          <w:marLeft w:val="0"/>
          <w:marRight w:val="0"/>
          <w:marTop w:val="240"/>
          <w:marBottom w:val="0"/>
          <w:divBdr>
            <w:top w:val="none" w:sz="0" w:space="0" w:color="auto"/>
            <w:left w:val="none" w:sz="0" w:space="0" w:color="auto"/>
            <w:bottom w:val="none" w:sz="0" w:space="0" w:color="auto"/>
            <w:right w:val="none" w:sz="0" w:space="0" w:color="auto"/>
          </w:divBdr>
        </w:div>
        <w:div w:id="1499998114">
          <w:marLeft w:val="0"/>
          <w:marRight w:val="0"/>
          <w:marTop w:val="240"/>
          <w:marBottom w:val="0"/>
          <w:divBdr>
            <w:top w:val="none" w:sz="0" w:space="0" w:color="auto"/>
            <w:left w:val="none" w:sz="0" w:space="0" w:color="auto"/>
            <w:bottom w:val="none" w:sz="0" w:space="0" w:color="auto"/>
            <w:right w:val="none" w:sz="0" w:space="0" w:color="auto"/>
          </w:divBdr>
        </w:div>
        <w:div w:id="1997099815">
          <w:marLeft w:val="425"/>
          <w:marRight w:val="0"/>
          <w:marTop w:val="0"/>
          <w:marBottom w:val="0"/>
          <w:divBdr>
            <w:top w:val="none" w:sz="0" w:space="0" w:color="auto"/>
            <w:left w:val="none" w:sz="0" w:space="0" w:color="auto"/>
            <w:bottom w:val="none" w:sz="0" w:space="0" w:color="auto"/>
            <w:right w:val="none" w:sz="0" w:space="0" w:color="auto"/>
          </w:divBdr>
        </w:div>
        <w:div w:id="840435794">
          <w:marLeft w:val="425"/>
          <w:marRight w:val="0"/>
          <w:marTop w:val="0"/>
          <w:marBottom w:val="0"/>
          <w:divBdr>
            <w:top w:val="none" w:sz="0" w:space="0" w:color="auto"/>
            <w:left w:val="none" w:sz="0" w:space="0" w:color="auto"/>
            <w:bottom w:val="none" w:sz="0" w:space="0" w:color="auto"/>
            <w:right w:val="none" w:sz="0" w:space="0" w:color="auto"/>
          </w:divBdr>
        </w:div>
        <w:div w:id="912739859">
          <w:marLeft w:val="425"/>
          <w:marRight w:val="0"/>
          <w:marTop w:val="0"/>
          <w:marBottom w:val="0"/>
          <w:divBdr>
            <w:top w:val="none" w:sz="0" w:space="0" w:color="auto"/>
            <w:left w:val="none" w:sz="0" w:space="0" w:color="auto"/>
            <w:bottom w:val="none" w:sz="0" w:space="0" w:color="auto"/>
            <w:right w:val="none" w:sz="0" w:space="0" w:color="auto"/>
          </w:divBdr>
        </w:div>
        <w:div w:id="1104305727">
          <w:marLeft w:val="0"/>
          <w:marRight w:val="0"/>
          <w:marTop w:val="240"/>
          <w:marBottom w:val="0"/>
          <w:divBdr>
            <w:top w:val="none" w:sz="0" w:space="0" w:color="auto"/>
            <w:left w:val="none" w:sz="0" w:space="0" w:color="auto"/>
            <w:bottom w:val="none" w:sz="0" w:space="0" w:color="auto"/>
            <w:right w:val="none" w:sz="0" w:space="0" w:color="auto"/>
          </w:divBdr>
        </w:div>
        <w:div w:id="1204440150">
          <w:marLeft w:val="0"/>
          <w:marRight w:val="0"/>
          <w:marTop w:val="240"/>
          <w:marBottom w:val="0"/>
          <w:divBdr>
            <w:top w:val="none" w:sz="0" w:space="0" w:color="auto"/>
            <w:left w:val="none" w:sz="0" w:space="0" w:color="auto"/>
            <w:bottom w:val="none" w:sz="0" w:space="0" w:color="auto"/>
            <w:right w:val="none" w:sz="0" w:space="0" w:color="auto"/>
          </w:divBdr>
        </w:div>
      </w:divsChild>
    </w:div>
    <w:div w:id="584608250">
      <w:bodyDiv w:val="1"/>
      <w:marLeft w:val="0"/>
      <w:marRight w:val="0"/>
      <w:marTop w:val="0"/>
      <w:marBottom w:val="0"/>
      <w:divBdr>
        <w:top w:val="none" w:sz="0" w:space="0" w:color="auto"/>
        <w:left w:val="none" w:sz="0" w:space="0" w:color="auto"/>
        <w:bottom w:val="none" w:sz="0" w:space="0" w:color="auto"/>
        <w:right w:val="none" w:sz="0" w:space="0" w:color="auto"/>
      </w:divBdr>
      <w:divsChild>
        <w:div w:id="410471066">
          <w:marLeft w:val="0"/>
          <w:marRight w:val="0"/>
          <w:marTop w:val="480"/>
          <w:marBottom w:val="0"/>
          <w:divBdr>
            <w:top w:val="none" w:sz="0" w:space="0" w:color="auto"/>
            <w:left w:val="none" w:sz="0" w:space="0" w:color="auto"/>
            <w:bottom w:val="none" w:sz="0" w:space="0" w:color="auto"/>
            <w:right w:val="none" w:sz="0" w:space="0" w:color="auto"/>
          </w:divBdr>
        </w:div>
        <w:div w:id="534926106">
          <w:marLeft w:val="0"/>
          <w:marRight w:val="0"/>
          <w:marTop w:val="0"/>
          <w:marBottom w:val="0"/>
          <w:divBdr>
            <w:top w:val="none" w:sz="0" w:space="0" w:color="auto"/>
            <w:left w:val="none" w:sz="0" w:space="0" w:color="auto"/>
            <w:bottom w:val="none" w:sz="0" w:space="0" w:color="auto"/>
            <w:right w:val="none" w:sz="0" w:space="0" w:color="auto"/>
          </w:divBdr>
        </w:div>
        <w:div w:id="461313503">
          <w:marLeft w:val="0"/>
          <w:marRight w:val="0"/>
          <w:marTop w:val="240"/>
          <w:marBottom w:val="0"/>
          <w:divBdr>
            <w:top w:val="none" w:sz="0" w:space="0" w:color="auto"/>
            <w:left w:val="none" w:sz="0" w:space="0" w:color="auto"/>
            <w:bottom w:val="none" w:sz="0" w:space="0" w:color="auto"/>
            <w:right w:val="none" w:sz="0" w:space="0" w:color="auto"/>
          </w:divBdr>
        </w:div>
      </w:divsChild>
    </w:div>
    <w:div w:id="593779888">
      <w:bodyDiv w:val="1"/>
      <w:marLeft w:val="0"/>
      <w:marRight w:val="0"/>
      <w:marTop w:val="0"/>
      <w:marBottom w:val="0"/>
      <w:divBdr>
        <w:top w:val="none" w:sz="0" w:space="0" w:color="auto"/>
        <w:left w:val="none" w:sz="0" w:space="0" w:color="auto"/>
        <w:bottom w:val="none" w:sz="0" w:space="0" w:color="auto"/>
        <w:right w:val="none" w:sz="0" w:space="0" w:color="auto"/>
      </w:divBdr>
      <w:divsChild>
        <w:div w:id="560019490">
          <w:marLeft w:val="0"/>
          <w:marRight w:val="0"/>
          <w:marTop w:val="480"/>
          <w:marBottom w:val="0"/>
          <w:divBdr>
            <w:top w:val="none" w:sz="0" w:space="0" w:color="auto"/>
            <w:left w:val="none" w:sz="0" w:space="0" w:color="auto"/>
            <w:bottom w:val="none" w:sz="0" w:space="0" w:color="auto"/>
            <w:right w:val="none" w:sz="0" w:space="0" w:color="auto"/>
          </w:divBdr>
        </w:div>
        <w:div w:id="287319622">
          <w:marLeft w:val="0"/>
          <w:marRight w:val="0"/>
          <w:marTop w:val="0"/>
          <w:marBottom w:val="0"/>
          <w:divBdr>
            <w:top w:val="none" w:sz="0" w:space="0" w:color="auto"/>
            <w:left w:val="none" w:sz="0" w:space="0" w:color="auto"/>
            <w:bottom w:val="none" w:sz="0" w:space="0" w:color="auto"/>
            <w:right w:val="none" w:sz="0" w:space="0" w:color="auto"/>
          </w:divBdr>
        </w:div>
        <w:div w:id="1441297877">
          <w:marLeft w:val="0"/>
          <w:marRight w:val="0"/>
          <w:marTop w:val="240"/>
          <w:marBottom w:val="0"/>
          <w:divBdr>
            <w:top w:val="none" w:sz="0" w:space="0" w:color="auto"/>
            <w:left w:val="none" w:sz="0" w:space="0" w:color="auto"/>
            <w:bottom w:val="none" w:sz="0" w:space="0" w:color="auto"/>
            <w:right w:val="none" w:sz="0" w:space="0" w:color="auto"/>
          </w:divBdr>
        </w:div>
      </w:divsChild>
    </w:div>
    <w:div w:id="602539488">
      <w:bodyDiv w:val="1"/>
      <w:marLeft w:val="0"/>
      <w:marRight w:val="0"/>
      <w:marTop w:val="0"/>
      <w:marBottom w:val="0"/>
      <w:divBdr>
        <w:top w:val="none" w:sz="0" w:space="0" w:color="auto"/>
        <w:left w:val="none" w:sz="0" w:space="0" w:color="auto"/>
        <w:bottom w:val="none" w:sz="0" w:space="0" w:color="auto"/>
        <w:right w:val="none" w:sz="0" w:space="0" w:color="auto"/>
      </w:divBdr>
    </w:div>
    <w:div w:id="613176602">
      <w:bodyDiv w:val="1"/>
      <w:marLeft w:val="0"/>
      <w:marRight w:val="0"/>
      <w:marTop w:val="0"/>
      <w:marBottom w:val="0"/>
      <w:divBdr>
        <w:top w:val="none" w:sz="0" w:space="0" w:color="auto"/>
        <w:left w:val="none" w:sz="0" w:space="0" w:color="auto"/>
        <w:bottom w:val="none" w:sz="0" w:space="0" w:color="auto"/>
        <w:right w:val="none" w:sz="0" w:space="0" w:color="auto"/>
      </w:divBdr>
      <w:divsChild>
        <w:div w:id="25063658">
          <w:marLeft w:val="0"/>
          <w:marRight w:val="0"/>
          <w:marTop w:val="480"/>
          <w:marBottom w:val="0"/>
          <w:divBdr>
            <w:top w:val="none" w:sz="0" w:space="0" w:color="auto"/>
            <w:left w:val="none" w:sz="0" w:space="0" w:color="auto"/>
            <w:bottom w:val="none" w:sz="0" w:space="0" w:color="auto"/>
            <w:right w:val="none" w:sz="0" w:space="0" w:color="auto"/>
          </w:divBdr>
        </w:div>
        <w:div w:id="1614705477">
          <w:marLeft w:val="0"/>
          <w:marRight w:val="0"/>
          <w:marTop w:val="0"/>
          <w:marBottom w:val="0"/>
          <w:divBdr>
            <w:top w:val="none" w:sz="0" w:space="0" w:color="auto"/>
            <w:left w:val="none" w:sz="0" w:space="0" w:color="auto"/>
            <w:bottom w:val="none" w:sz="0" w:space="0" w:color="auto"/>
            <w:right w:val="none" w:sz="0" w:space="0" w:color="auto"/>
          </w:divBdr>
        </w:div>
        <w:div w:id="1158614361">
          <w:marLeft w:val="0"/>
          <w:marRight w:val="0"/>
          <w:marTop w:val="240"/>
          <w:marBottom w:val="0"/>
          <w:divBdr>
            <w:top w:val="none" w:sz="0" w:space="0" w:color="auto"/>
            <w:left w:val="none" w:sz="0" w:space="0" w:color="auto"/>
            <w:bottom w:val="none" w:sz="0" w:space="0" w:color="auto"/>
            <w:right w:val="none" w:sz="0" w:space="0" w:color="auto"/>
          </w:divBdr>
        </w:div>
      </w:divsChild>
    </w:div>
    <w:div w:id="630094296">
      <w:bodyDiv w:val="1"/>
      <w:marLeft w:val="0"/>
      <w:marRight w:val="0"/>
      <w:marTop w:val="0"/>
      <w:marBottom w:val="0"/>
      <w:divBdr>
        <w:top w:val="none" w:sz="0" w:space="0" w:color="auto"/>
        <w:left w:val="none" w:sz="0" w:space="0" w:color="auto"/>
        <w:bottom w:val="none" w:sz="0" w:space="0" w:color="auto"/>
        <w:right w:val="none" w:sz="0" w:space="0" w:color="auto"/>
      </w:divBdr>
      <w:divsChild>
        <w:div w:id="209612252">
          <w:marLeft w:val="0"/>
          <w:marRight w:val="0"/>
          <w:marTop w:val="480"/>
          <w:marBottom w:val="0"/>
          <w:divBdr>
            <w:top w:val="none" w:sz="0" w:space="0" w:color="auto"/>
            <w:left w:val="none" w:sz="0" w:space="0" w:color="auto"/>
            <w:bottom w:val="none" w:sz="0" w:space="0" w:color="auto"/>
            <w:right w:val="none" w:sz="0" w:space="0" w:color="auto"/>
          </w:divBdr>
        </w:div>
        <w:div w:id="1015182798">
          <w:marLeft w:val="0"/>
          <w:marRight w:val="0"/>
          <w:marTop w:val="0"/>
          <w:marBottom w:val="0"/>
          <w:divBdr>
            <w:top w:val="none" w:sz="0" w:space="0" w:color="auto"/>
            <w:left w:val="none" w:sz="0" w:space="0" w:color="auto"/>
            <w:bottom w:val="none" w:sz="0" w:space="0" w:color="auto"/>
            <w:right w:val="none" w:sz="0" w:space="0" w:color="auto"/>
          </w:divBdr>
        </w:div>
        <w:div w:id="458915774">
          <w:marLeft w:val="0"/>
          <w:marRight w:val="0"/>
          <w:marTop w:val="240"/>
          <w:marBottom w:val="0"/>
          <w:divBdr>
            <w:top w:val="none" w:sz="0" w:space="0" w:color="auto"/>
            <w:left w:val="none" w:sz="0" w:space="0" w:color="auto"/>
            <w:bottom w:val="none" w:sz="0" w:space="0" w:color="auto"/>
            <w:right w:val="none" w:sz="0" w:space="0" w:color="auto"/>
          </w:divBdr>
        </w:div>
        <w:div w:id="998733247">
          <w:marLeft w:val="0"/>
          <w:marRight w:val="0"/>
          <w:marTop w:val="240"/>
          <w:marBottom w:val="0"/>
          <w:divBdr>
            <w:top w:val="none" w:sz="0" w:space="0" w:color="auto"/>
            <w:left w:val="none" w:sz="0" w:space="0" w:color="auto"/>
            <w:bottom w:val="none" w:sz="0" w:space="0" w:color="auto"/>
            <w:right w:val="none" w:sz="0" w:space="0" w:color="auto"/>
          </w:divBdr>
        </w:div>
        <w:div w:id="1585912152">
          <w:marLeft w:val="0"/>
          <w:marRight w:val="0"/>
          <w:marTop w:val="240"/>
          <w:marBottom w:val="0"/>
          <w:divBdr>
            <w:top w:val="none" w:sz="0" w:space="0" w:color="auto"/>
            <w:left w:val="none" w:sz="0" w:space="0" w:color="auto"/>
            <w:bottom w:val="none" w:sz="0" w:space="0" w:color="auto"/>
            <w:right w:val="none" w:sz="0" w:space="0" w:color="auto"/>
          </w:divBdr>
        </w:div>
        <w:div w:id="1784033924">
          <w:marLeft w:val="425"/>
          <w:marRight w:val="0"/>
          <w:marTop w:val="0"/>
          <w:marBottom w:val="0"/>
          <w:divBdr>
            <w:top w:val="none" w:sz="0" w:space="0" w:color="auto"/>
            <w:left w:val="none" w:sz="0" w:space="0" w:color="auto"/>
            <w:bottom w:val="none" w:sz="0" w:space="0" w:color="auto"/>
            <w:right w:val="none" w:sz="0" w:space="0" w:color="auto"/>
          </w:divBdr>
          <w:divsChild>
            <w:div w:id="1164664181">
              <w:marLeft w:val="0"/>
              <w:marRight w:val="0"/>
              <w:marTop w:val="0"/>
              <w:marBottom w:val="0"/>
              <w:divBdr>
                <w:top w:val="none" w:sz="0" w:space="0" w:color="auto"/>
                <w:left w:val="none" w:sz="0" w:space="0" w:color="auto"/>
                <w:bottom w:val="none" w:sz="0" w:space="0" w:color="auto"/>
                <w:right w:val="none" w:sz="0" w:space="0" w:color="auto"/>
              </w:divBdr>
            </w:div>
          </w:divsChild>
        </w:div>
        <w:div w:id="1522015572">
          <w:marLeft w:val="425"/>
          <w:marRight w:val="0"/>
          <w:marTop w:val="0"/>
          <w:marBottom w:val="0"/>
          <w:divBdr>
            <w:top w:val="none" w:sz="0" w:space="0" w:color="auto"/>
            <w:left w:val="none" w:sz="0" w:space="0" w:color="auto"/>
            <w:bottom w:val="none" w:sz="0" w:space="0" w:color="auto"/>
            <w:right w:val="none" w:sz="0" w:space="0" w:color="auto"/>
          </w:divBdr>
          <w:divsChild>
            <w:div w:id="2104104013">
              <w:marLeft w:val="0"/>
              <w:marRight w:val="0"/>
              <w:marTop w:val="0"/>
              <w:marBottom w:val="0"/>
              <w:divBdr>
                <w:top w:val="none" w:sz="0" w:space="0" w:color="auto"/>
                <w:left w:val="none" w:sz="0" w:space="0" w:color="auto"/>
                <w:bottom w:val="none" w:sz="0" w:space="0" w:color="auto"/>
                <w:right w:val="none" w:sz="0" w:space="0" w:color="auto"/>
              </w:divBdr>
            </w:div>
          </w:divsChild>
        </w:div>
        <w:div w:id="785470563">
          <w:marLeft w:val="0"/>
          <w:marRight w:val="0"/>
          <w:marTop w:val="240"/>
          <w:marBottom w:val="0"/>
          <w:divBdr>
            <w:top w:val="none" w:sz="0" w:space="0" w:color="auto"/>
            <w:left w:val="none" w:sz="0" w:space="0" w:color="auto"/>
            <w:bottom w:val="none" w:sz="0" w:space="0" w:color="auto"/>
            <w:right w:val="none" w:sz="0" w:space="0" w:color="auto"/>
          </w:divBdr>
        </w:div>
        <w:div w:id="2081369032">
          <w:marLeft w:val="0"/>
          <w:marRight w:val="0"/>
          <w:marTop w:val="240"/>
          <w:marBottom w:val="0"/>
          <w:divBdr>
            <w:top w:val="none" w:sz="0" w:space="0" w:color="auto"/>
            <w:left w:val="none" w:sz="0" w:space="0" w:color="auto"/>
            <w:bottom w:val="none" w:sz="0" w:space="0" w:color="auto"/>
            <w:right w:val="none" w:sz="0" w:space="0" w:color="auto"/>
          </w:divBdr>
        </w:div>
        <w:div w:id="1028488778">
          <w:marLeft w:val="0"/>
          <w:marRight w:val="0"/>
          <w:marTop w:val="240"/>
          <w:marBottom w:val="0"/>
          <w:divBdr>
            <w:top w:val="none" w:sz="0" w:space="0" w:color="auto"/>
            <w:left w:val="none" w:sz="0" w:space="0" w:color="auto"/>
            <w:bottom w:val="none" w:sz="0" w:space="0" w:color="auto"/>
            <w:right w:val="none" w:sz="0" w:space="0" w:color="auto"/>
          </w:divBdr>
        </w:div>
        <w:div w:id="2039158057">
          <w:marLeft w:val="0"/>
          <w:marRight w:val="0"/>
          <w:marTop w:val="240"/>
          <w:marBottom w:val="0"/>
          <w:divBdr>
            <w:top w:val="none" w:sz="0" w:space="0" w:color="auto"/>
            <w:left w:val="none" w:sz="0" w:space="0" w:color="auto"/>
            <w:bottom w:val="none" w:sz="0" w:space="0" w:color="auto"/>
            <w:right w:val="none" w:sz="0" w:space="0" w:color="auto"/>
          </w:divBdr>
        </w:div>
        <w:div w:id="1347097220">
          <w:marLeft w:val="0"/>
          <w:marRight w:val="0"/>
          <w:marTop w:val="240"/>
          <w:marBottom w:val="0"/>
          <w:divBdr>
            <w:top w:val="none" w:sz="0" w:space="0" w:color="auto"/>
            <w:left w:val="none" w:sz="0" w:space="0" w:color="auto"/>
            <w:bottom w:val="none" w:sz="0" w:space="0" w:color="auto"/>
            <w:right w:val="none" w:sz="0" w:space="0" w:color="auto"/>
          </w:divBdr>
        </w:div>
        <w:div w:id="136922900">
          <w:marLeft w:val="425"/>
          <w:marRight w:val="0"/>
          <w:marTop w:val="0"/>
          <w:marBottom w:val="0"/>
          <w:divBdr>
            <w:top w:val="none" w:sz="0" w:space="0" w:color="auto"/>
            <w:left w:val="none" w:sz="0" w:space="0" w:color="auto"/>
            <w:bottom w:val="none" w:sz="0" w:space="0" w:color="auto"/>
            <w:right w:val="none" w:sz="0" w:space="0" w:color="auto"/>
          </w:divBdr>
          <w:divsChild>
            <w:div w:id="1752461500">
              <w:marLeft w:val="0"/>
              <w:marRight w:val="0"/>
              <w:marTop w:val="0"/>
              <w:marBottom w:val="0"/>
              <w:divBdr>
                <w:top w:val="none" w:sz="0" w:space="0" w:color="auto"/>
                <w:left w:val="none" w:sz="0" w:space="0" w:color="auto"/>
                <w:bottom w:val="none" w:sz="0" w:space="0" w:color="auto"/>
                <w:right w:val="none" w:sz="0" w:space="0" w:color="auto"/>
              </w:divBdr>
            </w:div>
          </w:divsChild>
        </w:div>
        <w:div w:id="1861893760">
          <w:marLeft w:val="425"/>
          <w:marRight w:val="0"/>
          <w:marTop w:val="0"/>
          <w:marBottom w:val="0"/>
          <w:divBdr>
            <w:top w:val="none" w:sz="0" w:space="0" w:color="auto"/>
            <w:left w:val="none" w:sz="0" w:space="0" w:color="auto"/>
            <w:bottom w:val="none" w:sz="0" w:space="0" w:color="auto"/>
            <w:right w:val="none" w:sz="0" w:space="0" w:color="auto"/>
          </w:divBdr>
          <w:divsChild>
            <w:div w:id="1879079183">
              <w:marLeft w:val="0"/>
              <w:marRight w:val="0"/>
              <w:marTop w:val="0"/>
              <w:marBottom w:val="0"/>
              <w:divBdr>
                <w:top w:val="none" w:sz="0" w:space="0" w:color="auto"/>
                <w:left w:val="none" w:sz="0" w:space="0" w:color="auto"/>
                <w:bottom w:val="none" w:sz="0" w:space="0" w:color="auto"/>
                <w:right w:val="none" w:sz="0" w:space="0" w:color="auto"/>
              </w:divBdr>
            </w:div>
          </w:divsChild>
        </w:div>
        <w:div w:id="279343714">
          <w:marLeft w:val="425"/>
          <w:marRight w:val="0"/>
          <w:marTop w:val="0"/>
          <w:marBottom w:val="0"/>
          <w:divBdr>
            <w:top w:val="none" w:sz="0" w:space="0" w:color="auto"/>
            <w:left w:val="none" w:sz="0" w:space="0" w:color="auto"/>
            <w:bottom w:val="none" w:sz="0" w:space="0" w:color="auto"/>
            <w:right w:val="none" w:sz="0" w:space="0" w:color="auto"/>
          </w:divBdr>
          <w:divsChild>
            <w:div w:id="1067611695">
              <w:marLeft w:val="0"/>
              <w:marRight w:val="0"/>
              <w:marTop w:val="0"/>
              <w:marBottom w:val="0"/>
              <w:divBdr>
                <w:top w:val="none" w:sz="0" w:space="0" w:color="auto"/>
                <w:left w:val="none" w:sz="0" w:space="0" w:color="auto"/>
                <w:bottom w:val="none" w:sz="0" w:space="0" w:color="auto"/>
                <w:right w:val="none" w:sz="0" w:space="0" w:color="auto"/>
              </w:divBdr>
            </w:div>
          </w:divsChild>
        </w:div>
        <w:div w:id="638387320">
          <w:marLeft w:val="425"/>
          <w:marRight w:val="0"/>
          <w:marTop w:val="0"/>
          <w:marBottom w:val="0"/>
          <w:divBdr>
            <w:top w:val="none" w:sz="0" w:space="0" w:color="auto"/>
            <w:left w:val="none" w:sz="0" w:space="0" w:color="auto"/>
            <w:bottom w:val="none" w:sz="0" w:space="0" w:color="auto"/>
            <w:right w:val="none" w:sz="0" w:space="0" w:color="auto"/>
          </w:divBdr>
          <w:divsChild>
            <w:div w:id="1247764131">
              <w:marLeft w:val="0"/>
              <w:marRight w:val="0"/>
              <w:marTop w:val="0"/>
              <w:marBottom w:val="0"/>
              <w:divBdr>
                <w:top w:val="none" w:sz="0" w:space="0" w:color="auto"/>
                <w:left w:val="none" w:sz="0" w:space="0" w:color="auto"/>
                <w:bottom w:val="none" w:sz="0" w:space="0" w:color="auto"/>
                <w:right w:val="none" w:sz="0" w:space="0" w:color="auto"/>
              </w:divBdr>
            </w:div>
          </w:divsChild>
        </w:div>
        <w:div w:id="2105298849">
          <w:marLeft w:val="425"/>
          <w:marRight w:val="0"/>
          <w:marTop w:val="0"/>
          <w:marBottom w:val="0"/>
          <w:divBdr>
            <w:top w:val="none" w:sz="0" w:space="0" w:color="auto"/>
            <w:left w:val="none" w:sz="0" w:space="0" w:color="auto"/>
            <w:bottom w:val="none" w:sz="0" w:space="0" w:color="auto"/>
            <w:right w:val="none" w:sz="0" w:space="0" w:color="auto"/>
          </w:divBdr>
          <w:divsChild>
            <w:div w:id="2116971594">
              <w:marLeft w:val="0"/>
              <w:marRight w:val="0"/>
              <w:marTop w:val="0"/>
              <w:marBottom w:val="0"/>
              <w:divBdr>
                <w:top w:val="none" w:sz="0" w:space="0" w:color="auto"/>
                <w:left w:val="none" w:sz="0" w:space="0" w:color="auto"/>
                <w:bottom w:val="none" w:sz="0" w:space="0" w:color="auto"/>
                <w:right w:val="none" w:sz="0" w:space="0" w:color="auto"/>
              </w:divBdr>
            </w:div>
          </w:divsChild>
        </w:div>
        <w:div w:id="1479952384">
          <w:marLeft w:val="425"/>
          <w:marRight w:val="0"/>
          <w:marTop w:val="0"/>
          <w:marBottom w:val="0"/>
          <w:divBdr>
            <w:top w:val="none" w:sz="0" w:space="0" w:color="auto"/>
            <w:left w:val="none" w:sz="0" w:space="0" w:color="auto"/>
            <w:bottom w:val="none" w:sz="0" w:space="0" w:color="auto"/>
            <w:right w:val="none" w:sz="0" w:space="0" w:color="auto"/>
          </w:divBdr>
          <w:divsChild>
            <w:div w:id="11037372">
              <w:marLeft w:val="0"/>
              <w:marRight w:val="0"/>
              <w:marTop w:val="0"/>
              <w:marBottom w:val="0"/>
              <w:divBdr>
                <w:top w:val="none" w:sz="0" w:space="0" w:color="auto"/>
                <w:left w:val="none" w:sz="0" w:space="0" w:color="auto"/>
                <w:bottom w:val="none" w:sz="0" w:space="0" w:color="auto"/>
                <w:right w:val="none" w:sz="0" w:space="0" w:color="auto"/>
              </w:divBdr>
            </w:div>
          </w:divsChild>
        </w:div>
        <w:div w:id="1183740369">
          <w:marLeft w:val="425"/>
          <w:marRight w:val="0"/>
          <w:marTop w:val="0"/>
          <w:marBottom w:val="0"/>
          <w:divBdr>
            <w:top w:val="none" w:sz="0" w:space="0" w:color="auto"/>
            <w:left w:val="none" w:sz="0" w:space="0" w:color="auto"/>
            <w:bottom w:val="none" w:sz="0" w:space="0" w:color="auto"/>
            <w:right w:val="none" w:sz="0" w:space="0" w:color="auto"/>
          </w:divBdr>
          <w:divsChild>
            <w:div w:id="1237983566">
              <w:marLeft w:val="0"/>
              <w:marRight w:val="0"/>
              <w:marTop w:val="0"/>
              <w:marBottom w:val="0"/>
              <w:divBdr>
                <w:top w:val="none" w:sz="0" w:space="0" w:color="auto"/>
                <w:left w:val="none" w:sz="0" w:space="0" w:color="auto"/>
                <w:bottom w:val="none" w:sz="0" w:space="0" w:color="auto"/>
                <w:right w:val="none" w:sz="0" w:space="0" w:color="auto"/>
              </w:divBdr>
            </w:div>
          </w:divsChild>
        </w:div>
        <w:div w:id="1928341898">
          <w:marLeft w:val="425"/>
          <w:marRight w:val="0"/>
          <w:marTop w:val="0"/>
          <w:marBottom w:val="0"/>
          <w:divBdr>
            <w:top w:val="none" w:sz="0" w:space="0" w:color="auto"/>
            <w:left w:val="none" w:sz="0" w:space="0" w:color="auto"/>
            <w:bottom w:val="none" w:sz="0" w:space="0" w:color="auto"/>
            <w:right w:val="none" w:sz="0" w:space="0" w:color="auto"/>
          </w:divBdr>
          <w:divsChild>
            <w:div w:id="373121811">
              <w:marLeft w:val="0"/>
              <w:marRight w:val="0"/>
              <w:marTop w:val="0"/>
              <w:marBottom w:val="0"/>
              <w:divBdr>
                <w:top w:val="none" w:sz="0" w:space="0" w:color="auto"/>
                <w:left w:val="none" w:sz="0" w:space="0" w:color="auto"/>
                <w:bottom w:val="none" w:sz="0" w:space="0" w:color="auto"/>
                <w:right w:val="none" w:sz="0" w:space="0" w:color="auto"/>
              </w:divBdr>
            </w:div>
          </w:divsChild>
        </w:div>
        <w:div w:id="1011371227">
          <w:marLeft w:val="425"/>
          <w:marRight w:val="0"/>
          <w:marTop w:val="0"/>
          <w:marBottom w:val="0"/>
          <w:divBdr>
            <w:top w:val="none" w:sz="0" w:space="0" w:color="auto"/>
            <w:left w:val="none" w:sz="0" w:space="0" w:color="auto"/>
            <w:bottom w:val="none" w:sz="0" w:space="0" w:color="auto"/>
            <w:right w:val="none" w:sz="0" w:space="0" w:color="auto"/>
          </w:divBdr>
          <w:divsChild>
            <w:div w:id="945574169">
              <w:marLeft w:val="0"/>
              <w:marRight w:val="0"/>
              <w:marTop w:val="0"/>
              <w:marBottom w:val="0"/>
              <w:divBdr>
                <w:top w:val="none" w:sz="0" w:space="0" w:color="auto"/>
                <w:left w:val="none" w:sz="0" w:space="0" w:color="auto"/>
                <w:bottom w:val="none" w:sz="0" w:space="0" w:color="auto"/>
                <w:right w:val="none" w:sz="0" w:space="0" w:color="auto"/>
              </w:divBdr>
            </w:div>
          </w:divsChild>
        </w:div>
        <w:div w:id="1538851837">
          <w:marLeft w:val="425"/>
          <w:marRight w:val="0"/>
          <w:marTop w:val="0"/>
          <w:marBottom w:val="0"/>
          <w:divBdr>
            <w:top w:val="none" w:sz="0" w:space="0" w:color="auto"/>
            <w:left w:val="none" w:sz="0" w:space="0" w:color="auto"/>
            <w:bottom w:val="none" w:sz="0" w:space="0" w:color="auto"/>
            <w:right w:val="none" w:sz="0" w:space="0" w:color="auto"/>
          </w:divBdr>
          <w:divsChild>
            <w:div w:id="262804557">
              <w:marLeft w:val="0"/>
              <w:marRight w:val="0"/>
              <w:marTop w:val="0"/>
              <w:marBottom w:val="0"/>
              <w:divBdr>
                <w:top w:val="none" w:sz="0" w:space="0" w:color="auto"/>
                <w:left w:val="none" w:sz="0" w:space="0" w:color="auto"/>
                <w:bottom w:val="none" w:sz="0" w:space="0" w:color="auto"/>
                <w:right w:val="none" w:sz="0" w:space="0" w:color="auto"/>
              </w:divBdr>
            </w:div>
          </w:divsChild>
        </w:div>
        <w:div w:id="1996062109">
          <w:marLeft w:val="425"/>
          <w:marRight w:val="0"/>
          <w:marTop w:val="0"/>
          <w:marBottom w:val="0"/>
          <w:divBdr>
            <w:top w:val="none" w:sz="0" w:space="0" w:color="auto"/>
            <w:left w:val="none" w:sz="0" w:space="0" w:color="auto"/>
            <w:bottom w:val="none" w:sz="0" w:space="0" w:color="auto"/>
            <w:right w:val="none" w:sz="0" w:space="0" w:color="auto"/>
          </w:divBdr>
          <w:divsChild>
            <w:div w:id="246690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6765645">
      <w:bodyDiv w:val="1"/>
      <w:marLeft w:val="0"/>
      <w:marRight w:val="0"/>
      <w:marTop w:val="0"/>
      <w:marBottom w:val="0"/>
      <w:divBdr>
        <w:top w:val="none" w:sz="0" w:space="0" w:color="auto"/>
        <w:left w:val="none" w:sz="0" w:space="0" w:color="auto"/>
        <w:bottom w:val="none" w:sz="0" w:space="0" w:color="auto"/>
        <w:right w:val="none" w:sz="0" w:space="0" w:color="auto"/>
      </w:divBdr>
    </w:div>
    <w:div w:id="650598235">
      <w:bodyDiv w:val="1"/>
      <w:marLeft w:val="0"/>
      <w:marRight w:val="0"/>
      <w:marTop w:val="0"/>
      <w:marBottom w:val="0"/>
      <w:divBdr>
        <w:top w:val="none" w:sz="0" w:space="0" w:color="auto"/>
        <w:left w:val="none" w:sz="0" w:space="0" w:color="auto"/>
        <w:bottom w:val="none" w:sz="0" w:space="0" w:color="auto"/>
        <w:right w:val="none" w:sz="0" w:space="0" w:color="auto"/>
      </w:divBdr>
      <w:divsChild>
        <w:div w:id="1057438691">
          <w:marLeft w:val="0"/>
          <w:marRight w:val="0"/>
          <w:marTop w:val="480"/>
          <w:marBottom w:val="0"/>
          <w:divBdr>
            <w:top w:val="none" w:sz="0" w:space="0" w:color="auto"/>
            <w:left w:val="none" w:sz="0" w:space="0" w:color="auto"/>
            <w:bottom w:val="none" w:sz="0" w:space="0" w:color="auto"/>
            <w:right w:val="none" w:sz="0" w:space="0" w:color="auto"/>
          </w:divBdr>
        </w:div>
        <w:div w:id="323902244">
          <w:marLeft w:val="0"/>
          <w:marRight w:val="0"/>
          <w:marTop w:val="0"/>
          <w:marBottom w:val="0"/>
          <w:divBdr>
            <w:top w:val="none" w:sz="0" w:space="0" w:color="auto"/>
            <w:left w:val="none" w:sz="0" w:space="0" w:color="auto"/>
            <w:bottom w:val="none" w:sz="0" w:space="0" w:color="auto"/>
            <w:right w:val="none" w:sz="0" w:space="0" w:color="auto"/>
          </w:divBdr>
        </w:div>
        <w:div w:id="468785641">
          <w:marLeft w:val="0"/>
          <w:marRight w:val="0"/>
          <w:marTop w:val="240"/>
          <w:marBottom w:val="0"/>
          <w:divBdr>
            <w:top w:val="none" w:sz="0" w:space="0" w:color="auto"/>
            <w:left w:val="none" w:sz="0" w:space="0" w:color="auto"/>
            <w:bottom w:val="none" w:sz="0" w:space="0" w:color="auto"/>
            <w:right w:val="none" w:sz="0" w:space="0" w:color="auto"/>
          </w:divBdr>
        </w:div>
        <w:div w:id="1757283082">
          <w:marLeft w:val="425"/>
          <w:marRight w:val="0"/>
          <w:marTop w:val="0"/>
          <w:marBottom w:val="0"/>
          <w:divBdr>
            <w:top w:val="none" w:sz="0" w:space="0" w:color="auto"/>
            <w:left w:val="none" w:sz="0" w:space="0" w:color="auto"/>
            <w:bottom w:val="none" w:sz="0" w:space="0" w:color="auto"/>
            <w:right w:val="none" w:sz="0" w:space="0" w:color="auto"/>
          </w:divBdr>
          <w:divsChild>
            <w:div w:id="383215132">
              <w:marLeft w:val="0"/>
              <w:marRight w:val="0"/>
              <w:marTop w:val="0"/>
              <w:marBottom w:val="0"/>
              <w:divBdr>
                <w:top w:val="none" w:sz="0" w:space="0" w:color="auto"/>
                <w:left w:val="none" w:sz="0" w:space="0" w:color="auto"/>
                <w:bottom w:val="none" w:sz="0" w:space="0" w:color="auto"/>
                <w:right w:val="none" w:sz="0" w:space="0" w:color="auto"/>
              </w:divBdr>
            </w:div>
          </w:divsChild>
        </w:div>
        <w:div w:id="1663044195">
          <w:marLeft w:val="425"/>
          <w:marRight w:val="0"/>
          <w:marTop w:val="0"/>
          <w:marBottom w:val="0"/>
          <w:divBdr>
            <w:top w:val="none" w:sz="0" w:space="0" w:color="auto"/>
            <w:left w:val="none" w:sz="0" w:space="0" w:color="auto"/>
            <w:bottom w:val="none" w:sz="0" w:space="0" w:color="auto"/>
            <w:right w:val="none" w:sz="0" w:space="0" w:color="auto"/>
          </w:divBdr>
          <w:divsChild>
            <w:div w:id="231890066">
              <w:marLeft w:val="0"/>
              <w:marRight w:val="0"/>
              <w:marTop w:val="0"/>
              <w:marBottom w:val="0"/>
              <w:divBdr>
                <w:top w:val="none" w:sz="0" w:space="0" w:color="auto"/>
                <w:left w:val="none" w:sz="0" w:space="0" w:color="auto"/>
                <w:bottom w:val="none" w:sz="0" w:space="0" w:color="auto"/>
                <w:right w:val="none" w:sz="0" w:space="0" w:color="auto"/>
              </w:divBdr>
            </w:div>
          </w:divsChild>
        </w:div>
        <w:div w:id="69432278">
          <w:marLeft w:val="425"/>
          <w:marRight w:val="0"/>
          <w:marTop w:val="0"/>
          <w:marBottom w:val="0"/>
          <w:divBdr>
            <w:top w:val="none" w:sz="0" w:space="0" w:color="auto"/>
            <w:left w:val="none" w:sz="0" w:space="0" w:color="auto"/>
            <w:bottom w:val="none" w:sz="0" w:space="0" w:color="auto"/>
            <w:right w:val="none" w:sz="0" w:space="0" w:color="auto"/>
          </w:divBdr>
          <w:divsChild>
            <w:div w:id="2042588685">
              <w:marLeft w:val="0"/>
              <w:marRight w:val="0"/>
              <w:marTop w:val="0"/>
              <w:marBottom w:val="0"/>
              <w:divBdr>
                <w:top w:val="none" w:sz="0" w:space="0" w:color="auto"/>
                <w:left w:val="none" w:sz="0" w:space="0" w:color="auto"/>
                <w:bottom w:val="none" w:sz="0" w:space="0" w:color="auto"/>
                <w:right w:val="none" w:sz="0" w:space="0" w:color="auto"/>
              </w:divBdr>
            </w:div>
          </w:divsChild>
        </w:div>
        <w:div w:id="229930294">
          <w:marLeft w:val="425"/>
          <w:marRight w:val="0"/>
          <w:marTop w:val="0"/>
          <w:marBottom w:val="0"/>
          <w:divBdr>
            <w:top w:val="none" w:sz="0" w:space="0" w:color="auto"/>
            <w:left w:val="none" w:sz="0" w:space="0" w:color="auto"/>
            <w:bottom w:val="none" w:sz="0" w:space="0" w:color="auto"/>
            <w:right w:val="none" w:sz="0" w:space="0" w:color="auto"/>
          </w:divBdr>
          <w:divsChild>
            <w:div w:id="363288422">
              <w:marLeft w:val="0"/>
              <w:marRight w:val="0"/>
              <w:marTop w:val="0"/>
              <w:marBottom w:val="0"/>
              <w:divBdr>
                <w:top w:val="none" w:sz="0" w:space="0" w:color="auto"/>
                <w:left w:val="none" w:sz="0" w:space="0" w:color="auto"/>
                <w:bottom w:val="none" w:sz="0" w:space="0" w:color="auto"/>
                <w:right w:val="none" w:sz="0" w:space="0" w:color="auto"/>
              </w:divBdr>
            </w:div>
          </w:divsChild>
        </w:div>
        <w:div w:id="1820536324">
          <w:marLeft w:val="425"/>
          <w:marRight w:val="0"/>
          <w:marTop w:val="0"/>
          <w:marBottom w:val="0"/>
          <w:divBdr>
            <w:top w:val="none" w:sz="0" w:space="0" w:color="auto"/>
            <w:left w:val="none" w:sz="0" w:space="0" w:color="auto"/>
            <w:bottom w:val="none" w:sz="0" w:space="0" w:color="auto"/>
            <w:right w:val="none" w:sz="0" w:space="0" w:color="auto"/>
          </w:divBdr>
          <w:divsChild>
            <w:div w:id="1448619327">
              <w:marLeft w:val="0"/>
              <w:marRight w:val="0"/>
              <w:marTop w:val="0"/>
              <w:marBottom w:val="0"/>
              <w:divBdr>
                <w:top w:val="none" w:sz="0" w:space="0" w:color="auto"/>
                <w:left w:val="none" w:sz="0" w:space="0" w:color="auto"/>
                <w:bottom w:val="none" w:sz="0" w:space="0" w:color="auto"/>
                <w:right w:val="none" w:sz="0" w:space="0" w:color="auto"/>
              </w:divBdr>
            </w:div>
          </w:divsChild>
        </w:div>
        <w:div w:id="1500734324">
          <w:marLeft w:val="425"/>
          <w:marRight w:val="0"/>
          <w:marTop w:val="0"/>
          <w:marBottom w:val="0"/>
          <w:divBdr>
            <w:top w:val="none" w:sz="0" w:space="0" w:color="auto"/>
            <w:left w:val="none" w:sz="0" w:space="0" w:color="auto"/>
            <w:bottom w:val="none" w:sz="0" w:space="0" w:color="auto"/>
            <w:right w:val="none" w:sz="0" w:space="0" w:color="auto"/>
          </w:divBdr>
          <w:divsChild>
            <w:div w:id="1871451263">
              <w:marLeft w:val="0"/>
              <w:marRight w:val="0"/>
              <w:marTop w:val="0"/>
              <w:marBottom w:val="0"/>
              <w:divBdr>
                <w:top w:val="none" w:sz="0" w:space="0" w:color="auto"/>
                <w:left w:val="none" w:sz="0" w:space="0" w:color="auto"/>
                <w:bottom w:val="none" w:sz="0" w:space="0" w:color="auto"/>
                <w:right w:val="none" w:sz="0" w:space="0" w:color="auto"/>
              </w:divBdr>
            </w:div>
          </w:divsChild>
        </w:div>
        <w:div w:id="1928419491">
          <w:marLeft w:val="425"/>
          <w:marRight w:val="0"/>
          <w:marTop w:val="0"/>
          <w:marBottom w:val="0"/>
          <w:divBdr>
            <w:top w:val="none" w:sz="0" w:space="0" w:color="auto"/>
            <w:left w:val="none" w:sz="0" w:space="0" w:color="auto"/>
            <w:bottom w:val="none" w:sz="0" w:space="0" w:color="auto"/>
            <w:right w:val="none" w:sz="0" w:space="0" w:color="auto"/>
          </w:divBdr>
          <w:divsChild>
            <w:div w:id="82337618">
              <w:marLeft w:val="0"/>
              <w:marRight w:val="0"/>
              <w:marTop w:val="0"/>
              <w:marBottom w:val="0"/>
              <w:divBdr>
                <w:top w:val="none" w:sz="0" w:space="0" w:color="auto"/>
                <w:left w:val="none" w:sz="0" w:space="0" w:color="auto"/>
                <w:bottom w:val="none" w:sz="0" w:space="0" w:color="auto"/>
                <w:right w:val="none" w:sz="0" w:space="0" w:color="auto"/>
              </w:divBdr>
            </w:div>
          </w:divsChild>
        </w:div>
        <w:div w:id="283586374">
          <w:marLeft w:val="425"/>
          <w:marRight w:val="0"/>
          <w:marTop w:val="0"/>
          <w:marBottom w:val="0"/>
          <w:divBdr>
            <w:top w:val="none" w:sz="0" w:space="0" w:color="auto"/>
            <w:left w:val="none" w:sz="0" w:space="0" w:color="auto"/>
            <w:bottom w:val="none" w:sz="0" w:space="0" w:color="auto"/>
            <w:right w:val="none" w:sz="0" w:space="0" w:color="auto"/>
          </w:divBdr>
          <w:divsChild>
            <w:div w:id="263879432">
              <w:marLeft w:val="0"/>
              <w:marRight w:val="0"/>
              <w:marTop w:val="0"/>
              <w:marBottom w:val="0"/>
              <w:divBdr>
                <w:top w:val="none" w:sz="0" w:space="0" w:color="auto"/>
                <w:left w:val="none" w:sz="0" w:space="0" w:color="auto"/>
                <w:bottom w:val="none" w:sz="0" w:space="0" w:color="auto"/>
                <w:right w:val="none" w:sz="0" w:space="0" w:color="auto"/>
              </w:divBdr>
            </w:div>
          </w:divsChild>
        </w:div>
        <w:div w:id="540090457">
          <w:marLeft w:val="425"/>
          <w:marRight w:val="0"/>
          <w:marTop w:val="0"/>
          <w:marBottom w:val="0"/>
          <w:divBdr>
            <w:top w:val="none" w:sz="0" w:space="0" w:color="auto"/>
            <w:left w:val="none" w:sz="0" w:space="0" w:color="auto"/>
            <w:bottom w:val="none" w:sz="0" w:space="0" w:color="auto"/>
            <w:right w:val="none" w:sz="0" w:space="0" w:color="auto"/>
          </w:divBdr>
          <w:divsChild>
            <w:div w:id="541400060">
              <w:marLeft w:val="0"/>
              <w:marRight w:val="0"/>
              <w:marTop w:val="0"/>
              <w:marBottom w:val="0"/>
              <w:divBdr>
                <w:top w:val="none" w:sz="0" w:space="0" w:color="auto"/>
                <w:left w:val="none" w:sz="0" w:space="0" w:color="auto"/>
                <w:bottom w:val="none" w:sz="0" w:space="0" w:color="auto"/>
                <w:right w:val="none" w:sz="0" w:space="0" w:color="auto"/>
              </w:divBdr>
            </w:div>
          </w:divsChild>
        </w:div>
        <w:div w:id="1200900146">
          <w:marLeft w:val="425"/>
          <w:marRight w:val="0"/>
          <w:marTop w:val="0"/>
          <w:marBottom w:val="0"/>
          <w:divBdr>
            <w:top w:val="none" w:sz="0" w:space="0" w:color="auto"/>
            <w:left w:val="none" w:sz="0" w:space="0" w:color="auto"/>
            <w:bottom w:val="none" w:sz="0" w:space="0" w:color="auto"/>
            <w:right w:val="none" w:sz="0" w:space="0" w:color="auto"/>
          </w:divBdr>
          <w:divsChild>
            <w:div w:id="450321683">
              <w:marLeft w:val="0"/>
              <w:marRight w:val="0"/>
              <w:marTop w:val="0"/>
              <w:marBottom w:val="0"/>
              <w:divBdr>
                <w:top w:val="none" w:sz="0" w:space="0" w:color="auto"/>
                <w:left w:val="none" w:sz="0" w:space="0" w:color="auto"/>
                <w:bottom w:val="none" w:sz="0" w:space="0" w:color="auto"/>
                <w:right w:val="none" w:sz="0" w:space="0" w:color="auto"/>
              </w:divBdr>
            </w:div>
          </w:divsChild>
        </w:div>
        <w:div w:id="866022694">
          <w:marLeft w:val="425"/>
          <w:marRight w:val="0"/>
          <w:marTop w:val="0"/>
          <w:marBottom w:val="0"/>
          <w:divBdr>
            <w:top w:val="none" w:sz="0" w:space="0" w:color="auto"/>
            <w:left w:val="none" w:sz="0" w:space="0" w:color="auto"/>
            <w:bottom w:val="none" w:sz="0" w:space="0" w:color="auto"/>
            <w:right w:val="none" w:sz="0" w:space="0" w:color="auto"/>
          </w:divBdr>
          <w:divsChild>
            <w:div w:id="884365933">
              <w:marLeft w:val="0"/>
              <w:marRight w:val="0"/>
              <w:marTop w:val="0"/>
              <w:marBottom w:val="0"/>
              <w:divBdr>
                <w:top w:val="none" w:sz="0" w:space="0" w:color="auto"/>
                <w:left w:val="none" w:sz="0" w:space="0" w:color="auto"/>
                <w:bottom w:val="none" w:sz="0" w:space="0" w:color="auto"/>
                <w:right w:val="none" w:sz="0" w:space="0" w:color="auto"/>
              </w:divBdr>
            </w:div>
          </w:divsChild>
        </w:div>
        <w:div w:id="1580485484">
          <w:marLeft w:val="425"/>
          <w:marRight w:val="0"/>
          <w:marTop w:val="0"/>
          <w:marBottom w:val="0"/>
          <w:divBdr>
            <w:top w:val="none" w:sz="0" w:space="0" w:color="auto"/>
            <w:left w:val="none" w:sz="0" w:space="0" w:color="auto"/>
            <w:bottom w:val="none" w:sz="0" w:space="0" w:color="auto"/>
            <w:right w:val="none" w:sz="0" w:space="0" w:color="auto"/>
          </w:divBdr>
          <w:divsChild>
            <w:div w:id="1832599565">
              <w:marLeft w:val="0"/>
              <w:marRight w:val="0"/>
              <w:marTop w:val="0"/>
              <w:marBottom w:val="0"/>
              <w:divBdr>
                <w:top w:val="none" w:sz="0" w:space="0" w:color="auto"/>
                <w:left w:val="none" w:sz="0" w:space="0" w:color="auto"/>
                <w:bottom w:val="none" w:sz="0" w:space="0" w:color="auto"/>
                <w:right w:val="none" w:sz="0" w:space="0" w:color="auto"/>
              </w:divBdr>
            </w:div>
          </w:divsChild>
        </w:div>
        <w:div w:id="747503654">
          <w:marLeft w:val="425"/>
          <w:marRight w:val="0"/>
          <w:marTop w:val="0"/>
          <w:marBottom w:val="0"/>
          <w:divBdr>
            <w:top w:val="none" w:sz="0" w:space="0" w:color="auto"/>
            <w:left w:val="none" w:sz="0" w:space="0" w:color="auto"/>
            <w:bottom w:val="none" w:sz="0" w:space="0" w:color="auto"/>
            <w:right w:val="none" w:sz="0" w:space="0" w:color="auto"/>
          </w:divBdr>
          <w:divsChild>
            <w:div w:id="297688118">
              <w:marLeft w:val="0"/>
              <w:marRight w:val="0"/>
              <w:marTop w:val="0"/>
              <w:marBottom w:val="0"/>
              <w:divBdr>
                <w:top w:val="none" w:sz="0" w:space="0" w:color="auto"/>
                <w:left w:val="none" w:sz="0" w:space="0" w:color="auto"/>
                <w:bottom w:val="none" w:sz="0" w:space="0" w:color="auto"/>
                <w:right w:val="none" w:sz="0" w:space="0" w:color="auto"/>
              </w:divBdr>
            </w:div>
          </w:divsChild>
        </w:div>
        <w:div w:id="652569077">
          <w:marLeft w:val="425"/>
          <w:marRight w:val="0"/>
          <w:marTop w:val="0"/>
          <w:marBottom w:val="0"/>
          <w:divBdr>
            <w:top w:val="none" w:sz="0" w:space="0" w:color="auto"/>
            <w:left w:val="none" w:sz="0" w:space="0" w:color="auto"/>
            <w:bottom w:val="none" w:sz="0" w:space="0" w:color="auto"/>
            <w:right w:val="none" w:sz="0" w:space="0" w:color="auto"/>
          </w:divBdr>
          <w:divsChild>
            <w:div w:id="1091047329">
              <w:marLeft w:val="0"/>
              <w:marRight w:val="0"/>
              <w:marTop w:val="0"/>
              <w:marBottom w:val="0"/>
              <w:divBdr>
                <w:top w:val="none" w:sz="0" w:space="0" w:color="auto"/>
                <w:left w:val="none" w:sz="0" w:space="0" w:color="auto"/>
                <w:bottom w:val="none" w:sz="0" w:space="0" w:color="auto"/>
                <w:right w:val="none" w:sz="0" w:space="0" w:color="auto"/>
              </w:divBdr>
            </w:div>
          </w:divsChild>
        </w:div>
        <w:div w:id="2073384327">
          <w:marLeft w:val="425"/>
          <w:marRight w:val="0"/>
          <w:marTop w:val="0"/>
          <w:marBottom w:val="0"/>
          <w:divBdr>
            <w:top w:val="none" w:sz="0" w:space="0" w:color="auto"/>
            <w:left w:val="none" w:sz="0" w:space="0" w:color="auto"/>
            <w:bottom w:val="none" w:sz="0" w:space="0" w:color="auto"/>
            <w:right w:val="none" w:sz="0" w:space="0" w:color="auto"/>
          </w:divBdr>
          <w:divsChild>
            <w:div w:id="3677646">
              <w:marLeft w:val="0"/>
              <w:marRight w:val="0"/>
              <w:marTop w:val="0"/>
              <w:marBottom w:val="0"/>
              <w:divBdr>
                <w:top w:val="none" w:sz="0" w:space="0" w:color="auto"/>
                <w:left w:val="none" w:sz="0" w:space="0" w:color="auto"/>
                <w:bottom w:val="none" w:sz="0" w:space="0" w:color="auto"/>
                <w:right w:val="none" w:sz="0" w:space="0" w:color="auto"/>
              </w:divBdr>
            </w:div>
          </w:divsChild>
        </w:div>
        <w:div w:id="1117144934">
          <w:marLeft w:val="425"/>
          <w:marRight w:val="0"/>
          <w:marTop w:val="0"/>
          <w:marBottom w:val="0"/>
          <w:divBdr>
            <w:top w:val="none" w:sz="0" w:space="0" w:color="auto"/>
            <w:left w:val="none" w:sz="0" w:space="0" w:color="auto"/>
            <w:bottom w:val="none" w:sz="0" w:space="0" w:color="auto"/>
            <w:right w:val="none" w:sz="0" w:space="0" w:color="auto"/>
          </w:divBdr>
          <w:divsChild>
            <w:div w:id="1111045929">
              <w:marLeft w:val="0"/>
              <w:marRight w:val="0"/>
              <w:marTop w:val="0"/>
              <w:marBottom w:val="0"/>
              <w:divBdr>
                <w:top w:val="none" w:sz="0" w:space="0" w:color="auto"/>
                <w:left w:val="none" w:sz="0" w:space="0" w:color="auto"/>
                <w:bottom w:val="none" w:sz="0" w:space="0" w:color="auto"/>
                <w:right w:val="none" w:sz="0" w:space="0" w:color="auto"/>
              </w:divBdr>
            </w:div>
          </w:divsChild>
        </w:div>
        <w:div w:id="29960610">
          <w:marLeft w:val="425"/>
          <w:marRight w:val="0"/>
          <w:marTop w:val="0"/>
          <w:marBottom w:val="0"/>
          <w:divBdr>
            <w:top w:val="none" w:sz="0" w:space="0" w:color="auto"/>
            <w:left w:val="none" w:sz="0" w:space="0" w:color="auto"/>
            <w:bottom w:val="none" w:sz="0" w:space="0" w:color="auto"/>
            <w:right w:val="none" w:sz="0" w:space="0" w:color="auto"/>
          </w:divBdr>
          <w:divsChild>
            <w:div w:id="663581587">
              <w:marLeft w:val="0"/>
              <w:marRight w:val="0"/>
              <w:marTop w:val="0"/>
              <w:marBottom w:val="0"/>
              <w:divBdr>
                <w:top w:val="none" w:sz="0" w:space="0" w:color="auto"/>
                <w:left w:val="none" w:sz="0" w:space="0" w:color="auto"/>
                <w:bottom w:val="none" w:sz="0" w:space="0" w:color="auto"/>
                <w:right w:val="none" w:sz="0" w:space="0" w:color="auto"/>
              </w:divBdr>
            </w:div>
          </w:divsChild>
        </w:div>
        <w:div w:id="1391536365">
          <w:marLeft w:val="425"/>
          <w:marRight w:val="0"/>
          <w:marTop w:val="0"/>
          <w:marBottom w:val="0"/>
          <w:divBdr>
            <w:top w:val="none" w:sz="0" w:space="0" w:color="auto"/>
            <w:left w:val="none" w:sz="0" w:space="0" w:color="auto"/>
            <w:bottom w:val="none" w:sz="0" w:space="0" w:color="auto"/>
            <w:right w:val="none" w:sz="0" w:space="0" w:color="auto"/>
          </w:divBdr>
          <w:divsChild>
            <w:div w:id="1062869092">
              <w:marLeft w:val="0"/>
              <w:marRight w:val="0"/>
              <w:marTop w:val="0"/>
              <w:marBottom w:val="0"/>
              <w:divBdr>
                <w:top w:val="none" w:sz="0" w:space="0" w:color="auto"/>
                <w:left w:val="none" w:sz="0" w:space="0" w:color="auto"/>
                <w:bottom w:val="none" w:sz="0" w:space="0" w:color="auto"/>
                <w:right w:val="none" w:sz="0" w:space="0" w:color="auto"/>
              </w:divBdr>
            </w:div>
          </w:divsChild>
        </w:div>
        <w:div w:id="676690578">
          <w:marLeft w:val="0"/>
          <w:marRight w:val="0"/>
          <w:marTop w:val="240"/>
          <w:marBottom w:val="0"/>
          <w:divBdr>
            <w:top w:val="none" w:sz="0" w:space="0" w:color="auto"/>
            <w:left w:val="none" w:sz="0" w:space="0" w:color="auto"/>
            <w:bottom w:val="none" w:sz="0" w:space="0" w:color="auto"/>
            <w:right w:val="none" w:sz="0" w:space="0" w:color="auto"/>
          </w:divBdr>
        </w:div>
        <w:div w:id="1591738432">
          <w:marLeft w:val="0"/>
          <w:marRight w:val="0"/>
          <w:marTop w:val="240"/>
          <w:marBottom w:val="0"/>
          <w:divBdr>
            <w:top w:val="none" w:sz="0" w:space="0" w:color="auto"/>
            <w:left w:val="none" w:sz="0" w:space="0" w:color="auto"/>
            <w:bottom w:val="none" w:sz="0" w:space="0" w:color="auto"/>
            <w:right w:val="none" w:sz="0" w:space="0" w:color="auto"/>
          </w:divBdr>
        </w:div>
      </w:divsChild>
    </w:div>
    <w:div w:id="712925895">
      <w:bodyDiv w:val="1"/>
      <w:marLeft w:val="0"/>
      <w:marRight w:val="0"/>
      <w:marTop w:val="0"/>
      <w:marBottom w:val="0"/>
      <w:divBdr>
        <w:top w:val="none" w:sz="0" w:space="0" w:color="auto"/>
        <w:left w:val="none" w:sz="0" w:space="0" w:color="auto"/>
        <w:bottom w:val="none" w:sz="0" w:space="0" w:color="auto"/>
        <w:right w:val="none" w:sz="0" w:space="0" w:color="auto"/>
      </w:divBdr>
    </w:div>
    <w:div w:id="741562975">
      <w:bodyDiv w:val="1"/>
      <w:marLeft w:val="0"/>
      <w:marRight w:val="0"/>
      <w:marTop w:val="0"/>
      <w:marBottom w:val="0"/>
      <w:divBdr>
        <w:top w:val="none" w:sz="0" w:space="0" w:color="auto"/>
        <w:left w:val="none" w:sz="0" w:space="0" w:color="auto"/>
        <w:bottom w:val="none" w:sz="0" w:space="0" w:color="auto"/>
        <w:right w:val="none" w:sz="0" w:space="0" w:color="auto"/>
      </w:divBdr>
      <w:divsChild>
        <w:div w:id="1984117485">
          <w:marLeft w:val="0"/>
          <w:marRight w:val="0"/>
          <w:marTop w:val="480"/>
          <w:marBottom w:val="0"/>
          <w:divBdr>
            <w:top w:val="none" w:sz="0" w:space="0" w:color="auto"/>
            <w:left w:val="none" w:sz="0" w:space="0" w:color="auto"/>
            <w:bottom w:val="none" w:sz="0" w:space="0" w:color="auto"/>
            <w:right w:val="none" w:sz="0" w:space="0" w:color="auto"/>
          </w:divBdr>
        </w:div>
        <w:div w:id="571306991">
          <w:marLeft w:val="0"/>
          <w:marRight w:val="0"/>
          <w:marTop w:val="0"/>
          <w:marBottom w:val="0"/>
          <w:divBdr>
            <w:top w:val="none" w:sz="0" w:space="0" w:color="auto"/>
            <w:left w:val="none" w:sz="0" w:space="0" w:color="auto"/>
            <w:bottom w:val="none" w:sz="0" w:space="0" w:color="auto"/>
            <w:right w:val="none" w:sz="0" w:space="0" w:color="auto"/>
          </w:divBdr>
        </w:div>
        <w:div w:id="877743762">
          <w:marLeft w:val="0"/>
          <w:marRight w:val="0"/>
          <w:marTop w:val="240"/>
          <w:marBottom w:val="0"/>
          <w:divBdr>
            <w:top w:val="none" w:sz="0" w:space="0" w:color="auto"/>
            <w:left w:val="none" w:sz="0" w:space="0" w:color="auto"/>
            <w:bottom w:val="none" w:sz="0" w:space="0" w:color="auto"/>
            <w:right w:val="none" w:sz="0" w:space="0" w:color="auto"/>
          </w:divBdr>
        </w:div>
        <w:div w:id="1690638973">
          <w:marLeft w:val="0"/>
          <w:marRight w:val="0"/>
          <w:marTop w:val="240"/>
          <w:marBottom w:val="0"/>
          <w:divBdr>
            <w:top w:val="none" w:sz="0" w:space="0" w:color="auto"/>
            <w:left w:val="none" w:sz="0" w:space="0" w:color="auto"/>
            <w:bottom w:val="none" w:sz="0" w:space="0" w:color="auto"/>
            <w:right w:val="none" w:sz="0" w:space="0" w:color="auto"/>
          </w:divBdr>
        </w:div>
        <w:div w:id="840006385">
          <w:marLeft w:val="425"/>
          <w:marRight w:val="0"/>
          <w:marTop w:val="0"/>
          <w:marBottom w:val="0"/>
          <w:divBdr>
            <w:top w:val="none" w:sz="0" w:space="0" w:color="auto"/>
            <w:left w:val="none" w:sz="0" w:space="0" w:color="auto"/>
            <w:bottom w:val="none" w:sz="0" w:space="0" w:color="auto"/>
            <w:right w:val="none" w:sz="0" w:space="0" w:color="auto"/>
          </w:divBdr>
          <w:divsChild>
            <w:div w:id="1263565807">
              <w:marLeft w:val="0"/>
              <w:marRight w:val="0"/>
              <w:marTop w:val="0"/>
              <w:marBottom w:val="0"/>
              <w:divBdr>
                <w:top w:val="none" w:sz="0" w:space="0" w:color="auto"/>
                <w:left w:val="none" w:sz="0" w:space="0" w:color="auto"/>
                <w:bottom w:val="none" w:sz="0" w:space="0" w:color="auto"/>
                <w:right w:val="none" w:sz="0" w:space="0" w:color="auto"/>
              </w:divBdr>
            </w:div>
          </w:divsChild>
        </w:div>
        <w:div w:id="721488535">
          <w:marLeft w:val="425"/>
          <w:marRight w:val="0"/>
          <w:marTop w:val="0"/>
          <w:marBottom w:val="0"/>
          <w:divBdr>
            <w:top w:val="none" w:sz="0" w:space="0" w:color="auto"/>
            <w:left w:val="none" w:sz="0" w:space="0" w:color="auto"/>
            <w:bottom w:val="none" w:sz="0" w:space="0" w:color="auto"/>
            <w:right w:val="none" w:sz="0" w:space="0" w:color="auto"/>
          </w:divBdr>
          <w:divsChild>
            <w:div w:id="742141833">
              <w:marLeft w:val="0"/>
              <w:marRight w:val="0"/>
              <w:marTop w:val="0"/>
              <w:marBottom w:val="0"/>
              <w:divBdr>
                <w:top w:val="none" w:sz="0" w:space="0" w:color="auto"/>
                <w:left w:val="none" w:sz="0" w:space="0" w:color="auto"/>
                <w:bottom w:val="none" w:sz="0" w:space="0" w:color="auto"/>
                <w:right w:val="none" w:sz="0" w:space="0" w:color="auto"/>
              </w:divBdr>
            </w:div>
          </w:divsChild>
        </w:div>
        <w:div w:id="798381253">
          <w:marLeft w:val="425"/>
          <w:marRight w:val="0"/>
          <w:marTop w:val="0"/>
          <w:marBottom w:val="0"/>
          <w:divBdr>
            <w:top w:val="none" w:sz="0" w:space="0" w:color="auto"/>
            <w:left w:val="none" w:sz="0" w:space="0" w:color="auto"/>
            <w:bottom w:val="none" w:sz="0" w:space="0" w:color="auto"/>
            <w:right w:val="none" w:sz="0" w:space="0" w:color="auto"/>
          </w:divBdr>
          <w:divsChild>
            <w:div w:id="1331760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3991291">
      <w:bodyDiv w:val="1"/>
      <w:marLeft w:val="0"/>
      <w:marRight w:val="0"/>
      <w:marTop w:val="0"/>
      <w:marBottom w:val="0"/>
      <w:divBdr>
        <w:top w:val="none" w:sz="0" w:space="0" w:color="auto"/>
        <w:left w:val="none" w:sz="0" w:space="0" w:color="auto"/>
        <w:bottom w:val="none" w:sz="0" w:space="0" w:color="auto"/>
        <w:right w:val="none" w:sz="0" w:space="0" w:color="auto"/>
      </w:divBdr>
    </w:div>
    <w:div w:id="751895353">
      <w:bodyDiv w:val="1"/>
      <w:marLeft w:val="0"/>
      <w:marRight w:val="0"/>
      <w:marTop w:val="0"/>
      <w:marBottom w:val="0"/>
      <w:divBdr>
        <w:top w:val="none" w:sz="0" w:space="0" w:color="auto"/>
        <w:left w:val="none" w:sz="0" w:space="0" w:color="auto"/>
        <w:bottom w:val="none" w:sz="0" w:space="0" w:color="auto"/>
        <w:right w:val="none" w:sz="0" w:space="0" w:color="auto"/>
      </w:divBdr>
    </w:div>
    <w:div w:id="781345103">
      <w:bodyDiv w:val="1"/>
      <w:marLeft w:val="0"/>
      <w:marRight w:val="0"/>
      <w:marTop w:val="0"/>
      <w:marBottom w:val="0"/>
      <w:divBdr>
        <w:top w:val="none" w:sz="0" w:space="0" w:color="auto"/>
        <w:left w:val="none" w:sz="0" w:space="0" w:color="auto"/>
        <w:bottom w:val="none" w:sz="0" w:space="0" w:color="auto"/>
        <w:right w:val="none" w:sz="0" w:space="0" w:color="auto"/>
      </w:divBdr>
    </w:div>
    <w:div w:id="837813549">
      <w:bodyDiv w:val="1"/>
      <w:marLeft w:val="0"/>
      <w:marRight w:val="0"/>
      <w:marTop w:val="0"/>
      <w:marBottom w:val="0"/>
      <w:divBdr>
        <w:top w:val="none" w:sz="0" w:space="0" w:color="auto"/>
        <w:left w:val="none" w:sz="0" w:space="0" w:color="auto"/>
        <w:bottom w:val="none" w:sz="0" w:space="0" w:color="auto"/>
        <w:right w:val="none" w:sz="0" w:space="0" w:color="auto"/>
      </w:divBdr>
    </w:div>
    <w:div w:id="856580066">
      <w:bodyDiv w:val="1"/>
      <w:marLeft w:val="0"/>
      <w:marRight w:val="0"/>
      <w:marTop w:val="0"/>
      <w:marBottom w:val="0"/>
      <w:divBdr>
        <w:top w:val="none" w:sz="0" w:space="0" w:color="auto"/>
        <w:left w:val="none" w:sz="0" w:space="0" w:color="auto"/>
        <w:bottom w:val="none" w:sz="0" w:space="0" w:color="auto"/>
        <w:right w:val="none" w:sz="0" w:space="0" w:color="auto"/>
      </w:divBdr>
      <w:divsChild>
        <w:div w:id="93208805">
          <w:marLeft w:val="0"/>
          <w:marRight w:val="0"/>
          <w:marTop w:val="480"/>
          <w:marBottom w:val="0"/>
          <w:divBdr>
            <w:top w:val="none" w:sz="0" w:space="0" w:color="auto"/>
            <w:left w:val="none" w:sz="0" w:space="0" w:color="auto"/>
            <w:bottom w:val="none" w:sz="0" w:space="0" w:color="auto"/>
            <w:right w:val="none" w:sz="0" w:space="0" w:color="auto"/>
          </w:divBdr>
        </w:div>
        <w:div w:id="513762811">
          <w:marLeft w:val="0"/>
          <w:marRight w:val="0"/>
          <w:marTop w:val="0"/>
          <w:marBottom w:val="0"/>
          <w:divBdr>
            <w:top w:val="none" w:sz="0" w:space="0" w:color="auto"/>
            <w:left w:val="none" w:sz="0" w:space="0" w:color="auto"/>
            <w:bottom w:val="none" w:sz="0" w:space="0" w:color="auto"/>
            <w:right w:val="none" w:sz="0" w:space="0" w:color="auto"/>
          </w:divBdr>
        </w:div>
        <w:div w:id="1933510948">
          <w:marLeft w:val="0"/>
          <w:marRight w:val="0"/>
          <w:marTop w:val="240"/>
          <w:marBottom w:val="0"/>
          <w:divBdr>
            <w:top w:val="none" w:sz="0" w:space="0" w:color="auto"/>
            <w:left w:val="none" w:sz="0" w:space="0" w:color="auto"/>
            <w:bottom w:val="none" w:sz="0" w:space="0" w:color="auto"/>
            <w:right w:val="none" w:sz="0" w:space="0" w:color="auto"/>
          </w:divBdr>
        </w:div>
        <w:div w:id="563375655">
          <w:marLeft w:val="425"/>
          <w:marRight w:val="0"/>
          <w:marTop w:val="0"/>
          <w:marBottom w:val="0"/>
          <w:divBdr>
            <w:top w:val="none" w:sz="0" w:space="0" w:color="auto"/>
            <w:left w:val="none" w:sz="0" w:space="0" w:color="auto"/>
            <w:bottom w:val="none" w:sz="0" w:space="0" w:color="auto"/>
            <w:right w:val="none" w:sz="0" w:space="0" w:color="auto"/>
          </w:divBdr>
        </w:div>
        <w:div w:id="1978562542">
          <w:marLeft w:val="425"/>
          <w:marRight w:val="0"/>
          <w:marTop w:val="0"/>
          <w:marBottom w:val="0"/>
          <w:divBdr>
            <w:top w:val="none" w:sz="0" w:space="0" w:color="auto"/>
            <w:left w:val="none" w:sz="0" w:space="0" w:color="auto"/>
            <w:bottom w:val="none" w:sz="0" w:space="0" w:color="auto"/>
            <w:right w:val="none" w:sz="0" w:space="0" w:color="auto"/>
          </w:divBdr>
        </w:div>
        <w:div w:id="9261354">
          <w:marLeft w:val="425"/>
          <w:marRight w:val="0"/>
          <w:marTop w:val="0"/>
          <w:marBottom w:val="0"/>
          <w:divBdr>
            <w:top w:val="none" w:sz="0" w:space="0" w:color="auto"/>
            <w:left w:val="none" w:sz="0" w:space="0" w:color="auto"/>
            <w:bottom w:val="none" w:sz="0" w:space="0" w:color="auto"/>
            <w:right w:val="none" w:sz="0" w:space="0" w:color="auto"/>
          </w:divBdr>
        </w:div>
        <w:div w:id="1663653053">
          <w:marLeft w:val="425"/>
          <w:marRight w:val="0"/>
          <w:marTop w:val="0"/>
          <w:marBottom w:val="0"/>
          <w:divBdr>
            <w:top w:val="none" w:sz="0" w:space="0" w:color="auto"/>
            <w:left w:val="none" w:sz="0" w:space="0" w:color="auto"/>
            <w:bottom w:val="none" w:sz="0" w:space="0" w:color="auto"/>
            <w:right w:val="none" w:sz="0" w:space="0" w:color="auto"/>
          </w:divBdr>
        </w:div>
        <w:div w:id="2134984430">
          <w:marLeft w:val="425"/>
          <w:marRight w:val="0"/>
          <w:marTop w:val="0"/>
          <w:marBottom w:val="0"/>
          <w:divBdr>
            <w:top w:val="none" w:sz="0" w:space="0" w:color="auto"/>
            <w:left w:val="none" w:sz="0" w:space="0" w:color="auto"/>
            <w:bottom w:val="none" w:sz="0" w:space="0" w:color="auto"/>
            <w:right w:val="none" w:sz="0" w:space="0" w:color="auto"/>
          </w:divBdr>
        </w:div>
        <w:div w:id="1154299594">
          <w:marLeft w:val="425"/>
          <w:marRight w:val="0"/>
          <w:marTop w:val="0"/>
          <w:marBottom w:val="0"/>
          <w:divBdr>
            <w:top w:val="none" w:sz="0" w:space="0" w:color="auto"/>
            <w:left w:val="none" w:sz="0" w:space="0" w:color="auto"/>
            <w:bottom w:val="none" w:sz="0" w:space="0" w:color="auto"/>
            <w:right w:val="none" w:sz="0" w:space="0" w:color="auto"/>
          </w:divBdr>
        </w:div>
        <w:div w:id="122426626">
          <w:marLeft w:val="425"/>
          <w:marRight w:val="0"/>
          <w:marTop w:val="0"/>
          <w:marBottom w:val="0"/>
          <w:divBdr>
            <w:top w:val="none" w:sz="0" w:space="0" w:color="auto"/>
            <w:left w:val="none" w:sz="0" w:space="0" w:color="auto"/>
            <w:bottom w:val="none" w:sz="0" w:space="0" w:color="auto"/>
            <w:right w:val="none" w:sz="0" w:space="0" w:color="auto"/>
          </w:divBdr>
        </w:div>
        <w:div w:id="2017270020">
          <w:marLeft w:val="425"/>
          <w:marRight w:val="0"/>
          <w:marTop w:val="0"/>
          <w:marBottom w:val="0"/>
          <w:divBdr>
            <w:top w:val="none" w:sz="0" w:space="0" w:color="auto"/>
            <w:left w:val="none" w:sz="0" w:space="0" w:color="auto"/>
            <w:bottom w:val="none" w:sz="0" w:space="0" w:color="auto"/>
            <w:right w:val="none" w:sz="0" w:space="0" w:color="auto"/>
          </w:divBdr>
        </w:div>
        <w:div w:id="1243753511">
          <w:marLeft w:val="425"/>
          <w:marRight w:val="0"/>
          <w:marTop w:val="0"/>
          <w:marBottom w:val="0"/>
          <w:divBdr>
            <w:top w:val="none" w:sz="0" w:space="0" w:color="auto"/>
            <w:left w:val="none" w:sz="0" w:space="0" w:color="auto"/>
            <w:bottom w:val="none" w:sz="0" w:space="0" w:color="auto"/>
            <w:right w:val="none" w:sz="0" w:space="0" w:color="auto"/>
          </w:divBdr>
        </w:div>
        <w:div w:id="1675455454">
          <w:marLeft w:val="425"/>
          <w:marRight w:val="0"/>
          <w:marTop w:val="0"/>
          <w:marBottom w:val="0"/>
          <w:divBdr>
            <w:top w:val="none" w:sz="0" w:space="0" w:color="auto"/>
            <w:left w:val="none" w:sz="0" w:space="0" w:color="auto"/>
            <w:bottom w:val="none" w:sz="0" w:space="0" w:color="auto"/>
            <w:right w:val="none" w:sz="0" w:space="0" w:color="auto"/>
          </w:divBdr>
        </w:div>
        <w:div w:id="1150318763">
          <w:marLeft w:val="425"/>
          <w:marRight w:val="0"/>
          <w:marTop w:val="0"/>
          <w:marBottom w:val="0"/>
          <w:divBdr>
            <w:top w:val="none" w:sz="0" w:space="0" w:color="auto"/>
            <w:left w:val="none" w:sz="0" w:space="0" w:color="auto"/>
            <w:bottom w:val="none" w:sz="0" w:space="0" w:color="auto"/>
            <w:right w:val="none" w:sz="0" w:space="0" w:color="auto"/>
          </w:divBdr>
        </w:div>
        <w:div w:id="1675721469">
          <w:marLeft w:val="425"/>
          <w:marRight w:val="0"/>
          <w:marTop w:val="0"/>
          <w:marBottom w:val="0"/>
          <w:divBdr>
            <w:top w:val="none" w:sz="0" w:space="0" w:color="auto"/>
            <w:left w:val="none" w:sz="0" w:space="0" w:color="auto"/>
            <w:bottom w:val="none" w:sz="0" w:space="0" w:color="auto"/>
            <w:right w:val="none" w:sz="0" w:space="0" w:color="auto"/>
          </w:divBdr>
        </w:div>
        <w:div w:id="2065715733">
          <w:marLeft w:val="425"/>
          <w:marRight w:val="0"/>
          <w:marTop w:val="0"/>
          <w:marBottom w:val="0"/>
          <w:divBdr>
            <w:top w:val="none" w:sz="0" w:space="0" w:color="auto"/>
            <w:left w:val="none" w:sz="0" w:space="0" w:color="auto"/>
            <w:bottom w:val="none" w:sz="0" w:space="0" w:color="auto"/>
            <w:right w:val="none" w:sz="0" w:space="0" w:color="auto"/>
          </w:divBdr>
        </w:div>
        <w:div w:id="22245761">
          <w:marLeft w:val="425"/>
          <w:marRight w:val="0"/>
          <w:marTop w:val="0"/>
          <w:marBottom w:val="0"/>
          <w:divBdr>
            <w:top w:val="none" w:sz="0" w:space="0" w:color="auto"/>
            <w:left w:val="none" w:sz="0" w:space="0" w:color="auto"/>
            <w:bottom w:val="none" w:sz="0" w:space="0" w:color="auto"/>
            <w:right w:val="none" w:sz="0" w:space="0" w:color="auto"/>
          </w:divBdr>
        </w:div>
        <w:div w:id="239870594">
          <w:marLeft w:val="425"/>
          <w:marRight w:val="0"/>
          <w:marTop w:val="0"/>
          <w:marBottom w:val="0"/>
          <w:divBdr>
            <w:top w:val="none" w:sz="0" w:space="0" w:color="auto"/>
            <w:left w:val="none" w:sz="0" w:space="0" w:color="auto"/>
            <w:bottom w:val="none" w:sz="0" w:space="0" w:color="auto"/>
            <w:right w:val="none" w:sz="0" w:space="0" w:color="auto"/>
          </w:divBdr>
        </w:div>
        <w:div w:id="1630162692">
          <w:marLeft w:val="425"/>
          <w:marRight w:val="0"/>
          <w:marTop w:val="0"/>
          <w:marBottom w:val="0"/>
          <w:divBdr>
            <w:top w:val="none" w:sz="0" w:space="0" w:color="auto"/>
            <w:left w:val="none" w:sz="0" w:space="0" w:color="auto"/>
            <w:bottom w:val="none" w:sz="0" w:space="0" w:color="auto"/>
            <w:right w:val="none" w:sz="0" w:space="0" w:color="auto"/>
          </w:divBdr>
        </w:div>
        <w:div w:id="1509520066">
          <w:marLeft w:val="425"/>
          <w:marRight w:val="0"/>
          <w:marTop w:val="0"/>
          <w:marBottom w:val="0"/>
          <w:divBdr>
            <w:top w:val="none" w:sz="0" w:space="0" w:color="auto"/>
            <w:left w:val="none" w:sz="0" w:space="0" w:color="auto"/>
            <w:bottom w:val="none" w:sz="0" w:space="0" w:color="auto"/>
            <w:right w:val="none" w:sz="0" w:space="0" w:color="auto"/>
          </w:divBdr>
        </w:div>
        <w:div w:id="442917080">
          <w:marLeft w:val="425"/>
          <w:marRight w:val="0"/>
          <w:marTop w:val="0"/>
          <w:marBottom w:val="0"/>
          <w:divBdr>
            <w:top w:val="none" w:sz="0" w:space="0" w:color="auto"/>
            <w:left w:val="none" w:sz="0" w:space="0" w:color="auto"/>
            <w:bottom w:val="none" w:sz="0" w:space="0" w:color="auto"/>
            <w:right w:val="none" w:sz="0" w:space="0" w:color="auto"/>
          </w:divBdr>
        </w:div>
        <w:div w:id="1597592260">
          <w:marLeft w:val="425"/>
          <w:marRight w:val="0"/>
          <w:marTop w:val="0"/>
          <w:marBottom w:val="0"/>
          <w:divBdr>
            <w:top w:val="none" w:sz="0" w:space="0" w:color="auto"/>
            <w:left w:val="none" w:sz="0" w:space="0" w:color="auto"/>
            <w:bottom w:val="none" w:sz="0" w:space="0" w:color="auto"/>
            <w:right w:val="none" w:sz="0" w:space="0" w:color="auto"/>
          </w:divBdr>
        </w:div>
        <w:div w:id="1077359497">
          <w:marLeft w:val="425"/>
          <w:marRight w:val="0"/>
          <w:marTop w:val="0"/>
          <w:marBottom w:val="0"/>
          <w:divBdr>
            <w:top w:val="none" w:sz="0" w:space="0" w:color="auto"/>
            <w:left w:val="none" w:sz="0" w:space="0" w:color="auto"/>
            <w:bottom w:val="none" w:sz="0" w:space="0" w:color="auto"/>
            <w:right w:val="none" w:sz="0" w:space="0" w:color="auto"/>
          </w:divBdr>
        </w:div>
        <w:div w:id="685252451">
          <w:marLeft w:val="425"/>
          <w:marRight w:val="0"/>
          <w:marTop w:val="0"/>
          <w:marBottom w:val="0"/>
          <w:divBdr>
            <w:top w:val="none" w:sz="0" w:space="0" w:color="auto"/>
            <w:left w:val="none" w:sz="0" w:space="0" w:color="auto"/>
            <w:bottom w:val="none" w:sz="0" w:space="0" w:color="auto"/>
            <w:right w:val="none" w:sz="0" w:space="0" w:color="auto"/>
          </w:divBdr>
        </w:div>
        <w:div w:id="482041410">
          <w:marLeft w:val="425"/>
          <w:marRight w:val="0"/>
          <w:marTop w:val="0"/>
          <w:marBottom w:val="0"/>
          <w:divBdr>
            <w:top w:val="none" w:sz="0" w:space="0" w:color="auto"/>
            <w:left w:val="none" w:sz="0" w:space="0" w:color="auto"/>
            <w:bottom w:val="none" w:sz="0" w:space="0" w:color="auto"/>
            <w:right w:val="none" w:sz="0" w:space="0" w:color="auto"/>
          </w:divBdr>
        </w:div>
        <w:div w:id="536745018">
          <w:marLeft w:val="425"/>
          <w:marRight w:val="0"/>
          <w:marTop w:val="0"/>
          <w:marBottom w:val="0"/>
          <w:divBdr>
            <w:top w:val="none" w:sz="0" w:space="0" w:color="auto"/>
            <w:left w:val="none" w:sz="0" w:space="0" w:color="auto"/>
            <w:bottom w:val="none" w:sz="0" w:space="0" w:color="auto"/>
            <w:right w:val="none" w:sz="0" w:space="0" w:color="auto"/>
          </w:divBdr>
        </w:div>
        <w:div w:id="167838288">
          <w:marLeft w:val="425"/>
          <w:marRight w:val="0"/>
          <w:marTop w:val="0"/>
          <w:marBottom w:val="0"/>
          <w:divBdr>
            <w:top w:val="none" w:sz="0" w:space="0" w:color="auto"/>
            <w:left w:val="none" w:sz="0" w:space="0" w:color="auto"/>
            <w:bottom w:val="none" w:sz="0" w:space="0" w:color="auto"/>
            <w:right w:val="none" w:sz="0" w:space="0" w:color="auto"/>
          </w:divBdr>
        </w:div>
        <w:div w:id="1381707178">
          <w:marLeft w:val="425"/>
          <w:marRight w:val="0"/>
          <w:marTop w:val="0"/>
          <w:marBottom w:val="0"/>
          <w:divBdr>
            <w:top w:val="none" w:sz="0" w:space="0" w:color="auto"/>
            <w:left w:val="none" w:sz="0" w:space="0" w:color="auto"/>
            <w:bottom w:val="none" w:sz="0" w:space="0" w:color="auto"/>
            <w:right w:val="none" w:sz="0" w:space="0" w:color="auto"/>
          </w:divBdr>
        </w:div>
        <w:div w:id="1543982701">
          <w:marLeft w:val="425"/>
          <w:marRight w:val="0"/>
          <w:marTop w:val="0"/>
          <w:marBottom w:val="0"/>
          <w:divBdr>
            <w:top w:val="none" w:sz="0" w:space="0" w:color="auto"/>
            <w:left w:val="none" w:sz="0" w:space="0" w:color="auto"/>
            <w:bottom w:val="none" w:sz="0" w:space="0" w:color="auto"/>
            <w:right w:val="none" w:sz="0" w:space="0" w:color="auto"/>
          </w:divBdr>
        </w:div>
        <w:div w:id="990056982">
          <w:marLeft w:val="425"/>
          <w:marRight w:val="0"/>
          <w:marTop w:val="0"/>
          <w:marBottom w:val="0"/>
          <w:divBdr>
            <w:top w:val="none" w:sz="0" w:space="0" w:color="auto"/>
            <w:left w:val="none" w:sz="0" w:space="0" w:color="auto"/>
            <w:bottom w:val="none" w:sz="0" w:space="0" w:color="auto"/>
            <w:right w:val="none" w:sz="0" w:space="0" w:color="auto"/>
          </w:divBdr>
        </w:div>
        <w:div w:id="1356341873">
          <w:marLeft w:val="425"/>
          <w:marRight w:val="0"/>
          <w:marTop w:val="0"/>
          <w:marBottom w:val="0"/>
          <w:divBdr>
            <w:top w:val="none" w:sz="0" w:space="0" w:color="auto"/>
            <w:left w:val="none" w:sz="0" w:space="0" w:color="auto"/>
            <w:bottom w:val="none" w:sz="0" w:space="0" w:color="auto"/>
            <w:right w:val="none" w:sz="0" w:space="0" w:color="auto"/>
          </w:divBdr>
        </w:div>
        <w:div w:id="1274630104">
          <w:marLeft w:val="425"/>
          <w:marRight w:val="0"/>
          <w:marTop w:val="0"/>
          <w:marBottom w:val="0"/>
          <w:divBdr>
            <w:top w:val="none" w:sz="0" w:space="0" w:color="auto"/>
            <w:left w:val="none" w:sz="0" w:space="0" w:color="auto"/>
            <w:bottom w:val="none" w:sz="0" w:space="0" w:color="auto"/>
            <w:right w:val="none" w:sz="0" w:space="0" w:color="auto"/>
          </w:divBdr>
        </w:div>
        <w:div w:id="525605791">
          <w:marLeft w:val="425"/>
          <w:marRight w:val="0"/>
          <w:marTop w:val="0"/>
          <w:marBottom w:val="0"/>
          <w:divBdr>
            <w:top w:val="none" w:sz="0" w:space="0" w:color="auto"/>
            <w:left w:val="none" w:sz="0" w:space="0" w:color="auto"/>
            <w:bottom w:val="none" w:sz="0" w:space="0" w:color="auto"/>
            <w:right w:val="none" w:sz="0" w:space="0" w:color="auto"/>
          </w:divBdr>
        </w:div>
        <w:div w:id="742290892">
          <w:marLeft w:val="425"/>
          <w:marRight w:val="0"/>
          <w:marTop w:val="0"/>
          <w:marBottom w:val="0"/>
          <w:divBdr>
            <w:top w:val="none" w:sz="0" w:space="0" w:color="auto"/>
            <w:left w:val="none" w:sz="0" w:space="0" w:color="auto"/>
            <w:bottom w:val="none" w:sz="0" w:space="0" w:color="auto"/>
            <w:right w:val="none" w:sz="0" w:space="0" w:color="auto"/>
          </w:divBdr>
        </w:div>
        <w:div w:id="761529671">
          <w:marLeft w:val="425"/>
          <w:marRight w:val="0"/>
          <w:marTop w:val="0"/>
          <w:marBottom w:val="0"/>
          <w:divBdr>
            <w:top w:val="none" w:sz="0" w:space="0" w:color="auto"/>
            <w:left w:val="none" w:sz="0" w:space="0" w:color="auto"/>
            <w:bottom w:val="none" w:sz="0" w:space="0" w:color="auto"/>
            <w:right w:val="none" w:sz="0" w:space="0" w:color="auto"/>
          </w:divBdr>
        </w:div>
        <w:div w:id="1894609607">
          <w:marLeft w:val="425"/>
          <w:marRight w:val="0"/>
          <w:marTop w:val="0"/>
          <w:marBottom w:val="0"/>
          <w:divBdr>
            <w:top w:val="none" w:sz="0" w:space="0" w:color="auto"/>
            <w:left w:val="none" w:sz="0" w:space="0" w:color="auto"/>
            <w:bottom w:val="none" w:sz="0" w:space="0" w:color="auto"/>
            <w:right w:val="none" w:sz="0" w:space="0" w:color="auto"/>
          </w:divBdr>
        </w:div>
        <w:div w:id="2036685355">
          <w:marLeft w:val="425"/>
          <w:marRight w:val="0"/>
          <w:marTop w:val="0"/>
          <w:marBottom w:val="0"/>
          <w:divBdr>
            <w:top w:val="none" w:sz="0" w:space="0" w:color="auto"/>
            <w:left w:val="none" w:sz="0" w:space="0" w:color="auto"/>
            <w:bottom w:val="none" w:sz="0" w:space="0" w:color="auto"/>
            <w:right w:val="none" w:sz="0" w:space="0" w:color="auto"/>
          </w:divBdr>
        </w:div>
        <w:div w:id="1429959972">
          <w:marLeft w:val="425"/>
          <w:marRight w:val="0"/>
          <w:marTop w:val="0"/>
          <w:marBottom w:val="0"/>
          <w:divBdr>
            <w:top w:val="none" w:sz="0" w:space="0" w:color="auto"/>
            <w:left w:val="none" w:sz="0" w:space="0" w:color="auto"/>
            <w:bottom w:val="none" w:sz="0" w:space="0" w:color="auto"/>
            <w:right w:val="none" w:sz="0" w:space="0" w:color="auto"/>
          </w:divBdr>
        </w:div>
        <w:div w:id="485903636">
          <w:marLeft w:val="425"/>
          <w:marRight w:val="0"/>
          <w:marTop w:val="0"/>
          <w:marBottom w:val="0"/>
          <w:divBdr>
            <w:top w:val="none" w:sz="0" w:space="0" w:color="auto"/>
            <w:left w:val="none" w:sz="0" w:space="0" w:color="auto"/>
            <w:bottom w:val="none" w:sz="0" w:space="0" w:color="auto"/>
            <w:right w:val="none" w:sz="0" w:space="0" w:color="auto"/>
          </w:divBdr>
        </w:div>
        <w:div w:id="367268231">
          <w:marLeft w:val="425"/>
          <w:marRight w:val="0"/>
          <w:marTop w:val="0"/>
          <w:marBottom w:val="0"/>
          <w:divBdr>
            <w:top w:val="none" w:sz="0" w:space="0" w:color="auto"/>
            <w:left w:val="none" w:sz="0" w:space="0" w:color="auto"/>
            <w:bottom w:val="none" w:sz="0" w:space="0" w:color="auto"/>
            <w:right w:val="none" w:sz="0" w:space="0" w:color="auto"/>
          </w:divBdr>
        </w:div>
        <w:div w:id="1805584238">
          <w:marLeft w:val="425"/>
          <w:marRight w:val="0"/>
          <w:marTop w:val="0"/>
          <w:marBottom w:val="0"/>
          <w:divBdr>
            <w:top w:val="none" w:sz="0" w:space="0" w:color="auto"/>
            <w:left w:val="none" w:sz="0" w:space="0" w:color="auto"/>
            <w:bottom w:val="none" w:sz="0" w:space="0" w:color="auto"/>
            <w:right w:val="none" w:sz="0" w:space="0" w:color="auto"/>
          </w:divBdr>
        </w:div>
        <w:div w:id="185482083">
          <w:marLeft w:val="425"/>
          <w:marRight w:val="0"/>
          <w:marTop w:val="0"/>
          <w:marBottom w:val="0"/>
          <w:divBdr>
            <w:top w:val="none" w:sz="0" w:space="0" w:color="auto"/>
            <w:left w:val="none" w:sz="0" w:space="0" w:color="auto"/>
            <w:bottom w:val="none" w:sz="0" w:space="0" w:color="auto"/>
            <w:right w:val="none" w:sz="0" w:space="0" w:color="auto"/>
          </w:divBdr>
        </w:div>
        <w:div w:id="1878589543">
          <w:marLeft w:val="425"/>
          <w:marRight w:val="0"/>
          <w:marTop w:val="0"/>
          <w:marBottom w:val="0"/>
          <w:divBdr>
            <w:top w:val="none" w:sz="0" w:space="0" w:color="auto"/>
            <w:left w:val="none" w:sz="0" w:space="0" w:color="auto"/>
            <w:bottom w:val="none" w:sz="0" w:space="0" w:color="auto"/>
            <w:right w:val="none" w:sz="0" w:space="0" w:color="auto"/>
          </w:divBdr>
        </w:div>
        <w:div w:id="1813013706">
          <w:marLeft w:val="0"/>
          <w:marRight w:val="0"/>
          <w:marTop w:val="240"/>
          <w:marBottom w:val="0"/>
          <w:divBdr>
            <w:top w:val="none" w:sz="0" w:space="0" w:color="auto"/>
            <w:left w:val="none" w:sz="0" w:space="0" w:color="auto"/>
            <w:bottom w:val="none" w:sz="0" w:space="0" w:color="auto"/>
            <w:right w:val="none" w:sz="0" w:space="0" w:color="auto"/>
          </w:divBdr>
        </w:div>
      </w:divsChild>
    </w:div>
    <w:div w:id="863591116">
      <w:bodyDiv w:val="1"/>
      <w:marLeft w:val="0"/>
      <w:marRight w:val="0"/>
      <w:marTop w:val="0"/>
      <w:marBottom w:val="0"/>
      <w:divBdr>
        <w:top w:val="none" w:sz="0" w:space="0" w:color="auto"/>
        <w:left w:val="none" w:sz="0" w:space="0" w:color="auto"/>
        <w:bottom w:val="none" w:sz="0" w:space="0" w:color="auto"/>
        <w:right w:val="none" w:sz="0" w:space="0" w:color="auto"/>
      </w:divBdr>
    </w:div>
    <w:div w:id="876549804">
      <w:bodyDiv w:val="1"/>
      <w:marLeft w:val="0"/>
      <w:marRight w:val="0"/>
      <w:marTop w:val="0"/>
      <w:marBottom w:val="0"/>
      <w:divBdr>
        <w:top w:val="none" w:sz="0" w:space="0" w:color="auto"/>
        <w:left w:val="none" w:sz="0" w:space="0" w:color="auto"/>
        <w:bottom w:val="none" w:sz="0" w:space="0" w:color="auto"/>
        <w:right w:val="none" w:sz="0" w:space="0" w:color="auto"/>
      </w:divBdr>
    </w:div>
    <w:div w:id="880677589">
      <w:bodyDiv w:val="1"/>
      <w:marLeft w:val="0"/>
      <w:marRight w:val="0"/>
      <w:marTop w:val="0"/>
      <w:marBottom w:val="0"/>
      <w:divBdr>
        <w:top w:val="none" w:sz="0" w:space="0" w:color="auto"/>
        <w:left w:val="none" w:sz="0" w:space="0" w:color="auto"/>
        <w:bottom w:val="none" w:sz="0" w:space="0" w:color="auto"/>
        <w:right w:val="none" w:sz="0" w:space="0" w:color="auto"/>
      </w:divBdr>
      <w:divsChild>
        <w:div w:id="128985175">
          <w:marLeft w:val="0"/>
          <w:marRight w:val="0"/>
          <w:marTop w:val="480"/>
          <w:marBottom w:val="0"/>
          <w:divBdr>
            <w:top w:val="none" w:sz="0" w:space="0" w:color="auto"/>
            <w:left w:val="none" w:sz="0" w:space="0" w:color="auto"/>
            <w:bottom w:val="none" w:sz="0" w:space="0" w:color="auto"/>
            <w:right w:val="none" w:sz="0" w:space="0" w:color="auto"/>
          </w:divBdr>
        </w:div>
        <w:div w:id="607354216">
          <w:marLeft w:val="0"/>
          <w:marRight w:val="0"/>
          <w:marTop w:val="0"/>
          <w:marBottom w:val="0"/>
          <w:divBdr>
            <w:top w:val="none" w:sz="0" w:space="0" w:color="auto"/>
            <w:left w:val="none" w:sz="0" w:space="0" w:color="auto"/>
            <w:bottom w:val="none" w:sz="0" w:space="0" w:color="auto"/>
            <w:right w:val="none" w:sz="0" w:space="0" w:color="auto"/>
          </w:divBdr>
        </w:div>
        <w:div w:id="842549346">
          <w:marLeft w:val="0"/>
          <w:marRight w:val="0"/>
          <w:marTop w:val="240"/>
          <w:marBottom w:val="0"/>
          <w:divBdr>
            <w:top w:val="none" w:sz="0" w:space="0" w:color="auto"/>
            <w:left w:val="none" w:sz="0" w:space="0" w:color="auto"/>
            <w:bottom w:val="none" w:sz="0" w:space="0" w:color="auto"/>
            <w:right w:val="none" w:sz="0" w:space="0" w:color="auto"/>
          </w:divBdr>
        </w:div>
        <w:div w:id="1733583275">
          <w:marLeft w:val="425"/>
          <w:marRight w:val="0"/>
          <w:marTop w:val="0"/>
          <w:marBottom w:val="0"/>
          <w:divBdr>
            <w:top w:val="none" w:sz="0" w:space="0" w:color="auto"/>
            <w:left w:val="none" w:sz="0" w:space="0" w:color="auto"/>
            <w:bottom w:val="none" w:sz="0" w:space="0" w:color="auto"/>
            <w:right w:val="none" w:sz="0" w:space="0" w:color="auto"/>
          </w:divBdr>
        </w:div>
        <w:div w:id="1880514240">
          <w:marLeft w:val="425"/>
          <w:marRight w:val="0"/>
          <w:marTop w:val="0"/>
          <w:marBottom w:val="0"/>
          <w:divBdr>
            <w:top w:val="none" w:sz="0" w:space="0" w:color="auto"/>
            <w:left w:val="none" w:sz="0" w:space="0" w:color="auto"/>
            <w:bottom w:val="none" w:sz="0" w:space="0" w:color="auto"/>
            <w:right w:val="none" w:sz="0" w:space="0" w:color="auto"/>
          </w:divBdr>
        </w:div>
        <w:div w:id="482165050">
          <w:marLeft w:val="425"/>
          <w:marRight w:val="0"/>
          <w:marTop w:val="0"/>
          <w:marBottom w:val="0"/>
          <w:divBdr>
            <w:top w:val="none" w:sz="0" w:space="0" w:color="auto"/>
            <w:left w:val="none" w:sz="0" w:space="0" w:color="auto"/>
            <w:bottom w:val="none" w:sz="0" w:space="0" w:color="auto"/>
            <w:right w:val="none" w:sz="0" w:space="0" w:color="auto"/>
          </w:divBdr>
        </w:div>
        <w:div w:id="1535314980">
          <w:marLeft w:val="425"/>
          <w:marRight w:val="0"/>
          <w:marTop w:val="0"/>
          <w:marBottom w:val="0"/>
          <w:divBdr>
            <w:top w:val="none" w:sz="0" w:space="0" w:color="auto"/>
            <w:left w:val="none" w:sz="0" w:space="0" w:color="auto"/>
            <w:bottom w:val="none" w:sz="0" w:space="0" w:color="auto"/>
            <w:right w:val="none" w:sz="0" w:space="0" w:color="auto"/>
          </w:divBdr>
        </w:div>
        <w:div w:id="1435327624">
          <w:marLeft w:val="425"/>
          <w:marRight w:val="0"/>
          <w:marTop w:val="0"/>
          <w:marBottom w:val="0"/>
          <w:divBdr>
            <w:top w:val="none" w:sz="0" w:space="0" w:color="auto"/>
            <w:left w:val="none" w:sz="0" w:space="0" w:color="auto"/>
            <w:bottom w:val="none" w:sz="0" w:space="0" w:color="auto"/>
            <w:right w:val="none" w:sz="0" w:space="0" w:color="auto"/>
          </w:divBdr>
        </w:div>
        <w:div w:id="1651400860">
          <w:marLeft w:val="425"/>
          <w:marRight w:val="0"/>
          <w:marTop w:val="0"/>
          <w:marBottom w:val="0"/>
          <w:divBdr>
            <w:top w:val="none" w:sz="0" w:space="0" w:color="auto"/>
            <w:left w:val="none" w:sz="0" w:space="0" w:color="auto"/>
            <w:bottom w:val="none" w:sz="0" w:space="0" w:color="auto"/>
            <w:right w:val="none" w:sz="0" w:space="0" w:color="auto"/>
          </w:divBdr>
        </w:div>
        <w:div w:id="1495147217">
          <w:marLeft w:val="425"/>
          <w:marRight w:val="0"/>
          <w:marTop w:val="0"/>
          <w:marBottom w:val="0"/>
          <w:divBdr>
            <w:top w:val="none" w:sz="0" w:space="0" w:color="auto"/>
            <w:left w:val="none" w:sz="0" w:space="0" w:color="auto"/>
            <w:bottom w:val="none" w:sz="0" w:space="0" w:color="auto"/>
            <w:right w:val="none" w:sz="0" w:space="0" w:color="auto"/>
          </w:divBdr>
        </w:div>
      </w:divsChild>
    </w:div>
    <w:div w:id="903495078">
      <w:bodyDiv w:val="1"/>
      <w:marLeft w:val="0"/>
      <w:marRight w:val="0"/>
      <w:marTop w:val="0"/>
      <w:marBottom w:val="0"/>
      <w:divBdr>
        <w:top w:val="none" w:sz="0" w:space="0" w:color="auto"/>
        <w:left w:val="none" w:sz="0" w:space="0" w:color="auto"/>
        <w:bottom w:val="none" w:sz="0" w:space="0" w:color="auto"/>
        <w:right w:val="none" w:sz="0" w:space="0" w:color="auto"/>
      </w:divBdr>
    </w:div>
    <w:div w:id="920331793">
      <w:bodyDiv w:val="1"/>
      <w:marLeft w:val="0"/>
      <w:marRight w:val="0"/>
      <w:marTop w:val="0"/>
      <w:marBottom w:val="0"/>
      <w:divBdr>
        <w:top w:val="none" w:sz="0" w:space="0" w:color="auto"/>
        <w:left w:val="none" w:sz="0" w:space="0" w:color="auto"/>
        <w:bottom w:val="none" w:sz="0" w:space="0" w:color="auto"/>
        <w:right w:val="none" w:sz="0" w:space="0" w:color="auto"/>
      </w:divBdr>
    </w:div>
    <w:div w:id="926186296">
      <w:bodyDiv w:val="1"/>
      <w:marLeft w:val="0"/>
      <w:marRight w:val="0"/>
      <w:marTop w:val="0"/>
      <w:marBottom w:val="0"/>
      <w:divBdr>
        <w:top w:val="none" w:sz="0" w:space="0" w:color="auto"/>
        <w:left w:val="none" w:sz="0" w:space="0" w:color="auto"/>
        <w:bottom w:val="none" w:sz="0" w:space="0" w:color="auto"/>
        <w:right w:val="none" w:sz="0" w:space="0" w:color="auto"/>
      </w:divBdr>
    </w:div>
    <w:div w:id="956333779">
      <w:bodyDiv w:val="1"/>
      <w:marLeft w:val="0"/>
      <w:marRight w:val="0"/>
      <w:marTop w:val="0"/>
      <w:marBottom w:val="0"/>
      <w:divBdr>
        <w:top w:val="none" w:sz="0" w:space="0" w:color="auto"/>
        <w:left w:val="none" w:sz="0" w:space="0" w:color="auto"/>
        <w:bottom w:val="none" w:sz="0" w:space="0" w:color="auto"/>
        <w:right w:val="none" w:sz="0" w:space="0" w:color="auto"/>
      </w:divBdr>
    </w:div>
    <w:div w:id="972560018">
      <w:bodyDiv w:val="1"/>
      <w:marLeft w:val="0"/>
      <w:marRight w:val="0"/>
      <w:marTop w:val="0"/>
      <w:marBottom w:val="0"/>
      <w:divBdr>
        <w:top w:val="none" w:sz="0" w:space="0" w:color="auto"/>
        <w:left w:val="none" w:sz="0" w:space="0" w:color="auto"/>
        <w:bottom w:val="none" w:sz="0" w:space="0" w:color="auto"/>
        <w:right w:val="none" w:sz="0" w:space="0" w:color="auto"/>
      </w:divBdr>
    </w:div>
    <w:div w:id="985091199">
      <w:bodyDiv w:val="1"/>
      <w:marLeft w:val="0"/>
      <w:marRight w:val="0"/>
      <w:marTop w:val="0"/>
      <w:marBottom w:val="0"/>
      <w:divBdr>
        <w:top w:val="none" w:sz="0" w:space="0" w:color="auto"/>
        <w:left w:val="none" w:sz="0" w:space="0" w:color="auto"/>
        <w:bottom w:val="none" w:sz="0" w:space="0" w:color="auto"/>
        <w:right w:val="none" w:sz="0" w:space="0" w:color="auto"/>
      </w:divBdr>
      <w:divsChild>
        <w:div w:id="79760765">
          <w:marLeft w:val="0"/>
          <w:marRight w:val="0"/>
          <w:marTop w:val="480"/>
          <w:marBottom w:val="0"/>
          <w:divBdr>
            <w:top w:val="none" w:sz="0" w:space="0" w:color="auto"/>
            <w:left w:val="none" w:sz="0" w:space="0" w:color="auto"/>
            <w:bottom w:val="none" w:sz="0" w:space="0" w:color="auto"/>
            <w:right w:val="none" w:sz="0" w:space="0" w:color="auto"/>
          </w:divBdr>
        </w:div>
        <w:div w:id="55053117">
          <w:marLeft w:val="0"/>
          <w:marRight w:val="0"/>
          <w:marTop w:val="0"/>
          <w:marBottom w:val="0"/>
          <w:divBdr>
            <w:top w:val="none" w:sz="0" w:space="0" w:color="auto"/>
            <w:left w:val="none" w:sz="0" w:space="0" w:color="auto"/>
            <w:bottom w:val="none" w:sz="0" w:space="0" w:color="auto"/>
            <w:right w:val="none" w:sz="0" w:space="0" w:color="auto"/>
          </w:divBdr>
        </w:div>
        <w:div w:id="779842098">
          <w:marLeft w:val="0"/>
          <w:marRight w:val="0"/>
          <w:marTop w:val="240"/>
          <w:marBottom w:val="0"/>
          <w:divBdr>
            <w:top w:val="none" w:sz="0" w:space="0" w:color="auto"/>
            <w:left w:val="none" w:sz="0" w:space="0" w:color="auto"/>
            <w:bottom w:val="none" w:sz="0" w:space="0" w:color="auto"/>
            <w:right w:val="none" w:sz="0" w:space="0" w:color="auto"/>
          </w:divBdr>
        </w:div>
        <w:div w:id="546602227">
          <w:marLeft w:val="425"/>
          <w:marRight w:val="0"/>
          <w:marTop w:val="0"/>
          <w:marBottom w:val="0"/>
          <w:divBdr>
            <w:top w:val="none" w:sz="0" w:space="0" w:color="auto"/>
            <w:left w:val="none" w:sz="0" w:space="0" w:color="auto"/>
            <w:bottom w:val="none" w:sz="0" w:space="0" w:color="auto"/>
            <w:right w:val="none" w:sz="0" w:space="0" w:color="auto"/>
          </w:divBdr>
        </w:div>
        <w:div w:id="910509727">
          <w:marLeft w:val="425"/>
          <w:marRight w:val="0"/>
          <w:marTop w:val="0"/>
          <w:marBottom w:val="0"/>
          <w:divBdr>
            <w:top w:val="none" w:sz="0" w:space="0" w:color="auto"/>
            <w:left w:val="none" w:sz="0" w:space="0" w:color="auto"/>
            <w:bottom w:val="none" w:sz="0" w:space="0" w:color="auto"/>
            <w:right w:val="none" w:sz="0" w:space="0" w:color="auto"/>
          </w:divBdr>
        </w:div>
        <w:div w:id="1748842636">
          <w:marLeft w:val="425"/>
          <w:marRight w:val="0"/>
          <w:marTop w:val="0"/>
          <w:marBottom w:val="0"/>
          <w:divBdr>
            <w:top w:val="none" w:sz="0" w:space="0" w:color="auto"/>
            <w:left w:val="none" w:sz="0" w:space="0" w:color="auto"/>
            <w:bottom w:val="none" w:sz="0" w:space="0" w:color="auto"/>
            <w:right w:val="none" w:sz="0" w:space="0" w:color="auto"/>
          </w:divBdr>
        </w:div>
        <w:div w:id="1510558267">
          <w:marLeft w:val="425"/>
          <w:marRight w:val="0"/>
          <w:marTop w:val="0"/>
          <w:marBottom w:val="0"/>
          <w:divBdr>
            <w:top w:val="none" w:sz="0" w:space="0" w:color="auto"/>
            <w:left w:val="none" w:sz="0" w:space="0" w:color="auto"/>
            <w:bottom w:val="none" w:sz="0" w:space="0" w:color="auto"/>
            <w:right w:val="none" w:sz="0" w:space="0" w:color="auto"/>
          </w:divBdr>
        </w:div>
        <w:div w:id="1569463665">
          <w:marLeft w:val="425"/>
          <w:marRight w:val="0"/>
          <w:marTop w:val="0"/>
          <w:marBottom w:val="0"/>
          <w:divBdr>
            <w:top w:val="none" w:sz="0" w:space="0" w:color="auto"/>
            <w:left w:val="none" w:sz="0" w:space="0" w:color="auto"/>
            <w:bottom w:val="none" w:sz="0" w:space="0" w:color="auto"/>
            <w:right w:val="none" w:sz="0" w:space="0" w:color="auto"/>
          </w:divBdr>
        </w:div>
        <w:div w:id="72942548">
          <w:marLeft w:val="425"/>
          <w:marRight w:val="0"/>
          <w:marTop w:val="0"/>
          <w:marBottom w:val="0"/>
          <w:divBdr>
            <w:top w:val="none" w:sz="0" w:space="0" w:color="auto"/>
            <w:left w:val="none" w:sz="0" w:space="0" w:color="auto"/>
            <w:bottom w:val="none" w:sz="0" w:space="0" w:color="auto"/>
            <w:right w:val="none" w:sz="0" w:space="0" w:color="auto"/>
          </w:divBdr>
        </w:div>
        <w:div w:id="1484278611">
          <w:marLeft w:val="425"/>
          <w:marRight w:val="0"/>
          <w:marTop w:val="0"/>
          <w:marBottom w:val="0"/>
          <w:divBdr>
            <w:top w:val="none" w:sz="0" w:space="0" w:color="auto"/>
            <w:left w:val="none" w:sz="0" w:space="0" w:color="auto"/>
            <w:bottom w:val="none" w:sz="0" w:space="0" w:color="auto"/>
            <w:right w:val="none" w:sz="0" w:space="0" w:color="auto"/>
          </w:divBdr>
        </w:div>
        <w:div w:id="1392313085">
          <w:marLeft w:val="425"/>
          <w:marRight w:val="0"/>
          <w:marTop w:val="0"/>
          <w:marBottom w:val="0"/>
          <w:divBdr>
            <w:top w:val="none" w:sz="0" w:space="0" w:color="auto"/>
            <w:left w:val="none" w:sz="0" w:space="0" w:color="auto"/>
            <w:bottom w:val="none" w:sz="0" w:space="0" w:color="auto"/>
            <w:right w:val="none" w:sz="0" w:space="0" w:color="auto"/>
          </w:divBdr>
        </w:div>
        <w:div w:id="981422896">
          <w:marLeft w:val="425"/>
          <w:marRight w:val="0"/>
          <w:marTop w:val="0"/>
          <w:marBottom w:val="0"/>
          <w:divBdr>
            <w:top w:val="none" w:sz="0" w:space="0" w:color="auto"/>
            <w:left w:val="none" w:sz="0" w:space="0" w:color="auto"/>
            <w:bottom w:val="none" w:sz="0" w:space="0" w:color="auto"/>
            <w:right w:val="none" w:sz="0" w:space="0" w:color="auto"/>
          </w:divBdr>
        </w:div>
        <w:div w:id="2066686055">
          <w:marLeft w:val="425"/>
          <w:marRight w:val="0"/>
          <w:marTop w:val="0"/>
          <w:marBottom w:val="0"/>
          <w:divBdr>
            <w:top w:val="none" w:sz="0" w:space="0" w:color="auto"/>
            <w:left w:val="none" w:sz="0" w:space="0" w:color="auto"/>
            <w:bottom w:val="none" w:sz="0" w:space="0" w:color="auto"/>
            <w:right w:val="none" w:sz="0" w:space="0" w:color="auto"/>
          </w:divBdr>
        </w:div>
        <w:div w:id="400566960">
          <w:marLeft w:val="425"/>
          <w:marRight w:val="0"/>
          <w:marTop w:val="0"/>
          <w:marBottom w:val="0"/>
          <w:divBdr>
            <w:top w:val="none" w:sz="0" w:space="0" w:color="auto"/>
            <w:left w:val="none" w:sz="0" w:space="0" w:color="auto"/>
            <w:bottom w:val="none" w:sz="0" w:space="0" w:color="auto"/>
            <w:right w:val="none" w:sz="0" w:space="0" w:color="auto"/>
          </w:divBdr>
        </w:div>
        <w:div w:id="871383775">
          <w:marLeft w:val="425"/>
          <w:marRight w:val="0"/>
          <w:marTop w:val="0"/>
          <w:marBottom w:val="0"/>
          <w:divBdr>
            <w:top w:val="none" w:sz="0" w:space="0" w:color="auto"/>
            <w:left w:val="none" w:sz="0" w:space="0" w:color="auto"/>
            <w:bottom w:val="none" w:sz="0" w:space="0" w:color="auto"/>
            <w:right w:val="none" w:sz="0" w:space="0" w:color="auto"/>
          </w:divBdr>
        </w:div>
        <w:div w:id="1904557085">
          <w:marLeft w:val="425"/>
          <w:marRight w:val="0"/>
          <w:marTop w:val="0"/>
          <w:marBottom w:val="0"/>
          <w:divBdr>
            <w:top w:val="none" w:sz="0" w:space="0" w:color="auto"/>
            <w:left w:val="none" w:sz="0" w:space="0" w:color="auto"/>
            <w:bottom w:val="none" w:sz="0" w:space="0" w:color="auto"/>
            <w:right w:val="none" w:sz="0" w:space="0" w:color="auto"/>
          </w:divBdr>
        </w:div>
        <w:div w:id="1256744256">
          <w:marLeft w:val="425"/>
          <w:marRight w:val="0"/>
          <w:marTop w:val="0"/>
          <w:marBottom w:val="0"/>
          <w:divBdr>
            <w:top w:val="none" w:sz="0" w:space="0" w:color="auto"/>
            <w:left w:val="none" w:sz="0" w:space="0" w:color="auto"/>
            <w:bottom w:val="none" w:sz="0" w:space="0" w:color="auto"/>
            <w:right w:val="none" w:sz="0" w:space="0" w:color="auto"/>
          </w:divBdr>
        </w:div>
        <w:div w:id="1706102747">
          <w:marLeft w:val="425"/>
          <w:marRight w:val="0"/>
          <w:marTop w:val="0"/>
          <w:marBottom w:val="0"/>
          <w:divBdr>
            <w:top w:val="none" w:sz="0" w:space="0" w:color="auto"/>
            <w:left w:val="none" w:sz="0" w:space="0" w:color="auto"/>
            <w:bottom w:val="none" w:sz="0" w:space="0" w:color="auto"/>
            <w:right w:val="none" w:sz="0" w:space="0" w:color="auto"/>
          </w:divBdr>
        </w:div>
        <w:div w:id="1144934439">
          <w:marLeft w:val="425"/>
          <w:marRight w:val="0"/>
          <w:marTop w:val="0"/>
          <w:marBottom w:val="0"/>
          <w:divBdr>
            <w:top w:val="none" w:sz="0" w:space="0" w:color="auto"/>
            <w:left w:val="none" w:sz="0" w:space="0" w:color="auto"/>
            <w:bottom w:val="none" w:sz="0" w:space="0" w:color="auto"/>
            <w:right w:val="none" w:sz="0" w:space="0" w:color="auto"/>
          </w:divBdr>
        </w:div>
        <w:div w:id="41516373">
          <w:marLeft w:val="425"/>
          <w:marRight w:val="0"/>
          <w:marTop w:val="0"/>
          <w:marBottom w:val="0"/>
          <w:divBdr>
            <w:top w:val="none" w:sz="0" w:space="0" w:color="auto"/>
            <w:left w:val="none" w:sz="0" w:space="0" w:color="auto"/>
            <w:bottom w:val="none" w:sz="0" w:space="0" w:color="auto"/>
            <w:right w:val="none" w:sz="0" w:space="0" w:color="auto"/>
          </w:divBdr>
        </w:div>
        <w:div w:id="1245988836">
          <w:marLeft w:val="425"/>
          <w:marRight w:val="0"/>
          <w:marTop w:val="0"/>
          <w:marBottom w:val="0"/>
          <w:divBdr>
            <w:top w:val="none" w:sz="0" w:space="0" w:color="auto"/>
            <w:left w:val="none" w:sz="0" w:space="0" w:color="auto"/>
            <w:bottom w:val="none" w:sz="0" w:space="0" w:color="auto"/>
            <w:right w:val="none" w:sz="0" w:space="0" w:color="auto"/>
          </w:divBdr>
        </w:div>
        <w:div w:id="539319106">
          <w:marLeft w:val="425"/>
          <w:marRight w:val="0"/>
          <w:marTop w:val="0"/>
          <w:marBottom w:val="0"/>
          <w:divBdr>
            <w:top w:val="none" w:sz="0" w:space="0" w:color="auto"/>
            <w:left w:val="none" w:sz="0" w:space="0" w:color="auto"/>
            <w:bottom w:val="none" w:sz="0" w:space="0" w:color="auto"/>
            <w:right w:val="none" w:sz="0" w:space="0" w:color="auto"/>
          </w:divBdr>
        </w:div>
        <w:div w:id="469517408">
          <w:marLeft w:val="425"/>
          <w:marRight w:val="0"/>
          <w:marTop w:val="0"/>
          <w:marBottom w:val="0"/>
          <w:divBdr>
            <w:top w:val="none" w:sz="0" w:space="0" w:color="auto"/>
            <w:left w:val="none" w:sz="0" w:space="0" w:color="auto"/>
            <w:bottom w:val="none" w:sz="0" w:space="0" w:color="auto"/>
            <w:right w:val="none" w:sz="0" w:space="0" w:color="auto"/>
          </w:divBdr>
        </w:div>
        <w:div w:id="986782009">
          <w:marLeft w:val="425"/>
          <w:marRight w:val="0"/>
          <w:marTop w:val="0"/>
          <w:marBottom w:val="0"/>
          <w:divBdr>
            <w:top w:val="none" w:sz="0" w:space="0" w:color="auto"/>
            <w:left w:val="none" w:sz="0" w:space="0" w:color="auto"/>
            <w:bottom w:val="none" w:sz="0" w:space="0" w:color="auto"/>
            <w:right w:val="none" w:sz="0" w:space="0" w:color="auto"/>
          </w:divBdr>
        </w:div>
        <w:div w:id="626475106">
          <w:marLeft w:val="425"/>
          <w:marRight w:val="0"/>
          <w:marTop w:val="0"/>
          <w:marBottom w:val="0"/>
          <w:divBdr>
            <w:top w:val="none" w:sz="0" w:space="0" w:color="auto"/>
            <w:left w:val="none" w:sz="0" w:space="0" w:color="auto"/>
            <w:bottom w:val="none" w:sz="0" w:space="0" w:color="auto"/>
            <w:right w:val="none" w:sz="0" w:space="0" w:color="auto"/>
          </w:divBdr>
        </w:div>
        <w:div w:id="466901838">
          <w:marLeft w:val="425"/>
          <w:marRight w:val="0"/>
          <w:marTop w:val="0"/>
          <w:marBottom w:val="0"/>
          <w:divBdr>
            <w:top w:val="none" w:sz="0" w:space="0" w:color="auto"/>
            <w:left w:val="none" w:sz="0" w:space="0" w:color="auto"/>
            <w:bottom w:val="none" w:sz="0" w:space="0" w:color="auto"/>
            <w:right w:val="none" w:sz="0" w:space="0" w:color="auto"/>
          </w:divBdr>
        </w:div>
        <w:div w:id="1706980171">
          <w:marLeft w:val="425"/>
          <w:marRight w:val="0"/>
          <w:marTop w:val="0"/>
          <w:marBottom w:val="0"/>
          <w:divBdr>
            <w:top w:val="none" w:sz="0" w:space="0" w:color="auto"/>
            <w:left w:val="none" w:sz="0" w:space="0" w:color="auto"/>
            <w:bottom w:val="none" w:sz="0" w:space="0" w:color="auto"/>
            <w:right w:val="none" w:sz="0" w:space="0" w:color="auto"/>
          </w:divBdr>
        </w:div>
        <w:div w:id="969094848">
          <w:marLeft w:val="425"/>
          <w:marRight w:val="0"/>
          <w:marTop w:val="0"/>
          <w:marBottom w:val="0"/>
          <w:divBdr>
            <w:top w:val="none" w:sz="0" w:space="0" w:color="auto"/>
            <w:left w:val="none" w:sz="0" w:space="0" w:color="auto"/>
            <w:bottom w:val="none" w:sz="0" w:space="0" w:color="auto"/>
            <w:right w:val="none" w:sz="0" w:space="0" w:color="auto"/>
          </w:divBdr>
        </w:div>
        <w:div w:id="177040790">
          <w:marLeft w:val="425"/>
          <w:marRight w:val="0"/>
          <w:marTop w:val="0"/>
          <w:marBottom w:val="0"/>
          <w:divBdr>
            <w:top w:val="none" w:sz="0" w:space="0" w:color="auto"/>
            <w:left w:val="none" w:sz="0" w:space="0" w:color="auto"/>
            <w:bottom w:val="none" w:sz="0" w:space="0" w:color="auto"/>
            <w:right w:val="none" w:sz="0" w:space="0" w:color="auto"/>
          </w:divBdr>
        </w:div>
        <w:div w:id="944994097">
          <w:marLeft w:val="425"/>
          <w:marRight w:val="0"/>
          <w:marTop w:val="0"/>
          <w:marBottom w:val="0"/>
          <w:divBdr>
            <w:top w:val="none" w:sz="0" w:space="0" w:color="auto"/>
            <w:left w:val="none" w:sz="0" w:space="0" w:color="auto"/>
            <w:bottom w:val="none" w:sz="0" w:space="0" w:color="auto"/>
            <w:right w:val="none" w:sz="0" w:space="0" w:color="auto"/>
          </w:divBdr>
        </w:div>
        <w:div w:id="1217283052">
          <w:marLeft w:val="425"/>
          <w:marRight w:val="0"/>
          <w:marTop w:val="0"/>
          <w:marBottom w:val="0"/>
          <w:divBdr>
            <w:top w:val="none" w:sz="0" w:space="0" w:color="auto"/>
            <w:left w:val="none" w:sz="0" w:space="0" w:color="auto"/>
            <w:bottom w:val="none" w:sz="0" w:space="0" w:color="auto"/>
            <w:right w:val="none" w:sz="0" w:space="0" w:color="auto"/>
          </w:divBdr>
        </w:div>
        <w:div w:id="1182278590">
          <w:marLeft w:val="425"/>
          <w:marRight w:val="0"/>
          <w:marTop w:val="0"/>
          <w:marBottom w:val="0"/>
          <w:divBdr>
            <w:top w:val="none" w:sz="0" w:space="0" w:color="auto"/>
            <w:left w:val="none" w:sz="0" w:space="0" w:color="auto"/>
            <w:bottom w:val="none" w:sz="0" w:space="0" w:color="auto"/>
            <w:right w:val="none" w:sz="0" w:space="0" w:color="auto"/>
          </w:divBdr>
        </w:div>
        <w:div w:id="1154957437">
          <w:marLeft w:val="425"/>
          <w:marRight w:val="0"/>
          <w:marTop w:val="0"/>
          <w:marBottom w:val="0"/>
          <w:divBdr>
            <w:top w:val="none" w:sz="0" w:space="0" w:color="auto"/>
            <w:left w:val="none" w:sz="0" w:space="0" w:color="auto"/>
            <w:bottom w:val="none" w:sz="0" w:space="0" w:color="auto"/>
            <w:right w:val="none" w:sz="0" w:space="0" w:color="auto"/>
          </w:divBdr>
        </w:div>
        <w:div w:id="117458847">
          <w:marLeft w:val="425"/>
          <w:marRight w:val="0"/>
          <w:marTop w:val="0"/>
          <w:marBottom w:val="0"/>
          <w:divBdr>
            <w:top w:val="none" w:sz="0" w:space="0" w:color="auto"/>
            <w:left w:val="none" w:sz="0" w:space="0" w:color="auto"/>
            <w:bottom w:val="none" w:sz="0" w:space="0" w:color="auto"/>
            <w:right w:val="none" w:sz="0" w:space="0" w:color="auto"/>
          </w:divBdr>
        </w:div>
        <w:div w:id="1109543809">
          <w:marLeft w:val="425"/>
          <w:marRight w:val="0"/>
          <w:marTop w:val="0"/>
          <w:marBottom w:val="0"/>
          <w:divBdr>
            <w:top w:val="none" w:sz="0" w:space="0" w:color="auto"/>
            <w:left w:val="none" w:sz="0" w:space="0" w:color="auto"/>
            <w:bottom w:val="none" w:sz="0" w:space="0" w:color="auto"/>
            <w:right w:val="none" w:sz="0" w:space="0" w:color="auto"/>
          </w:divBdr>
        </w:div>
        <w:div w:id="956644232">
          <w:marLeft w:val="425"/>
          <w:marRight w:val="0"/>
          <w:marTop w:val="0"/>
          <w:marBottom w:val="0"/>
          <w:divBdr>
            <w:top w:val="none" w:sz="0" w:space="0" w:color="auto"/>
            <w:left w:val="none" w:sz="0" w:space="0" w:color="auto"/>
            <w:bottom w:val="none" w:sz="0" w:space="0" w:color="auto"/>
            <w:right w:val="none" w:sz="0" w:space="0" w:color="auto"/>
          </w:divBdr>
        </w:div>
        <w:div w:id="1560480366">
          <w:marLeft w:val="425"/>
          <w:marRight w:val="0"/>
          <w:marTop w:val="0"/>
          <w:marBottom w:val="0"/>
          <w:divBdr>
            <w:top w:val="none" w:sz="0" w:space="0" w:color="auto"/>
            <w:left w:val="none" w:sz="0" w:space="0" w:color="auto"/>
            <w:bottom w:val="none" w:sz="0" w:space="0" w:color="auto"/>
            <w:right w:val="none" w:sz="0" w:space="0" w:color="auto"/>
          </w:divBdr>
        </w:div>
        <w:div w:id="899242705">
          <w:marLeft w:val="425"/>
          <w:marRight w:val="0"/>
          <w:marTop w:val="0"/>
          <w:marBottom w:val="0"/>
          <w:divBdr>
            <w:top w:val="none" w:sz="0" w:space="0" w:color="auto"/>
            <w:left w:val="none" w:sz="0" w:space="0" w:color="auto"/>
            <w:bottom w:val="none" w:sz="0" w:space="0" w:color="auto"/>
            <w:right w:val="none" w:sz="0" w:space="0" w:color="auto"/>
          </w:divBdr>
        </w:div>
        <w:div w:id="509834047">
          <w:marLeft w:val="425"/>
          <w:marRight w:val="0"/>
          <w:marTop w:val="0"/>
          <w:marBottom w:val="0"/>
          <w:divBdr>
            <w:top w:val="none" w:sz="0" w:space="0" w:color="auto"/>
            <w:left w:val="none" w:sz="0" w:space="0" w:color="auto"/>
            <w:bottom w:val="none" w:sz="0" w:space="0" w:color="auto"/>
            <w:right w:val="none" w:sz="0" w:space="0" w:color="auto"/>
          </w:divBdr>
        </w:div>
        <w:div w:id="1612198053">
          <w:marLeft w:val="425"/>
          <w:marRight w:val="0"/>
          <w:marTop w:val="0"/>
          <w:marBottom w:val="0"/>
          <w:divBdr>
            <w:top w:val="none" w:sz="0" w:space="0" w:color="auto"/>
            <w:left w:val="none" w:sz="0" w:space="0" w:color="auto"/>
            <w:bottom w:val="none" w:sz="0" w:space="0" w:color="auto"/>
            <w:right w:val="none" w:sz="0" w:space="0" w:color="auto"/>
          </w:divBdr>
        </w:div>
        <w:div w:id="1342203621">
          <w:marLeft w:val="425"/>
          <w:marRight w:val="0"/>
          <w:marTop w:val="0"/>
          <w:marBottom w:val="0"/>
          <w:divBdr>
            <w:top w:val="none" w:sz="0" w:space="0" w:color="auto"/>
            <w:left w:val="none" w:sz="0" w:space="0" w:color="auto"/>
            <w:bottom w:val="none" w:sz="0" w:space="0" w:color="auto"/>
            <w:right w:val="none" w:sz="0" w:space="0" w:color="auto"/>
          </w:divBdr>
        </w:div>
        <w:div w:id="347801699">
          <w:marLeft w:val="425"/>
          <w:marRight w:val="0"/>
          <w:marTop w:val="0"/>
          <w:marBottom w:val="0"/>
          <w:divBdr>
            <w:top w:val="none" w:sz="0" w:space="0" w:color="auto"/>
            <w:left w:val="none" w:sz="0" w:space="0" w:color="auto"/>
            <w:bottom w:val="none" w:sz="0" w:space="0" w:color="auto"/>
            <w:right w:val="none" w:sz="0" w:space="0" w:color="auto"/>
          </w:divBdr>
        </w:div>
        <w:div w:id="1120689539">
          <w:marLeft w:val="425"/>
          <w:marRight w:val="0"/>
          <w:marTop w:val="0"/>
          <w:marBottom w:val="0"/>
          <w:divBdr>
            <w:top w:val="none" w:sz="0" w:space="0" w:color="auto"/>
            <w:left w:val="none" w:sz="0" w:space="0" w:color="auto"/>
            <w:bottom w:val="none" w:sz="0" w:space="0" w:color="auto"/>
            <w:right w:val="none" w:sz="0" w:space="0" w:color="auto"/>
          </w:divBdr>
        </w:div>
        <w:div w:id="2083678678">
          <w:marLeft w:val="425"/>
          <w:marRight w:val="0"/>
          <w:marTop w:val="0"/>
          <w:marBottom w:val="0"/>
          <w:divBdr>
            <w:top w:val="none" w:sz="0" w:space="0" w:color="auto"/>
            <w:left w:val="none" w:sz="0" w:space="0" w:color="auto"/>
            <w:bottom w:val="none" w:sz="0" w:space="0" w:color="auto"/>
            <w:right w:val="none" w:sz="0" w:space="0" w:color="auto"/>
          </w:divBdr>
        </w:div>
        <w:div w:id="1280337402">
          <w:marLeft w:val="425"/>
          <w:marRight w:val="0"/>
          <w:marTop w:val="0"/>
          <w:marBottom w:val="0"/>
          <w:divBdr>
            <w:top w:val="none" w:sz="0" w:space="0" w:color="auto"/>
            <w:left w:val="none" w:sz="0" w:space="0" w:color="auto"/>
            <w:bottom w:val="none" w:sz="0" w:space="0" w:color="auto"/>
            <w:right w:val="none" w:sz="0" w:space="0" w:color="auto"/>
          </w:divBdr>
        </w:div>
        <w:div w:id="1405571973">
          <w:marLeft w:val="425"/>
          <w:marRight w:val="0"/>
          <w:marTop w:val="0"/>
          <w:marBottom w:val="0"/>
          <w:divBdr>
            <w:top w:val="none" w:sz="0" w:space="0" w:color="auto"/>
            <w:left w:val="none" w:sz="0" w:space="0" w:color="auto"/>
            <w:bottom w:val="none" w:sz="0" w:space="0" w:color="auto"/>
            <w:right w:val="none" w:sz="0" w:space="0" w:color="auto"/>
          </w:divBdr>
        </w:div>
        <w:div w:id="755326639">
          <w:marLeft w:val="425"/>
          <w:marRight w:val="0"/>
          <w:marTop w:val="0"/>
          <w:marBottom w:val="0"/>
          <w:divBdr>
            <w:top w:val="none" w:sz="0" w:space="0" w:color="auto"/>
            <w:left w:val="none" w:sz="0" w:space="0" w:color="auto"/>
            <w:bottom w:val="none" w:sz="0" w:space="0" w:color="auto"/>
            <w:right w:val="none" w:sz="0" w:space="0" w:color="auto"/>
          </w:divBdr>
        </w:div>
        <w:div w:id="1970016707">
          <w:marLeft w:val="425"/>
          <w:marRight w:val="0"/>
          <w:marTop w:val="0"/>
          <w:marBottom w:val="0"/>
          <w:divBdr>
            <w:top w:val="none" w:sz="0" w:space="0" w:color="auto"/>
            <w:left w:val="none" w:sz="0" w:space="0" w:color="auto"/>
            <w:bottom w:val="none" w:sz="0" w:space="0" w:color="auto"/>
            <w:right w:val="none" w:sz="0" w:space="0" w:color="auto"/>
          </w:divBdr>
        </w:div>
        <w:div w:id="1659067699">
          <w:marLeft w:val="425"/>
          <w:marRight w:val="0"/>
          <w:marTop w:val="0"/>
          <w:marBottom w:val="0"/>
          <w:divBdr>
            <w:top w:val="none" w:sz="0" w:space="0" w:color="auto"/>
            <w:left w:val="none" w:sz="0" w:space="0" w:color="auto"/>
            <w:bottom w:val="none" w:sz="0" w:space="0" w:color="auto"/>
            <w:right w:val="none" w:sz="0" w:space="0" w:color="auto"/>
          </w:divBdr>
        </w:div>
        <w:div w:id="65038618">
          <w:marLeft w:val="425"/>
          <w:marRight w:val="0"/>
          <w:marTop w:val="0"/>
          <w:marBottom w:val="0"/>
          <w:divBdr>
            <w:top w:val="none" w:sz="0" w:space="0" w:color="auto"/>
            <w:left w:val="none" w:sz="0" w:space="0" w:color="auto"/>
            <w:bottom w:val="none" w:sz="0" w:space="0" w:color="auto"/>
            <w:right w:val="none" w:sz="0" w:space="0" w:color="auto"/>
          </w:divBdr>
        </w:div>
        <w:div w:id="800343622">
          <w:marLeft w:val="425"/>
          <w:marRight w:val="0"/>
          <w:marTop w:val="0"/>
          <w:marBottom w:val="0"/>
          <w:divBdr>
            <w:top w:val="none" w:sz="0" w:space="0" w:color="auto"/>
            <w:left w:val="none" w:sz="0" w:space="0" w:color="auto"/>
            <w:bottom w:val="none" w:sz="0" w:space="0" w:color="auto"/>
            <w:right w:val="none" w:sz="0" w:space="0" w:color="auto"/>
          </w:divBdr>
        </w:div>
        <w:div w:id="237402707">
          <w:marLeft w:val="425"/>
          <w:marRight w:val="0"/>
          <w:marTop w:val="0"/>
          <w:marBottom w:val="0"/>
          <w:divBdr>
            <w:top w:val="none" w:sz="0" w:space="0" w:color="auto"/>
            <w:left w:val="none" w:sz="0" w:space="0" w:color="auto"/>
            <w:bottom w:val="none" w:sz="0" w:space="0" w:color="auto"/>
            <w:right w:val="none" w:sz="0" w:space="0" w:color="auto"/>
          </w:divBdr>
        </w:div>
        <w:div w:id="1678338781">
          <w:marLeft w:val="425"/>
          <w:marRight w:val="0"/>
          <w:marTop w:val="0"/>
          <w:marBottom w:val="0"/>
          <w:divBdr>
            <w:top w:val="none" w:sz="0" w:space="0" w:color="auto"/>
            <w:left w:val="none" w:sz="0" w:space="0" w:color="auto"/>
            <w:bottom w:val="none" w:sz="0" w:space="0" w:color="auto"/>
            <w:right w:val="none" w:sz="0" w:space="0" w:color="auto"/>
          </w:divBdr>
        </w:div>
        <w:div w:id="1505899302">
          <w:marLeft w:val="425"/>
          <w:marRight w:val="0"/>
          <w:marTop w:val="0"/>
          <w:marBottom w:val="0"/>
          <w:divBdr>
            <w:top w:val="none" w:sz="0" w:space="0" w:color="auto"/>
            <w:left w:val="none" w:sz="0" w:space="0" w:color="auto"/>
            <w:bottom w:val="none" w:sz="0" w:space="0" w:color="auto"/>
            <w:right w:val="none" w:sz="0" w:space="0" w:color="auto"/>
          </w:divBdr>
        </w:div>
        <w:div w:id="1406420575">
          <w:marLeft w:val="425"/>
          <w:marRight w:val="0"/>
          <w:marTop w:val="0"/>
          <w:marBottom w:val="0"/>
          <w:divBdr>
            <w:top w:val="none" w:sz="0" w:space="0" w:color="auto"/>
            <w:left w:val="none" w:sz="0" w:space="0" w:color="auto"/>
            <w:bottom w:val="none" w:sz="0" w:space="0" w:color="auto"/>
            <w:right w:val="none" w:sz="0" w:space="0" w:color="auto"/>
          </w:divBdr>
        </w:div>
        <w:div w:id="1148790766">
          <w:marLeft w:val="425"/>
          <w:marRight w:val="0"/>
          <w:marTop w:val="0"/>
          <w:marBottom w:val="0"/>
          <w:divBdr>
            <w:top w:val="none" w:sz="0" w:space="0" w:color="auto"/>
            <w:left w:val="none" w:sz="0" w:space="0" w:color="auto"/>
            <w:bottom w:val="none" w:sz="0" w:space="0" w:color="auto"/>
            <w:right w:val="none" w:sz="0" w:space="0" w:color="auto"/>
          </w:divBdr>
        </w:div>
        <w:div w:id="1610619930">
          <w:marLeft w:val="425"/>
          <w:marRight w:val="0"/>
          <w:marTop w:val="0"/>
          <w:marBottom w:val="0"/>
          <w:divBdr>
            <w:top w:val="none" w:sz="0" w:space="0" w:color="auto"/>
            <w:left w:val="none" w:sz="0" w:space="0" w:color="auto"/>
            <w:bottom w:val="none" w:sz="0" w:space="0" w:color="auto"/>
            <w:right w:val="none" w:sz="0" w:space="0" w:color="auto"/>
          </w:divBdr>
        </w:div>
        <w:div w:id="446045076">
          <w:marLeft w:val="425"/>
          <w:marRight w:val="0"/>
          <w:marTop w:val="0"/>
          <w:marBottom w:val="0"/>
          <w:divBdr>
            <w:top w:val="none" w:sz="0" w:space="0" w:color="auto"/>
            <w:left w:val="none" w:sz="0" w:space="0" w:color="auto"/>
            <w:bottom w:val="none" w:sz="0" w:space="0" w:color="auto"/>
            <w:right w:val="none" w:sz="0" w:space="0" w:color="auto"/>
          </w:divBdr>
        </w:div>
        <w:div w:id="254753420">
          <w:marLeft w:val="425"/>
          <w:marRight w:val="0"/>
          <w:marTop w:val="0"/>
          <w:marBottom w:val="0"/>
          <w:divBdr>
            <w:top w:val="none" w:sz="0" w:space="0" w:color="auto"/>
            <w:left w:val="none" w:sz="0" w:space="0" w:color="auto"/>
            <w:bottom w:val="none" w:sz="0" w:space="0" w:color="auto"/>
            <w:right w:val="none" w:sz="0" w:space="0" w:color="auto"/>
          </w:divBdr>
        </w:div>
        <w:div w:id="466092317">
          <w:marLeft w:val="425"/>
          <w:marRight w:val="0"/>
          <w:marTop w:val="0"/>
          <w:marBottom w:val="0"/>
          <w:divBdr>
            <w:top w:val="none" w:sz="0" w:space="0" w:color="auto"/>
            <w:left w:val="none" w:sz="0" w:space="0" w:color="auto"/>
            <w:bottom w:val="none" w:sz="0" w:space="0" w:color="auto"/>
            <w:right w:val="none" w:sz="0" w:space="0" w:color="auto"/>
          </w:divBdr>
        </w:div>
        <w:div w:id="924262374">
          <w:marLeft w:val="425"/>
          <w:marRight w:val="0"/>
          <w:marTop w:val="0"/>
          <w:marBottom w:val="0"/>
          <w:divBdr>
            <w:top w:val="none" w:sz="0" w:space="0" w:color="auto"/>
            <w:left w:val="none" w:sz="0" w:space="0" w:color="auto"/>
            <w:bottom w:val="none" w:sz="0" w:space="0" w:color="auto"/>
            <w:right w:val="none" w:sz="0" w:space="0" w:color="auto"/>
          </w:divBdr>
        </w:div>
        <w:div w:id="1276861870">
          <w:marLeft w:val="425"/>
          <w:marRight w:val="0"/>
          <w:marTop w:val="0"/>
          <w:marBottom w:val="0"/>
          <w:divBdr>
            <w:top w:val="none" w:sz="0" w:space="0" w:color="auto"/>
            <w:left w:val="none" w:sz="0" w:space="0" w:color="auto"/>
            <w:bottom w:val="none" w:sz="0" w:space="0" w:color="auto"/>
            <w:right w:val="none" w:sz="0" w:space="0" w:color="auto"/>
          </w:divBdr>
        </w:div>
        <w:div w:id="31538255">
          <w:marLeft w:val="425"/>
          <w:marRight w:val="0"/>
          <w:marTop w:val="0"/>
          <w:marBottom w:val="0"/>
          <w:divBdr>
            <w:top w:val="none" w:sz="0" w:space="0" w:color="auto"/>
            <w:left w:val="none" w:sz="0" w:space="0" w:color="auto"/>
            <w:bottom w:val="none" w:sz="0" w:space="0" w:color="auto"/>
            <w:right w:val="none" w:sz="0" w:space="0" w:color="auto"/>
          </w:divBdr>
        </w:div>
        <w:div w:id="903639503">
          <w:marLeft w:val="425"/>
          <w:marRight w:val="0"/>
          <w:marTop w:val="0"/>
          <w:marBottom w:val="0"/>
          <w:divBdr>
            <w:top w:val="none" w:sz="0" w:space="0" w:color="auto"/>
            <w:left w:val="none" w:sz="0" w:space="0" w:color="auto"/>
            <w:bottom w:val="none" w:sz="0" w:space="0" w:color="auto"/>
            <w:right w:val="none" w:sz="0" w:space="0" w:color="auto"/>
          </w:divBdr>
        </w:div>
        <w:div w:id="1158694695">
          <w:marLeft w:val="425"/>
          <w:marRight w:val="0"/>
          <w:marTop w:val="0"/>
          <w:marBottom w:val="0"/>
          <w:divBdr>
            <w:top w:val="none" w:sz="0" w:space="0" w:color="auto"/>
            <w:left w:val="none" w:sz="0" w:space="0" w:color="auto"/>
            <w:bottom w:val="none" w:sz="0" w:space="0" w:color="auto"/>
            <w:right w:val="none" w:sz="0" w:space="0" w:color="auto"/>
          </w:divBdr>
        </w:div>
        <w:div w:id="1155487793">
          <w:marLeft w:val="425"/>
          <w:marRight w:val="0"/>
          <w:marTop w:val="0"/>
          <w:marBottom w:val="0"/>
          <w:divBdr>
            <w:top w:val="none" w:sz="0" w:space="0" w:color="auto"/>
            <w:left w:val="none" w:sz="0" w:space="0" w:color="auto"/>
            <w:bottom w:val="none" w:sz="0" w:space="0" w:color="auto"/>
            <w:right w:val="none" w:sz="0" w:space="0" w:color="auto"/>
          </w:divBdr>
        </w:div>
        <w:div w:id="1800565606">
          <w:marLeft w:val="425"/>
          <w:marRight w:val="0"/>
          <w:marTop w:val="0"/>
          <w:marBottom w:val="0"/>
          <w:divBdr>
            <w:top w:val="none" w:sz="0" w:space="0" w:color="auto"/>
            <w:left w:val="none" w:sz="0" w:space="0" w:color="auto"/>
            <w:bottom w:val="none" w:sz="0" w:space="0" w:color="auto"/>
            <w:right w:val="none" w:sz="0" w:space="0" w:color="auto"/>
          </w:divBdr>
        </w:div>
        <w:div w:id="870343280">
          <w:marLeft w:val="425"/>
          <w:marRight w:val="0"/>
          <w:marTop w:val="0"/>
          <w:marBottom w:val="0"/>
          <w:divBdr>
            <w:top w:val="none" w:sz="0" w:space="0" w:color="auto"/>
            <w:left w:val="none" w:sz="0" w:space="0" w:color="auto"/>
            <w:bottom w:val="none" w:sz="0" w:space="0" w:color="auto"/>
            <w:right w:val="none" w:sz="0" w:space="0" w:color="auto"/>
          </w:divBdr>
        </w:div>
        <w:div w:id="51203048">
          <w:marLeft w:val="425"/>
          <w:marRight w:val="0"/>
          <w:marTop w:val="0"/>
          <w:marBottom w:val="0"/>
          <w:divBdr>
            <w:top w:val="none" w:sz="0" w:space="0" w:color="auto"/>
            <w:left w:val="none" w:sz="0" w:space="0" w:color="auto"/>
            <w:bottom w:val="none" w:sz="0" w:space="0" w:color="auto"/>
            <w:right w:val="none" w:sz="0" w:space="0" w:color="auto"/>
          </w:divBdr>
        </w:div>
        <w:div w:id="588394466">
          <w:marLeft w:val="425"/>
          <w:marRight w:val="0"/>
          <w:marTop w:val="0"/>
          <w:marBottom w:val="0"/>
          <w:divBdr>
            <w:top w:val="none" w:sz="0" w:space="0" w:color="auto"/>
            <w:left w:val="none" w:sz="0" w:space="0" w:color="auto"/>
            <w:bottom w:val="none" w:sz="0" w:space="0" w:color="auto"/>
            <w:right w:val="none" w:sz="0" w:space="0" w:color="auto"/>
          </w:divBdr>
        </w:div>
        <w:div w:id="2028019827">
          <w:marLeft w:val="425"/>
          <w:marRight w:val="0"/>
          <w:marTop w:val="0"/>
          <w:marBottom w:val="0"/>
          <w:divBdr>
            <w:top w:val="none" w:sz="0" w:space="0" w:color="auto"/>
            <w:left w:val="none" w:sz="0" w:space="0" w:color="auto"/>
            <w:bottom w:val="none" w:sz="0" w:space="0" w:color="auto"/>
            <w:right w:val="none" w:sz="0" w:space="0" w:color="auto"/>
          </w:divBdr>
        </w:div>
        <w:div w:id="1677923691">
          <w:marLeft w:val="425"/>
          <w:marRight w:val="0"/>
          <w:marTop w:val="0"/>
          <w:marBottom w:val="0"/>
          <w:divBdr>
            <w:top w:val="none" w:sz="0" w:space="0" w:color="auto"/>
            <w:left w:val="none" w:sz="0" w:space="0" w:color="auto"/>
            <w:bottom w:val="none" w:sz="0" w:space="0" w:color="auto"/>
            <w:right w:val="none" w:sz="0" w:space="0" w:color="auto"/>
          </w:divBdr>
        </w:div>
        <w:div w:id="786435125">
          <w:marLeft w:val="425"/>
          <w:marRight w:val="0"/>
          <w:marTop w:val="0"/>
          <w:marBottom w:val="0"/>
          <w:divBdr>
            <w:top w:val="none" w:sz="0" w:space="0" w:color="auto"/>
            <w:left w:val="none" w:sz="0" w:space="0" w:color="auto"/>
            <w:bottom w:val="none" w:sz="0" w:space="0" w:color="auto"/>
            <w:right w:val="none" w:sz="0" w:space="0" w:color="auto"/>
          </w:divBdr>
        </w:div>
        <w:div w:id="1750275581">
          <w:marLeft w:val="425"/>
          <w:marRight w:val="0"/>
          <w:marTop w:val="0"/>
          <w:marBottom w:val="0"/>
          <w:divBdr>
            <w:top w:val="none" w:sz="0" w:space="0" w:color="auto"/>
            <w:left w:val="none" w:sz="0" w:space="0" w:color="auto"/>
            <w:bottom w:val="none" w:sz="0" w:space="0" w:color="auto"/>
            <w:right w:val="none" w:sz="0" w:space="0" w:color="auto"/>
          </w:divBdr>
        </w:div>
        <w:div w:id="301078359">
          <w:marLeft w:val="425"/>
          <w:marRight w:val="0"/>
          <w:marTop w:val="0"/>
          <w:marBottom w:val="0"/>
          <w:divBdr>
            <w:top w:val="none" w:sz="0" w:space="0" w:color="auto"/>
            <w:left w:val="none" w:sz="0" w:space="0" w:color="auto"/>
            <w:bottom w:val="none" w:sz="0" w:space="0" w:color="auto"/>
            <w:right w:val="none" w:sz="0" w:space="0" w:color="auto"/>
          </w:divBdr>
        </w:div>
        <w:div w:id="1724062667">
          <w:marLeft w:val="425"/>
          <w:marRight w:val="0"/>
          <w:marTop w:val="0"/>
          <w:marBottom w:val="0"/>
          <w:divBdr>
            <w:top w:val="none" w:sz="0" w:space="0" w:color="auto"/>
            <w:left w:val="none" w:sz="0" w:space="0" w:color="auto"/>
            <w:bottom w:val="none" w:sz="0" w:space="0" w:color="auto"/>
            <w:right w:val="none" w:sz="0" w:space="0" w:color="auto"/>
          </w:divBdr>
        </w:div>
        <w:div w:id="1295214197">
          <w:marLeft w:val="425"/>
          <w:marRight w:val="0"/>
          <w:marTop w:val="0"/>
          <w:marBottom w:val="0"/>
          <w:divBdr>
            <w:top w:val="none" w:sz="0" w:space="0" w:color="auto"/>
            <w:left w:val="none" w:sz="0" w:space="0" w:color="auto"/>
            <w:bottom w:val="none" w:sz="0" w:space="0" w:color="auto"/>
            <w:right w:val="none" w:sz="0" w:space="0" w:color="auto"/>
          </w:divBdr>
        </w:div>
        <w:div w:id="969359652">
          <w:marLeft w:val="425"/>
          <w:marRight w:val="0"/>
          <w:marTop w:val="0"/>
          <w:marBottom w:val="0"/>
          <w:divBdr>
            <w:top w:val="none" w:sz="0" w:space="0" w:color="auto"/>
            <w:left w:val="none" w:sz="0" w:space="0" w:color="auto"/>
            <w:bottom w:val="none" w:sz="0" w:space="0" w:color="auto"/>
            <w:right w:val="none" w:sz="0" w:space="0" w:color="auto"/>
          </w:divBdr>
        </w:div>
        <w:div w:id="815031197">
          <w:marLeft w:val="425"/>
          <w:marRight w:val="0"/>
          <w:marTop w:val="0"/>
          <w:marBottom w:val="0"/>
          <w:divBdr>
            <w:top w:val="none" w:sz="0" w:space="0" w:color="auto"/>
            <w:left w:val="none" w:sz="0" w:space="0" w:color="auto"/>
            <w:bottom w:val="none" w:sz="0" w:space="0" w:color="auto"/>
            <w:right w:val="none" w:sz="0" w:space="0" w:color="auto"/>
          </w:divBdr>
        </w:div>
        <w:div w:id="553858651">
          <w:marLeft w:val="425"/>
          <w:marRight w:val="0"/>
          <w:marTop w:val="0"/>
          <w:marBottom w:val="0"/>
          <w:divBdr>
            <w:top w:val="none" w:sz="0" w:space="0" w:color="auto"/>
            <w:left w:val="none" w:sz="0" w:space="0" w:color="auto"/>
            <w:bottom w:val="none" w:sz="0" w:space="0" w:color="auto"/>
            <w:right w:val="none" w:sz="0" w:space="0" w:color="auto"/>
          </w:divBdr>
        </w:div>
        <w:div w:id="1303388682">
          <w:marLeft w:val="425"/>
          <w:marRight w:val="0"/>
          <w:marTop w:val="0"/>
          <w:marBottom w:val="0"/>
          <w:divBdr>
            <w:top w:val="none" w:sz="0" w:space="0" w:color="auto"/>
            <w:left w:val="none" w:sz="0" w:space="0" w:color="auto"/>
            <w:bottom w:val="none" w:sz="0" w:space="0" w:color="auto"/>
            <w:right w:val="none" w:sz="0" w:space="0" w:color="auto"/>
          </w:divBdr>
        </w:div>
        <w:div w:id="1742413028">
          <w:marLeft w:val="0"/>
          <w:marRight w:val="0"/>
          <w:marTop w:val="240"/>
          <w:marBottom w:val="0"/>
          <w:divBdr>
            <w:top w:val="none" w:sz="0" w:space="0" w:color="auto"/>
            <w:left w:val="none" w:sz="0" w:space="0" w:color="auto"/>
            <w:bottom w:val="none" w:sz="0" w:space="0" w:color="auto"/>
            <w:right w:val="none" w:sz="0" w:space="0" w:color="auto"/>
          </w:divBdr>
        </w:div>
        <w:div w:id="2016373812">
          <w:marLeft w:val="0"/>
          <w:marRight w:val="0"/>
          <w:marTop w:val="240"/>
          <w:marBottom w:val="0"/>
          <w:divBdr>
            <w:top w:val="none" w:sz="0" w:space="0" w:color="auto"/>
            <w:left w:val="none" w:sz="0" w:space="0" w:color="auto"/>
            <w:bottom w:val="none" w:sz="0" w:space="0" w:color="auto"/>
            <w:right w:val="none" w:sz="0" w:space="0" w:color="auto"/>
          </w:divBdr>
        </w:div>
        <w:div w:id="590892291">
          <w:marLeft w:val="425"/>
          <w:marRight w:val="0"/>
          <w:marTop w:val="0"/>
          <w:marBottom w:val="0"/>
          <w:divBdr>
            <w:top w:val="none" w:sz="0" w:space="0" w:color="auto"/>
            <w:left w:val="none" w:sz="0" w:space="0" w:color="auto"/>
            <w:bottom w:val="none" w:sz="0" w:space="0" w:color="auto"/>
            <w:right w:val="none" w:sz="0" w:space="0" w:color="auto"/>
          </w:divBdr>
        </w:div>
        <w:div w:id="245380422">
          <w:marLeft w:val="425"/>
          <w:marRight w:val="0"/>
          <w:marTop w:val="0"/>
          <w:marBottom w:val="0"/>
          <w:divBdr>
            <w:top w:val="none" w:sz="0" w:space="0" w:color="auto"/>
            <w:left w:val="none" w:sz="0" w:space="0" w:color="auto"/>
            <w:bottom w:val="none" w:sz="0" w:space="0" w:color="auto"/>
            <w:right w:val="none" w:sz="0" w:space="0" w:color="auto"/>
          </w:divBdr>
        </w:div>
        <w:div w:id="1679119725">
          <w:marLeft w:val="0"/>
          <w:marRight w:val="0"/>
          <w:marTop w:val="240"/>
          <w:marBottom w:val="0"/>
          <w:divBdr>
            <w:top w:val="none" w:sz="0" w:space="0" w:color="auto"/>
            <w:left w:val="none" w:sz="0" w:space="0" w:color="auto"/>
            <w:bottom w:val="none" w:sz="0" w:space="0" w:color="auto"/>
            <w:right w:val="none" w:sz="0" w:space="0" w:color="auto"/>
          </w:divBdr>
        </w:div>
        <w:div w:id="1513715851">
          <w:marLeft w:val="0"/>
          <w:marRight w:val="0"/>
          <w:marTop w:val="240"/>
          <w:marBottom w:val="0"/>
          <w:divBdr>
            <w:top w:val="none" w:sz="0" w:space="0" w:color="auto"/>
            <w:left w:val="none" w:sz="0" w:space="0" w:color="auto"/>
            <w:bottom w:val="none" w:sz="0" w:space="0" w:color="auto"/>
            <w:right w:val="none" w:sz="0" w:space="0" w:color="auto"/>
          </w:divBdr>
        </w:div>
        <w:div w:id="257297776">
          <w:marLeft w:val="0"/>
          <w:marRight w:val="0"/>
          <w:marTop w:val="240"/>
          <w:marBottom w:val="0"/>
          <w:divBdr>
            <w:top w:val="none" w:sz="0" w:space="0" w:color="auto"/>
            <w:left w:val="none" w:sz="0" w:space="0" w:color="auto"/>
            <w:bottom w:val="none" w:sz="0" w:space="0" w:color="auto"/>
            <w:right w:val="none" w:sz="0" w:space="0" w:color="auto"/>
          </w:divBdr>
        </w:div>
        <w:div w:id="538057304">
          <w:marLeft w:val="425"/>
          <w:marRight w:val="0"/>
          <w:marTop w:val="0"/>
          <w:marBottom w:val="0"/>
          <w:divBdr>
            <w:top w:val="none" w:sz="0" w:space="0" w:color="auto"/>
            <w:left w:val="none" w:sz="0" w:space="0" w:color="auto"/>
            <w:bottom w:val="none" w:sz="0" w:space="0" w:color="auto"/>
            <w:right w:val="none" w:sz="0" w:space="0" w:color="auto"/>
          </w:divBdr>
        </w:div>
        <w:div w:id="669991021">
          <w:marLeft w:val="425"/>
          <w:marRight w:val="0"/>
          <w:marTop w:val="0"/>
          <w:marBottom w:val="0"/>
          <w:divBdr>
            <w:top w:val="none" w:sz="0" w:space="0" w:color="auto"/>
            <w:left w:val="none" w:sz="0" w:space="0" w:color="auto"/>
            <w:bottom w:val="none" w:sz="0" w:space="0" w:color="auto"/>
            <w:right w:val="none" w:sz="0" w:space="0" w:color="auto"/>
          </w:divBdr>
        </w:div>
        <w:div w:id="520900732">
          <w:marLeft w:val="0"/>
          <w:marRight w:val="0"/>
          <w:marTop w:val="240"/>
          <w:marBottom w:val="0"/>
          <w:divBdr>
            <w:top w:val="none" w:sz="0" w:space="0" w:color="auto"/>
            <w:left w:val="none" w:sz="0" w:space="0" w:color="auto"/>
            <w:bottom w:val="none" w:sz="0" w:space="0" w:color="auto"/>
            <w:right w:val="none" w:sz="0" w:space="0" w:color="auto"/>
          </w:divBdr>
        </w:div>
      </w:divsChild>
    </w:div>
    <w:div w:id="1025406647">
      <w:bodyDiv w:val="1"/>
      <w:marLeft w:val="0"/>
      <w:marRight w:val="0"/>
      <w:marTop w:val="0"/>
      <w:marBottom w:val="0"/>
      <w:divBdr>
        <w:top w:val="none" w:sz="0" w:space="0" w:color="auto"/>
        <w:left w:val="none" w:sz="0" w:space="0" w:color="auto"/>
        <w:bottom w:val="none" w:sz="0" w:space="0" w:color="auto"/>
        <w:right w:val="none" w:sz="0" w:space="0" w:color="auto"/>
      </w:divBdr>
    </w:div>
    <w:div w:id="1026129236">
      <w:bodyDiv w:val="1"/>
      <w:marLeft w:val="0"/>
      <w:marRight w:val="0"/>
      <w:marTop w:val="0"/>
      <w:marBottom w:val="0"/>
      <w:divBdr>
        <w:top w:val="none" w:sz="0" w:space="0" w:color="auto"/>
        <w:left w:val="none" w:sz="0" w:space="0" w:color="auto"/>
        <w:bottom w:val="none" w:sz="0" w:space="0" w:color="auto"/>
        <w:right w:val="none" w:sz="0" w:space="0" w:color="auto"/>
      </w:divBdr>
      <w:divsChild>
        <w:div w:id="972835526">
          <w:marLeft w:val="0"/>
          <w:marRight w:val="0"/>
          <w:marTop w:val="480"/>
          <w:marBottom w:val="0"/>
          <w:divBdr>
            <w:top w:val="none" w:sz="0" w:space="0" w:color="auto"/>
            <w:left w:val="none" w:sz="0" w:space="0" w:color="auto"/>
            <w:bottom w:val="none" w:sz="0" w:space="0" w:color="auto"/>
            <w:right w:val="none" w:sz="0" w:space="0" w:color="auto"/>
          </w:divBdr>
        </w:div>
        <w:div w:id="426735837">
          <w:marLeft w:val="0"/>
          <w:marRight w:val="0"/>
          <w:marTop w:val="0"/>
          <w:marBottom w:val="0"/>
          <w:divBdr>
            <w:top w:val="none" w:sz="0" w:space="0" w:color="auto"/>
            <w:left w:val="none" w:sz="0" w:space="0" w:color="auto"/>
            <w:bottom w:val="none" w:sz="0" w:space="0" w:color="auto"/>
            <w:right w:val="none" w:sz="0" w:space="0" w:color="auto"/>
          </w:divBdr>
        </w:div>
        <w:div w:id="1906792211">
          <w:marLeft w:val="0"/>
          <w:marRight w:val="0"/>
          <w:marTop w:val="240"/>
          <w:marBottom w:val="0"/>
          <w:divBdr>
            <w:top w:val="none" w:sz="0" w:space="0" w:color="auto"/>
            <w:left w:val="none" w:sz="0" w:space="0" w:color="auto"/>
            <w:bottom w:val="none" w:sz="0" w:space="0" w:color="auto"/>
            <w:right w:val="none" w:sz="0" w:space="0" w:color="auto"/>
          </w:divBdr>
        </w:div>
        <w:div w:id="179005597">
          <w:marLeft w:val="425"/>
          <w:marRight w:val="0"/>
          <w:marTop w:val="0"/>
          <w:marBottom w:val="0"/>
          <w:divBdr>
            <w:top w:val="none" w:sz="0" w:space="0" w:color="auto"/>
            <w:left w:val="none" w:sz="0" w:space="0" w:color="auto"/>
            <w:bottom w:val="none" w:sz="0" w:space="0" w:color="auto"/>
            <w:right w:val="none" w:sz="0" w:space="0" w:color="auto"/>
          </w:divBdr>
        </w:div>
        <w:div w:id="124589967">
          <w:marLeft w:val="425"/>
          <w:marRight w:val="0"/>
          <w:marTop w:val="0"/>
          <w:marBottom w:val="0"/>
          <w:divBdr>
            <w:top w:val="none" w:sz="0" w:space="0" w:color="auto"/>
            <w:left w:val="none" w:sz="0" w:space="0" w:color="auto"/>
            <w:bottom w:val="none" w:sz="0" w:space="0" w:color="auto"/>
            <w:right w:val="none" w:sz="0" w:space="0" w:color="auto"/>
          </w:divBdr>
        </w:div>
        <w:div w:id="1295674489">
          <w:marLeft w:val="425"/>
          <w:marRight w:val="0"/>
          <w:marTop w:val="0"/>
          <w:marBottom w:val="0"/>
          <w:divBdr>
            <w:top w:val="none" w:sz="0" w:space="0" w:color="auto"/>
            <w:left w:val="none" w:sz="0" w:space="0" w:color="auto"/>
            <w:bottom w:val="none" w:sz="0" w:space="0" w:color="auto"/>
            <w:right w:val="none" w:sz="0" w:space="0" w:color="auto"/>
          </w:divBdr>
        </w:div>
        <w:div w:id="2123524807">
          <w:marLeft w:val="425"/>
          <w:marRight w:val="0"/>
          <w:marTop w:val="0"/>
          <w:marBottom w:val="0"/>
          <w:divBdr>
            <w:top w:val="none" w:sz="0" w:space="0" w:color="auto"/>
            <w:left w:val="none" w:sz="0" w:space="0" w:color="auto"/>
            <w:bottom w:val="none" w:sz="0" w:space="0" w:color="auto"/>
            <w:right w:val="none" w:sz="0" w:space="0" w:color="auto"/>
          </w:divBdr>
        </w:div>
        <w:div w:id="19941844">
          <w:marLeft w:val="425"/>
          <w:marRight w:val="0"/>
          <w:marTop w:val="0"/>
          <w:marBottom w:val="0"/>
          <w:divBdr>
            <w:top w:val="none" w:sz="0" w:space="0" w:color="auto"/>
            <w:left w:val="none" w:sz="0" w:space="0" w:color="auto"/>
            <w:bottom w:val="none" w:sz="0" w:space="0" w:color="auto"/>
            <w:right w:val="none" w:sz="0" w:space="0" w:color="auto"/>
          </w:divBdr>
        </w:div>
        <w:div w:id="1896044284">
          <w:marLeft w:val="425"/>
          <w:marRight w:val="0"/>
          <w:marTop w:val="0"/>
          <w:marBottom w:val="0"/>
          <w:divBdr>
            <w:top w:val="none" w:sz="0" w:space="0" w:color="auto"/>
            <w:left w:val="none" w:sz="0" w:space="0" w:color="auto"/>
            <w:bottom w:val="none" w:sz="0" w:space="0" w:color="auto"/>
            <w:right w:val="none" w:sz="0" w:space="0" w:color="auto"/>
          </w:divBdr>
        </w:div>
        <w:div w:id="799304987">
          <w:marLeft w:val="425"/>
          <w:marRight w:val="0"/>
          <w:marTop w:val="0"/>
          <w:marBottom w:val="0"/>
          <w:divBdr>
            <w:top w:val="none" w:sz="0" w:space="0" w:color="auto"/>
            <w:left w:val="none" w:sz="0" w:space="0" w:color="auto"/>
            <w:bottom w:val="none" w:sz="0" w:space="0" w:color="auto"/>
            <w:right w:val="none" w:sz="0" w:space="0" w:color="auto"/>
          </w:divBdr>
        </w:div>
      </w:divsChild>
    </w:div>
    <w:div w:id="1031345140">
      <w:bodyDiv w:val="1"/>
      <w:marLeft w:val="0"/>
      <w:marRight w:val="0"/>
      <w:marTop w:val="0"/>
      <w:marBottom w:val="0"/>
      <w:divBdr>
        <w:top w:val="none" w:sz="0" w:space="0" w:color="auto"/>
        <w:left w:val="none" w:sz="0" w:space="0" w:color="auto"/>
        <w:bottom w:val="none" w:sz="0" w:space="0" w:color="auto"/>
        <w:right w:val="none" w:sz="0" w:space="0" w:color="auto"/>
      </w:divBdr>
    </w:div>
    <w:div w:id="1051805146">
      <w:bodyDiv w:val="1"/>
      <w:marLeft w:val="0"/>
      <w:marRight w:val="0"/>
      <w:marTop w:val="0"/>
      <w:marBottom w:val="0"/>
      <w:divBdr>
        <w:top w:val="none" w:sz="0" w:space="0" w:color="auto"/>
        <w:left w:val="none" w:sz="0" w:space="0" w:color="auto"/>
        <w:bottom w:val="none" w:sz="0" w:space="0" w:color="auto"/>
        <w:right w:val="none" w:sz="0" w:space="0" w:color="auto"/>
      </w:divBdr>
      <w:divsChild>
        <w:div w:id="1515806071">
          <w:marLeft w:val="0"/>
          <w:marRight w:val="0"/>
          <w:marTop w:val="0"/>
          <w:marBottom w:val="0"/>
          <w:divBdr>
            <w:top w:val="none" w:sz="0" w:space="0" w:color="auto"/>
            <w:left w:val="none" w:sz="0" w:space="0" w:color="auto"/>
            <w:bottom w:val="none" w:sz="0" w:space="0" w:color="auto"/>
            <w:right w:val="none" w:sz="0" w:space="0" w:color="auto"/>
          </w:divBdr>
        </w:div>
      </w:divsChild>
    </w:div>
    <w:div w:id="1059787123">
      <w:bodyDiv w:val="1"/>
      <w:marLeft w:val="0"/>
      <w:marRight w:val="0"/>
      <w:marTop w:val="0"/>
      <w:marBottom w:val="0"/>
      <w:divBdr>
        <w:top w:val="none" w:sz="0" w:space="0" w:color="auto"/>
        <w:left w:val="none" w:sz="0" w:space="0" w:color="auto"/>
        <w:bottom w:val="none" w:sz="0" w:space="0" w:color="auto"/>
        <w:right w:val="none" w:sz="0" w:space="0" w:color="auto"/>
      </w:divBdr>
      <w:divsChild>
        <w:div w:id="162553545">
          <w:marLeft w:val="0"/>
          <w:marRight w:val="0"/>
          <w:marTop w:val="480"/>
          <w:marBottom w:val="0"/>
          <w:divBdr>
            <w:top w:val="none" w:sz="0" w:space="0" w:color="auto"/>
            <w:left w:val="none" w:sz="0" w:space="0" w:color="auto"/>
            <w:bottom w:val="none" w:sz="0" w:space="0" w:color="auto"/>
            <w:right w:val="none" w:sz="0" w:space="0" w:color="auto"/>
          </w:divBdr>
        </w:div>
        <w:div w:id="2000040872">
          <w:marLeft w:val="0"/>
          <w:marRight w:val="0"/>
          <w:marTop w:val="0"/>
          <w:marBottom w:val="0"/>
          <w:divBdr>
            <w:top w:val="none" w:sz="0" w:space="0" w:color="auto"/>
            <w:left w:val="none" w:sz="0" w:space="0" w:color="auto"/>
            <w:bottom w:val="none" w:sz="0" w:space="0" w:color="auto"/>
            <w:right w:val="none" w:sz="0" w:space="0" w:color="auto"/>
          </w:divBdr>
        </w:div>
        <w:div w:id="1515147719">
          <w:marLeft w:val="0"/>
          <w:marRight w:val="0"/>
          <w:marTop w:val="240"/>
          <w:marBottom w:val="0"/>
          <w:divBdr>
            <w:top w:val="none" w:sz="0" w:space="0" w:color="auto"/>
            <w:left w:val="none" w:sz="0" w:space="0" w:color="auto"/>
            <w:bottom w:val="none" w:sz="0" w:space="0" w:color="auto"/>
            <w:right w:val="none" w:sz="0" w:space="0" w:color="auto"/>
          </w:divBdr>
        </w:div>
        <w:div w:id="1696811038">
          <w:marLeft w:val="0"/>
          <w:marRight w:val="0"/>
          <w:marTop w:val="240"/>
          <w:marBottom w:val="0"/>
          <w:divBdr>
            <w:top w:val="none" w:sz="0" w:space="0" w:color="auto"/>
            <w:left w:val="none" w:sz="0" w:space="0" w:color="auto"/>
            <w:bottom w:val="none" w:sz="0" w:space="0" w:color="auto"/>
            <w:right w:val="none" w:sz="0" w:space="0" w:color="auto"/>
          </w:divBdr>
        </w:div>
      </w:divsChild>
    </w:div>
    <w:div w:id="1060635149">
      <w:bodyDiv w:val="1"/>
      <w:marLeft w:val="0"/>
      <w:marRight w:val="0"/>
      <w:marTop w:val="0"/>
      <w:marBottom w:val="0"/>
      <w:divBdr>
        <w:top w:val="none" w:sz="0" w:space="0" w:color="auto"/>
        <w:left w:val="none" w:sz="0" w:space="0" w:color="auto"/>
        <w:bottom w:val="none" w:sz="0" w:space="0" w:color="auto"/>
        <w:right w:val="none" w:sz="0" w:space="0" w:color="auto"/>
      </w:divBdr>
    </w:div>
    <w:div w:id="1075081123">
      <w:bodyDiv w:val="1"/>
      <w:marLeft w:val="0"/>
      <w:marRight w:val="0"/>
      <w:marTop w:val="0"/>
      <w:marBottom w:val="0"/>
      <w:divBdr>
        <w:top w:val="none" w:sz="0" w:space="0" w:color="auto"/>
        <w:left w:val="none" w:sz="0" w:space="0" w:color="auto"/>
        <w:bottom w:val="none" w:sz="0" w:space="0" w:color="auto"/>
        <w:right w:val="none" w:sz="0" w:space="0" w:color="auto"/>
      </w:divBdr>
      <w:divsChild>
        <w:div w:id="2075161068">
          <w:marLeft w:val="0"/>
          <w:marRight w:val="0"/>
          <w:marTop w:val="480"/>
          <w:marBottom w:val="0"/>
          <w:divBdr>
            <w:top w:val="none" w:sz="0" w:space="0" w:color="auto"/>
            <w:left w:val="none" w:sz="0" w:space="0" w:color="auto"/>
            <w:bottom w:val="none" w:sz="0" w:space="0" w:color="auto"/>
            <w:right w:val="none" w:sz="0" w:space="0" w:color="auto"/>
          </w:divBdr>
        </w:div>
        <w:div w:id="474764964">
          <w:marLeft w:val="0"/>
          <w:marRight w:val="0"/>
          <w:marTop w:val="0"/>
          <w:marBottom w:val="0"/>
          <w:divBdr>
            <w:top w:val="none" w:sz="0" w:space="0" w:color="auto"/>
            <w:left w:val="none" w:sz="0" w:space="0" w:color="auto"/>
            <w:bottom w:val="none" w:sz="0" w:space="0" w:color="auto"/>
            <w:right w:val="none" w:sz="0" w:space="0" w:color="auto"/>
          </w:divBdr>
        </w:div>
        <w:div w:id="1805347614">
          <w:marLeft w:val="0"/>
          <w:marRight w:val="0"/>
          <w:marTop w:val="240"/>
          <w:marBottom w:val="0"/>
          <w:divBdr>
            <w:top w:val="none" w:sz="0" w:space="0" w:color="auto"/>
            <w:left w:val="none" w:sz="0" w:space="0" w:color="auto"/>
            <w:bottom w:val="none" w:sz="0" w:space="0" w:color="auto"/>
            <w:right w:val="none" w:sz="0" w:space="0" w:color="auto"/>
          </w:divBdr>
        </w:div>
        <w:div w:id="354697586">
          <w:marLeft w:val="0"/>
          <w:marRight w:val="0"/>
          <w:marTop w:val="240"/>
          <w:marBottom w:val="0"/>
          <w:divBdr>
            <w:top w:val="none" w:sz="0" w:space="0" w:color="auto"/>
            <w:left w:val="none" w:sz="0" w:space="0" w:color="auto"/>
            <w:bottom w:val="none" w:sz="0" w:space="0" w:color="auto"/>
            <w:right w:val="none" w:sz="0" w:space="0" w:color="auto"/>
          </w:divBdr>
        </w:div>
      </w:divsChild>
    </w:div>
    <w:div w:id="1099834235">
      <w:bodyDiv w:val="1"/>
      <w:marLeft w:val="0"/>
      <w:marRight w:val="0"/>
      <w:marTop w:val="0"/>
      <w:marBottom w:val="0"/>
      <w:divBdr>
        <w:top w:val="none" w:sz="0" w:space="0" w:color="auto"/>
        <w:left w:val="none" w:sz="0" w:space="0" w:color="auto"/>
        <w:bottom w:val="none" w:sz="0" w:space="0" w:color="auto"/>
        <w:right w:val="none" w:sz="0" w:space="0" w:color="auto"/>
      </w:divBdr>
      <w:divsChild>
        <w:div w:id="430248120">
          <w:marLeft w:val="0"/>
          <w:marRight w:val="0"/>
          <w:marTop w:val="240"/>
          <w:marBottom w:val="0"/>
          <w:divBdr>
            <w:top w:val="none" w:sz="0" w:space="0" w:color="auto"/>
            <w:left w:val="none" w:sz="0" w:space="0" w:color="auto"/>
            <w:bottom w:val="none" w:sz="0" w:space="0" w:color="auto"/>
            <w:right w:val="none" w:sz="0" w:space="0" w:color="auto"/>
          </w:divBdr>
        </w:div>
        <w:div w:id="1933468717">
          <w:marLeft w:val="425"/>
          <w:marRight w:val="0"/>
          <w:marTop w:val="0"/>
          <w:marBottom w:val="0"/>
          <w:divBdr>
            <w:top w:val="none" w:sz="0" w:space="0" w:color="auto"/>
            <w:left w:val="none" w:sz="0" w:space="0" w:color="auto"/>
            <w:bottom w:val="none" w:sz="0" w:space="0" w:color="auto"/>
            <w:right w:val="none" w:sz="0" w:space="0" w:color="auto"/>
          </w:divBdr>
        </w:div>
        <w:div w:id="697658091">
          <w:marLeft w:val="425"/>
          <w:marRight w:val="0"/>
          <w:marTop w:val="0"/>
          <w:marBottom w:val="0"/>
          <w:divBdr>
            <w:top w:val="none" w:sz="0" w:space="0" w:color="auto"/>
            <w:left w:val="none" w:sz="0" w:space="0" w:color="auto"/>
            <w:bottom w:val="none" w:sz="0" w:space="0" w:color="auto"/>
            <w:right w:val="none" w:sz="0" w:space="0" w:color="auto"/>
          </w:divBdr>
        </w:div>
        <w:div w:id="1665546187">
          <w:marLeft w:val="425"/>
          <w:marRight w:val="0"/>
          <w:marTop w:val="0"/>
          <w:marBottom w:val="0"/>
          <w:divBdr>
            <w:top w:val="none" w:sz="0" w:space="0" w:color="auto"/>
            <w:left w:val="none" w:sz="0" w:space="0" w:color="auto"/>
            <w:bottom w:val="none" w:sz="0" w:space="0" w:color="auto"/>
            <w:right w:val="none" w:sz="0" w:space="0" w:color="auto"/>
          </w:divBdr>
        </w:div>
        <w:div w:id="2058699493">
          <w:marLeft w:val="425"/>
          <w:marRight w:val="0"/>
          <w:marTop w:val="0"/>
          <w:marBottom w:val="0"/>
          <w:divBdr>
            <w:top w:val="none" w:sz="0" w:space="0" w:color="auto"/>
            <w:left w:val="none" w:sz="0" w:space="0" w:color="auto"/>
            <w:bottom w:val="none" w:sz="0" w:space="0" w:color="auto"/>
            <w:right w:val="none" w:sz="0" w:space="0" w:color="auto"/>
          </w:divBdr>
        </w:div>
        <w:div w:id="1867022116">
          <w:marLeft w:val="425"/>
          <w:marRight w:val="0"/>
          <w:marTop w:val="0"/>
          <w:marBottom w:val="0"/>
          <w:divBdr>
            <w:top w:val="none" w:sz="0" w:space="0" w:color="auto"/>
            <w:left w:val="none" w:sz="0" w:space="0" w:color="auto"/>
            <w:bottom w:val="none" w:sz="0" w:space="0" w:color="auto"/>
            <w:right w:val="none" w:sz="0" w:space="0" w:color="auto"/>
          </w:divBdr>
        </w:div>
        <w:div w:id="890730467">
          <w:marLeft w:val="425"/>
          <w:marRight w:val="0"/>
          <w:marTop w:val="0"/>
          <w:marBottom w:val="0"/>
          <w:divBdr>
            <w:top w:val="none" w:sz="0" w:space="0" w:color="auto"/>
            <w:left w:val="none" w:sz="0" w:space="0" w:color="auto"/>
            <w:bottom w:val="none" w:sz="0" w:space="0" w:color="auto"/>
            <w:right w:val="none" w:sz="0" w:space="0" w:color="auto"/>
          </w:divBdr>
        </w:div>
        <w:div w:id="1596088088">
          <w:marLeft w:val="425"/>
          <w:marRight w:val="0"/>
          <w:marTop w:val="0"/>
          <w:marBottom w:val="0"/>
          <w:divBdr>
            <w:top w:val="none" w:sz="0" w:space="0" w:color="auto"/>
            <w:left w:val="none" w:sz="0" w:space="0" w:color="auto"/>
            <w:bottom w:val="none" w:sz="0" w:space="0" w:color="auto"/>
            <w:right w:val="none" w:sz="0" w:space="0" w:color="auto"/>
          </w:divBdr>
        </w:div>
      </w:divsChild>
    </w:div>
    <w:div w:id="1111978202">
      <w:bodyDiv w:val="1"/>
      <w:marLeft w:val="0"/>
      <w:marRight w:val="0"/>
      <w:marTop w:val="0"/>
      <w:marBottom w:val="0"/>
      <w:divBdr>
        <w:top w:val="none" w:sz="0" w:space="0" w:color="auto"/>
        <w:left w:val="none" w:sz="0" w:space="0" w:color="auto"/>
        <w:bottom w:val="none" w:sz="0" w:space="0" w:color="auto"/>
        <w:right w:val="none" w:sz="0" w:space="0" w:color="auto"/>
      </w:divBdr>
      <w:divsChild>
        <w:div w:id="841243736">
          <w:marLeft w:val="0"/>
          <w:marRight w:val="0"/>
          <w:marTop w:val="480"/>
          <w:marBottom w:val="0"/>
          <w:divBdr>
            <w:top w:val="none" w:sz="0" w:space="0" w:color="auto"/>
            <w:left w:val="none" w:sz="0" w:space="0" w:color="auto"/>
            <w:bottom w:val="none" w:sz="0" w:space="0" w:color="auto"/>
            <w:right w:val="none" w:sz="0" w:space="0" w:color="auto"/>
          </w:divBdr>
        </w:div>
        <w:div w:id="1357464046">
          <w:marLeft w:val="0"/>
          <w:marRight w:val="0"/>
          <w:marTop w:val="0"/>
          <w:marBottom w:val="0"/>
          <w:divBdr>
            <w:top w:val="none" w:sz="0" w:space="0" w:color="auto"/>
            <w:left w:val="none" w:sz="0" w:space="0" w:color="auto"/>
            <w:bottom w:val="none" w:sz="0" w:space="0" w:color="auto"/>
            <w:right w:val="none" w:sz="0" w:space="0" w:color="auto"/>
          </w:divBdr>
        </w:div>
        <w:div w:id="1797986518">
          <w:marLeft w:val="0"/>
          <w:marRight w:val="0"/>
          <w:marTop w:val="240"/>
          <w:marBottom w:val="0"/>
          <w:divBdr>
            <w:top w:val="none" w:sz="0" w:space="0" w:color="auto"/>
            <w:left w:val="none" w:sz="0" w:space="0" w:color="auto"/>
            <w:bottom w:val="none" w:sz="0" w:space="0" w:color="auto"/>
            <w:right w:val="none" w:sz="0" w:space="0" w:color="auto"/>
          </w:divBdr>
        </w:div>
        <w:div w:id="1707218829">
          <w:marLeft w:val="425"/>
          <w:marRight w:val="0"/>
          <w:marTop w:val="0"/>
          <w:marBottom w:val="0"/>
          <w:divBdr>
            <w:top w:val="none" w:sz="0" w:space="0" w:color="auto"/>
            <w:left w:val="none" w:sz="0" w:space="0" w:color="auto"/>
            <w:bottom w:val="none" w:sz="0" w:space="0" w:color="auto"/>
            <w:right w:val="none" w:sz="0" w:space="0" w:color="auto"/>
          </w:divBdr>
        </w:div>
        <w:div w:id="214435811">
          <w:marLeft w:val="425"/>
          <w:marRight w:val="0"/>
          <w:marTop w:val="0"/>
          <w:marBottom w:val="0"/>
          <w:divBdr>
            <w:top w:val="none" w:sz="0" w:space="0" w:color="auto"/>
            <w:left w:val="none" w:sz="0" w:space="0" w:color="auto"/>
            <w:bottom w:val="none" w:sz="0" w:space="0" w:color="auto"/>
            <w:right w:val="none" w:sz="0" w:space="0" w:color="auto"/>
          </w:divBdr>
        </w:div>
        <w:div w:id="261837668">
          <w:marLeft w:val="425"/>
          <w:marRight w:val="0"/>
          <w:marTop w:val="0"/>
          <w:marBottom w:val="0"/>
          <w:divBdr>
            <w:top w:val="none" w:sz="0" w:space="0" w:color="auto"/>
            <w:left w:val="none" w:sz="0" w:space="0" w:color="auto"/>
            <w:bottom w:val="none" w:sz="0" w:space="0" w:color="auto"/>
            <w:right w:val="none" w:sz="0" w:space="0" w:color="auto"/>
          </w:divBdr>
        </w:div>
        <w:div w:id="1045443186">
          <w:marLeft w:val="425"/>
          <w:marRight w:val="0"/>
          <w:marTop w:val="0"/>
          <w:marBottom w:val="0"/>
          <w:divBdr>
            <w:top w:val="none" w:sz="0" w:space="0" w:color="auto"/>
            <w:left w:val="none" w:sz="0" w:space="0" w:color="auto"/>
            <w:bottom w:val="none" w:sz="0" w:space="0" w:color="auto"/>
            <w:right w:val="none" w:sz="0" w:space="0" w:color="auto"/>
          </w:divBdr>
        </w:div>
        <w:div w:id="1704358880">
          <w:marLeft w:val="425"/>
          <w:marRight w:val="0"/>
          <w:marTop w:val="0"/>
          <w:marBottom w:val="0"/>
          <w:divBdr>
            <w:top w:val="none" w:sz="0" w:space="0" w:color="auto"/>
            <w:left w:val="none" w:sz="0" w:space="0" w:color="auto"/>
            <w:bottom w:val="none" w:sz="0" w:space="0" w:color="auto"/>
            <w:right w:val="none" w:sz="0" w:space="0" w:color="auto"/>
          </w:divBdr>
        </w:div>
        <w:div w:id="216748424">
          <w:marLeft w:val="425"/>
          <w:marRight w:val="0"/>
          <w:marTop w:val="0"/>
          <w:marBottom w:val="0"/>
          <w:divBdr>
            <w:top w:val="none" w:sz="0" w:space="0" w:color="auto"/>
            <w:left w:val="none" w:sz="0" w:space="0" w:color="auto"/>
            <w:bottom w:val="none" w:sz="0" w:space="0" w:color="auto"/>
            <w:right w:val="none" w:sz="0" w:space="0" w:color="auto"/>
          </w:divBdr>
        </w:div>
        <w:div w:id="1729382258">
          <w:marLeft w:val="425"/>
          <w:marRight w:val="0"/>
          <w:marTop w:val="0"/>
          <w:marBottom w:val="0"/>
          <w:divBdr>
            <w:top w:val="none" w:sz="0" w:space="0" w:color="auto"/>
            <w:left w:val="none" w:sz="0" w:space="0" w:color="auto"/>
            <w:bottom w:val="none" w:sz="0" w:space="0" w:color="auto"/>
            <w:right w:val="none" w:sz="0" w:space="0" w:color="auto"/>
          </w:divBdr>
        </w:div>
        <w:div w:id="1842089278">
          <w:marLeft w:val="425"/>
          <w:marRight w:val="0"/>
          <w:marTop w:val="0"/>
          <w:marBottom w:val="0"/>
          <w:divBdr>
            <w:top w:val="none" w:sz="0" w:space="0" w:color="auto"/>
            <w:left w:val="none" w:sz="0" w:space="0" w:color="auto"/>
            <w:bottom w:val="none" w:sz="0" w:space="0" w:color="auto"/>
            <w:right w:val="none" w:sz="0" w:space="0" w:color="auto"/>
          </w:divBdr>
        </w:div>
        <w:div w:id="60834990">
          <w:marLeft w:val="425"/>
          <w:marRight w:val="0"/>
          <w:marTop w:val="0"/>
          <w:marBottom w:val="0"/>
          <w:divBdr>
            <w:top w:val="none" w:sz="0" w:space="0" w:color="auto"/>
            <w:left w:val="none" w:sz="0" w:space="0" w:color="auto"/>
            <w:bottom w:val="none" w:sz="0" w:space="0" w:color="auto"/>
            <w:right w:val="none" w:sz="0" w:space="0" w:color="auto"/>
          </w:divBdr>
        </w:div>
        <w:div w:id="1907259805">
          <w:marLeft w:val="425"/>
          <w:marRight w:val="0"/>
          <w:marTop w:val="0"/>
          <w:marBottom w:val="0"/>
          <w:divBdr>
            <w:top w:val="none" w:sz="0" w:space="0" w:color="auto"/>
            <w:left w:val="none" w:sz="0" w:space="0" w:color="auto"/>
            <w:bottom w:val="none" w:sz="0" w:space="0" w:color="auto"/>
            <w:right w:val="none" w:sz="0" w:space="0" w:color="auto"/>
          </w:divBdr>
        </w:div>
        <w:div w:id="583027006">
          <w:marLeft w:val="425"/>
          <w:marRight w:val="0"/>
          <w:marTop w:val="0"/>
          <w:marBottom w:val="0"/>
          <w:divBdr>
            <w:top w:val="none" w:sz="0" w:space="0" w:color="auto"/>
            <w:left w:val="none" w:sz="0" w:space="0" w:color="auto"/>
            <w:bottom w:val="none" w:sz="0" w:space="0" w:color="auto"/>
            <w:right w:val="none" w:sz="0" w:space="0" w:color="auto"/>
          </w:divBdr>
        </w:div>
        <w:div w:id="1557202957">
          <w:marLeft w:val="425"/>
          <w:marRight w:val="0"/>
          <w:marTop w:val="0"/>
          <w:marBottom w:val="0"/>
          <w:divBdr>
            <w:top w:val="none" w:sz="0" w:space="0" w:color="auto"/>
            <w:left w:val="none" w:sz="0" w:space="0" w:color="auto"/>
            <w:bottom w:val="none" w:sz="0" w:space="0" w:color="auto"/>
            <w:right w:val="none" w:sz="0" w:space="0" w:color="auto"/>
          </w:divBdr>
        </w:div>
        <w:div w:id="1380934062">
          <w:marLeft w:val="425"/>
          <w:marRight w:val="0"/>
          <w:marTop w:val="0"/>
          <w:marBottom w:val="0"/>
          <w:divBdr>
            <w:top w:val="none" w:sz="0" w:space="0" w:color="auto"/>
            <w:left w:val="none" w:sz="0" w:space="0" w:color="auto"/>
            <w:bottom w:val="none" w:sz="0" w:space="0" w:color="auto"/>
            <w:right w:val="none" w:sz="0" w:space="0" w:color="auto"/>
          </w:divBdr>
        </w:div>
        <w:div w:id="33582836">
          <w:marLeft w:val="425"/>
          <w:marRight w:val="0"/>
          <w:marTop w:val="0"/>
          <w:marBottom w:val="0"/>
          <w:divBdr>
            <w:top w:val="none" w:sz="0" w:space="0" w:color="auto"/>
            <w:left w:val="none" w:sz="0" w:space="0" w:color="auto"/>
            <w:bottom w:val="none" w:sz="0" w:space="0" w:color="auto"/>
            <w:right w:val="none" w:sz="0" w:space="0" w:color="auto"/>
          </w:divBdr>
        </w:div>
        <w:div w:id="921568113">
          <w:marLeft w:val="425"/>
          <w:marRight w:val="0"/>
          <w:marTop w:val="0"/>
          <w:marBottom w:val="0"/>
          <w:divBdr>
            <w:top w:val="none" w:sz="0" w:space="0" w:color="auto"/>
            <w:left w:val="none" w:sz="0" w:space="0" w:color="auto"/>
            <w:bottom w:val="none" w:sz="0" w:space="0" w:color="auto"/>
            <w:right w:val="none" w:sz="0" w:space="0" w:color="auto"/>
          </w:divBdr>
        </w:div>
        <w:div w:id="494152759">
          <w:marLeft w:val="425"/>
          <w:marRight w:val="0"/>
          <w:marTop w:val="0"/>
          <w:marBottom w:val="0"/>
          <w:divBdr>
            <w:top w:val="none" w:sz="0" w:space="0" w:color="auto"/>
            <w:left w:val="none" w:sz="0" w:space="0" w:color="auto"/>
            <w:bottom w:val="none" w:sz="0" w:space="0" w:color="auto"/>
            <w:right w:val="none" w:sz="0" w:space="0" w:color="auto"/>
          </w:divBdr>
        </w:div>
        <w:div w:id="1495292904">
          <w:marLeft w:val="425"/>
          <w:marRight w:val="0"/>
          <w:marTop w:val="0"/>
          <w:marBottom w:val="0"/>
          <w:divBdr>
            <w:top w:val="none" w:sz="0" w:space="0" w:color="auto"/>
            <w:left w:val="none" w:sz="0" w:space="0" w:color="auto"/>
            <w:bottom w:val="none" w:sz="0" w:space="0" w:color="auto"/>
            <w:right w:val="none" w:sz="0" w:space="0" w:color="auto"/>
          </w:divBdr>
        </w:div>
        <w:div w:id="1976326133">
          <w:marLeft w:val="425"/>
          <w:marRight w:val="0"/>
          <w:marTop w:val="0"/>
          <w:marBottom w:val="0"/>
          <w:divBdr>
            <w:top w:val="none" w:sz="0" w:space="0" w:color="auto"/>
            <w:left w:val="none" w:sz="0" w:space="0" w:color="auto"/>
            <w:bottom w:val="none" w:sz="0" w:space="0" w:color="auto"/>
            <w:right w:val="none" w:sz="0" w:space="0" w:color="auto"/>
          </w:divBdr>
        </w:div>
        <w:div w:id="1816947329">
          <w:marLeft w:val="425"/>
          <w:marRight w:val="0"/>
          <w:marTop w:val="0"/>
          <w:marBottom w:val="0"/>
          <w:divBdr>
            <w:top w:val="none" w:sz="0" w:space="0" w:color="auto"/>
            <w:left w:val="none" w:sz="0" w:space="0" w:color="auto"/>
            <w:bottom w:val="none" w:sz="0" w:space="0" w:color="auto"/>
            <w:right w:val="none" w:sz="0" w:space="0" w:color="auto"/>
          </w:divBdr>
        </w:div>
        <w:div w:id="119807982">
          <w:marLeft w:val="0"/>
          <w:marRight w:val="0"/>
          <w:marTop w:val="240"/>
          <w:marBottom w:val="0"/>
          <w:divBdr>
            <w:top w:val="none" w:sz="0" w:space="0" w:color="auto"/>
            <w:left w:val="none" w:sz="0" w:space="0" w:color="auto"/>
            <w:bottom w:val="none" w:sz="0" w:space="0" w:color="auto"/>
            <w:right w:val="none" w:sz="0" w:space="0" w:color="auto"/>
          </w:divBdr>
        </w:div>
        <w:div w:id="2044741295">
          <w:marLeft w:val="0"/>
          <w:marRight w:val="0"/>
          <w:marTop w:val="240"/>
          <w:marBottom w:val="0"/>
          <w:divBdr>
            <w:top w:val="none" w:sz="0" w:space="0" w:color="auto"/>
            <w:left w:val="none" w:sz="0" w:space="0" w:color="auto"/>
            <w:bottom w:val="none" w:sz="0" w:space="0" w:color="auto"/>
            <w:right w:val="none" w:sz="0" w:space="0" w:color="auto"/>
          </w:divBdr>
        </w:div>
      </w:divsChild>
    </w:div>
    <w:div w:id="1112942182">
      <w:bodyDiv w:val="1"/>
      <w:marLeft w:val="0"/>
      <w:marRight w:val="0"/>
      <w:marTop w:val="0"/>
      <w:marBottom w:val="0"/>
      <w:divBdr>
        <w:top w:val="none" w:sz="0" w:space="0" w:color="auto"/>
        <w:left w:val="none" w:sz="0" w:space="0" w:color="auto"/>
        <w:bottom w:val="none" w:sz="0" w:space="0" w:color="auto"/>
        <w:right w:val="none" w:sz="0" w:space="0" w:color="auto"/>
      </w:divBdr>
      <w:divsChild>
        <w:div w:id="1927179855">
          <w:marLeft w:val="0"/>
          <w:marRight w:val="0"/>
          <w:marTop w:val="480"/>
          <w:marBottom w:val="0"/>
          <w:divBdr>
            <w:top w:val="none" w:sz="0" w:space="0" w:color="auto"/>
            <w:left w:val="none" w:sz="0" w:space="0" w:color="auto"/>
            <w:bottom w:val="none" w:sz="0" w:space="0" w:color="auto"/>
            <w:right w:val="none" w:sz="0" w:space="0" w:color="auto"/>
          </w:divBdr>
        </w:div>
        <w:div w:id="1982687660">
          <w:marLeft w:val="0"/>
          <w:marRight w:val="0"/>
          <w:marTop w:val="0"/>
          <w:marBottom w:val="0"/>
          <w:divBdr>
            <w:top w:val="none" w:sz="0" w:space="0" w:color="auto"/>
            <w:left w:val="none" w:sz="0" w:space="0" w:color="auto"/>
            <w:bottom w:val="none" w:sz="0" w:space="0" w:color="auto"/>
            <w:right w:val="none" w:sz="0" w:space="0" w:color="auto"/>
          </w:divBdr>
        </w:div>
        <w:div w:id="592666441">
          <w:marLeft w:val="0"/>
          <w:marRight w:val="0"/>
          <w:marTop w:val="240"/>
          <w:marBottom w:val="0"/>
          <w:divBdr>
            <w:top w:val="none" w:sz="0" w:space="0" w:color="auto"/>
            <w:left w:val="none" w:sz="0" w:space="0" w:color="auto"/>
            <w:bottom w:val="none" w:sz="0" w:space="0" w:color="auto"/>
            <w:right w:val="none" w:sz="0" w:space="0" w:color="auto"/>
          </w:divBdr>
        </w:div>
        <w:div w:id="385372059">
          <w:marLeft w:val="0"/>
          <w:marRight w:val="0"/>
          <w:marTop w:val="240"/>
          <w:marBottom w:val="0"/>
          <w:divBdr>
            <w:top w:val="none" w:sz="0" w:space="0" w:color="auto"/>
            <w:left w:val="none" w:sz="0" w:space="0" w:color="auto"/>
            <w:bottom w:val="none" w:sz="0" w:space="0" w:color="auto"/>
            <w:right w:val="none" w:sz="0" w:space="0" w:color="auto"/>
          </w:divBdr>
        </w:div>
        <w:div w:id="405539762">
          <w:marLeft w:val="425"/>
          <w:marRight w:val="0"/>
          <w:marTop w:val="0"/>
          <w:marBottom w:val="0"/>
          <w:divBdr>
            <w:top w:val="none" w:sz="0" w:space="0" w:color="auto"/>
            <w:left w:val="none" w:sz="0" w:space="0" w:color="auto"/>
            <w:bottom w:val="none" w:sz="0" w:space="0" w:color="auto"/>
            <w:right w:val="none" w:sz="0" w:space="0" w:color="auto"/>
          </w:divBdr>
        </w:div>
        <w:div w:id="745221702">
          <w:marLeft w:val="425"/>
          <w:marRight w:val="0"/>
          <w:marTop w:val="0"/>
          <w:marBottom w:val="0"/>
          <w:divBdr>
            <w:top w:val="none" w:sz="0" w:space="0" w:color="auto"/>
            <w:left w:val="none" w:sz="0" w:space="0" w:color="auto"/>
            <w:bottom w:val="none" w:sz="0" w:space="0" w:color="auto"/>
            <w:right w:val="none" w:sz="0" w:space="0" w:color="auto"/>
          </w:divBdr>
        </w:div>
        <w:div w:id="1392314282">
          <w:marLeft w:val="425"/>
          <w:marRight w:val="0"/>
          <w:marTop w:val="0"/>
          <w:marBottom w:val="0"/>
          <w:divBdr>
            <w:top w:val="none" w:sz="0" w:space="0" w:color="auto"/>
            <w:left w:val="none" w:sz="0" w:space="0" w:color="auto"/>
            <w:bottom w:val="none" w:sz="0" w:space="0" w:color="auto"/>
            <w:right w:val="none" w:sz="0" w:space="0" w:color="auto"/>
          </w:divBdr>
        </w:div>
        <w:div w:id="381249848">
          <w:marLeft w:val="0"/>
          <w:marRight w:val="0"/>
          <w:marTop w:val="240"/>
          <w:marBottom w:val="0"/>
          <w:divBdr>
            <w:top w:val="none" w:sz="0" w:space="0" w:color="auto"/>
            <w:left w:val="none" w:sz="0" w:space="0" w:color="auto"/>
            <w:bottom w:val="none" w:sz="0" w:space="0" w:color="auto"/>
            <w:right w:val="none" w:sz="0" w:space="0" w:color="auto"/>
          </w:divBdr>
        </w:div>
        <w:div w:id="929048637">
          <w:marLeft w:val="0"/>
          <w:marRight w:val="0"/>
          <w:marTop w:val="240"/>
          <w:marBottom w:val="0"/>
          <w:divBdr>
            <w:top w:val="none" w:sz="0" w:space="0" w:color="auto"/>
            <w:left w:val="none" w:sz="0" w:space="0" w:color="auto"/>
            <w:bottom w:val="none" w:sz="0" w:space="0" w:color="auto"/>
            <w:right w:val="none" w:sz="0" w:space="0" w:color="auto"/>
          </w:divBdr>
        </w:div>
      </w:divsChild>
    </w:div>
    <w:div w:id="1113209074">
      <w:bodyDiv w:val="1"/>
      <w:marLeft w:val="0"/>
      <w:marRight w:val="0"/>
      <w:marTop w:val="0"/>
      <w:marBottom w:val="0"/>
      <w:divBdr>
        <w:top w:val="none" w:sz="0" w:space="0" w:color="auto"/>
        <w:left w:val="none" w:sz="0" w:space="0" w:color="auto"/>
        <w:bottom w:val="none" w:sz="0" w:space="0" w:color="auto"/>
        <w:right w:val="none" w:sz="0" w:space="0" w:color="auto"/>
      </w:divBdr>
      <w:divsChild>
        <w:div w:id="1011252842">
          <w:marLeft w:val="0"/>
          <w:marRight w:val="0"/>
          <w:marTop w:val="480"/>
          <w:marBottom w:val="0"/>
          <w:divBdr>
            <w:top w:val="none" w:sz="0" w:space="0" w:color="auto"/>
            <w:left w:val="none" w:sz="0" w:space="0" w:color="auto"/>
            <w:bottom w:val="none" w:sz="0" w:space="0" w:color="auto"/>
            <w:right w:val="none" w:sz="0" w:space="0" w:color="auto"/>
          </w:divBdr>
        </w:div>
        <w:div w:id="1549367745">
          <w:marLeft w:val="0"/>
          <w:marRight w:val="0"/>
          <w:marTop w:val="0"/>
          <w:marBottom w:val="0"/>
          <w:divBdr>
            <w:top w:val="none" w:sz="0" w:space="0" w:color="auto"/>
            <w:left w:val="none" w:sz="0" w:space="0" w:color="auto"/>
            <w:bottom w:val="none" w:sz="0" w:space="0" w:color="auto"/>
            <w:right w:val="none" w:sz="0" w:space="0" w:color="auto"/>
          </w:divBdr>
        </w:div>
        <w:div w:id="206187025">
          <w:marLeft w:val="0"/>
          <w:marRight w:val="0"/>
          <w:marTop w:val="240"/>
          <w:marBottom w:val="0"/>
          <w:divBdr>
            <w:top w:val="none" w:sz="0" w:space="0" w:color="auto"/>
            <w:left w:val="none" w:sz="0" w:space="0" w:color="auto"/>
            <w:bottom w:val="none" w:sz="0" w:space="0" w:color="auto"/>
            <w:right w:val="none" w:sz="0" w:space="0" w:color="auto"/>
          </w:divBdr>
        </w:div>
        <w:div w:id="1093864336">
          <w:marLeft w:val="425"/>
          <w:marRight w:val="0"/>
          <w:marTop w:val="0"/>
          <w:marBottom w:val="0"/>
          <w:divBdr>
            <w:top w:val="none" w:sz="0" w:space="0" w:color="auto"/>
            <w:left w:val="none" w:sz="0" w:space="0" w:color="auto"/>
            <w:bottom w:val="none" w:sz="0" w:space="0" w:color="auto"/>
            <w:right w:val="none" w:sz="0" w:space="0" w:color="auto"/>
          </w:divBdr>
          <w:divsChild>
            <w:div w:id="1645348586">
              <w:marLeft w:val="0"/>
              <w:marRight w:val="0"/>
              <w:marTop w:val="0"/>
              <w:marBottom w:val="0"/>
              <w:divBdr>
                <w:top w:val="none" w:sz="0" w:space="0" w:color="auto"/>
                <w:left w:val="none" w:sz="0" w:space="0" w:color="auto"/>
                <w:bottom w:val="none" w:sz="0" w:space="0" w:color="auto"/>
                <w:right w:val="none" w:sz="0" w:space="0" w:color="auto"/>
              </w:divBdr>
            </w:div>
          </w:divsChild>
        </w:div>
        <w:div w:id="1935168812">
          <w:marLeft w:val="425"/>
          <w:marRight w:val="0"/>
          <w:marTop w:val="0"/>
          <w:marBottom w:val="0"/>
          <w:divBdr>
            <w:top w:val="none" w:sz="0" w:space="0" w:color="auto"/>
            <w:left w:val="none" w:sz="0" w:space="0" w:color="auto"/>
            <w:bottom w:val="none" w:sz="0" w:space="0" w:color="auto"/>
            <w:right w:val="none" w:sz="0" w:space="0" w:color="auto"/>
          </w:divBdr>
          <w:divsChild>
            <w:div w:id="525681141">
              <w:marLeft w:val="0"/>
              <w:marRight w:val="0"/>
              <w:marTop w:val="0"/>
              <w:marBottom w:val="0"/>
              <w:divBdr>
                <w:top w:val="none" w:sz="0" w:space="0" w:color="auto"/>
                <w:left w:val="none" w:sz="0" w:space="0" w:color="auto"/>
                <w:bottom w:val="none" w:sz="0" w:space="0" w:color="auto"/>
                <w:right w:val="none" w:sz="0" w:space="0" w:color="auto"/>
              </w:divBdr>
            </w:div>
          </w:divsChild>
        </w:div>
        <w:div w:id="529954596">
          <w:marLeft w:val="425"/>
          <w:marRight w:val="0"/>
          <w:marTop w:val="0"/>
          <w:marBottom w:val="0"/>
          <w:divBdr>
            <w:top w:val="none" w:sz="0" w:space="0" w:color="auto"/>
            <w:left w:val="none" w:sz="0" w:space="0" w:color="auto"/>
            <w:bottom w:val="none" w:sz="0" w:space="0" w:color="auto"/>
            <w:right w:val="none" w:sz="0" w:space="0" w:color="auto"/>
          </w:divBdr>
          <w:divsChild>
            <w:div w:id="222720355">
              <w:marLeft w:val="0"/>
              <w:marRight w:val="0"/>
              <w:marTop w:val="0"/>
              <w:marBottom w:val="0"/>
              <w:divBdr>
                <w:top w:val="none" w:sz="0" w:space="0" w:color="auto"/>
                <w:left w:val="none" w:sz="0" w:space="0" w:color="auto"/>
                <w:bottom w:val="none" w:sz="0" w:space="0" w:color="auto"/>
                <w:right w:val="none" w:sz="0" w:space="0" w:color="auto"/>
              </w:divBdr>
            </w:div>
          </w:divsChild>
        </w:div>
        <w:div w:id="1325354967">
          <w:marLeft w:val="425"/>
          <w:marRight w:val="0"/>
          <w:marTop w:val="0"/>
          <w:marBottom w:val="0"/>
          <w:divBdr>
            <w:top w:val="none" w:sz="0" w:space="0" w:color="auto"/>
            <w:left w:val="none" w:sz="0" w:space="0" w:color="auto"/>
            <w:bottom w:val="none" w:sz="0" w:space="0" w:color="auto"/>
            <w:right w:val="none" w:sz="0" w:space="0" w:color="auto"/>
          </w:divBdr>
          <w:divsChild>
            <w:div w:id="1495754381">
              <w:marLeft w:val="0"/>
              <w:marRight w:val="0"/>
              <w:marTop w:val="0"/>
              <w:marBottom w:val="0"/>
              <w:divBdr>
                <w:top w:val="none" w:sz="0" w:space="0" w:color="auto"/>
                <w:left w:val="none" w:sz="0" w:space="0" w:color="auto"/>
                <w:bottom w:val="none" w:sz="0" w:space="0" w:color="auto"/>
                <w:right w:val="none" w:sz="0" w:space="0" w:color="auto"/>
              </w:divBdr>
            </w:div>
          </w:divsChild>
        </w:div>
        <w:div w:id="808204751">
          <w:marLeft w:val="425"/>
          <w:marRight w:val="0"/>
          <w:marTop w:val="0"/>
          <w:marBottom w:val="0"/>
          <w:divBdr>
            <w:top w:val="none" w:sz="0" w:space="0" w:color="auto"/>
            <w:left w:val="none" w:sz="0" w:space="0" w:color="auto"/>
            <w:bottom w:val="none" w:sz="0" w:space="0" w:color="auto"/>
            <w:right w:val="none" w:sz="0" w:space="0" w:color="auto"/>
          </w:divBdr>
          <w:divsChild>
            <w:div w:id="2059623021">
              <w:marLeft w:val="0"/>
              <w:marRight w:val="0"/>
              <w:marTop w:val="0"/>
              <w:marBottom w:val="0"/>
              <w:divBdr>
                <w:top w:val="none" w:sz="0" w:space="0" w:color="auto"/>
                <w:left w:val="none" w:sz="0" w:space="0" w:color="auto"/>
                <w:bottom w:val="none" w:sz="0" w:space="0" w:color="auto"/>
                <w:right w:val="none" w:sz="0" w:space="0" w:color="auto"/>
              </w:divBdr>
            </w:div>
          </w:divsChild>
        </w:div>
        <w:div w:id="821772231">
          <w:marLeft w:val="425"/>
          <w:marRight w:val="0"/>
          <w:marTop w:val="0"/>
          <w:marBottom w:val="0"/>
          <w:divBdr>
            <w:top w:val="none" w:sz="0" w:space="0" w:color="auto"/>
            <w:left w:val="none" w:sz="0" w:space="0" w:color="auto"/>
            <w:bottom w:val="none" w:sz="0" w:space="0" w:color="auto"/>
            <w:right w:val="none" w:sz="0" w:space="0" w:color="auto"/>
          </w:divBdr>
          <w:divsChild>
            <w:div w:id="1554078577">
              <w:marLeft w:val="0"/>
              <w:marRight w:val="0"/>
              <w:marTop w:val="0"/>
              <w:marBottom w:val="0"/>
              <w:divBdr>
                <w:top w:val="none" w:sz="0" w:space="0" w:color="auto"/>
                <w:left w:val="none" w:sz="0" w:space="0" w:color="auto"/>
                <w:bottom w:val="none" w:sz="0" w:space="0" w:color="auto"/>
                <w:right w:val="none" w:sz="0" w:space="0" w:color="auto"/>
              </w:divBdr>
            </w:div>
          </w:divsChild>
        </w:div>
        <w:div w:id="1769889316">
          <w:marLeft w:val="425"/>
          <w:marRight w:val="0"/>
          <w:marTop w:val="0"/>
          <w:marBottom w:val="0"/>
          <w:divBdr>
            <w:top w:val="none" w:sz="0" w:space="0" w:color="auto"/>
            <w:left w:val="none" w:sz="0" w:space="0" w:color="auto"/>
            <w:bottom w:val="none" w:sz="0" w:space="0" w:color="auto"/>
            <w:right w:val="none" w:sz="0" w:space="0" w:color="auto"/>
          </w:divBdr>
          <w:divsChild>
            <w:div w:id="1376390761">
              <w:marLeft w:val="0"/>
              <w:marRight w:val="0"/>
              <w:marTop w:val="0"/>
              <w:marBottom w:val="0"/>
              <w:divBdr>
                <w:top w:val="none" w:sz="0" w:space="0" w:color="auto"/>
                <w:left w:val="none" w:sz="0" w:space="0" w:color="auto"/>
                <w:bottom w:val="none" w:sz="0" w:space="0" w:color="auto"/>
                <w:right w:val="none" w:sz="0" w:space="0" w:color="auto"/>
              </w:divBdr>
            </w:div>
          </w:divsChild>
        </w:div>
        <w:div w:id="777676852">
          <w:marLeft w:val="425"/>
          <w:marRight w:val="0"/>
          <w:marTop w:val="0"/>
          <w:marBottom w:val="0"/>
          <w:divBdr>
            <w:top w:val="none" w:sz="0" w:space="0" w:color="auto"/>
            <w:left w:val="none" w:sz="0" w:space="0" w:color="auto"/>
            <w:bottom w:val="none" w:sz="0" w:space="0" w:color="auto"/>
            <w:right w:val="none" w:sz="0" w:space="0" w:color="auto"/>
          </w:divBdr>
          <w:divsChild>
            <w:div w:id="731541616">
              <w:marLeft w:val="0"/>
              <w:marRight w:val="0"/>
              <w:marTop w:val="0"/>
              <w:marBottom w:val="0"/>
              <w:divBdr>
                <w:top w:val="none" w:sz="0" w:space="0" w:color="auto"/>
                <w:left w:val="none" w:sz="0" w:space="0" w:color="auto"/>
                <w:bottom w:val="none" w:sz="0" w:space="0" w:color="auto"/>
                <w:right w:val="none" w:sz="0" w:space="0" w:color="auto"/>
              </w:divBdr>
            </w:div>
          </w:divsChild>
        </w:div>
        <w:div w:id="305865282">
          <w:marLeft w:val="425"/>
          <w:marRight w:val="0"/>
          <w:marTop w:val="0"/>
          <w:marBottom w:val="0"/>
          <w:divBdr>
            <w:top w:val="none" w:sz="0" w:space="0" w:color="auto"/>
            <w:left w:val="none" w:sz="0" w:space="0" w:color="auto"/>
            <w:bottom w:val="none" w:sz="0" w:space="0" w:color="auto"/>
            <w:right w:val="none" w:sz="0" w:space="0" w:color="auto"/>
          </w:divBdr>
          <w:divsChild>
            <w:div w:id="1231964779">
              <w:marLeft w:val="0"/>
              <w:marRight w:val="0"/>
              <w:marTop w:val="0"/>
              <w:marBottom w:val="0"/>
              <w:divBdr>
                <w:top w:val="none" w:sz="0" w:space="0" w:color="auto"/>
                <w:left w:val="none" w:sz="0" w:space="0" w:color="auto"/>
                <w:bottom w:val="none" w:sz="0" w:space="0" w:color="auto"/>
                <w:right w:val="none" w:sz="0" w:space="0" w:color="auto"/>
              </w:divBdr>
            </w:div>
          </w:divsChild>
        </w:div>
        <w:div w:id="1657146248">
          <w:marLeft w:val="425"/>
          <w:marRight w:val="0"/>
          <w:marTop w:val="0"/>
          <w:marBottom w:val="0"/>
          <w:divBdr>
            <w:top w:val="none" w:sz="0" w:space="0" w:color="auto"/>
            <w:left w:val="none" w:sz="0" w:space="0" w:color="auto"/>
            <w:bottom w:val="none" w:sz="0" w:space="0" w:color="auto"/>
            <w:right w:val="none" w:sz="0" w:space="0" w:color="auto"/>
          </w:divBdr>
          <w:divsChild>
            <w:div w:id="1285848145">
              <w:marLeft w:val="0"/>
              <w:marRight w:val="0"/>
              <w:marTop w:val="0"/>
              <w:marBottom w:val="0"/>
              <w:divBdr>
                <w:top w:val="none" w:sz="0" w:space="0" w:color="auto"/>
                <w:left w:val="none" w:sz="0" w:space="0" w:color="auto"/>
                <w:bottom w:val="none" w:sz="0" w:space="0" w:color="auto"/>
                <w:right w:val="none" w:sz="0" w:space="0" w:color="auto"/>
              </w:divBdr>
            </w:div>
          </w:divsChild>
        </w:div>
        <w:div w:id="351342776">
          <w:marLeft w:val="425"/>
          <w:marRight w:val="0"/>
          <w:marTop w:val="0"/>
          <w:marBottom w:val="0"/>
          <w:divBdr>
            <w:top w:val="none" w:sz="0" w:space="0" w:color="auto"/>
            <w:left w:val="none" w:sz="0" w:space="0" w:color="auto"/>
            <w:bottom w:val="none" w:sz="0" w:space="0" w:color="auto"/>
            <w:right w:val="none" w:sz="0" w:space="0" w:color="auto"/>
          </w:divBdr>
          <w:divsChild>
            <w:div w:id="1995644604">
              <w:marLeft w:val="0"/>
              <w:marRight w:val="0"/>
              <w:marTop w:val="0"/>
              <w:marBottom w:val="0"/>
              <w:divBdr>
                <w:top w:val="none" w:sz="0" w:space="0" w:color="auto"/>
                <w:left w:val="none" w:sz="0" w:space="0" w:color="auto"/>
                <w:bottom w:val="none" w:sz="0" w:space="0" w:color="auto"/>
                <w:right w:val="none" w:sz="0" w:space="0" w:color="auto"/>
              </w:divBdr>
            </w:div>
          </w:divsChild>
        </w:div>
        <w:div w:id="1433739406">
          <w:marLeft w:val="425"/>
          <w:marRight w:val="0"/>
          <w:marTop w:val="0"/>
          <w:marBottom w:val="0"/>
          <w:divBdr>
            <w:top w:val="none" w:sz="0" w:space="0" w:color="auto"/>
            <w:left w:val="none" w:sz="0" w:space="0" w:color="auto"/>
            <w:bottom w:val="none" w:sz="0" w:space="0" w:color="auto"/>
            <w:right w:val="none" w:sz="0" w:space="0" w:color="auto"/>
          </w:divBdr>
          <w:divsChild>
            <w:div w:id="2096975963">
              <w:marLeft w:val="0"/>
              <w:marRight w:val="0"/>
              <w:marTop w:val="0"/>
              <w:marBottom w:val="0"/>
              <w:divBdr>
                <w:top w:val="none" w:sz="0" w:space="0" w:color="auto"/>
                <w:left w:val="none" w:sz="0" w:space="0" w:color="auto"/>
                <w:bottom w:val="none" w:sz="0" w:space="0" w:color="auto"/>
                <w:right w:val="none" w:sz="0" w:space="0" w:color="auto"/>
              </w:divBdr>
            </w:div>
          </w:divsChild>
        </w:div>
        <w:div w:id="789862717">
          <w:marLeft w:val="425"/>
          <w:marRight w:val="0"/>
          <w:marTop w:val="0"/>
          <w:marBottom w:val="0"/>
          <w:divBdr>
            <w:top w:val="none" w:sz="0" w:space="0" w:color="auto"/>
            <w:left w:val="none" w:sz="0" w:space="0" w:color="auto"/>
            <w:bottom w:val="none" w:sz="0" w:space="0" w:color="auto"/>
            <w:right w:val="none" w:sz="0" w:space="0" w:color="auto"/>
          </w:divBdr>
          <w:divsChild>
            <w:div w:id="1712876412">
              <w:marLeft w:val="0"/>
              <w:marRight w:val="0"/>
              <w:marTop w:val="0"/>
              <w:marBottom w:val="0"/>
              <w:divBdr>
                <w:top w:val="none" w:sz="0" w:space="0" w:color="auto"/>
                <w:left w:val="none" w:sz="0" w:space="0" w:color="auto"/>
                <w:bottom w:val="none" w:sz="0" w:space="0" w:color="auto"/>
                <w:right w:val="none" w:sz="0" w:space="0" w:color="auto"/>
              </w:divBdr>
            </w:div>
          </w:divsChild>
        </w:div>
        <w:div w:id="2114668735">
          <w:marLeft w:val="425"/>
          <w:marRight w:val="0"/>
          <w:marTop w:val="0"/>
          <w:marBottom w:val="0"/>
          <w:divBdr>
            <w:top w:val="none" w:sz="0" w:space="0" w:color="auto"/>
            <w:left w:val="none" w:sz="0" w:space="0" w:color="auto"/>
            <w:bottom w:val="none" w:sz="0" w:space="0" w:color="auto"/>
            <w:right w:val="none" w:sz="0" w:space="0" w:color="auto"/>
          </w:divBdr>
          <w:divsChild>
            <w:div w:id="283384944">
              <w:marLeft w:val="0"/>
              <w:marRight w:val="0"/>
              <w:marTop w:val="0"/>
              <w:marBottom w:val="0"/>
              <w:divBdr>
                <w:top w:val="none" w:sz="0" w:space="0" w:color="auto"/>
                <w:left w:val="none" w:sz="0" w:space="0" w:color="auto"/>
                <w:bottom w:val="none" w:sz="0" w:space="0" w:color="auto"/>
                <w:right w:val="none" w:sz="0" w:space="0" w:color="auto"/>
              </w:divBdr>
            </w:div>
          </w:divsChild>
        </w:div>
        <w:div w:id="873618651">
          <w:marLeft w:val="425"/>
          <w:marRight w:val="0"/>
          <w:marTop w:val="0"/>
          <w:marBottom w:val="0"/>
          <w:divBdr>
            <w:top w:val="none" w:sz="0" w:space="0" w:color="auto"/>
            <w:left w:val="none" w:sz="0" w:space="0" w:color="auto"/>
            <w:bottom w:val="none" w:sz="0" w:space="0" w:color="auto"/>
            <w:right w:val="none" w:sz="0" w:space="0" w:color="auto"/>
          </w:divBdr>
          <w:divsChild>
            <w:div w:id="1838574534">
              <w:marLeft w:val="0"/>
              <w:marRight w:val="0"/>
              <w:marTop w:val="0"/>
              <w:marBottom w:val="0"/>
              <w:divBdr>
                <w:top w:val="none" w:sz="0" w:space="0" w:color="auto"/>
                <w:left w:val="none" w:sz="0" w:space="0" w:color="auto"/>
                <w:bottom w:val="none" w:sz="0" w:space="0" w:color="auto"/>
                <w:right w:val="none" w:sz="0" w:space="0" w:color="auto"/>
              </w:divBdr>
            </w:div>
          </w:divsChild>
        </w:div>
        <w:div w:id="1404446618">
          <w:marLeft w:val="425"/>
          <w:marRight w:val="0"/>
          <w:marTop w:val="0"/>
          <w:marBottom w:val="0"/>
          <w:divBdr>
            <w:top w:val="none" w:sz="0" w:space="0" w:color="auto"/>
            <w:left w:val="none" w:sz="0" w:space="0" w:color="auto"/>
            <w:bottom w:val="none" w:sz="0" w:space="0" w:color="auto"/>
            <w:right w:val="none" w:sz="0" w:space="0" w:color="auto"/>
          </w:divBdr>
          <w:divsChild>
            <w:div w:id="1487549092">
              <w:marLeft w:val="0"/>
              <w:marRight w:val="0"/>
              <w:marTop w:val="0"/>
              <w:marBottom w:val="0"/>
              <w:divBdr>
                <w:top w:val="none" w:sz="0" w:space="0" w:color="auto"/>
                <w:left w:val="none" w:sz="0" w:space="0" w:color="auto"/>
                <w:bottom w:val="none" w:sz="0" w:space="0" w:color="auto"/>
                <w:right w:val="none" w:sz="0" w:space="0" w:color="auto"/>
              </w:divBdr>
            </w:div>
          </w:divsChild>
        </w:div>
        <w:div w:id="1497769173">
          <w:marLeft w:val="425"/>
          <w:marRight w:val="0"/>
          <w:marTop w:val="0"/>
          <w:marBottom w:val="0"/>
          <w:divBdr>
            <w:top w:val="none" w:sz="0" w:space="0" w:color="auto"/>
            <w:left w:val="none" w:sz="0" w:space="0" w:color="auto"/>
            <w:bottom w:val="none" w:sz="0" w:space="0" w:color="auto"/>
            <w:right w:val="none" w:sz="0" w:space="0" w:color="auto"/>
          </w:divBdr>
          <w:divsChild>
            <w:div w:id="1575315749">
              <w:marLeft w:val="0"/>
              <w:marRight w:val="0"/>
              <w:marTop w:val="0"/>
              <w:marBottom w:val="0"/>
              <w:divBdr>
                <w:top w:val="none" w:sz="0" w:space="0" w:color="auto"/>
                <w:left w:val="none" w:sz="0" w:space="0" w:color="auto"/>
                <w:bottom w:val="none" w:sz="0" w:space="0" w:color="auto"/>
                <w:right w:val="none" w:sz="0" w:space="0" w:color="auto"/>
              </w:divBdr>
            </w:div>
          </w:divsChild>
        </w:div>
        <w:div w:id="168180441">
          <w:marLeft w:val="425"/>
          <w:marRight w:val="0"/>
          <w:marTop w:val="0"/>
          <w:marBottom w:val="0"/>
          <w:divBdr>
            <w:top w:val="none" w:sz="0" w:space="0" w:color="auto"/>
            <w:left w:val="none" w:sz="0" w:space="0" w:color="auto"/>
            <w:bottom w:val="none" w:sz="0" w:space="0" w:color="auto"/>
            <w:right w:val="none" w:sz="0" w:space="0" w:color="auto"/>
          </w:divBdr>
          <w:divsChild>
            <w:div w:id="563176328">
              <w:marLeft w:val="0"/>
              <w:marRight w:val="0"/>
              <w:marTop w:val="0"/>
              <w:marBottom w:val="0"/>
              <w:divBdr>
                <w:top w:val="none" w:sz="0" w:space="0" w:color="auto"/>
                <w:left w:val="none" w:sz="0" w:space="0" w:color="auto"/>
                <w:bottom w:val="none" w:sz="0" w:space="0" w:color="auto"/>
                <w:right w:val="none" w:sz="0" w:space="0" w:color="auto"/>
              </w:divBdr>
            </w:div>
          </w:divsChild>
        </w:div>
        <w:div w:id="1062363241">
          <w:marLeft w:val="0"/>
          <w:marRight w:val="0"/>
          <w:marTop w:val="240"/>
          <w:marBottom w:val="0"/>
          <w:divBdr>
            <w:top w:val="none" w:sz="0" w:space="0" w:color="auto"/>
            <w:left w:val="none" w:sz="0" w:space="0" w:color="auto"/>
            <w:bottom w:val="none" w:sz="0" w:space="0" w:color="auto"/>
            <w:right w:val="none" w:sz="0" w:space="0" w:color="auto"/>
          </w:divBdr>
        </w:div>
        <w:div w:id="1381906871">
          <w:marLeft w:val="0"/>
          <w:marRight w:val="0"/>
          <w:marTop w:val="240"/>
          <w:marBottom w:val="0"/>
          <w:divBdr>
            <w:top w:val="none" w:sz="0" w:space="0" w:color="auto"/>
            <w:left w:val="none" w:sz="0" w:space="0" w:color="auto"/>
            <w:bottom w:val="none" w:sz="0" w:space="0" w:color="auto"/>
            <w:right w:val="none" w:sz="0" w:space="0" w:color="auto"/>
          </w:divBdr>
        </w:div>
      </w:divsChild>
    </w:div>
    <w:div w:id="1126199756">
      <w:bodyDiv w:val="1"/>
      <w:marLeft w:val="0"/>
      <w:marRight w:val="0"/>
      <w:marTop w:val="0"/>
      <w:marBottom w:val="0"/>
      <w:divBdr>
        <w:top w:val="none" w:sz="0" w:space="0" w:color="auto"/>
        <w:left w:val="none" w:sz="0" w:space="0" w:color="auto"/>
        <w:bottom w:val="none" w:sz="0" w:space="0" w:color="auto"/>
        <w:right w:val="none" w:sz="0" w:space="0" w:color="auto"/>
      </w:divBdr>
    </w:div>
    <w:div w:id="1127746445">
      <w:bodyDiv w:val="1"/>
      <w:marLeft w:val="0"/>
      <w:marRight w:val="0"/>
      <w:marTop w:val="0"/>
      <w:marBottom w:val="0"/>
      <w:divBdr>
        <w:top w:val="none" w:sz="0" w:space="0" w:color="auto"/>
        <w:left w:val="none" w:sz="0" w:space="0" w:color="auto"/>
        <w:bottom w:val="none" w:sz="0" w:space="0" w:color="auto"/>
        <w:right w:val="none" w:sz="0" w:space="0" w:color="auto"/>
      </w:divBdr>
    </w:div>
    <w:div w:id="1137992086">
      <w:bodyDiv w:val="1"/>
      <w:marLeft w:val="0"/>
      <w:marRight w:val="0"/>
      <w:marTop w:val="0"/>
      <w:marBottom w:val="0"/>
      <w:divBdr>
        <w:top w:val="none" w:sz="0" w:space="0" w:color="auto"/>
        <w:left w:val="none" w:sz="0" w:space="0" w:color="auto"/>
        <w:bottom w:val="none" w:sz="0" w:space="0" w:color="auto"/>
        <w:right w:val="none" w:sz="0" w:space="0" w:color="auto"/>
      </w:divBdr>
    </w:div>
    <w:div w:id="1138106657">
      <w:bodyDiv w:val="1"/>
      <w:marLeft w:val="0"/>
      <w:marRight w:val="0"/>
      <w:marTop w:val="0"/>
      <w:marBottom w:val="0"/>
      <w:divBdr>
        <w:top w:val="none" w:sz="0" w:space="0" w:color="auto"/>
        <w:left w:val="none" w:sz="0" w:space="0" w:color="auto"/>
        <w:bottom w:val="none" w:sz="0" w:space="0" w:color="auto"/>
        <w:right w:val="none" w:sz="0" w:space="0" w:color="auto"/>
      </w:divBdr>
    </w:div>
    <w:div w:id="1149052466">
      <w:bodyDiv w:val="1"/>
      <w:marLeft w:val="0"/>
      <w:marRight w:val="0"/>
      <w:marTop w:val="0"/>
      <w:marBottom w:val="0"/>
      <w:divBdr>
        <w:top w:val="none" w:sz="0" w:space="0" w:color="auto"/>
        <w:left w:val="none" w:sz="0" w:space="0" w:color="auto"/>
        <w:bottom w:val="none" w:sz="0" w:space="0" w:color="auto"/>
        <w:right w:val="none" w:sz="0" w:space="0" w:color="auto"/>
      </w:divBdr>
      <w:divsChild>
        <w:div w:id="601039242">
          <w:marLeft w:val="0"/>
          <w:marRight w:val="0"/>
          <w:marTop w:val="480"/>
          <w:marBottom w:val="0"/>
          <w:divBdr>
            <w:top w:val="none" w:sz="0" w:space="0" w:color="auto"/>
            <w:left w:val="none" w:sz="0" w:space="0" w:color="auto"/>
            <w:bottom w:val="none" w:sz="0" w:space="0" w:color="auto"/>
            <w:right w:val="none" w:sz="0" w:space="0" w:color="auto"/>
          </w:divBdr>
        </w:div>
        <w:div w:id="860751097">
          <w:marLeft w:val="0"/>
          <w:marRight w:val="0"/>
          <w:marTop w:val="0"/>
          <w:marBottom w:val="0"/>
          <w:divBdr>
            <w:top w:val="none" w:sz="0" w:space="0" w:color="auto"/>
            <w:left w:val="none" w:sz="0" w:space="0" w:color="auto"/>
            <w:bottom w:val="none" w:sz="0" w:space="0" w:color="auto"/>
            <w:right w:val="none" w:sz="0" w:space="0" w:color="auto"/>
          </w:divBdr>
        </w:div>
        <w:div w:id="1568416239">
          <w:marLeft w:val="0"/>
          <w:marRight w:val="0"/>
          <w:marTop w:val="240"/>
          <w:marBottom w:val="0"/>
          <w:divBdr>
            <w:top w:val="none" w:sz="0" w:space="0" w:color="auto"/>
            <w:left w:val="none" w:sz="0" w:space="0" w:color="auto"/>
            <w:bottom w:val="none" w:sz="0" w:space="0" w:color="auto"/>
            <w:right w:val="none" w:sz="0" w:space="0" w:color="auto"/>
          </w:divBdr>
        </w:div>
        <w:div w:id="1355958973">
          <w:marLeft w:val="425"/>
          <w:marRight w:val="0"/>
          <w:marTop w:val="0"/>
          <w:marBottom w:val="0"/>
          <w:divBdr>
            <w:top w:val="none" w:sz="0" w:space="0" w:color="auto"/>
            <w:left w:val="none" w:sz="0" w:space="0" w:color="auto"/>
            <w:bottom w:val="none" w:sz="0" w:space="0" w:color="auto"/>
            <w:right w:val="none" w:sz="0" w:space="0" w:color="auto"/>
          </w:divBdr>
          <w:divsChild>
            <w:div w:id="1415971859">
              <w:marLeft w:val="0"/>
              <w:marRight w:val="0"/>
              <w:marTop w:val="0"/>
              <w:marBottom w:val="0"/>
              <w:divBdr>
                <w:top w:val="none" w:sz="0" w:space="0" w:color="auto"/>
                <w:left w:val="none" w:sz="0" w:space="0" w:color="auto"/>
                <w:bottom w:val="none" w:sz="0" w:space="0" w:color="auto"/>
                <w:right w:val="none" w:sz="0" w:space="0" w:color="auto"/>
              </w:divBdr>
            </w:div>
          </w:divsChild>
        </w:div>
        <w:div w:id="143549815">
          <w:marLeft w:val="425"/>
          <w:marRight w:val="0"/>
          <w:marTop w:val="0"/>
          <w:marBottom w:val="0"/>
          <w:divBdr>
            <w:top w:val="none" w:sz="0" w:space="0" w:color="auto"/>
            <w:left w:val="none" w:sz="0" w:space="0" w:color="auto"/>
            <w:bottom w:val="none" w:sz="0" w:space="0" w:color="auto"/>
            <w:right w:val="none" w:sz="0" w:space="0" w:color="auto"/>
          </w:divBdr>
          <w:divsChild>
            <w:div w:id="1536500285">
              <w:marLeft w:val="0"/>
              <w:marRight w:val="0"/>
              <w:marTop w:val="0"/>
              <w:marBottom w:val="0"/>
              <w:divBdr>
                <w:top w:val="none" w:sz="0" w:space="0" w:color="auto"/>
                <w:left w:val="none" w:sz="0" w:space="0" w:color="auto"/>
                <w:bottom w:val="none" w:sz="0" w:space="0" w:color="auto"/>
                <w:right w:val="none" w:sz="0" w:space="0" w:color="auto"/>
              </w:divBdr>
            </w:div>
          </w:divsChild>
        </w:div>
        <w:div w:id="1645313491">
          <w:marLeft w:val="425"/>
          <w:marRight w:val="0"/>
          <w:marTop w:val="0"/>
          <w:marBottom w:val="0"/>
          <w:divBdr>
            <w:top w:val="none" w:sz="0" w:space="0" w:color="auto"/>
            <w:left w:val="none" w:sz="0" w:space="0" w:color="auto"/>
            <w:bottom w:val="none" w:sz="0" w:space="0" w:color="auto"/>
            <w:right w:val="none" w:sz="0" w:space="0" w:color="auto"/>
          </w:divBdr>
          <w:divsChild>
            <w:div w:id="992640528">
              <w:marLeft w:val="0"/>
              <w:marRight w:val="0"/>
              <w:marTop w:val="0"/>
              <w:marBottom w:val="0"/>
              <w:divBdr>
                <w:top w:val="none" w:sz="0" w:space="0" w:color="auto"/>
                <w:left w:val="none" w:sz="0" w:space="0" w:color="auto"/>
                <w:bottom w:val="none" w:sz="0" w:space="0" w:color="auto"/>
                <w:right w:val="none" w:sz="0" w:space="0" w:color="auto"/>
              </w:divBdr>
            </w:div>
          </w:divsChild>
        </w:div>
        <w:div w:id="603222989">
          <w:marLeft w:val="425"/>
          <w:marRight w:val="0"/>
          <w:marTop w:val="0"/>
          <w:marBottom w:val="0"/>
          <w:divBdr>
            <w:top w:val="none" w:sz="0" w:space="0" w:color="auto"/>
            <w:left w:val="none" w:sz="0" w:space="0" w:color="auto"/>
            <w:bottom w:val="none" w:sz="0" w:space="0" w:color="auto"/>
            <w:right w:val="none" w:sz="0" w:space="0" w:color="auto"/>
          </w:divBdr>
          <w:divsChild>
            <w:div w:id="698510027">
              <w:marLeft w:val="0"/>
              <w:marRight w:val="0"/>
              <w:marTop w:val="0"/>
              <w:marBottom w:val="0"/>
              <w:divBdr>
                <w:top w:val="none" w:sz="0" w:space="0" w:color="auto"/>
                <w:left w:val="none" w:sz="0" w:space="0" w:color="auto"/>
                <w:bottom w:val="none" w:sz="0" w:space="0" w:color="auto"/>
                <w:right w:val="none" w:sz="0" w:space="0" w:color="auto"/>
              </w:divBdr>
            </w:div>
          </w:divsChild>
        </w:div>
        <w:div w:id="1352416657">
          <w:marLeft w:val="425"/>
          <w:marRight w:val="0"/>
          <w:marTop w:val="0"/>
          <w:marBottom w:val="0"/>
          <w:divBdr>
            <w:top w:val="none" w:sz="0" w:space="0" w:color="auto"/>
            <w:left w:val="none" w:sz="0" w:space="0" w:color="auto"/>
            <w:bottom w:val="none" w:sz="0" w:space="0" w:color="auto"/>
            <w:right w:val="none" w:sz="0" w:space="0" w:color="auto"/>
          </w:divBdr>
          <w:divsChild>
            <w:div w:id="991450157">
              <w:marLeft w:val="0"/>
              <w:marRight w:val="0"/>
              <w:marTop w:val="0"/>
              <w:marBottom w:val="0"/>
              <w:divBdr>
                <w:top w:val="none" w:sz="0" w:space="0" w:color="auto"/>
                <w:left w:val="none" w:sz="0" w:space="0" w:color="auto"/>
                <w:bottom w:val="none" w:sz="0" w:space="0" w:color="auto"/>
                <w:right w:val="none" w:sz="0" w:space="0" w:color="auto"/>
              </w:divBdr>
            </w:div>
          </w:divsChild>
        </w:div>
        <w:div w:id="236328670">
          <w:marLeft w:val="425"/>
          <w:marRight w:val="0"/>
          <w:marTop w:val="0"/>
          <w:marBottom w:val="0"/>
          <w:divBdr>
            <w:top w:val="none" w:sz="0" w:space="0" w:color="auto"/>
            <w:left w:val="none" w:sz="0" w:space="0" w:color="auto"/>
            <w:bottom w:val="none" w:sz="0" w:space="0" w:color="auto"/>
            <w:right w:val="none" w:sz="0" w:space="0" w:color="auto"/>
          </w:divBdr>
          <w:divsChild>
            <w:div w:id="238636445">
              <w:marLeft w:val="0"/>
              <w:marRight w:val="0"/>
              <w:marTop w:val="0"/>
              <w:marBottom w:val="0"/>
              <w:divBdr>
                <w:top w:val="none" w:sz="0" w:space="0" w:color="auto"/>
                <w:left w:val="none" w:sz="0" w:space="0" w:color="auto"/>
                <w:bottom w:val="none" w:sz="0" w:space="0" w:color="auto"/>
                <w:right w:val="none" w:sz="0" w:space="0" w:color="auto"/>
              </w:divBdr>
            </w:div>
          </w:divsChild>
        </w:div>
        <w:div w:id="1710184827">
          <w:marLeft w:val="425"/>
          <w:marRight w:val="0"/>
          <w:marTop w:val="0"/>
          <w:marBottom w:val="0"/>
          <w:divBdr>
            <w:top w:val="none" w:sz="0" w:space="0" w:color="auto"/>
            <w:left w:val="none" w:sz="0" w:space="0" w:color="auto"/>
            <w:bottom w:val="none" w:sz="0" w:space="0" w:color="auto"/>
            <w:right w:val="none" w:sz="0" w:space="0" w:color="auto"/>
          </w:divBdr>
          <w:divsChild>
            <w:div w:id="1049692694">
              <w:marLeft w:val="0"/>
              <w:marRight w:val="0"/>
              <w:marTop w:val="0"/>
              <w:marBottom w:val="0"/>
              <w:divBdr>
                <w:top w:val="none" w:sz="0" w:space="0" w:color="auto"/>
                <w:left w:val="none" w:sz="0" w:space="0" w:color="auto"/>
                <w:bottom w:val="none" w:sz="0" w:space="0" w:color="auto"/>
                <w:right w:val="none" w:sz="0" w:space="0" w:color="auto"/>
              </w:divBdr>
            </w:div>
          </w:divsChild>
        </w:div>
        <w:div w:id="48455895">
          <w:marLeft w:val="425"/>
          <w:marRight w:val="0"/>
          <w:marTop w:val="0"/>
          <w:marBottom w:val="0"/>
          <w:divBdr>
            <w:top w:val="none" w:sz="0" w:space="0" w:color="auto"/>
            <w:left w:val="none" w:sz="0" w:space="0" w:color="auto"/>
            <w:bottom w:val="none" w:sz="0" w:space="0" w:color="auto"/>
            <w:right w:val="none" w:sz="0" w:space="0" w:color="auto"/>
          </w:divBdr>
          <w:divsChild>
            <w:div w:id="1754743132">
              <w:marLeft w:val="0"/>
              <w:marRight w:val="0"/>
              <w:marTop w:val="0"/>
              <w:marBottom w:val="0"/>
              <w:divBdr>
                <w:top w:val="none" w:sz="0" w:space="0" w:color="auto"/>
                <w:left w:val="none" w:sz="0" w:space="0" w:color="auto"/>
                <w:bottom w:val="none" w:sz="0" w:space="0" w:color="auto"/>
                <w:right w:val="none" w:sz="0" w:space="0" w:color="auto"/>
              </w:divBdr>
            </w:div>
          </w:divsChild>
        </w:div>
        <w:div w:id="2141416888">
          <w:marLeft w:val="425"/>
          <w:marRight w:val="0"/>
          <w:marTop w:val="0"/>
          <w:marBottom w:val="0"/>
          <w:divBdr>
            <w:top w:val="none" w:sz="0" w:space="0" w:color="auto"/>
            <w:left w:val="none" w:sz="0" w:space="0" w:color="auto"/>
            <w:bottom w:val="none" w:sz="0" w:space="0" w:color="auto"/>
            <w:right w:val="none" w:sz="0" w:space="0" w:color="auto"/>
          </w:divBdr>
          <w:divsChild>
            <w:div w:id="921333401">
              <w:marLeft w:val="0"/>
              <w:marRight w:val="0"/>
              <w:marTop w:val="0"/>
              <w:marBottom w:val="0"/>
              <w:divBdr>
                <w:top w:val="none" w:sz="0" w:space="0" w:color="auto"/>
                <w:left w:val="none" w:sz="0" w:space="0" w:color="auto"/>
                <w:bottom w:val="none" w:sz="0" w:space="0" w:color="auto"/>
                <w:right w:val="none" w:sz="0" w:space="0" w:color="auto"/>
              </w:divBdr>
            </w:div>
          </w:divsChild>
        </w:div>
        <w:div w:id="2021665556">
          <w:marLeft w:val="425"/>
          <w:marRight w:val="0"/>
          <w:marTop w:val="0"/>
          <w:marBottom w:val="0"/>
          <w:divBdr>
            <w:top w:val="none" w:sz="0" w:space="0" w:color="auto"/>
            <w:left w:val="none" w:sz="0" w:space="0" w:color="auto"/>
            <w:bottom w:val="none" w:sz="0" w:space="0" w:color="auto"/>
            <w:right w:val="none" w:sz="0" w:space="0" w:color="auto"/>
          </w:divBdr>
          <w:divsChild>
            <w:div w:id="1377660061">
              <w:marLeft w:val="0"/>
              <w:marRight w:val="0"/>
              <w:marTop w:val="0"/>
              <w:marBottom w:val="0"/>
              <w:divBdr>
                <w:top w:val="none" w:sz="0" w:space="0" w:color="auto"/>
                <w:left w:val="none" w:sz="0" w:space="0" w:color="auto"/>
                <w:bottom w:val="none" w:sz="0" w:space="0" w:color="auto"/>
                <w:right w:val="none" w:sz="0" w:space="0" w:color="auto"/>
              </w:divBdr>
            </w:div>
          </w:divsChild>
        </w:div>
        <w:div w:id="2040888683">
          <w:marLeft w:val="425"/>
          <w:marRight w:val="0"/>
          <w:marTop w:val="0"/>
          <w:marBottom w:val="0"/>
          <w:divBdr>
            <w:top w:val="none" w:sz="0" w:space="0" w:color="auto"/>
            <w:left w:val="none" w:sz="0" w:space="0" w:color="auto"/>
            <w:bottom w:val="none" w:sz="0" w:space="0" w:color="auto"/>
            <w:right w:val="none" w:sz="0" w:space="0" w:color="auto"/>
          </w:divBdr>
          <w:divsChild>
            <w:div w:id="639532467">
              <w:marLeft w:val="0"/>
              <w:marRight w:val="0"/>
              <w:marTop w:val="0"/>
              <w:marBottom w:val="0"/>
              <w:divBdr>
                <w:top w:val="none" w:sz="0" w:space="0" w:color="auto"/>
                <w:left w:val="none" w:sz="0" w:space="0" w:color="auto"/>
                <w:bottom w:val="none" w:sz="0" w:space="0" w:color="auto"/>
                <w:right w:val="none" w:sz="0" w:space="0" w:color="auto"/>
              </w:divBdr>
            </w:div>
          </w:divsChild>
        </w:div>
        <w:div w:id="680284050">
          <w:marLeft w:val="425"/>
          <w:marRight w:val="0"/>
          <w:marTop w:val="0"/>
          <w:marBottom w:val="0"/>
          <w:divBdr>
            <w:top w:val="none" w:sz="0" w:space="0" w:color="auto"/>
            <w:left w:val="none" w:sz="0" w:space="0" w:color="auto"/>
            <w:bottom w:val="none" w:sz="0" w:space="0" w:color="auto"/>
            <w:right w:val="none" w:sz="0" w:space="0" w:color="auto"/>
          </w:divBdr>
          <w:divsChild>
            <w:div w:id="678121051">
              <w:marLeft w:val="0"/>
              <w:marRight w:val="0"/>
              <w:marTop w:val="0"/>
              <w:marBottom w:val="0"/>
              <w:divBdr>
                <w:top w:val="none" w:sz="0" w:space="0" w:color="auto"/>
                <w:left w:val="none" w:sz="0" w:space="0" w:color="auto"/>
                <w:bottom w:val="none" w:sz="0" w:space="0" w:color="auto"/>
                <w:right w:val="none" w:sz="0" w:space="0" w:color="auto"/>
              </w:divBdr>
            </w:div>
          </w:divsChild>
        </w:div>
        <w:div w:id="304362580">
          <w:marLeft w:val="425"/>
          <w:marRight w:val="0"/>
          <w:marTop w:val="0"/>
          <w:marBottom w:val="0"/>
          <w:divBdr>
            <w:top w:val="none" w:sz="0" w:space="0" w:color="auto"/>
            <w:left w:val="none" w:sz="0" w:space="0" w:color="auto"/>
            <w:bottom w:val="none" w:sz="0" w:space="0" w:color="auto"/>
            <w:right w:val="none" w:sz="0" w:space="0" w:color="auto"/>
          </w:divBdr>
          <w:divsChild>
            <w:div w:id="690961663">
              <w:marLeft w:val="0"/>
              <w:marRight w:val="0"/>
              <w:marTop w:val="0"/>
              <w:marBottom w:val="0"/>
              <w:divBdr>
                <w:top w:val="none" w:sz="0" w:space="0" w:color="auto"/>
                <w:left w:val="none" w:sz="0" w:space="0" w:color="auto"/>
                <w:bottom w:val="none" w:sz="0" w:space="0" w:color="auto"/>
                <w:right w:val="none" w:sz="0" w:space="0" w:color="auto"/>
              </w:divBdr>
            </w:div>
          </w:divsChild>
        </w:div>
        <w:div w:id="75130500">
          <w:marLeft w:val="425"/>
          <w:marRight w:val="0"/>
          <w:marTop w:val="0"/>
          <w:marBottom w:val="0"/>
          <w:divBdr>
            <w:top w:val="none" w:sz="0" w:space="0" w:color="auto"/>
            <w:left w:val="none" w:sz="0" w:space="0" w:color="auto"/>
            <w:bottom w:val="none" w:sz="0" w:space="0" w:color="auto"/>
            <w:right w:val="none" w:sz="0" w:space="0" w:color="auto"/>
          </w:divBdr>
          <w:divsChild>
            <w:div w:id="446393378">
              <w:marLeft w:val="0"/>
              <w:marRight w:val="0"/>
              <w:marTop w:val="0"/>
              <w:marBottom w:val="0"/>
              <w:divBdr>
                <w:top w:val="none" w:sz="0" w:space="0" w:color="auto"/>
                <w:left w:val="none" w:sz="0" w:space="0" w:color="auto"/>
                <w:bottom w:val="none" w:sz="0" w:space="0" w:color="auto"/>
                <w:right w:val="none" w:sz="0" w:space="0" w:color="auto"/>
              </w:divBdr>
            </w:div>
          </w:divsChild>
        </w:div>
        <w:div w:id="1953054112">
          <w:marLeft w:val="425"/>
          <w:marRight w:val="0"/>
          <w:marTop w:val="0"/>
          <w:marBottom w:val="0"/>
          <w:divBdr>
            <w:top w:val="none" w:sz="0" w:space="0" w:color="auto"/>
            <w:left w:val="none" w:sz="0" w:space="0" w:color="auto"/>
            <w:bottom w:val="none" w:sz="0" w:space="0" w:color="auto"/>
            <w:right w:val="none" w:sz="0" w:space="0" w:color="auto"/>
          </w:divBdr>
          <w:divsChild>
            <w:div w:id="1935556125">
              <w:marLeft w:val="0"/>
              <w:marRight w:val="0"/>
              <w:marTop w:val="0"/>
              <w:marBottom w:val="0"/>
              <w:divBdr>
                <w:top w:val="none" w:sz="0" w:space="0" w:color="auto"/>
                <w:left w:val="none" w:sz="0" w:space="0" w:color="auto"/>
                <w:bottom w:val="none" w:sz="0" w:space="0" w:color="auto"/>
                <w:right w:val="none" w:sz="0" w:space="0" w:color="auto"/>
              </w:divBdr>
            </w:div>
          </w:divsChild>
        </w:div>
        <w:div w:id="211844220">
          <w:marLeft w:val="425"/>
          <w:marRight w:val="0"/>
          <w:marTop w:val="0"/>
          <w:marBottom w:val="0"/>
          <w:divBdr>
            <w:top w:val="none" w:sz="0" w:space="0" w:color="auto"/>
            <w:left w:val="none" w:sz="0" w:space="0" w:color="auto"/>
            <w:bottom w:val="none" w:sz="0" w:space="0" w:color="auto"/>
            <w:right w:val="none" w:sz="0" w:space="0" w:color="auto"/>
          </w:divBdr>
          <w:divsChild>
            <w:div w:id="925958661">
              <w:marLeft w:val="0"/>
              <w:marRight w:val="0"/>
              <w:marTop w:val="0"/>
              <w:marBottom w:val="0"/>
              <w:divBdr>
                <w:top w:val="none" w:sz="0" w:space="0" w:color="auto"/>
                <w:left w:val="none" w:sz="0" w:space="0" w:color="auto"/>
                <w:bottom w:val="none" w:sz="0" w:space="0" w:color="auto"/>
                <w:right w:val="none" w:sz="0" w:space="0" w:color="auto"/>
              </w:divBdr>
            </w:div>
          </w:divsChild>
        </w:div>
        <w:div w:id="1804692649">
          <w:marLeft w:val="425"/>
          <w:marRight w:val="0"/>
          <w:marTop w:val="0"/>
          <w:marBottom w:val="0"/>
          <w:divBdr>
            <w:top w:val="none" w:sz="0" w:space="0" w:color="auto"/>
            <w:left w:val="none" w:sz="0" w:space="0" w:color="auto"/>
            <w:bottom w:val="none" w:sz="0" w:space="0" w:color="auto"/>
            <w:right w:val="none" w:sz="0" w:space="0" w:color="auto"/>
          </w:divBdr>
          <w:divsChild>
            <w:div w:id="1461414986">
              <w:marLeft w:val="0"/>
              <w:marRight w:val="0"/>
              <w:marTop w:val="0"/>
              <w:marBottom w:val="0"/>
              <w:divBdr>
                <w:top w:val="none" w:sz="0" w:space="0" w:color="auto"/>
                <w:left w:val="none" w:sz="0" w:space="0" w:color="auto"/>
                <w:bottom w:val="none" w:sz="0" w:space="0" w:color="auto"/>
                <w:right w:val="none" w:sz="0" w:space="0" w:color="auto"/>
              </w:divBdr>
            </w:div>
          </w:divsChild>
        </w:div>
        <w:div w:id="824781574">
          <w:marLeft w:val="0"/>
          <w:marRight w:val="0"/>
          <w:marTop w:val="240"/>
          <w:marBottom w:val="0"/>
          <w:divBdr>
            <w:top w:val="none" w:sz="0" w:space="0" w:color="auto"/>
            <w:left w:val="none" w:sz="0" w:space="0" w:color="auto"/>
            <w:bottom w:val="none" w:sz="0" w:space="0" w:color="auto"/>
            <w:right w:val="none" w:sz="0" w:space="0" w:color="auto"/>
          </w:divBdr>
        </w:div>
        <w:div w:id="395248688">
          <w:marLeft w:val="0"/>
          <w:marRight w:val="0"/>
          <w:marTop w:val="240"/>
          <w:marBottom w:val="0"/>
          <w:divBdr>
            <w:top w:val="none" w:sz="0" w:space="0" w:color="auto"/>
            <w:left w:val="none" w:sz="0" w:space="0" w:color="auto"/>
            <w:bottom w:val="none" w:sz="0" w:space="0" w:color="auto"/>
            <w:right w:val="none" w:sz="0" w:space="0" w:color="auto"/>
          </w:divBdr>
        </w:div>
        <w:div w:id="759719308">
          <w:marLeft w:val="0"/>
          <w:marRight w:val="0"/>
          <w:marTop w:val="240"/>
          <w:marBottom w:val="0"/>
          <w:divBdr>
            <w:top w:val="none" w:sz="0" w:space="0" w:color="auto"/>
            <w:left w:val="none" w:sz="0" w:space="0" w:color="auto"/>
            <w:bottom w:val="none" w:sz="0" w:space="0" w:color="auto"/>
            <w:right w:val="none" w:sz="0" w:space="0" w:color="auto"/>
          </w:divBdr>
        </w:div>
      </w:divsChild>
    </w:div>
    <w:div w:id="1183938301">
      <w:bodyDiv w:val="1"/>
      <w:marLeft w:val="0"/>
      <w:marRight w:val="0"/>
      <w:marTop w:val="0"/>
      <w:marBottom w:val="0"/>
      <w:divBdr>
        <w:top w:val="none" w:sz="0" w:space="0" w:color="auto"/>
        <w:left w:val="none" w:sz="0" w:space="0" w:color="auto"/>
        <w:bottom w:val="none" w:sz="0" w:space="0" w:color="auto"/>
        <w:right w:val="none" w:sz="0" w:space="0" w:color="auto"/>
      </w:divBdr>
    </w:div>
    <w:div w:id="1199244349">
      <w:bodyDiv w:val="1"/>
      <w:marLeft w:val="0"/>
      <w:marRight w:val="0"/>
      <w:marTop w:val="0"/>
      <w:marBottom w:val="0"/>
      <w:divBdr>
        <w:top w:val="none" w:sz="0" w:space="0" w:color="auto"/>
        <w:left w:val="none" w:sz="0" w:space="0" w:color="auto"/>
        <w:bottom w:val="none" w:sz="0" w:space="0" w:color="auto"/>
        <w:right w:val="none" w:sz="0" w:space="0" w:color="auto"/>
      </w:divBdr>
      <w:divsChild>
        <w:div w:id="354232587">
          <w:marLeft w:val="0"/>
          <w:marRight w:val="0"/>
          <w:marTop w:val="480"/>
          <w:marBottom w:val="0"/>
          <w:divBdr>
            <w:top w:val="none" w:sz="0" w:space="0" w:color="auto"/>
            <w:left w:val="none" w:sz="0" w:space="0" w:color="auto"/>
            <w:bottom w:val="none" w:sz="0" w:space="0" w:color="auto"/>
            <w:right w:val="none" w:sz="0" w:space="0" w:color="auto"/>
          </w:divBdr>
        </w:div>
        <w:div w:id="205526875">
          <w:marLeft w:val="0"/>
          <w:marRight w:val="0"/>
          <w:marTop w:val="0"/>
          <w:marBottom w:val="0"/>
          <w:divBdr>
            <w:top w:val="none" w:sz="0" w:space="0" w:color="auto"/>
            <w:left w:val="none" w:sz="0" w:space="0" w:color="auto"/>
            <w:bottom w:val="none" w:sz="0" w:space="0" w:color="auto"/>
            <w:right w:val="none" w:sz="0" w:space="0" w:color="auto"/>
          </w:divBdr>
        </w:div>
        <w:div w:id="294870189">
          <w:marLeft w:val="0"/>
          <w:marRight w:val="0"/>
          <w:marTop w:val="240"/>
          <w:marBottom w:val="0"/>
          <w:divBdr>
            <w:top w:val="none" w:sz="0" w:space="0" w:color="auto"/>
            <w:left w:val="none" w:sz="0" w:space="0" w:color="auto"/>
            <w:bottom w:val="none" w:sz="0" w:space="0" w:color="auto"/>
            <w:right w:val="none" w:sz="0" w:space="0" w:color="auto"/>
          </w:divBdr>
        </w:div>
        <w:div w:id="14428037">
          <w:marLeft w:val="0"/>
          <w:marRight w:val="0"/>
          <w:marTop w:val="240"/>
          <w:marBottom w:val="0"/>
          <w:divBdr>
            <w:top w:val="none" w:sz="0" w:space="0" w:color="auto"/>
            <w:left w:val="none" w:sz="0" w:space="0" w:color="auto"/>
            <w:bottom w:val="none" w:sz="0" w:space="0" w:color="auto"/>
            <w:right w:val="none" w:sz="0" w:space="0" w:color="auto"/>
          </w:divBdr>
        </w:div>
        <w:div w:id="531724734">
          <w:marLeft w:val="0"/>
          <w:marRight w:val="0"/>
          <w:marTop w:val="240"/>
          <w:marBottom w:val="0"/>
          <w:divBdr>
            <w:top w:val="none" w:sz="0" w:space="0" w:color="auto"/>
            <w:left w:val="none" w:sz="0" w:space="0" w:color="auto"/>
            <w:bottom w:val="none" w:sz="0" w:space="0" w:color="auto"/>
            <w:right w:val="none" w:sz="0" w:space="0" w:color="auto"/>
          </w:divBdr>
        </w:div>
        <w:div w:id="643657270">
          <w:marLeft w:val="0"/>
          <w:marRight w:val="0"/>
          <w:marTop w:val="240"/>
          <w:marBottom w:val="0"/>
          <w:divBdr>
            <w:top w:val="none" w:sz="0" w:space="0" w:color="auto"/>
            <w:left w:val="none" w:sz="0" w:space="0" w:color="auto"/>
            <w:bottom w:val="none" w:sz="0" w:space="0" w:color="auto"/>
            <w:right w:val="none" w:sz="0" w:space="0" w:color="auto"/>
          </w:divBdr>
        </w:div>
        <w:div w:id="892039258">
          <w:marLeft w:val="0"/>
          <w:marRight w:val="0"/>
          <w:marTop w:val="240"/>
          <w:marBottom w:val="0"/>
          <w:divBdr>
            <w:top w:val="none" w:sz="0" w:space="0" w:color="auto"/>
            <w:left w:val="none" w:sz="0" w:space="0" w:color="auto"/>
            <w:bottom w:val="none" w:sz="0" w:space="0" w:color="auto"/>
            <w:right w:val="none" w:sz="0" w:space="0" w:color="auto"/>
          </w:divBdr>
        </w:div>
      </w:divsChild>
    </w:div>
    <w:div w:id="1226836100">
      <w:bodyDiv w:val="1"/>
      <w:marLeft w:val="0"/>
      <w:marRight w:val="0"/>
      <w:marTop w:val="0"/>
      <w:marBottom w:val="0"/>
      <w:divBdr>
        <w:top w:val="none" w:sz="0" w:space="0" w:color="auto"/>
        <w:left w:val="none" w:sz="0" w:space="0" w:color="auto"/>
        <w:bottom w:val="none" w:sz="0" w:space="0" w:color="auto"/>
        <w:right w:val="none" w:sz="0" w:space="0" w:color="auto"/>
      </w:divBdr>
    </w:div>
    <w:div w:id="1324120776">
      <w:bodyDiv w:val="1"/>
      <w:marLeft w:val="0"/>
      <w:marRight w:val="0"/>
      <w:marTop w:val="0"/>
      <w:marBottom w:val="0"/>
      <w:divBdr>
        <w:top w:val="none" w:sz="0" w:space="0" w:color="auto"/>
        <w:left w:val="none" w:sz="0" w:space="0" w:color="auto"/>
        <w:bottom w:val="none" w:sz="0" w:space="0" w:color="auto"/>
        <w:right w:val="none" w:sz="0" w:space="0" w:color="auto"/>
      </w:divBdr>
      <w:divsChild>
        <w:div w:id="697513321">
          <w:marLeft w:val="0"/>
          <w:marRight w:val="0"/>
          <w:marTop w:val="0"/>
          <w:marBottom w:val="0"/>
          <w:divBdr>
            <w:top w:val="none" w:sz="0" w:space="0" w:color="auto"/>
            <w:left w:val="none" w:sz="0" w:space="0" w:color="auto"/>
            <w:bottom w:val="none" w:sz="0" w:space="0" w:color="auto"/>
            <w:right w:val="none" w:sz="0" w:space="0" w:color="auto"/>
          </w:divBdr>
          <w:divsChild>
            <w:div w:id="1805081477">
              <w:marLeft w:val="0"/>
              <w:marRight w:val="0"/>
              <w:marTop w:val="480"/>
              <w:marBottom w:val="0"/>
              <w:divBdr>
                <w:top w:val="none" w:sz="0" w:space="0" w:color="auto"/>
                <w:left w:val="none" w:sz="0" w:space="0" w:color="auto"/>
                <w:bottom w:val="none" w:sz="0" w:space="0" w:color="auto"/>
                <w:right w:val="none" w:sz="0" w:space="0" w:color="auto"/>
              </w:divBdr>
            </w:div>
            <w:div w:id="791023805">
              <w:marLeft w:val="0"/>
              <w:marRight w:val="0"/>
              <w:marTop w:val="0"/>
              <w:marBottom w:val="0"/>
              <w:divBdr>
                <w:top w:val="none" w:sz="0" w:space="0" w:color="auto"/>
                <w:left w:val="none" w:sz="0" w:space="0" w:color="auto"/>
                <w:bottom w:val="none" w:sz="0" w:space="0" w:color="auto"/>
                <w:right w:val="none" w:sz="0" w:space="0" w:color="auto"/>
              </w:divBdr>
            </w:div>
            <w:div w:id="976685396">
              <w:marLeft w:val="0"/>
              <w:marRight w:val="0"/>
              <w:marTop w:val="240"/>
              <w:marBottom w:val="0"/>
              <w:divBdr>
                <w:top w:val="none" w:sz="0" w:space="0" w:color="auto"/>
                <w:left w:val="none" w:sz="0" w:space="0" w:color="auto"/>
                <w:bottom w:val="none" w:sz="0" w:space="0" w:color="auto"/>
                <w:right w:val="none" w:sz="0" w:space="0" w:color="auto"/>
              </w:divBdr>
            </w:div>
            <w:div w:id="1516573602">
              <w:marLeft w:val="425"/>
              <w:marRight w:val="0"/>
              <w:marTop w:val="0"/>
              <w:marBottom w:val="0"/>
              <w:divBdr>
                <w:top w:val="none" w:sz="0" w:space="0" w:color="auto"/>
                <w:left w:val="none" w:sz="0" w:space="0" w:color="auto"/>
                <w:bottom w:val="none" w:sz="0" w:space="0" w:color="auto"/>
                <w:right w:val="none" w:sz="0" w:space="0" w:color="auto"/>
              </w:divBdr>
            </w:div>
            <w:div w:id="1143501871">
              <w:marLeft w:val="425"/>
              <w:marRight w:val="0"/>
              <w:marTop w:val="0"/>
              <w:marBottom w:val="0"/>
              <w:divBdr>
                <w:top w:val="none" w:sz="0" w:space="0" w:color="auto"/>
                <w:left w:val="none" w:sz="0" w:space="0" w:color="auto"/>
                <w:bottom w:val="none" w:sz="0" w:space="0" w:color="auto"/>
                <w:right w:val="none" w:sz="0" w:space="0" w:color="auto"/>
              </w:divBdr>
            </w:div>
            <w:div w:id="1700741425">
              <w:marLeft w:val="425"/>
              <w:marRight w:val="0"/>
              <w:marTop w:val="0"/>
              <w:marBottom w:val="0"/>
              <w:divBdr>
                <w:top w:val="none" w:sz="0" w:space="0" w:color="auto"/>
                <w:left w:val="none" w:sz="0" w:space="0" w:color="auto"/>
                <w:bottom w:val="none" w:sz="0" w:space="0" w:color="auto"/>
                <w:right w:val="none" w:sz="0" w:space="0" w:color="auto"/>
              </w:divBdr>
            </w:div>
            <w:div w:id="103810496">
              <w:marLeft w:val="425"/>
              <w:marRight w:val="0"/>
              <w:marTop w:val="0"/>
              <w:marBottom w:val="0"/>
              <w:divBdr>
                <w:top w:val="none" w:sz="0" w:space="0" w:color="auto"/>
                <w:left w:val="none" w:sz="0" w:space="0" w:color="auto"/>
                <w:bottom w:val="none" w:sz="0" w:space="0" w:color="auto"/>
                <w:right w:val="none" w:sz="0" w:space="0" w:color="auto"/>
              </w:divBdr>
            </w:div>
            <w:div w:id="734857496">
              <w:marLeft w:val="425"/>
              <w:marRight w:val="0"/>
              <w:marTop w:val="0"/>
              <w:marBottom w:val="0"/>
              <w:divBdr>
                <w:top w:val="none" w:sz="0" w:space="0" w:color="auto"/>
                <w:left w:val="none" w:sz="0" w:space="0" w:color="auto"/>
                <w:bottom w:val="none" w:sz="0" w:space="0" w:color="auto"/>
                <w:right w:val="none" w:sz="0" w:space="0" w:color="auto"/>
              </w:divBdr>
            </w:div>
            <w:div w:id="1447769959">
              <w:marLeft w:val="425"/>
              <w:marRight w:val="0"/>
              <w:marTop w:val="0"/>
              <w:marBottom w:val="0"/>
              <w:divBdr>
                <w:top w:val="none" w:sz="0" w:space="0" w:color="auto"/>
                <w:left w:val="none" w:sz="0" w:space="0" w:color="auto"/>
                <w:bottom w:val="none" w:sz="0" w:space="0" w:color="auto"/>
                <w:right w:val="none" w:sz="0" w:space="0" w:color="auto"/>
              </w:divBdr>
            </w:div>
            <w:div w:id="16541786">
              <w:marLeft w:val="425"/>
              <w:marRight w:val="0"/>
              <w:marTop w:val="0"/>
              <w:marBottom w:val="0"/>
              <w:divBdr>
                <w:top w:val="none" w:sz="0" w:space="0" w:color="auto"/>
                <w:left w:val="none" w:sz="0" w:space="0" w:color="auto"/>
                <w:bottom w:val="none" w:sz="0" w:space="0" w:color="auto"/>
                <w:right w:val="none" w:sz="0" w:space="0" w:color="auto"/>
              </w:divBdr>
            </w:div>
            <w:div w:id="1922710937">
              <w:marLeft w:val="425"/>
              <w:marRight w:val="0"/>
              <w:marTop w:val="0"/>
              <w:marBottom w:val="0"/>
              <w:divBdr>
                <w:top w:val="none" w:sz="0" w:space="0" w:color="auto"/>
                <w:left w:val="none" w:sz="0" w:space="0" w:color="auto"/>
                <w:bottom w:val="none" w:sz="0" w:space="0" w:color="auto"/>
                <w:right w:val="none" w:sz="0" w:space="0" w:color="auto"/>
              </w:divBdr>
            </w:div>
            <w:div w:id="997733487">
              <w:marLeft w:val="0"/>
              <w:marRight w:val="0"/>
              <w:marTop w:val="240"/>
              <w:marBottom w:val="0"/>
              <w:divBdr>
                <w:top w:val="none" w:sz="0" w:space="0" w:color="auto"/>
                <w:left w:val="none" w:sz="0" w:space="0" w:color="auto"/>
                <w:bottom w:val="none" w:sz="0" w:space="0" w:color="auto"/>
                <w:right w:val="none" w:sz="0" w:space="0" w:color="auto"/>
              </w:divBdr>
            </w:div>
            <w:div w:id="528762520">
              <w:marLeft w:val="425"/>
              <w:marRight w:val="0"/>
              <w:marTop w:val="0"/>
              <w:marBottom w:val="0"/>
              <w:divBdr>
                <w:top w:val="none" w:sz="0" w:space="0" w:color="auto"/>
                <w:left w:val="none" w:sz="0" w:space="0" w:color="auto"/>
                <w:bottom w:val="none" w:sz="0" w:space="0" w:color="auto"/>
                <w:right w:val="none" w:sz="0" w:space="0" w:color="auto"/>
              </w:divBdr>
            </w:div>
            <w:div w:id="1327594466">
              <w:marLeft w:val="425"/>
              <w:marRight w:val="0"/>
              <w:marTop w:val="0"/>
              <w:marBottom w:val="0"/>
              <w:divBdr>
                <w:top w:val="none" w:sz="0" w:space="0" w:color="auto"/>
                <w:left w:val="none" w:sz="0" w:space="0" w:color="auto"/>
                <w:bottom w:val="none" w:sz="0" w:space="0" w:color="auto"/>
                <w:right w:val="none" w:sz="0" w:space="0" w:color="auto"/>
              </w:divBdr>
            </w:div>
            <w:div w:id="1259874597">
              <w:marLeft w:val="425"/>
              <w:marRight w:val="0"/>
              <w:marTop w:val="0"/>
              <w:marBottom w:val="0"/>
              <w:divBdr>
                <w:top w:val="none" w:sz="0" w:space="0" w:color="auto"/>
                <w:left w:val="none" w:sz="0" w:space="0" w:color="auto"/>
                <w:bottom w:val="none" w:sz="0" w:space="0" w:color="auto"/>
                <w:right w:val="none" w:sz="0" w:space="0" w:color="auto"/>
              </w:divBdr>
            </w:div>
            <w:div w:id="121190512">
              <w:marLeft w:val="425"/>
              <w:marRight w:val="0"/>
              <w:marTop w:val="0"/>
              <w:marBottom w:val="0"/>
              <w:divBdr>
                <w:top w:val="none" w:sz="0" w:space="0" w:color="auto"/>
                <w:left w:val="none" w:sz="0" w:space="0" w:color="auto"/>
                <w:bottom w:val="none" w:sz="0" w:space="0" w:color="auto"/>
                <w:right w:val="none" w:sz="0" w:space="0" w:color="auto"/>
              </w:divBdr>
            </w:div>
            <w:div w:id="780342581">
              <w:marLeft w:val="425"/>
              <w:marRight w:val="0"/>
              <w:marTop w:val="0"/>
              <w:marBottom w:val="0"/>
              <w:divBdr>
                <w:top w:val="none" w:sz="0" w:space="0" w:color="auto"/>
                <w:left w:val="none" w:sz="0" w:space="0" w:color="auto"/>
                <w:bottom w:val="none" w:sz="0" w:space="0" w:color="auto"/>
                <w:right w:val="none" w:sz="0" w:space="0" w:color="auto"/>
              </w:divBdr>
            </w:div>
          </w:divsChild>
        </w:div>
        <w:div w:id="1904830918">
          <w:marLeft w:val="0"/>
          <w:marRight w:val="0"/>
          <w:marTop w:val="0"/>
          <w:marBottom w:val="0"/>
          <w:divBdr>
            <w:top w:val="none" w:sz="0" w:space="0" w:color="auto"/>
            <w:left w:val="none" w:sz="0" w:space="0" w:color="auto"/>
            <w:bottom w:val="none" w:sz="0" w:space="0" w:color="auto"/>
            <w:right w:val="none" w:sz="0" w:space="0" w:color="auto"/>
          </w:divBdr>
          <w:divsChild>
            <w:div w:id="564099427">
              <w:marLeft w:val="0"/>
              <w:marRight w:val="0"/>
              <w:marTop w:val="480"/>
              <w:marBottom w:val="0"/>
              <w:divBdr>
                <w:top w:val="none" w:sz="0" w:space="0" w:color="auto"/>
                <w:left w:val="none" w:sz="0" w:space="0" w:color="auto"/>
                <w:bottom w:val="none" w:sz="0" w:space="0" w:color="auto"/>
                <w:right w:val="none" w:sz="0" w:space="0" w:color="auto"/>
              </w:divBdr>
            </w:div>
          </w:divsChild>
        </w:div>
        <w:div w:id="805661556">
          <w:marLeft w:val="0"/>
          <w:marRight w:val="0"/>
          <w:marTop w:val="0"/>
          <w:marBottom w:val="0"/>
          <w:divBdr>
            <w:top w:val="none" w:sz="0" w:space="0" w:color="auto"/>
            <w:left w:val="none" w:sz="0" w:space="0" w:color="auto"/>
            <w:bottom w:val="none" w:sz="0" w:space="0" w:color="auto"/>
            <w:right w:val="none" w:sz="0" w:space="0" w:color="auto"/>
          </w:divBdr>
          <w:divsChild>
            <w:div w:id="1760322228">
              <w:marLeft w:val="0"/>
              <w:marRight w:val="0"/>
              <w:marTop w:val="480"/>
              <w:marBottom w:val="0"/>
              <w:divBdr>
                <w:top w:val="none" w:sz="0" w:space="0" w:color="auto"/>
                <w:left w:val="none" w:sz="0" w:space="0" w:color="auto"/>
                <w:bottom w:val="none" w:sz="0" w:space="0" w:color="auto"/>
                <w:right w:val="none" w:sz="0" w:space="0" w:color="auto"/>
              </w:divBdr>
            </w:div>
          </w:divsChild>
        </w:div>
        <w:div w:id="695156145">
          <w:marLeft w:val="0"/>
          <w:marRight w:val="0"/>
          <w:marTop w:val="0"/>
          <w:marBottom w:val="0"/>
          <w:divBdr>
            <w:top w:val="none" w:sz="0" w:space="0" w:color="auto"/>
            <w:left w:val="none" w:sz="0" w:space="0" w:color="auto"/>
            <w:bottom w:val="none" w:sz="0" w:space="0" w:color="auto"/>
            <w:right w:val="none" w:sz="0" w:space="0" w:color="auto"/>
          </w:divBdr>
          <w:divsChild>
            <w:div w:id="1607614322">
              <w:marLeft w:val="0"/>
              <w:marRight w:val="0"/>
              <w:marTop w:val="480"/>
              <w:marBottom w:val="0"/>
              <w:divBdr>
                <w:top w:val="none" w:sz="0" w:space="0" w:color="auto"/>
                <w:left w:val="none" w:sz="0" w:space="0" w:color="auto"/>
                <w:bottom w:val="none" w:sz="0" w:space="0" w:color="auto"/>
                <w:right w:val="none" w:sz="0" w:space="0" w:color="auto"/>
              </w:divBdr>
            </w:div>
            <w:div w:id="528687875">
              <w:marLeft w:val="0"/>
              <w:marRight w:val="0"/>
              <w:marTop w:val="0"/>
              <w:marBottom w:val="0"/>
              <w:divBdr>
                <w:top w:val="none" w:sz="0" w:space="0" w:color="auto"/>
                <w:left w:val="none" w:sz="0" w:space="0" w:color="auto"/>
                <w:bottom w:val="none" w:sz="0" w:space="0" w:color="auto"/>
                <w:right w:val="none" w:sz="0" w:space="0" w:color="auto"/>
              </w:divBdr>
            </w:div>
            <w:div w:id="1273853913">
              <w:marLeft w:val="0"/>
              <w:marRight w:val="0"/>
              <w:marTop w:val="240"/>
              <w:marBottom w:val="0"/>
              <w:divBdr>
                <w:top w:val="none" w:sz="0" w:space="0" w:color="auto"/>
                <w:left w:val="none" w:sz="0" w:space="0" w:color="auto"/>
                <w:bottom w:val="none" w:sz="0" w:space="0" w:color="auto"/>
                <w:right w:val="none" w:sz="0" w:space="0" w:color="auto"/>
              </w:divBdr>
            </w:div>
            <w:div w:id="1703506664">
              <w:marLeft w:val="425"/>
              <w:marRight w:val="0"/>
              <w:marTop w:val="0"/>
              <w:marBottom w:val="0"/>
              <w:divBdr>
                <w:top w:val="none" w:sz="0" w:space="0" w:color="auto"/>
                <w:left w:val="none" w:sz="0" w:space="0" w:color="auto"/>
                <w:bottom w:val="none" w:sz="0" w:space="0" w:color="auto"/>
                <w:right w:val="none" w:sz="0" w:space="0" w:color="auto"/>
              </w:divBdr>
            </w:div>
            <w:div w:id="1262841027">
              <w:marLeft w:val="425"/>
              <w:marRight w:val="0"/>
              <w:marTop w:val="0"/>
              <w:marBottom w:val="0"/>
              <w:divBdr>
                <w:top w:val="none" w:sz="0" w:space="0" w:color="auto"/>
                <w:left w:val="none" w:sz="0" w:space="0" w:color="auto"/>
                <w:bottom w:val="none" w:sz="0" w:space="0" w:color="auto"/>
                <w:right w:val="none" w:sz="0" w:space="0" w:color="auto"/>
              </w:divBdr>
            </w:div>
            <w:div w:id="241719390">
              <w:marLeft w:val="425"/>
              <w:marRight w:val="0"/>
              <w:marTop w:val="0"/>
              <w:marBottom w:val="0"/>
              <w:divBdr>
                <w:top w:val="none" w:sz="0" w:space="0" w:color="auto"/>
                <w:left w:val="none" w:sz="0" w:space="0" w:color="auto"/>
                <w:bottom w:val="none" w:sz="0" w:space="0" w:color="auto"/>
                <w:right w:val="none" w:sz="0" w:space="0" w:color="auto"/>
              </w:divBdr>
            </w:div>
            <w:div w:id="902133473">
              <w:marLeft w:val="425"/>
              <w:marRight w:val="0"/>
              <w:marTop w:val="0"/>
              <w:marBottom w:val="0"/>
              <w:divBdr>
                <w:top w:val="none" w:sz="0" w:space="0" w:color="auto"/>
                <w:left w:val="none" w:sz="0" w:space="0" w:color="auto"/>
                <w:bottom w:val="none" w:sz="0" w:space="0" w:color="auto"/>
                <w:right w:val="none" w:sz="0" w:space="0" w:color="auto"/>
              </w:divBdr>
            </w:div>
            <w:div w:id="1158501092">
              <w:marLeft w:val="0"/>
              <w:marRight w:val="0"/>
              <w:marTop w:val="240"/>
              <w:marBottom w:val="0"/>
              <w:divBdr>
                <w:top w:val="none" w:sz="0" w:space="0" w:color="auto"/>
                <w:left w:val="none" w:sz="0" w:space="0" w:color="auto"/>
                <w:bottom w:val="none" w:sz="0" w:space="0" w:color="auto"/>
                <w:right w:val="none" w:sz="0" w:space="0" w:color="auto"/>
              </w:divBdr>
            </w:div>
            <w:div w:id="527257057">
              <w:marLeft w:val="425"/>
              <w:marRight w:val="0"/>
              <w:marTop w:val="0"/>
              <w:marBottom w:val="0"/>
              <w:divBdr>
                <w:top w:val="none" w:sz="0" w:space="0" w:color="auto"/>
                <w:left w:val="none" w:sz="0" w:space="0" w:color="auto"/>
                <w:bottom w:val="none" w:sz="0" w:space="0" w:color="auto"/>
                <w:right w:val="none" w:sz="0" w:space="0" w:color="auto"/>
              </w:divBdr>
            </w:div>
            <w:div w:id="1655257437">
              <w:marLeft w:val="425"/>
              <w:marRight w:val="0"/>
              <w:marTop w:val="0"/>
              <w:marBottom w:val="0"/>
              <w:divBdr>
                <w:top w:val="none" w:sz="0" w:space="0" w:color="auto"/>
                <w:left w:val="none" w:sz="0" w:space="0" w:color="auto"/>
                <w:bottom w:val="none" w:sz="0" w:space="0" w:color="auto"/>
                <w:right w:val="none" w:sz="0" w:space="0" w:color="auto"/>
              </w:divBdr>
            </w:div>
            <w:div w:id="1125275527">
              <w:marLeft w:val="425"/>
              <w:marRight w:val="0"/>
              <w:marTop w:val="0"/>
              <w:marBottom w:val="0"/>
              <w:divBdr>
                <w:top w:val="none" w:sz="0" w:space="0" w:color="auto"/>
                <w:left w:val="none" w:sz="0" w:space="0" w:color="auto"/>
                <w:bottom w:val="none" w:sz="0" w:space="0" w:color="auto"/>
                <w:right w:val="none" w:sz="0" w:space="0" w:color="auto"/>
              </w:divBdr>
            </w:div>
            <w:div w:id="2104567311">
              <w:marLeft w:val="425"/>
              <w:marRight w:val="0"/>
              <w:marTop w:val="0"/>
              <w:marBottom w:val="0"/>
              <w:divBdr>
                <w:top w:val="none" w:sz="0" w:space="0" w:color="auto"/>
                <w:left w:val="none" w:sz="0" w:space="0" w:color="auto"/>
                <w:bottom w:val="none" w:sz="0" w:space="0" w:color="auto"/>
                <w:right w:val="none" w:sz="0" w:space="0" w:color="auto"/>
              </w:divBdr>
            </w:div>
            <w:div w:id="244530944">
              <w:marLeft w:val="425"/>
              <w:marRight w:val="0"/>
              <w:marTop w:val="0"/>
              <w:marBottom w:val="0"/>
              <w:divBdr>
                <w:top w:val="none" w:sz="0" w:space="0" w:color="auto"/>
                <w:left w:val="none" w:sz="0" w:space="0" w:color="auto"/>
                <w:bottom w:val="none" w:sz="0" w:space="0" w:color="auto"/>
                <w:right w:val="none" w:sz="0" w:space="0" w:color="auto"/>
              </w:divBdr>
            </w:div>
            <w:div w:id="127671149">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398357880">
      <w:bodyDiv w:val="1"/>
      <w:marLeft w:val="0"/>
      <w:marRight w:val="0"/>
      <w:marTop w:val="0"/>
      <w:marBottom w:val="0"/>
      <w:divBdr>
        <w:top w:val="none" w:sz="0" w:space="0" w:color="auto"/>
        <w:left w:val="none" w:sz="0" w:space="0" w:color="auto"/>
        <w:bottom w:val="none" w:sz="0" w:space="0" w:color="auto"/>
        <w:right w:val="none" w:sz="0" w:space="0" w:color="auto"/>
      </w:divBdr>
      <w:divsChild>
        <w:div w:id="1234971950">
          <w:marLeft w:val="0"/>
          <w:marRight w:val="0"/>
          <w:marTop w:val="480"/>
          <w:marBottom w:val="0"/>
          <w:divBdr>
            <w:top w:val="none" w:sz="0" w:space="0" w:color="auto"/>
            <w:left w:val="none" w:sz="0" w:space="0" w:color="auto"/>
            <w:bottom w:val="none" w:sz="0" w:space="0" w:color="auto"/>
            <w:right w:val="none" w:sz="0" w:space="0" w:color="auto"/>
          </w:divBdr>
        </w:div>
        <w:div w:id="1300571766">
          <w:marLeft w:val="0"/>
          <w:marRight w:val="0"/>
          <w:marTop w:val="0"/>
          <w:marBottom w:val="0"/>
          <w:divBdr>
            <w:top w:val="none" w:sz="0" w:space="0" w:color="auto"/>
            <w:left w:val="none" w:sz="0" w:space="0" w:color="auto"/>
            <w:bottom w:val="none" w:sz="0" w:space="0" w:color="auto"/>
            <w:right w:val="none" w:sz="0" w:space="0" w:color="auto"/>
          </w:divBdr>
        </w:div>
        <w:div w:id="339163182">
          <w:marLeft w:val="0"/>
          <w:marRight w:val="0"/>
          <w:marTop w:val="240"/>
          <w:marBottom w:val="0"/>
          <w:divBdr>
            <w:top w:val="none" w:sz="0" w:space="0" w:color="auto"/>
            <w:left w:val="none" w:sz="0" w:space="0" w:color="auto"/>
            <w:bottom w:val="none" w:sz="0" w:space="0" w:color="auto"/>
            <w:right w:val="none" w:sz="0" w:space="0" w:color="auto"/>
          </w:divBdr>
        </w:div>
      </w:divsChild>
    </w:div>
    <w:div w:id="1398631463">
      <w:bodyDiv w:val="1"/>
      <w:marLeft w:val="0"/>
      <w:marRight w:val="0"/>
      <w:marTop w:val="0"/>
      <w:marBottom w:val="0"/>
      <w:divBdr>
        <w:top w:val="none" w:sz="0" w:space="0" w:color="auto"/>
        <w:left w:val="none" w:sz="0" w:space="0" w:color="auto"/>
        <w:bottom w:val="none" w:sz="0" w:space="0" w:color="auto"/>
        <w:right w:val="none" w:sz="0" w:space="0" w:color="auto"/>
      </w:divBdr>
      <w:divsChild>
        <w:div w:id="1299335176">
          <w:marLeft w:val="0"/>
          <w:marRight w:val="0"/>
          <w:marTop w:val="480"/>
          <w:marBottom w:val="0"/>
          <w:divBdr>
            <w:top w:val="none" w:sz="0" w:space="0" w:color="auto"/>
            <w:left w:val="none" w:sz="0" w:space="0" w:color="auto"/>
            <w:bottom w:val="none" w:sz="0" w:space="0" w:color="auto"/>
            <w:right w:val="none" w:sz="0" w:space="0" w:color="auto"/>
          </w:divBdr>
        </w:div>
        <w:div w:id="187911354">
          <w:marLeft w:val="0"/>
          <w:marRight w:val="0"/>
          <w:marTop w:val="0"/>
          <w:marBottom w:val="0"/>
          <w:divBdr>
            <w:top w:val="none" w:sz="0" w:space="0" w:color="auto"/>
            <w:left w:val="none" w:sz="0" w:space="0" w:color="auto"/>
            <w:bottom w:val="none" w:sz="0" w:space="0" w:color="auto"/>
            <w:right w:val="none" w:sz="0" w:space="0" w:color="auto"/>
          </w:divBdr>
        </w:div>
        <w:div w:id="227500606">
          <w:marLeft w:val="0"/>
          <w:marRight w:val="0"/>
          <w:marTop w:val="240"/>
          <w:marBottom w:val="0"/>
          <w:divBdr>
            <w:top w:val="none" w:sz="0" w:space="0" w:color="auto"/>
            <w:left w:val="none" w:sz="0" w:space="0" w:color="auto"/>
            <w:bottom w:val="none" w:sz="0" w:space="0" w:color="auto"/>
            <w:right w:val="none" w:sz="0" w:space="0" w:color="auto"/>
          </w:divBdr>
        </w:div>
        <w:div w:id="2121873806">
          <w:marLeft w:val="0"/>
          <w:marRight w:val="0"/>
          <w:marTop w:val="240"/>
          <w:marBottom w:val="0"/>
          <w:divBdr>
            <w:top w:val="none" w:sz="0" w:space="0" w:color="auto"/>
            <w:left w:val="none" w:sz="0" w:space="0" w:color="auto"/>
            <w:bottom w:val="none" w:sz="0" w:space="0" w:color="auto"/>
            <w:right w:val="none" w:sz="0" w:space="0" w:color="auto"/>
          </w:divBdr>
        </w:div>
        <w:div w:id="486284239">
          <w:marLeft w:val="425"/>
          <w:marRight w:val="0"/>
          <w:marTop w:val="0"/>
          <w:marBottom w:val="0"/>
          <w:divBdr>
            <w:top w:val="none" w:sz="0" w:space="0" w:color="auto"/>
            <w:left w:val="none" w:sz="0" w:space="0" w:color="auto"/>
            <w:bottom w:val="none" w:sz="0" w:space="0" w:color="auto"/>
            <w:right w:val="none" w:sz="0" w:space="0" w:color="auto"/>
          </w:divBdr>
        </w:div>
        <w:div w:id="1834836153">
          <w:marLeft w:val="425"/>
          <w:marRight w:val="0"/>
          <w:marTop w:val="0"/>
          <w:marBottom w:val="0"/>
          <w:divBdr>
            <w:top w:val="none" w:sz="0" w:space="0" w:color="auto"/>
            <w:left w:val="none" w:sz="0" w:space="0" w:color="auto"/>
            <w:bottom w:val="none" w:sz="0" w:space="0" w:color="auto"/>
            <w:right w:val="none" w:sz="0" w:space="0" w:color="auto"/>
          </w:divBdr>
        </w:div>
        <w:div w:id="1056398116">
          <w:marLeft w:val="425"/>
          <w:marRight w:val="0"/>
          <w:marTop w:val="0"/>
          <w:marBottom w:val="0"/>
          <w:divBdr>
            <w:top w:val="none" w:sz="0" w:space="0" w:color="auto"/>
            <w:left w:val="none" w:sz="0" w:space="0" w:color="auto"/>
            <w:bottom w:val="none" w:sz="0" w:space="0" w:color="auto"/>
            <w:right w:val="none" w:sz="0" w:space="0" w:color="auto"/>
          </w:divBdr>
        </w:div>
        <w:div w:id="69811893">
          <w:marLeft w:val="425"/>
          <w:marRight w:val="0"/>
          <w:marTop w:val="0"/>
          <w:marBottom w:val="0"/>
          <w:divBdr>
            <w:top w:val="none" w:sz="0" w:space="0" w:color="auto"/>
            <w:left w:val="none" w:sz="0" w:space="0" w:color="auto"/>
            <w:bottom w:val="none" w:sz="0" w:space="0" w:color="auto"/>
            <w:right w:val="none" w:sz="0" w:space="0" w:color="auto"/>
          </w:divBdr>
        </w:div>
        <w:div w:id="1070158697">
          <w:marLeft w:val="425"/>
          <w:marRight w:val="0"/>
          <w:marTop w:val="0"/>
          <w:marBottom w:val="0"/>
          <w:divBdr>
            <w:top w:val="none" w:sz="0" w:space="0" w:color="auto"/>
            <w:left w:val="none" w:sz="0" w:space="0" w:color="auto"/>
            <w:bottom w:val="none" w:sz="0" w:space="0" w:color="auto"/>
            <w:right w:val="none" w:sz="0" w:space="0" w:color="auto"/>
          </w:divBdr>
        </w:div>
        <w:div w:id="1893734039">
          <w:marLeft w:val="425"/>
          <w:marRight w:val="0"/>
          <w:marTop w:val="0"/>
          <w:marBottom w:val="0"/>
          <w:divBdr>
            <w:top w:val="none" w:sz="0" w:space="0" w:color="auto"/>
            <w:left w:val="none" w:sz="0" w:space="0" w:color="auto"/>
            <w:bottom w:val="none" w:sz="0" w:space="0" w:color="auto"/>
            <w:right w:val="none" w:sz="0" w:space="0" w:color="auto"/>
          </w:divBdr>
        </w:div>
        <w:div w:id="578950527">
          <w:marLeft w:val="425"/>
          <w:marRight w:val="0"/>
          <w:marTop w:val="0"/>
          <w:marBottom w:val="0"/>
          <w:divBdr>
            <w:top w:val="none" w:sz="0" w:space="0" w:color="auto"/>
            <w:left w:val="none" w:sz="0" w:space="0" w:color="auto"/>
            <w:bottom w:val="none" w:sz="0" w:space="0" w:color="auto"/>
            <w:right w:val="none" w:sz="0" w:space="0" w:color="auto"/>
          </w:divBdr>
        </w:div>
        <w:div w:id="1240676397">
          <w:marLeft w:val="0"/>
          <w:marRight w:val="0"/>
          <w:marTop w:val="240"/>
          <w:marBottom w:val="0"/>
          <w:divBdr>
            <w:top w:val="none" w:sz="0" w:space="0" w:color="auto"/>
            <w:left w:val="none" w:sz="0" w:space="0" w:color="auto"/>
            <w:bottom w:val="none" w:sz="0" w:space="0" w:color="auto"/>
            <w:right w:val="none" w:sz="0" w:space="0" w:color="auto"/>
          </w:divBdr>
        </w:div>
        <w:div w:id="801114391">
          <w:marLeft w:val="0"/>
          <w:marRight w:val="0"/>
          <w:marTop w:val="240"/>
          <w:marBottom w:val="0"/>
          <w:divBdr>
            <w:top w:val="none" w:sz="0" w:space="0" w:color="auto"/>
            <w:left w:val="none" w:sz="0" w:space="0" w:color="auto"/>
            <w:bottom w:val="none" w:sz="0" w:space="0" w:color="auto"/>
            <w:right w:val="none" w:sz="0" w:space="0" w:color="auto"/>
          </w:divBdr>
        </w:div>
      </w:divsChild>
    </w:div>
    <w:div w:id="1432092678">
      <w:bodyDiv w:val="1"/>
      <w:marLeft w:val="0"/>
      <w:marRight w:val="0"/>
      <w:marTop w:val="0"/>
      <w:marBottom w:val="0"/>
      <w:divBdr>
        <w:top w:val="none" w:sz="0" w:space="0" w:color="auto"/>
        <w:left w:val="none" w:sz="0" w:space="0" w:color="auto"/>
        <w:bottom w:val="none" w:sz="0" w:space="0" w:color="auto"/>
        <w:right w:val="none" w:sz="0" w:space="0" w:color="auto"/>
      </w:divBdr>
      <w:divsChild>
        <w:div w:id="604850924">
          <w:marLeft w:val="0"/>
          <w:marRight w:val="0"/>
          <w:marTop w:val="480"/>
          <w:marBottom w:val="0"/>
          <w:divBdr>
            <w:top w:val="none" w:sz="0" w:space="0" w:color="auto"/>
            <w:left w:val="none" w:sz="0" w:space="0" w:color="auto"/>
            <w:bottom w:val="none" w:sz="0" w:space="0" w:color="auto"/>
            <w:right w:val="none" w:sz="0" w:space="0" w:color="auto"/>
          </w:divBdr>
        </w:div>
        <w:div w:id="1520510594">
          <w:marLeft w:val="0"/>
          <w:marRight w:val="0"/>
          <w:marTop w:val="0"/>
          <w:marBottom w:val="0"/>
          <w:divBdr>
            <w:top w:val="none" w:sz="0" w:space="0" w:color="auto"/>
            <w:left w:val="none" w:sz="0" w:space="0" w:color="auto"/>
            <w:bottom w:val="none" w:sz="0" w:space="0" w:color="auto"/>
            <w:right w:val="none" w:sz="0" w:space="0" w:color="auto"/>
          </w:divBdr>
        </w:div>
        <w:div w:id="1820420200">
          <w:marLeft w:val="0"/>
          <w:marRight w:val="0"/>
          <w:marTop w:val="240"/>
          <w:marBottom w:val="0"/>
          <w:divBdr>
            <w:top w:val="none" w:sz="0" w:space="0" w:color="auto"/>
            <w:left w:val="none" w:sz="0" w:space="0" w:color="auto"/>
            <w:bottom w:val="none" w:sz="0" w:space="0" w:color="auto"/>
            <w:right w:val="none" w:sz="0" w:space="0" w:color="auto"/>
          </w:divBdr>
        </w:div>
        <w:div w:id="1911455491">
          <w:marLeft w:val="425"/>
          <w:marRight w:val="0"/>
          <w:marTop w:val="0"/>
          <w:marBottom w:val="0"/>
          <w:divBdr>
            <w:top w:val="none" w:sz="0" w:space="0" w:color="auto"/>
            <w:left w:val="none" w:sz="0" w:space="0" w:color="auto"/>
            <w:bottom w:val="none" w:sz="0" w:space="0" w:color="auto"/>
            <w:right w:val="none" w:sz="0" w:space="0" w:color="auto"/>
          </w:divBdr>
        </w:div>
        <w:div w:id="1432168464">
          <w:marLeft w:val="425"/>
          <w:marRight w:val="0"/>
          <w:marTop w:val="0"/>
          <w:marBottom w:val="0"/>
          <w:divBdr>
            <w:top w:val="none" w:sz="0" w:space="0" w:color="auto"/>
            <w:left w:val="none" w:sz="0" w:space="0" w:color="auto"/>
            <w:bottom w:val="none" w:sz="0" w:space="0" w:color="auto"/>
            <w:right w:val="none" w:sz="0" w:space="0" w:color="auto"/>
          </w:divBdr>
        </w:div>
        <w:div w:id="2134589853">
          <w:marLeft w:val="425"/>
          <w:marRight w:val="0"/>
          <w:marTop w:val="0"/>
          <w:marBottom w:val="0"/>
          <w:divBdr>
            <w:top w:val="none" w:sz="0" w:space="0" w:color="auto"/>
            <w:left w:val="none" w:sz="0" w:space="0" w:color="auto"/>
            <w:bottom w:val="none" w:sz="0" w:space="0" w:color="auto"/>
            <w:right w:val="none" w:sz="0" w:space="0" w:color="auto"/>
          </w:divBdr>
        </w:div>
        <w:div w:id="1094981282">
          <w:marLeft w:val="425"/>
          <w:marRight w:val="0"/>
          <w:marTop w:val="0"/>
          <w:marBottom w:val="0"/>
          <w:divBdr>
            <w:top w:val="none" w:sz="0" w:space="0" w:color="auto"/>
            <w:left w:val="none" w:sz="0" w:space="0" w:color="auto"/>
            <w:bottom w:val="none" w:sz="0" w:space="0" w:color="auto"/>
            <w:right w:val="none" w:sz="0" w:space="0" w:color="auto"/>
          </w:divBdr>
        </w:div>
        <w:div w:id="1089883671">
          <w:marLeft w:val="425"/>
          <w:marRight w:val="0"/>
          <w:marTop w:val="0"/>
          <w:marBottom w:val="0"/>
          <w:divBdr>
            <w:top w:val="none" w:sz="0" w:space="0" w:color="auto"/>
            <w:left w:val="none" w:sz="0" w:space="0" w:color="auto"/>
            <w:bottom w:val="none" w:sz="0" w:space="0" w:color="auto"/>
            <w:right w:val="none" w:sz="0" w:space="0" w:color="auto"/>
          </w:divBdr>
        </w:div>
        <w:div w:id="1504707556">
          <w:marLeft w:val="0"/>
          <w:marRight w:val="0"/>
          <w:marTop w:val="240"/>
          <w:marBottom w:val="0"/>
          <w:divBdr>
            <w:top w:val="none" w:sz="0" w:space="0" w:color="auto"/>
            <w:left w:val="none" w:sz="0" w:space="0" w:color="auto"/>
            <w:bottom w:val="none" w:sz="0" w:space="0" w:color="auto"/>
            <w:right w:val="none" w:sz="0" w:space="0" w:color="auto"/>
          </w:divBdr>
        </w:div>
      </w:divsChild>
    </w:div>
    <w:div w:id="1435131954">
      <w:bodyDiv w:val="1"/>
      <w:marLeft w:val="0"/>
      <w:marRight w:val="0"/>
      <w:marTop w:val="0"/>
      <w:marBottom w:val="0"/>
      <w:divBdr>
        <w:top w:val="none" w:sz="0" w:space="0" w:color="auto"/>
        <w:left w:val="none" w:sz="0" w:space="0" w:color="auto"/>
        <w:bottom w:val="none" w:sz="0" w:space="0" w:color="auto"/>
        <w:right w:val="none" w:sz="0" w:space="0" w:color="auto"/>
      </w:divBdr>
    </w:div>
    <w:div w:id="1452942690">
      <w:bodyDiv w:val="1"/>
      <w:marLeft w:val="0"/>
      <w:marRight w:val="0"/>
      <w:marTop w:val="0"/>
      <w:marBottom w:val="0"/>
      <w:divBdr>
        <w:top w:val="none" w:sz="0" w:space="0" w:color="auto"/>
        <w:left w:val="none" w:sz="0" w:space="0" w:color="auto"/>
        <w:bottom w:val="none" w:sz="0" w:space="0" w:color="auto"/>
        <w:right w:val="none" w:sz="0" w:space="0" w:color="auto"/>
      </w:divBdr>
      <w:divsChild>
        <w:div w:id="1752118305">
          <w:marLeft w:val="0"/>
          <w:marRight w:val="0"/>
          <w:marTop w:val="480"/>
          <w:marBottom w:val="0"/>
          <w:divBdr>
            <w:top w:val="none" w:sz="0" w:space="0" w:color="auto"/>
            <w:left w:val="none" w:sz="0" w:space="0" w:color="auto"/>
            <w:bottom w:val="none" w:sz="0" w:space="0" w:color="auto"/>
            <w:right w:val="none" w:sz="0" w:space="0" w:color="auto"/>
          </w:divBdr>
        </w:div>
        <w:div w:id="1848208582">
          <w:marLeft w:val="0"/>
          <w:marRight w:val="0"/>
          <w:marTop w:val="0"/>
          <w:marBottom w:val="0"/>
          <w:divBdr>
            <w:top w:val="none" w:sz="0" w:space="0" w:color="auto"/>
            <w:left w:val="none" w:sz="0" w:space="0" w:color="auto"/>
            <w:bottom w:val="none" w:sz="0" w:space="0" w:color="auto"/>
            <w:right w:val="none" w:sz="0" w:space="0" w:color="auto"/>
          </w:divBdr>
        </w:div>
        <w:div w:id="342556725">
          <w:marLeft w:val="0"/>
          <w:marRight w:val="0"/>
          <w:marTop w:val="240"/>
          <w:marBottom w:val="0"/>
          <w:divBdr>
            <w:top w:val="none" w:sz="0" w:space="0" w:color="auto"/>
            <w:left w:val="none" w:sz="0" w:space="0" w:color="auto"/>
            <w:bottom w:val="none" w:sz="0" w:space="0" w:color="auto"/>
            <w:right w:val="none" w:sz="0" w:space="0" w:color="auto"/>
          </w:divBdr>
        </w:div>
        <w:div w:id="2146309346">
          <w:marLeft w:val="0"/>
          <w:marRight w:val="0"/>
          <w:marTop w:val="240"/>
          <w:marBottom w:val="0"/>
          <w:divBdr>
            <w:top w:val="none" w:sz="0" w:space="0" w:color="auto"/>
            <w:left w:val="none" w:sz="0" w:space="0" w:color="auto"/>
            <w:bottom w:val="none" w:sz="0" w:space="0" w:color="auto"/>
            <w:right w:val="none" w:sz="0" w:space="0" w:color="auto"/>
          </w:divBdr>
        </w:div>
        <w:div w:id="829519948">
          <w:marLeft w:val="0"/>
          <w:marRight w:val="0"/>
          <w:marTop w:val="240"/>
          <w:marBottom w:val="0"/>
          <w:divBdr>
            <w:top w:val="none" w:sz="0" w:space="0" w:color="auto"/>
            <w:left w:val="none" w:sz="0" w:space="0" w:color="auto"/>
            <w:bottom w:val="none" w:sz="0" w:space="0" w:color="auto"/>
            <w:right w:val="none" w:sz="0" w:space="0" w:color="auto"/>
          </w:divBdr>
        </w:div>
        <w:div w:id="1854806147">
          <w:marLeft w:val="425"/>
          <w:marRight w:val="0"/>
          <w:marTop w:val="0"/>
          <w:marBottom w:val="0"/>
          <w:divBdr>
            <w:top w:val="none" w:sz="0" w:space="0" w:color="auto"/>
            <w:left w:val="none" w:sz="0" w:space="0" w:color="auto"/>
            <w:bottom w:val="none" w:sz="0" w:space="0" w:color="auto"/>
            <w:right w:val="none" w:sz="0" w:space="0" w:color="auto"/>
          </w:divBdr>
          <w:divsChild>
            <w:div w:id="639727897">
              <w:marLeft w:val="0"/>
              <w:marRight w:val="0"/>
              <w:marTop w:val="0"/>
              <w:marBottom w:val="0"/>
              <w:divBdr>
                <w:top w:val="none" w:sz="0" w:space="0" w:color="auto"/>
                <w:left w:val="none" w:sz="0" w:space="0" w:color="auto"/>
                <w:bottom w:val="none" w:sz="0" w:space="0" w:color="auto"/>
                <w:right w:val="none" w:sz="0" w:space="0" w:color="auto"/>
              </w:divBdr>
            </w:div>
          </w:divsChild>
        </w:div>
        <w:div w:id="1343780825">
          <w:marLeft w:val="425"/>
          <w:marRight w:val="0"/>
          <w:marTop w:val="0"/>
          <w:marBottom w:val="0"/>
          <w:divBdr>
            <w:top w:val="none" w:sz="0" w:space="0" w:color="auto"/>
            <w:left w:val="none" w:sz="0" w:space="0" w:color="auto"/>
            <w:bottom w:val="none" w:sz="0" w:space="0" w:color="auto"/>
            <w:right w:val="none" w:sz="0" w:space="0" w:color="auto"/>
          </w:divBdr>
          <w:divsChild>
            <w:div w:id="1608274508">
              <w:marLeft w:val="0"/>
              <w:marRight w:val="0"/>
              <w:marTop w:val="0"/>
              <w:marBottom w:val="0"/>
              <w:divBdr>
                <w:top w:val="none" w:sz="0" w:space="0" w:color="auto"/>
                <w:left w:val="none" w:sz="0" w:space="0" w:color="auto"/>
                <w:bottom w:val="none" w:sz="0" w:space="0" w:color="auto"/>
                <w:right w:val="none" w:sz="0" w:space="0" w:color="auto"/>
              </w:divBdr>
            </w:div>
          </w:divsChild>
        </w:div>
        <w:div w:id="1814788162">
          <w:marLeft w:val="0"/>
          <w:marRight w:val="0"/>
          <w:marTop w:val="240"/>
          <w:marBottom w:val="0"/>
          <w:divBdr>
            <w:top w:val="none" w:sz="0" w:space="0" w:color="auto"/>
            <w:left w:val="none" w:sz="0" w:space="0" w:color="auto"/>
            <w:bottom w:val="none" w:sz="0" w:space="0" w:color="auto"/>
            <w:right w:val="none" w:sz="0" w:space="0" w:color="auto"/>
          </w:divBdr>
        </w:div>
        <w:div w:id="671373872">
          <w:marLeft w:val="0"/>
          <w:marRight w:val="0"/>
          <w:marTop w:val="240"/>
          <w:marBottom w:val="0"/>
          <w:divBdr>
            <w:top w:val="none" w:sz="0" w:space="0" w:color="auto"/>
            <w:left w:val="none" w:sz="0" w:space="0" w:color="auto"/>
            <w:bottom w:val="none" w:sz="0" w:space="0" w:color="auto"/>
            <w:right w:val="none" w:sz="0" w:space="0" w:color="auto"/>
          </w:divBdr>
        </w:div>
        <w:div w:id="247471821">
          <w:marLeft w:val="0"/>
          <w:marRight w:val="0"/>
          <w:marTop w:val="240"/>
          <w:marBottom w:val="0"/>
          <w:divBdr>
            <w:top w:val="none" w:sz="0" w:space="0" w:color="auto"/>
            <w:left w:val="none" w:sz="0" w:space="0" w:color="auto"/>
            <w:bottom w:val="none" w:sz="0" w:space="0" w:color="auto"/>
            <w:right w:val="none" w:sz="0" w:space="0" w:color="auto"/>
          </w:divBdr>
        </w:div>
        <w:div w:id="1042095764">
          <w:marLeft w:val="0"/>
          <w:marRight w:val="0"/>
          <w:marTop w:val="240"/>
          <w:marBottom w:val="0"/>
          <w:divBdr>
            <w:top w:val="none" w:sz="0" w:space="0" w:color="auto"/>
            <w:left w:val="none" w:sz="0" w:space="0" w:color="auto"/>
            <w:bottom w:val="none" w:sz="0" w:space="0" w:color="auto"/>
            <w:right w:val="none" w:sz="0" w:space="0" w:color="auto"/>
          </w:divBdr>
        </w:div>
        <w:div w:id="321541188">
          <w:marLeft w:val="0"/>
          <w:marRight w:val="0"/>
          <w:marTop w:val="240"/>
          <w:marBottom w:val="0"/>
          <w:divBdr>
            <w:top w:val="none" w:sz="0" w:space="0" w:color="auto"/>
            <w:left w:val="none" w:sz="0" w:space="0" w:color="auto"/>
            <w:bottom w:val="none" w:sz="0" w:space="0" w:color="auto"/>
            <w:right w:val="none" w:sz="0" w:space="0" w:color="auto"/>
          </w:divBdr>
        </w:div>
        <w:div w:id="1121342498">
          <w:marLeft w:val="425"/>
          <w:marRight w:val="0"/>
          <w:marTop w:val="0"/>
          <w:marBottom w:val="0"/>
          <w:divBdr>
            <w:top w:val="none" w:sz="0" w:space="0" w:color="auto"/>
            <w:left w:val="none" w:sz="0" w:space="0" w:color="auto"/>
            <w:bottom w:val="none" w:sz="0" w:space="0" w:color="auto"/>
            <w:right w:val="none" w:sz="0" w:space="0" w:color="auto"/>
          </w:divBdr>
          <w:divsChild>
            <w:div w:id="1174344887">
              <w:marLeft w:val="0"/>
              <w:marRight w:val="0"/>
              <w:marTop w:val="0"/>
              <w:marBottom w:val="0"/>
              <w:divBdr>
                <w:top w:val="none" w:sz="0" w:space="0" w:color="auto"/>
                <w:left w:val="none" w:sz="0" w:space="0" w:color="auto"/>
                <w:bottom w:val="none" w:sz="0" w:space="0" w:color="auto"/>
                <w:right w:val="none" w:sz="0" w:space="0" w:color="auto"/>
              </w:divBdr>
            </w:div>
          </w:divsChild>
        </w:div>
        <w:div w:id="701898687">
          <w:marLeft w:val="425"/>
          <w:marRight w:val="0"/>
          <w:marTop w:val="0"/>
          <w:marBottom w:val="0"/>
          <w:divBdr>
            <w:top w:val="none" w:sz="0" w:space="0" w:color="auto"/>
            <w:left w:val="none" w:sz="0" w:space="0" w:color="auto"/>
            <w:bottom w:val="none" w:sz="0" w:space="0" w:color="auto"/>
            <w:right w:val="none" w:sz="0" w:space="0" w:color="auto"/>
          </w:divBdr>
          <w:divsChild>
            <w:div w:id="1099064421">
              <w:marLeft w:val="0"/>
              <w:marRight w:val="0"/>
              <w:marTop w:val="0"/>
              <w:marBottom w:val="0"/>
              <w:divBdr>
                <w:top w:val="none" w:sz="0" w:space="0" w:color="auto"/>
                <w:left w:val="none" w:sz="0" w:space="0" w:color="auto"/>
                <w:bottom w:val="none" w:sz="0" w:space="0" w:color="auto"/>
                <w:right w:val="none" w:sz="0" w:space="0" w:color="auto"/>
              </w:divBdr>
            </w:div>
          </w:divsChild>
        </w:div>
        <w:div w:id="738015299">
          <w:marLeft w:val="425"/>
          <w:marRight w:val="0"/>
          <w:marTop w:val="0"/>
          <w:marBottom w:val="0"/>
          <w:divBdr>
            <w:top w:val="none" w:sz="0" w:space="0" w:color="auto"/>
            <w:left w:val="none" w:sz="0" w:space="0" w:color="auto"/>
            <w:bottom w:val="none" w:sz="0" w:space="0" w:color="auto"/>
            <w:right w:val="none" w:sz="0" w:space="0" w:color="auto"/>
          </w:divBdr>
          <w:divsChild>
            <w:div w:id="67073197">
              <w:marLeft w:val="0"/>
              <w:marRight w:val="0"/>
              <w:marTop w:val="0"/>
              <w:marBottom w:val="0"/>
              <w:divBdr>
                <w:top w:val="none" w:sz="0" w:space="0" w:color="auto"/>
                <w:left w:val="none" w:sz="0" w:space="0" w:color="auto"/>
                <w:bottom w:val="none" w:sz="0" w:space="0" w:color="auto"/>
                <w:right w:val="none" w:sz="0" w:space="0" w:color="auto"/>
              </w:divBdr>
            </w:div>
          </w:divsChild>
        </w:div>
        <w:div w:id="1683166545">
          <w:marLeft w:val="425"/>
          <w:marRight w:val="0"/>
          <w:marTop w:val="0"/>
          <w:marBottom w:val="0"/>
          <w:divBdr>
            <w:top w:val="none" w:sz="0" w:space="0" w:color="auto"/>
            <w:left w:val="none" w:sz="0" w:space="0" w:color="auto"/>
            <w:bottom w:val="none" w:sz="0" w:space="0" w:color="auto"/>
            <w:right w:val="none" w:sz="0" w:space="0" w:color="auto"/>
          </w:divBdr>
          <w:divsChild>
            <w:div w:id="1863744897">
              <w:marLeft w:val="0"/>
              <w:marRight w:val="0"/>
              <w:marTop w:val="0"/>
              <w:marBottom w:val="0"/>
              <w:divBdr>
                <w:top w:val="none" w:sz="0" w:space="0" w:color="auto"/>
                <w:left w:val="none" w:sz="0" w:space="0" w:color="auto"/>
                <w:bottom w:val="none" w:sz="0" w:space="0" w:color="auto"/>
                <w:right w:val="none" w:sz="0" w:space="0" w:color="auto"/>
              </w:divBdr>
            </w:div>
          </w:divsChild>
        </w:div>
        <w:div w:id="1391423209">
          <w:marLeft w:val="425"/>
          <w:marRight w:val="0"/>
          <w:marTop w:val="0"/>
          <w:marBottom w:val="0"/>
          <w:divBdr>
            <w:top w:val="none" w:sz="0" w:space="0" w:color="auto"/>
            <w:left w:val="none" w:sz="0" w:space="0" w:color="auto"/>
            <w:bottom w:val="none" w:sz="0" w:space="0" w:color="auto"/>
            <w:right w:val="none" w:sz="0" w:space="0" w:color="auto"/>
          </w:divBdr>
          <w:divsChild>
            <w:div w:id="1148935907">
              <w:marLeft w:val="0"/>
              <w:marRight w:val="0"/>
              <w:marTop w:val="0"/>
              <w:marBottom w:val="0"/>
              <w:divBdr>
                <w:top w:val="none" w:sz="0" w:space="0" w:color="auto"/>
                <w:left w:val="none" w:sz="0" w:space="0" w:color="auto"/>
                <w:bottom w:val="none" w:sz="0" w:space="0" w:color="auto"/>
                <w:right w:val="none" w:sz="0" w:space="0" w:color="auto"/>
              </w:divBdr>
            </w:div>
          </w:divsChild>
        </w:div>
        <w:div w:id="49887442">
          <w:marLeft w:val="425"/>
          <w:marRight w:val="0"/>
          <w:marTop w:val="0"/>
          <w:marBottom w:val="0"/>
          <w:divBdr>
            <w:top w:val="none" w:sz="0" w:space="0" w:color="auto"/>
            <w:left w:val="none" w:sz="0" w:space="0" w:color="auto"/>
            <w:bottom w:val="none" w:sz="0" w:space="0" w:color="auto"/>
            <w:right w:val="none" w:sz="0" w:space="0" w:color="auto"/>
          </w:divBdr>
          <w:divsChild>
            <w:div w:id="1996641603">
              <w:marLeft w:val="0"/>
              <w:marRight w:val="0"/>
              <w:marTop w:val="0"/>
              <w:marBottom w:val="0"/>
              <w:divBdr>
                <w:top w:val="none" w:sz="0" w:space="0" w:color="auto"/>
                <w:left w:val="none" w:sz="0" w:space="0" w:color="auto"/>
                <w:bottom w:val="none" w:sz="0" w:space="0" w:color="auto"/>
                <w:right w:val="none" w:sz="0" w:space="0" w:color="auto"/>
              </w:divBdr>
            </w:div>
          </w:divsChild>
        </w:div>
        <w:div w:id="155266265">
          <w:marLeft w:val="425"/>
          <w:marRight w:val="0"/>
          <w:marTop w:val="0"/>
          <w:marBottom w:val="0"/>
          <w:divBdr>
            <w:top w:val="none" w:sz="0" w:space="0" w:color="auto"/>
            <w:left w:val="none" w:sz="0" w:space="0" w:color="auto"/>
            <w:bottom w:val="none" w:sz="0" w:space="0" w:color="auto"/>
            <w:right w:val="none" w:sz="0" w:space="0" w:color="auto"/>
          </w:divBdr>
          <w:divsChild>
            <w:div w:id="1794321198">
              <w:marLeft w:val="0"/>
              <w:marRight w:val="0"/>
              <w:marTop w:val="0"/>
              <w:marBottom w:val="0"/>
              <w:divBdr>
                <w:top w:val="none" w:sz="0" w:space="0" w:color="auto"/>
                <w:left w:val="none" w:sz="0" w:space="0" w:color="auto"/>
                <w:bottom w:val="none" w:sz="0" w:space="0" w:color="auto"/>
                <w:right w:val="none" w:sz="0" w:space="0" w:color="auto"/>
              </w:divBdr>
            </w:div>
          </w:divsChild>
        </w:div>
        <w:div w:id="1315060252">
          <w:marLeft w:val="425"/>
          <w:marRight w:val="0"/>
          <w:marTop w:val="0"/>
          <w:marBottom w:val="0"/>
          <w:divBdr>
            <w:top w:val="none" w:sz="0" w:space="0" w:color="auto"/>
            <w:left w:val="none" w:sz="0" w:space="0" w:color="auto"/>
            <w:bottom w:val="none" w:sz="0" w:space="0" w:color="auto"/>
            <w:right w:val="none" w:sz="0" w:space="0" w:color="auto"/>
          </w:divBdr>
          <w:divsChild>
            <w:div w:id="313334244">
              <w:marLeft w:val="0"/>
              <w:marRight w:val="0"/>
              <w:marTop w:val="0"/>
              <w:marBottom w:val="0"/>
              <w:divBdr>
                <w:top w:val="none" w:sz="0" w:space="0" w:color="auto"/>
                <w:left w:val="none" w:sz="0" w:space="0" w:color="auto"/>
                <w:bottom w:val="none" w:sz="0" w:space="0" w:color="auto"/>
                <w:right w:val="none" w:sz="0" w:space="0" w:color="auto"/>
              </w:divBdr>
            </w:div>
          </w:divsChild>
        </w:div>
        <w:div w:id="1628705109">
          <w:marLeft w:val="425"/>
          <w:marRight w:val="0"/>
          <w:marTop w:val="0"/>
          <w:marBottom w:val="0"/>
          <w:divBdr>
            <w:top w:val="none" w:sz="0" w:space="0" w:color="auto"/>
            <w:left w:val="none" w:sz="0" w:space="0" w:color="auto"/>
            <w:bottom w:val="none" w:sz="0" w:space="0" w:color="auto"/>
            <w:right w:val="none" w:sz="0" w:space="0" w:color="auto"/>
          </w:divBdr>
          <w:divsChild>
            <w:div w:id="1550261983">
              <w:marLeft w:val="0"/>
              <w:marRight w:val="0"/>
              <w:marTop w:val="0"/>
              <w:marBottom w:val="0"/>
              <w:divBdr>
                <w:top w:val="none" w:sz="0" w:space="0" w:color="auto"/>
                <w:left w:val="none" w:sz="0" w:space="0" w:color="auto"/>
                <w:bottom w:val="none" w:sz="0" w:space="0" w:color="auto"/>
                <w:right w:val="none" w:sz="0" w:space="0" w:color="auto"/>
              </w:divBdr>
            </w:div>
          </w:divsChild>
        </w:div>
        <w:div w:id="380326341">
          <w:marLeft w:val="425"/>
          <w:marRight w:val="0"/>
          <w:marTop w:val="0"/>
          <w:marBottom w:val="0"/>
          <w:divBdr>
            <w:top w:val="none" w:sz="0" w:space="0" w:color="auto"/>
            <w:left w:val="none" w:sz="0" w:space="0" w:color="auto"/>
            <w:bottom w:val="none" w:sz="0" w:space="0" w:color="auto"/>
            <w:right w:val="none" w:sz="0" w:space="0" w:color="auto"/>
          </w:divBdr>
          <w:divsChild>
            <w:div w:id="83690153">
              <w:marLeft w:val="0"/>
              <w:marRight w:val="0"/>
              <w:marTop w:val="0"/>
              <w:marBottom w:val="0"/>
              <w:divBdr>
                <w:top w:val="none" w:sz="0" w:space="0" w:color="auto"/>
                <w:left w:val="none" w:sz="0" w:space="0" w:color="auto"/>
                <w:bottom w:val="none" w:sz="0" w:space="0" w:color="auto"/>
                <w:right w:val="none" w:sz="0" w:space="0" w:color="auto"/>
              </w:divBdr>
            </w:div>
          </w:divsChild>
        </w:div>
        <w:div w:id="177350364">
          <w:marLeft w:val="425"/>
          <w:marRight w:val="0"/>
          <w:marTop w:val="0"/>
          <w:marBottom w:val="0"/>
          <w:divBdr>
            <w:top w:val="none" w:sz="0" w:space="0" w:color="auto"/>
            <w:left w:val="none" w:sz="0" w:space="0" w:color="auto"/>
            <w:bottom w:val="none" w:sz="0" w:space="0" w:color="auto"/>
            <w:right w:val="none" w:sz="0" w:space="0" w:color="auto"/>
          </w:divBdr>
          <w:divsChild>
            <w:div w:id="557207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148758">
      <w:bodyDiv w:val="1"/>
      <w:marLeft w:val="0"/>
      <w:marRight w:val="0"/>
      <w:marTop w:val="0"/>
      <w:marBottom w:val="0"/>
      <w:divBdr>
        <w:top w:val="none" w:sz="0" w:space="0" w:color="auto"/>
        <w:left w:val="none" w:sz="0" w:space="0" w:color="auto"/>
        <w:bottom w:val="none" w:sz="0" w:space="0" w:color="auto"/>
        <w:right w:val="none" w:sz="0" w:space="0" w:color="auto"/>
      </w:divBdr>
      <w:divsChild>
        <w:div w:id="1709988479">
          <w:marLeft w:val="0"/>
          <w:marRight w:val="0"/>
          <w:marTop w:val="480"/>
          <w:marBottom w:val="0"/>
          <w:divBdr>
            <w:top w:val="none" w:sz="0" w:space="0" w:color="auto"/>
            <w:left w:val="none" w:sz="0" w:space="0" w:color="auto"/>
            <w:bottom w:val="none" w:sz="0" w:space="0" w:color="auto"/>
            <w:right w:val="none" w:sz="0" w:space="0" w:color="auto"/>
          </w:divBdr>
        </w:div>
        <w:div w:id="1472554301">
          <w:marLeft w:val="0"/>
          <w:marRight w:val="0"/>
          <w:marTop w:val="0"/>
          <w:marBottom w:val="0"/>
          <w:divBdr>
            <w:top w:val="none" w:sz="0" w:space="0" w:color="auto"/>
            <w:left w:val="none" w:sz="0" w:space="0" w:color="auto"/>
            <w:bottom w:val="none" w:sz="0" w:space="0" w:color="auto"/>
            <w:right w:val="none" w:sz="0" w:space="0" w:color="auto"/>
          </w:divBdr>
        </w:div>
        <w:div w:id="2032100496">
          <w:marLeft w:val="0"/>
          <w:marRight w:val="0"/>
          <w:marTop w:val="240"/>
          <w:marBottom w:val="0"/>
          <w:divBdr>
            <w:top w:val="none" w:sz="0" w:space="0" w:color="auto"/>
            <w:left w:val="none" w:sz="0" w:space="0" w:color="auto"/>
            <w:bottom w:val="none" w:sz="0" w:space="0" w:color="auto"/>
            <w:right w:val="none" w:sz="0" w:space="0" w:color="auto"/>
          </w:divBdr>
        </w:div>
        <w:div w:id="453259261">
          <w:marLeft w:val="425"/>
          <w:marRight w:val="0"/>
          <w:marTop w:val="0"/>
          <w:marBottom w:val="0"/>
          <w:divBdr>
            <w:top w:val="none" w:sz="0" w:space="0" w:color="auto"/>
            <w:left w:val="none" w:sz="0" w:space="0" w:color="auto"/>
            <w:bottom w:val="none" w:sz="0" w:space="0" w:color="auto"/>
            <w:right w:val="none" w:sz="0" w:space="0" w:color="auto"/>
          </w:divBdr>
        </w:div>
        <w:div w:id="54396806">
          <w:marLeft w:val="425"/>
          <w:marRight w:val="0"/>
          <w:marTop w:val="0"/>
          <w:marBottom w:val="0"/>
          <w:divBdr>
            <w:top w:val="none" w:sz="0" w:space="0" w:color="auto"/>
            <w:left w:val="none" w:sz="0" w:space="0" w:color="auto"/>
            <w:bottom w:val="none" w:sz="0" w:space="0" w:color="auto"/>
            <w:right w:val="none" w:sz="0" w:space="0" w:color="auto"/>
          </w:divBdr>
        </w:div>
        <w:div w:id="534467912">
          <w:marLeft w:val="425"/>
          <w:marRight w:val="0"/>
          <w:marTop w:val="0"/>
          <w:marBottom w:val="0"/>
          <w:divBdr>
            <w:top w:val="none" w:sz="0" w:space="0" w:color="auto"/>
            <w:left w:val="none" w:sz="0" w:space="0" w:color="auto"/>
            <w:bottom w:val="none" w:sz="0" w:space="0" w:color="auto"/>
            <w:right w:val="none" w:sz="0" w:space="0" w:color="auto"/>
          </w:divBdr>
        </w:div>
        <w:div w:id="1245799374">
          <w:marLeft w:val="425"/>
          <w:marRight w:val="0"/>
          <w:marTop w:val="0"/>
          <w:marBottom w:val="0"/>
          <w:divBdr>
            <w:top w:val="none" w:sz="0" w:space="0" w:color="auto"/>
            <w:left w:val="none" w:sz="0" w:space="0" w:color="auto"/>
            <w:bottom w:val="none" w:sz="0" w:space="0" w:color="auto"/>
            <w:right w:val="none" w:sz="0" w:space="0" w:color="auto"/>
          </w:divBdr>
        </w:div>
        <w:div w:id="192688963">
          <w:marLeft w:val="425"/>
          <w:marRight w:val="0"/>
          <w:marTop w:val="0"/>
          <w:marBottom w:val="0"/>
          <w:divBdr>
            <w:top w:val="none" w:sz="0" w:space="0" w:color="auto"/>
            <w:left w:val="none" w:sz="0" w:space="0" w:color="auto"/>
            <w:bottom w:val="none" w:sz="0" w:space="0" w:color="auto"/>
            <w:right w:val="none" w:sz="0" w:space="0" w:color="auto"/>
          </w:divBdr>
        </w:div>
        <w:div w:id="824129547">
          <w:marLeft w:val="425"/>
          <w:marRight w:val="0"/>
          <w:marTop w:val="0"/>
          <w:marBottom w:val="0"/>
          <w:divBdr>
            <w:top w:val="none" w:sz="0" w:space="0" w:color="auto"/>
            <w:left w:val="none" w:sz="0" w:space="0" w:color="auto"/>
            <w:bottom w:val="none" w:sz="0" w:space="0" w:color="auto"/>
            <w:right w:val="none" w:sz="0" w:space="0" w:color="auto"/>
          </w:divBdr>
        </w:div>
        <w:div w:id="587543420">
          <w:marLeft w:val="425"/>
          <w:marRight w:val="0"/>
          <w:marTop w:val="0"/>
          <w:marBottom w:val="0"/>
          <w:divBdr>
            <w:top w:val="none" w:sz="0" w:space="0" w:color="auto"/>
            <w:left w:val="none" w:sz="0" w:space="0" w:color="auto"/>
            <w:bottom w:val="none" w:sz="0" w:space="0" w:color="auto"/>
            <w:right w:val="none" w:sz="0" w:space="0" w:color="auto"/>
          </w:divBdr>
        </w:div>
        <w:div w:id="1010832627">
          <w:marLeft w:val="425"/>
          <w:marRight w:val="0"/>
          <w:marTop w:val="0"/>
          <w:marBottom w:val="0"/>
          <w:divBdr>
            <w:top w:val="none" w:sz="0" w:space="0" w:color="auto"/>
            <w:left w:val="none" w:sz="0" w:space="0" w:color="auto"/>
            <w:bottom w:val="none" w:sz="0" w:space="0" w:color="auto"/>
            <w:right w:val="none" w:sz="0" w:space="0" w:color="auto"/>
          </w:divBdr>
        </w:div>
        <w:div w:id="751506456">
          <w:marLeft w:val="425"/>
          <w:marRight w:val="0"/>
          <w:marTop w:val="0"/>
          <w:marBottom w:val="0"/>
          <w:divBdr>
            <w:top w:val="none" w:sz="0" w:space="0" w:color="auto"/>
            <w:left w:val="none" w:sz="0" w:space="0" w:color="auto"/>
            <w:bottom w:val="none" w:sz="0" w:space="0" w:color="auto"/>
            <w:right w:val="none" w:sz="0" w:space="0" w:color="auto"/>
          </w:divBdr>
        </w:div>
        <w:div w:id="1514145086">
          <w:marLeft w:val="425"/>
          <w:marRight w:val="0"/>
          <w:marTop w:val="0"/>
          <w:marBottom w:val="0"/>
          <w:divBdr>
            <w:top w:val="none" w:sz="0" w:space="0" w:color="auto"/>
            <w:left w:val="none" w:sz="0" w:space="0" w:color="auto"/>
            <w:bottom w:val="none" w:sz="0" w:space="0" w:color="auto"/>
            <w:right w:val="none" w:sz="0" w:space="0" w:color="auto"/>
          </w:divBdr>
        </w:div>
        <w:div w:id="418410675">
          <w:marLeft w:val="425"/>
          <w:marRight w:val="0"/>
          <w:marTop w:val="0"/>
          <w:marBottom w:val="0"/>
          <w:divBdr>
            <w:top w:val="none" w:sz="0" w:space="0" w:color="auto"/>
            <w:left w:val="none" w:sz="0" w:space="0" w:color="auto"/>
            <w:bottom w:val="none" w:sz="0" w:space="0" w:color="auto"/>
            <w:right w:val="none" w:sz="0" w:space="0" w:color="auto"/>
          </w:divBdr>
        </w:div>
        <w:div w:id="832139483">
          <w:marLeft w:val="425"/>
          <w:marRight w:val="0"/>
          <w:marTop w:val="0"/>
          <w:marBottom w:val="0"/>
          <w:divBdr>
            <w:top w:val="none" w:sz="0" w:space="0" w:color="auto"/>
            <w:left w:val="none" w:sz="0" w:space="0" w:color="auto"/>
            <w:bottom w:val="none" w:sz="0" w:space="0" w:color="auto"/>
            <w:right w:val="none" w:sz="0" w:space="0" w:color="auto"/>
          </w:divBdr>
        </w:div>
        <w:div w:id="1020358832">
          <w:marLeft w:val="425"/>
          <w:marRight w:val="0"/>
          <w:marTop w:val="0"/>
          <w:marBottom w:val="0"/>
          <w:divBdr>
            <w:top w:val="none" w:sz="0" w:space="0" w:color="auto"/>
            <w:left w:val="none" w:sz="0" w:space="0" w:color="auto"/>
            <w:bottom w:val="none" w:sz="0" w:space="0" w:color="auto"/>
            <w:right w:val="none" w:sz="0" w:space="0" w:color="auto"/>
          </w:divBdr>
        </w:div>
        <w:div w:id="1139493344">
          <w:marLeft w:val="425"/>
          <w:marRight w:val="0"/>
          <w:marTop w:val="0"/>
          <w:marBottom w:val="0"/>
          <w:divBdr>
            <w:top w:val="none" w:sz="0" w:space="0" w:color="auto"/>
            <w:left w:val="none" w:sz="0" w:space="0" w:color="auto"/>
            <w:bottom w:val="none" w:sz="0" w:space="0" w:color="auto"/>
            <w:right w:val="none" w:sz="0" w:space="0" w:color="auto"/>
          </w:divBdr>
        </w:div>
        <w:div w:id="813913665">
          <w:marLeft w:val="425"/>
          <w:marRight w:val="0"/>
          <w:marTop w:val="0"/>
          <w:marBottom w:val="0"/>
          <w:divBdr>
            <w:top w:val="none" w:sz="0" w:space="0" w:color="auto"/>
            <w:left w:val="none" w:sz="0" w:space="0" w:color="auto"/>
            <w:bottom w:val="none" w:sz="0" w:space="0" w:color="auto"/>
            <w:right w:val="none" w:sz="0" w:space="0" w:color="auto"/>
          </w:divBdr>
        </w:div>
        <w:div w:id="540171255">
          <w:marLeft w:val="425"/>
          <w:marRight w:val="0"/>
          <w:marTop w:val="0"/>
          <w:marBottom w:val="0"/>
          <w:divBdr>
            <w:top w:val="none" w:sz="0" w:space="0" w:color="auto"/>
            <w:left w:val="none" w:sz="0" w:space="0" w:color="auto"/>
            <w:bottom w:val="none" w:sz="0" w:space="0" w:color="auto"/>
            <w:right w:val="none" w:sz="0" w:space="0" w:color="auto"/>
          </w:divBdr>
        </w:div>
        <w:div w:id="765419865">
          <w:marLeft w:val="425"/>
          <w:marRight w:val="0"/>
          <w:marTop w:val="0"/>
          <w:marBottom w:val="0"/>
          <w:divBdr>
            <w:top w:val="none" w:sz="0" w:space="0" w:color="auto"/>
            <w:left w:val="none" w:sz="0" w:space="0" w:color="auto"/>
            <w:bottom w:val="none" w:sz="0" w:space="0" w:color="auto"/>
            <w:right w:val="none" w:sz="0" w:space="0" w:color="auto"/>
          </w:divBdr>
        </w:div>
        <w:div w:id="1006447208">
          <w:marLeft w:val="425"/>
          <w:marRight w:val="0"/>
          <w:marTop w:val="0"/>
          <w:marBottom w:val="0"/>
          <w:divBdr>
            <w:top w:val="none" w:sz="0" w:space="0" w:color="auto"/>
            <w:left w:val="none" w:sz="0" w:space="0" w:color="auto"/>
            <w:bottom w:val="none" w:sz="0" w:space="0" w:color="auto"/>
            <w:right w:val="none" w:sz="0" w:space="0" w:color="auto"/>
          </w:divBdr>
        </w:div>
        <w:div w:id="1538270732">
          <w:marLeft w:val="425"/>
          <w:marRight w:val="0"/>
          <w:marTop w:val="0"/>
          <w:marBottom w:val="0"/>
          <w:divBdr>
            <w:top w:val="none" w:sz="0" w:space="0" w:color="auto"/>
            <w:left w:val="none" w:sz="0" w:space="0" w:color="auto"/>
            <w:bottom w:val="none" w:sz="0" w:space="0" w:color="auto"/>
            <w:right w:val="none" w:sz="0" w:space="0" w:color="auto"/>
          </w:divBdr>
        </w:div>
        <w:div w:id="572854282">
          <w:marLeft w:val="425"/>
          <w:marRight w:val="0"/>
          <w:marTop w:val="0"/>
          <w:marBottom w:val="0"/>
          <w:divBdr>
            <w:top w:val="none" w:sz="0" w:space="0" w:color="auto"/>
            <w:left w:val="none" w:sz="0" w:space="0" w:color="auto"/>
            <w:bottom w:val="none" w:sz="0" w:space="0" w:color="auto"/>
            <w:right w:val="none" w:sz="0" w:space="0" w:color="auto"/>
          </w:divBdr>
        </w:div>
        <w:div w:id="1723744734">
          <w:marLeft w:val="425"/>
          <w:marRight w:val="0"/>
          <w:marTop w:val="0"/>
          <w:marBottom w:val="0"/>
          <w:divBdr>
            <w:top w:val="none" w:sz="0" w:space="0" w:color="auto"/>
            <w:left w:val="none" w:sz="0" w:space="0" w:color="auto"/>
            <w:bottom w:val="none" w:sz="0" w:space="0" w:color="auto"/>
            <w:right w:val="none" w:sz="0" w:space="0" w:color="auto"/>
          </w:divBdr>
        </w:div>
        <w:div w:id="1987005452">
          <w:marLeft w:val="425"/>
          <w:marRight w:val="0"/>
          <w:marTop w:val="0"/>
          <w:marBottom w:val="0"/>
          <w:divBdr>
            <w:top w:val="none" w:sz="0" w:space="0" w:color="auto"/>
            <w:left w:val="none" w:sz="0" w:space="0" w:color="auto"/>
            <w:bottom w:val="none" w:sz="0" w:space="0" w:color="auto"/>
            <w:right w:val="none" w:sz="0" w:space="0" w:color="auto"/>
          </w:divBdr>
        </w:div>
        <w:div w:id="2072456701">
          <w:marLeft w:val="425"/>
          <w:marRight w:val="0"/>
          <w:marTop w:val="0"/>
          <w:marBottom w:val="0"/>
          <w:divBdr>
            <w:top w:val="none" w:sz="0" w:space="0" w:color="auto"/>
            <w:left w:val="none" w:sz="0" w:space="0" w:color="auto"/>
            <w:bottom w:val="none" w:sz="0" w:space="0" w:color="auto"/>
            <w:right w:val="none" w:sz="0" w:space="0" w:color="auto"/>
          </w:divBdr>
        </w:div>
        <w:div w:id="1789666706">
          <w:marLeft w:val="425"/>
          <w:marRight w:val="0"/>
          <w:marTop w:val="0"/>
          <w:marBottom w:val="0"/>
          <w:divBdr>
            <w:top w:val="none" w:sz="0" w:space="0" w:color="auto"/>
            <w:left w:val="none" w:sz="0" w:space="0" w:color="auto"/>
            <w:bottom w:val="none" w:sz="0" w:space="0" w:color="auto"/>
            <w:right w:val="none" w:sz="0" w:space="0" w:color="auto"/>
          </w:divBdr>
        </w:div>
        <w:div w:id="1993026503">
          <w:marLeft w:val="425"/>
          <w:marRight w:val="0"/>
          <w:marTop w:val="0"/>
          <w:marBottom w:val="0"/>
          <w:divBdr>
            <w:top w:val="none" w:sz="0" w:space="0" w:color="auto"/>
            <w:left w:val="none" w:sz="0" w:space="0" w:color="auto"/>
            <w:bottom w:val="none" w:sz="0" w:space="0" w:color="auto"/>
            <w:right w:val="none" w:sz="0" w:space="0" w:color="auto"/>
          </w:divBdr>
        </w:div>
        <w:div w:id="76482467">
          <w:marLeft w:val="425"/>
          <w:marRight w:val="0"/>
          <w:marTop w:val="0"/>
          <w:marBottom w:val="0"/>
          <w:divBdr>
            <w:top w:val="none" w:sz="0" w:space="0" w:color="auto"/>
            <w:left w:val="none" w:sz="0" w:space="0" w:color="auto"/>
            <w:bottom w:val="none" w:sz="0" w:space="0" w:color="auto"/>
            <w:right w:val="none" w:sz="0" w:space="0" w:color="auto"/>
          </w:divBdr>
        </w:div>
        <w:div w:id="29113587">
          <w:marLeft w:val="425"/>
          <w:marRight w:val="0"/>
          <w:marTop w:val="0"/>
          <w:marBottom w:val="0"/>
          <w:divBdr>
            <w:top w:val="none" w:sz="0" w:space="0" w:color="auto"/>
            <w:left w:val="none" w:sz="0" w:space="0" w:color="auto"/>
            <w:bottom w:val="none" w:sz="0" w:space="0" w:color="auto"/>
            <w:right w:val="none" w:sz="0" w:space="0" w:color="auto"/>
          </w:divBdr>
        </w:div>
        <w:div w:id="1379205541">
          <w:marLeft w:val="425"/>
          <w:marRight w:val="0"/>
          <w:marTop w:val="0"/>
          <w:marBottom w:val="0"/>
          <w:divBdr>
            <w:top w:val="none" w:sz="0" w:space="0" w:color="auto"/>
            <w:left w:val="none" w:sz="0" w:space="0" w:color="auto"/>
            <w:bottom w:val="none" w:sz="0" w:space="0" w:color="auto"/>
            <w:right w:val="none" w:sz="0" w:space="0" w:color="auto"/>
          </w:divBdr>
        </w:div>
        <w:div w:id="455105286">
          <w:marLeft w:val="425"/>
          <w:marRight w:val="0"/>
          <w:marTop w:val="0"/>
          <w:marBottom w:val="0"/>
          <w:divBdr>
            <w:top w:val="none" w:sz="0" w:space="0" w:color="auto"/>
            <w:left w:val="none" w:sz="0" w:space="0" w:color="auto"/>
            <w:bottom w:val="none" w:sz="0" w:space="0" w:color="auto"/>
            <w:right w:val="none" w:sz="0" w:space="0" w:color="auto"/>
          </w:divBdr>
        </w:div>
        <w:div w:id="133377689">
          <w:marLeft w:val="425"/>
          <w:marRight w:val="0"/>
          <w:marTop w:val="0"/>
          <w:marBottom w:val="0"/>
          <w:divBdr>
            <w:top w:val="none" w:sz="0" w:space="0" w:color="auto"/>
            <w:left w:val="none" w:sz="0" w:space="0" w:color="auto"/>
            <w:bottom w:val="none" w:sz="0" w:space="0" w:color="auto"/>
            <w:right w:val="none" w:sz="0" w:space="0" w:color="auto"/>
          </w:divBdr>
        </w:div>
        <w:div w:id="1242830981">
          <w:marLeft w:val="425"/>
          <w:marRight w:val="0"/>
          <w:marTop w:val="0"/>
          <w:marBottom w:val="0"/>
          <w:divBdr>
            <w:top w:val="none" w:sz="0" w:space="0" w:color="auto"/>
            <w:left w:val="none" w:sz="0" w:space="0" w:color="auto"/>
            <w:bottom w:val="none" w:sz="0" w:space="0" w:color="auto"/>
            <w:right w:val="none" w:sz="0" w:space="0" w:color="auto"/>
          </w:divBdr>
        </w:div>
        <w:div w:id="889264572">
          <w:marLeft w:val="425"/>
          <w:marRight w:val="0"/>
          <w:marTop w:val="0"/>
          <w:marBottom w:val="0"/>
          <w:divBdr>
            <w:top w:val="none" w:sz="0" w:space="0" w:color="auto"/>
            <w:left w:val="none" w:sz="0" w:space="0" w:color="auto"/>
            <w:bottom w:val="none" w:sz="0" w:space="0" w:color="auto"/>
            <w:right w:val="none" w:sz="0" w:space="0" w:color="auto"/>
          </w:divBdr>
        </w:div>
        <w:div w:id="1284728069">
          <w:marLeft w:val="425"/>
          <w:marRight w:val="0"/>
          <w:marTop w:val="0"/>
          <w:marBottom w:val="0"/>
          <w:divBdr>
            <w:top w:val="none" w:sz="0" w:space="0" w:color="auto"/>
            <w:left w:val="none" w:sz="0" w:space="0" w:color="auto"/>
            <w:bottom w:val="none" w:sz="0" w:space="0" w:color="auto"/>
            <w:right w:val="none" w:sz="0" w:space="0" w:color="auto"/>
          </w:divBdr>
        </w:div>
        <w:div w:id="486630872">
          <w:marLeft w:val="425"/>
          <w:marRight w:val="0"/>
          <w:marTop w:val="0"/>
          <w:marBottom w:val="0"/>
          <w:divBdr>
            <w:top w:val="none" w:sz="0" w:space="0" w:color="auto"/>
            <w:left w:val="none" w:sz="0" w:space="0" w:color="auto"/>
            <w:bottom w:val="none" w:sz="0" w:space="0" w:color="auto"/>
            <w:right w:val="none" w:sz="0" w:space="0" w:color="auto"/>
          </w:divBdr>
        </w:div>
        <w:div w:id="833912133">
          <w:marLeft w:val="425"/>
          <w:marRight w:val="0"/>
          <w:marTop w:val="0"/>
          <w:marBottom w:val="0"/>
          <w:divBdr>
            <w:top w:val="none" w:sz="0" w:space="0" w:color="auto"/>
            <w:left w:val="none" w:sz="0" w:space="0" w:color="auto"/>
            <w:bottom w:val="none" w:sz="0" w:space="0" w:color="auto"/>
            <w:right w:val="none" w:sz="0" w:space="0" w:color="auto"/>
          </w:divBdr>
        </w:div>
        <w:div w:id="2014797000">
          <w:marLeft w:val="425"/>
          <w:marRight w:val="0"/>
          <w:marTop w:val="0"/>
          <w:marBottom w:val="0"/>
          <w:divBdr>
            <w:top w:val="none" w:sz="0" w:space="0" w:color="auto"/>
            <w:left w:val="none" w:sz="0" w:space="0" w:color="auto"/>
            <w:bottom w:val="none" w:sz="0" w:space="0" w:color="auto"/>
            <w:right w:val="none" w:sz="0" w:space="0" w:color="auto"/>
          </w:divBdr>
        </w:div>
        <w:div w:id="422724008">
          <w:marLeft w:val="425"/>
          <w:marRight w:val="0"/>
          <w:marTop w:val="0"/>
          <w:marBottom w:val="0"/>
          <w:divBdr>
            <w:top w:val="none" w:sz="0" w:space="0" w:color="auto"/>
            <w:left w:val="none" w:sz="0" w:space="0" w:color="auto"/>
            <w:bottom w:val="none" w:sz="0" w:space="0" w:color="auto"/>
            <w:right w:val="none" w:sz="0" w:space="0" w:color="auto"/>
          </w:divBdr>
        </w:div>
        <w:div w:id="1611356191">
          <w:marLeft w:val="425"/>
          <w:marRight w:val="0"/>
          <w:marTop w:val="0"/>
          <w:marBottom w:val="0"/>
          <w:divBdr>
            <w:top w:val="none" w:sz="0" w:space="0" w:color="auto"/>
            <w:left w:val="none" w:sz="0" w:space="0" w:color="auto"/>
            <w:bottom w:val="none" w:sz="0" w:space="0" w:color="auto"/>
            <w:right w:val="none" w:sz="0" w:space="0" w:color="auto"/>
          </w:divBdr>
        </w:div>
        <w:div w:id="1375232787">
          <w:marLeft w:val="425"/>
          <w:marRight w:val="0"/>
          <w:marTop w:val="0"/>
          <w:marBottom w:val="0"/>
          <w:divBdr>
            <w:top w:val="none" w:sz="0" w:space="0" w:color="auto"/>
            <w:left w:val="none" w:sz="0" w:space="0" w:color="auto"/>
            <w:bottom w:val="none" w:sz="0" w:space="0" w:color="auto"/>
            <w:right w:val="none" w:sz="0" w:space="0" w:color="auto"/>
          </w:divBdr>
        </w:div>
        <w:div w:id="1681201369">
          <w:marLeft w:val="425"/>
          <w:marRight w:val="0"/>
          <w:marTop w:val="0"/>
          <w:marBottom w:val="0"/>
          <w:divBdr>
            <w:top w:val="none" w:sz="0" w:space="0" w:color="auto"/>
            <w:left w:val="none" w:sz="0" w:space="0" w:color="auto"/>
            <w:bottom w:val="none" w:sz="0" w:space="0" w:color="auto"/>
            <w:right w:val="none" w:sz="0" w:space="0" w:color="auto"/>
          </w:divBdr>
        </w:div>
        <w:div w:id="1064375701">
          <w:marLeft w:val="425"/>
          <w:marRight w:val="0"/>
          <w:marTop w:val="0"/>
          <w:marBottom w:val="0"/>
          <w:divBdr>
            <w:top w:val="none" w:sz="0" w:space="0" w:color="auto"/>
            <w:left w:val="none" w:sz="0" w:space="0" w:color="auto"/>
            <w:bottom w:val="none" w:sz="0" w:space="0" w:color="auto"/>
            <w:right w:val="none" w:sz="0" w:space="0" w:color="auto"/>
          </w:divBdr>
        </w:div>
        <w:div w:id="10380094">
          <w:marLeft w:val="425"/>
          <w:marRight w:val="0"/>
          <w:marTop w:val="0"/>
          <w:marBottom w:val="0"/>
          <w:divBdr>
            <w:top w:val="none" w:sz="0" w:space="0" w:color="auto"/>
            <w:left w:val="none" w:sz="0" w:space="0" w:color="auto"/>
            <w:bottom w:val="none" w:sz="0" w:space="0" w:color="auto"/>
            <w:right w:val="none" w:sz="0" w:space="0" w:color="auto"/>
          </w:divBdr>
        </w:div>
        <w:div w:id="2050373282">
          <w:marLeft w:val="425"/>
          <w:marRight w:val="0"/>
          <w:marTop w:val="0"/>
          <w:marBottom w:val="0"/>
          <w:divBdr>
            <w:top w:val="none" w:sz="0" w:space="0" w:color="auto"/>
            <w:left w:val="none" w:sz="0" w:space="0" w:color="auto"/>
            <w:bottom w:val="none" w:sz="0" w:space="0" w:color="auto"/>
            <w:right w:val="none" w:sz="0" w:space="0" w:color="auto"/>
          </w:divBdr>
        </w:div>
        <w:div w:id="19746152">
          <w:marLeft w:val="425"/>
          <w:marRight w:val="0"/>
          <w:marTop w:val="0"/>
          <w:marBottom w:val="0"/>
          <w:divBdr>
            <w:top w:val="none" w:sz="0" w:space="0" w:color="auto"/>
            <w:left w:val="none" w:sz="0" w:space="0" w:color="auto"/>
            <w:bottom w:val="none" w:sz="0" w:space="0" w:color="auto"/>
            <w:right w:val="none" w:sz="0" w:space="0" w:color="auto"/>
          </w:divBdr>
        </w:div>
        <w:div w:id="478689954">
          <w:marLeft w:val="425"/>
          <w:marRight w:val="0"/>
          <w:marTop w:val="0"/>
          <w:marBottom w:val="0"/>
          <w:divBdr>
            <w:top w:val="none" w:sz="0" w:space="0" w:color="auto"/>
            <w:left w:val="none" w:sz="0" w:space="0" w:color="auto"/>
            <w:bottom w:val="none" w:sz="0" w:space="0" w:color="auto"/>
            <w:right w:val="none" w:sz="0" w:space="0" w:color="auto"/>
          </w:divBdr>
        </w:div>
        <w:div w:id="24798375">
          <w:marLeft w:val="425"/>
          <w:marRight w:val="0"/>
          <w:marTop w:val="0"/>
          <w:marBottom w:val="0"/>
          <w:divBdr>
            <w:top w:val="none" w:sz="0" w:space="0" w:color="auto"/>
            <w:left w:val="none" w:sz="0" w:space="0" w:color="auto"/>
            <w:bottom w:val="none" w:sz="0" w:space="0" w:color="auto"/>
            <w:right w:val="none" w:sz="0" w:space="0" w:color="auto"/>
          </w:divBdr>
        </w:div>
        <w:div w:id="324170158">
          <w:marLeft w:val="425"/>
          <w:marRight w:val="0"/>
          <w:marTop w:val="0"/>
          <w:marBottom w:val="0"/>
          <w:divBdr>
            <w:top w:val="none" w:sz="0" w:space="0" w:color="auto"/>
            <w:left w:val="none" w:sz="0" w:space="0" w:color="auto"/>
            <w:bottom w:val="none" w:sz="0" w:space="0" w:color="auto"/>
            <w:right w:val="none" w:sz="0" w:space="0" w:color="auto"/>
          </w:divBdr>
        </w:div>
        <w:div w:id="1468933102">
          <w:marLeft w:val="425"/>
          <w:marRight w:val="0"/>
          <w:marTop w:val="0"/>
          <w:marBottom w:val="0"/>
          <w:divBdr>
            <w:top w:val="none" w:sz="0" w:space="0" w:color="auto"/>
            <w:left w:val="none" w:sz="0" w:space="0" w:color="auto"/>
            <w:bottom w:val="none" w:sz="0" w:space="0" w:color="auto"/>
            <w:right w:val="none" w:sz="0" w:space="0" w:color="auto"/>
          </w:divBdr>
        </w:div>
        <w:div w:id="2092893825">
          <w:marLeft w:val="425"/>
          <w:marRight w:val="0"/>
          <w:marTop w:val="0"/>
          <w:marBottom w:val="0"/>
          <w:divBdr>
            <w:top w:val="none" w:sz="0" w:space="0" w:color="auto"/>
            <w:left w:val="none" w:sz="0" w:space="0" w:color="auto"/>
            <w:bottom w:val="none" w:sz="0" w:space="0" w:color="auto"/>
            <w:right w:val="none" w:sz="0" w:space="0" w:color="auto"/>
          </w:divBdr>
        </w:div>
        <w:div w:id="370422242">
          <w:marLeft w:val="425"/>
          <w:marRight w:val="0"/>
          <w:marTop w:val="0"/>
          <w:marBottom w:val="0"/>
          <w:divBdr>
            <w:top w:val="none" w:sz="0" w:space="0" w:color="auto"/>
            <w:left w:val="none" w:sz="0" w:space="0" w:color="auto"/>
            <w:bottom w:val="none" w:sz="0" w:space="0" w:color="auto"/>
            <w:right w:val="none" w:sz="0" w:space="0" w:color="auto"/>
          </w:divBdr>
        </w:div>
        <w:div w:id="1215041259">
          <w:marLeft w:val="425"/>
          <w:marRight w:val="0"/>
          <w:marTop w:val="0"/>
          <w:marBottom w:val="0"/>
          <w:divBdr>
            <w:top w:val="none" w:sz="0" w:space="0" w:color="auto"/>
            <w:left w:val="none" w:sz="0" w:space="0" w:color="auto"/>
            <w:bottom w:val="none" w:sz="0" w:space="0" w:color="auto"/>
            <w:right w:val="none" w:sz="0" w:space="0" w:color="auto"/>
          </w:divBdr>
        </w:div>
        <w:div w:id="1443844798">
          <w:marLeft w:val="425"/>
          <w:marRight w:val="0"/>
          <w:marTop w:val="0"/>
          <w:marBottom w:val="0"/>
          <w:divBdr>
            <w:top w:val="none" w:sz="0" w:space="0" w:color="auto"/>
            <w:left w:val="none" w:sz="0" w:space="0" w:color="auto"/>
            <w:bottom w:val="none" w:sz="0" w:space="0" w:color="auto"/>
            <w:right w:val="none" w:sz="0" w:space="0" w:color="auto"/>
          </w:divBdr>
        </w:div>
        <w:div w:id="1350792013">
          <w:marLeft w:val="425"/>
          <w:marRight w:val="0"/>
          <w:marTop w:val="0"/>
          <w:marBottom w:val="0"/>
          <w:divBdr>
            <w:top w:val="none" w:sz="0" w:space="0" w:color="auto"/>
            <w:left w:val="none" w:sz="0" w:space="0" w:color="auto"/>
            <w:bottom w:val="none" w:sz="0" w:space="0" w:color="auto"/>
            <w:right w:val="none" w:sz="0" w:space="0" w:color="auto"/>
          </w:divBdr>
        </w:div>
        <w:div w:id="1831097119">
          <w:marLeft w:val="425"/>
          <w:marRight w:val="0"/>
          <w:marTop w:val="0"/>
          <w:marBottom w:val="0"/>
          <w:divBdr>
            <w:top w:val="none" w:sz="0" w:space="0" w:color="auto"/>
            <w:left w:val="none" w:sz="0" w:space="0" w:color="auto"/>
            <w:bottom w:val="none" w:sz="0" w:space="0" w:color="auto"/>
            <w:right w:val="none" w:sz="0" w:space="0" w:color="auto"/>
          </w:divBdr>
        </w:div>
        <w:div w:id="2131851015">
          <w:marLeft w:val="425"/>
          <w:marRight w:val="0"/>
          <w:marTop w:val="0"/>
          <w:marBottom w:val="0"/>
          <w:divBdr>
            <w:top w:val="none" w:sz="0" w:space="0" w:color="auto"/>
            <w:left w:val="none" w:sz="0" w:space="0" w:color="auto"/>
            <w:bottom w:val="none" w:sz="0" w:space="0" w:color="auto"/>
            <w:right w:val="none" w:sz="0" w:space="0" w:color="auto"/>
          </w:divBdr>
        </w:div>
        <w:div w:id="1698963540">
          <w:marLeft w:val="425"/>
          <w:marRight w:val="0"/>
          <w:marTop w:val="0"/>
          <w:marBottom w:val="0"/>
          <w:divBdr>
            <w:top w:val="none" w:sz="0" w:space="0" w:color="auto"/>
            <w:left w:val="none" w:sz="0" w:space="0" w:color="auto"/>
            <w:bottom w:val="none" w:sz="0" w:space="0" w:color="auto"/>
            <w:right w:val="none" w:sz="0" w:space="0" w:color="auto"/>
          </w:divBdr>
        </w:div>
        <w:div w:id="1002784613">
          <w:marLeft w:val="425"/>
          <w:marRight w:val="0"/>
          <w:marTop w:val="0"/>
          <w:marBottom w:val="0"/>
          <w:divBdr>
            <w:top w:val="none" w:sz="0" w:space="0" w:color="auto"/>
            <w:left w:val="none" w:sz="0" w:space="0" w:color="auto"/>
            <w:bottom w:val="none" w:sz="0" w:space="0" w:color="auto"/>
            <w:right w:val="none" w:sz="0" w:space="0" w:color="auto"/>
          </w:divBdr>
        </w:div>
        <w:div w:id="328294097">
          <w:marLeft w:val="425"/>
          <w:marRight w:val="0"/>
          <w:marTop w:val="0"/>
          <w:marBottom w:val="0"/>
          <w:divBdr>
            <w:top w:val="none" w:sz="0" w:space="0" w:color="auto"/>
            <w:left w:val="none" w:sz="0" w:space="0" w:color="auto"/>
            <w:bottom w:val="none" w:sz="0" w:space="0" w:color="auto"/>
            <w:right w:val="none" w:sz="0" w:space="0" w:color="auto"/>
          </w:divBdr>
        </w:div>
        <w:div w:id="460653720">
          <w:marLeft w:val="425"/>
          <w:marRight w:val="0"/>
          <w:marTop w:val="0"/>
          <w:marBottom w:val="0"/>
          <w:divBdr>
            <w:top w:val="none" w:sz="0" w:space="0" w:color="auto"/>
            <w:left w:val="none" w:sz="0" w:space="0" w:color="auto"/>
            <w:bottom w:val="none" w:sz="0" w:space="0" w:color="auto"/>
            <w:right w:val="none" w:sz="0" w:space="0" w:color="auto"/>
          </w:divBdr>
        </w:div>
        <w:div w:id="990716127">
          <w:marLeft w:val="425"/>
          <w:marRight w:val="0"/>
          <w:marTop w:val="0"/>
          <w:marBottom w:val="0"/>
          <w:divBdr>
            <w:top w:val="none" w:sz="0" w:space="0" w:color="auto"/>
            <w:left w:val="none" w:sz="0" w:space="0" w:color="auto"/>
            <w:bottom w:val="none" w:sz="0" w:space="0" w:color="auto"/>
            <w:right w:val="none" w:sz="0" w:space="0" w:color="auto"/>
          </w:divBdr>
        </w:div>
        <w:div w:id="702367086">
          <w:marLeft w:val="425"/>
          <w:marRight w:val="0"/>
          <w:marTop w:val="0"/>
          <w:marBottom w:val="0"/>
          <w:divBdr>
            <w:top w:val="none" w:sz="0" w:space="0" w:color="auto"/>
            <w:left w:val="none" w:sz="0" w:space="0" w:color="auto"/>
            <w:bottom w:val="none" w:sz="0" w:space="0" w:color="auto"/>
            <w:right w:val="none" w:sz="0" w:space="0" w:color="auto"/>
          </w:divBdr>
        </w:div>
        <w:div w:id="404572909">
          <w:marLeft w:val="425"/>
          <w:marRight w:val="0"/>
          <w:marTop w:val="0"/>
          <w:marBottom w:val="0"/>
          <w:divBdr>
            <w:top w:val="none" w:sz="0" w:space="0" w:color="auto"/>
            <w:left w:val="none" w:sz="0" w:space="0" w:color="auto"/>
            <w:bottom w:val="none" w:sz="0" w:space="0" w:color="auto"/>
            <w:right w:val="none" w:sz="0" w:space="0" w:color="auto"/>
          </w:divBdr>
        </w:div>
        <w:div w:id="2088721344">
          <w:marLeft w:val="425"/>
          <w:marRight w:val="0"/>
          <w:marTop w:val="0"/>
          <w:marBottom w:val="0"/>
          <w:divBdr>
            <w:top w:val="none" w:sz="0" w:space="0" w:color="auto"/>
            <w:left w:val="none" w:sz="0" w:space="0" w:color="auto"/>
            <w:bottom w:val="none" w:sz="0" w:space="0" w:color="auto"/>
            <w:right w:val="none" w:sz="0" w:space="0" w:color="auto"/>
          </w:divBdr>
        </w:div>
        <w:div w:id="1807044410">
          <w:marLeft w:val="425"/>
          <w:marRight w:val="0"/>
          <w:marTop w:val="0"/>
          <w:marBottom w:val="0"/>
          <w:divBdr>
            <w:top w:val="none" w:sz="0" w:space="0" w:color="auto"/>
            <w:left w:val="none" w:sz="0" w:space="0" w:color="auto"/>
            <w:bottom w:val="none" w:sz="0" w:space="0" w:color="auto"/>
            <w:right w:val="none" w:sz="0" w:space="0" w:color="auto"/>
          </w:divBdr>
        </w:div>
        <w:div w:id="179929087">
          <w:marLeft w:val="425"/>
          <w:marRight w:val="0"/>
          <w:marTop w:val="0"/>
          <w:marBottom w:val="0"/>
          <w:divBdr>
            <w:top w:val="none" w:sz="0" w:space="0" w:color="auto"/>
            <w:left w:val="none" w:sz="0" w:space="0" w:color="auto"/>
            <w:bottom w:val="none" w:sz="0" w:space="0" w:color="auto"/>
            <w:right w:val="none" w:sz="0" w:space="0" w:color="auto"/>
          </w:divBdr>
        </w:div>
        <w:div w:id="433521018">
          <w:marLeft w:val="425"/>
          <w:marRight w:val="0"/>
          <w:marTop w:val="0"/>
          <w:marBottom w:val="0"/>
          <w:divBdr>
            <w:top w:val="none" w:sz="0" w:space="0" w:color="auto"/>
            <w:left w:val="none" w:sz="0" w:space="0" w:color="auto"/>
            <w:bottom w:val="none" w:sz="0" w:space="0" w:color="auto"/>
            <w:right w:val="none" w:sz="0" w:space="0" w:color="auto"/>
          </w:divBdr>
        </w:div>
        <w:div w:id="618226149">
          <w:marLeft w:val="425"/>
          <w:marRight w:val="0"/>
          <w:marTop w:val="0"/>
          <w:marBottom w:val="0"/>
          <w:divBdr>
            <w:top w:val="none" w:sz="0" w:space="0" w:color="auto"/>
            <w:left w:val="none" w:sz="0" w:space="0" w:color="auto"/>
            <w:bottom w:val="none" w:sz="0" w:space="0" w:color="auto"/>
            <w:right w:val="none" w:sz="0" w:space="0" w:color="auto"/>
          </w:divBdr>
        </w:div>
        <w:div w:id="550845195">
          <w:marLeft w:val="425"/>
          <w:marRight w:val="0"/>
          <w:marTop w:val="0"/>
          <w:marBottom w:val="0"/>
          <w:divBdr>
            <w:top w:val="none" w:sz="0" w:space="0" w:color="auto"/>
            <w:left w:val="none" w:sz="0" w:space="0" w:color="auto"/>
            <w:bottom w:val="none" w:sz="0" w:space="0" w:color="auto"/>
            <w:right w:val="none" w:sz="0" w:space="0" w:color="auto"/>
          </w:divBdr>
        </w:div>
        <w:div w:id="607079211">
          <w:marLeft w:val="425"/>
          <w:marRight w:val="0"/>
          <w:marTop w:val="0"/>
          <w:marBottom w:val="0"/>
          <w:divBdr>
            <w:top w:val="none" w:sz="0" w:space="0" w:color="auto"/>
            <w:left w:val="none" w:sz="0" w:space="0" w:color="auto"/>
            <w:bottom w:val="none" w:sz="0" w:space="0" w:color="auto"/>
            <w:right w:val="none" w:sz="0" w:space="0" w:color="auto"/>
          </w:divBdr>
        </w:div>
        <w:div w:id="1394307030">
          <w:marLeft w:val="425"/>
          <w:marRight w:val="0"/>
          <w:marTop w:val="0"/>
          <w:marBottom w:val="0"/>
          <w:divBdr>
            <w:top w:val="none" w:sz="0" w:space="0" w:color="auto"/>
            <w:left w:val="none" w:sz="0" w:space="0" w:color="auto"/>
            <w:bottom w:val="none" w:sz="0" w:space="0" w:color="auto"/>
            <w:right w:val="none" w:sz="0" w:space="0" w:color="auto"/>
          </w:divBdr>
        </w:div>
        <w:div w:id="488905417">
          <w:marLeft w:val="425"/>
          <w:marRight w:val="0"/>
          <w:marTop w:val="0"/>
          <w:marBottom w:val="0"/>
          <w:divBdr>
            <w:top w:val="none" w:sz="0" w:space="0" w:color="auto"/>
            <w:left w:val="none" w:sz="0" w:space="0" w:color="auto"/>
            <w:bottom w:val="none" w:sz="0" w:space="0" w:color="auto"/>
            <w:right w:val="none" w:sz="0" w:space="0" w:color="auto"/>
          </w:divBdr>
        </w:div>
        <w:div w:id="363557895">
          <w:marLeft w:val="425"/>
          <w:marRight w:val="0"/>
          <w:marTop w:val="0"/>
          <w:marBottom w:val="0"/>
          <w:divBdr>
            <w:top w:val="none" w:sz="0" w:space="0" w:color="auto"/>
            <w:left w:val="none" w:sz="0" w:space="0" w:color="auto"/>
            <w:bottom w:val="none" w:sz="0" w:space="0" w:color="auto"/>
            <w:right w:val="none" w:sz="0" w:space="0" w:color="auto"/>
          </w:divBdr>
        </w:div>
        <w:div w:id="1427649221">
          <w:marLeft w:val="425"/>
          <w:marRight w:val="0"/>
          <w:marTop w:val="0"/>
          <w:marBottom w:val="0"/>
          <w:divBdr>
            <w:top w:val="none" w:sz="0" w:space="0" w:color="auto"/>
            <w:left w:val="none" w:sz="0" w:space="0" w:color="auto"/>
            <w:bottom w:val="none" w:sz="0" w:space="0" w:color="auto"/>
            <w:right w:val="none" w:sz="0" w:space="0" w:color="auto"/>
          </w:divBdr>
        </w:div>
        <w:div w:id="941376504">
          <w:marLeft w:val="425"/>
          <w:marRight w:val="0"/>
          <w:marTop w:val="0"/>
          <w:marBottom w:val="0"/>
          <w:divBdr>
            <w:top w:val="none" w:sz="0" w:space="0" w:color="auto"/>
            <w:left w:val="none" w:sz="0" w:space="0" w:color="auto"/>
            <w:bottom w:val="none" w:sz="0" w:space="0" w:color="auto"/>
            <w:right w:val="none" w:sz="0" w:space="0" w:color="auto"/>
          </w:divBdr>
        </w:div>
        <w:div w:id="227885919">
          <w:marLeft w:val="425"/>
          <w:marRight w:val="0"/>
          <w:marTop w:val="0"/>
          <w:marBottom w:val="0"/>
          <w:divBdr>
            <w:top w:val="none" w:sz="0" w:space="0" w:color="auto"/>
            <w:left w:val="none" w:sz="0" w:space="0" w:color="auto"/>
            <w:bottom w:val="none" w:sz="0" w:space="0" w:color="auto"/>
            <w:right w:val="none" w:sz="0" w:space="0" w:color="auto"/>
          </w:divBdr>
        </w:div>
        <w:div w:id="958146561">
          <w:marLeft w:val="425"/>
          <w:marRight w:val="0"/>
          <w:marTop w:val="0"/>
          <w:marBottom w:val="0"/>
          <w:divBdr>
            <w:top w:val="none" w:sz="0" w:space="0" w:color="auto"/>
            <w:left w:val="none" w:sz="0" w:space="0" w:color="auto"/>
            <w:bottom w:val="none" w:sz="0" w:space="0" w:color="auto"/>
            <w:right w:val="none" w:sz="0" w:space="0" w:color="auto"/>
          </w:divBdr>
        </w:div>
        <w:div w:id="1135566146">
          <w:marLeft w:val="425"/>
          <w:marRight w:val="0"/>
          <w:marTop w:val="0"/>
          <w:marBottom w:val="0"/>
          <w:divBdr>
            <w:top w:val="none" w:sz="0" w:space="0" w:color="auto"/>
            <w:left w:val="none" w:sz="0" w:space="0" w:color="auto"/>
            <w:bottom w:val="none" w:sz="0" w:space="0" w:color="auto"/>
            <w:right w:val="none" w:sz="0" w:space="0" w:color="auto"/>
          </w:divBdr>
        </w:div>
        <w:div w:id="1394936701">
          <w:marLeft w:val="425"/>
          <w:marRight w:val="0"/>
          <w:marTop w:val="0"/>
          <w:marBottom w:val="0"/>
          <w:divBdr>
            <w:top w:val="none" w:sz="0" w:space="0" w:color="auto"/>
            <w:left w:val="none" w:sz="0" w:space="0" w:color="auto"/>
            <w:bottom w:val="none" w:sz="0" w:space="0" w:color="auto"/>
            <w:right w:val="none" w:sz="0" w:space="0" w:color="auto"/>
          </w:divBdr>
        </w:div>
        <w:div w:id="961351199">
          <w:marLeft w:val="0"/>
          <w:marRight w:val="0"/>
          <w:marTop w:val="240"/>
          <w:marBottom w:val="0"/>
          <w:divBdr>
            <w:top w:val="none" w:sz="0" w:space="0" w:color="auto"/>
            <w:left w:val="none" w:sz="0" w:space="0" w:color="auto"/>
            <w:bottom w:val="none" w:sz="0" w:space="0" w:color="auto"/>
            <w:right w:val="none" w:sz="0" w:space="0" w:color="auto"/>
          </w:divBdr>
        </w:div>
        <w:div w:id="1026054996">
          <w:marLeft w:val="0"/>
          <w:marRight w:val="0"/>
          <w:marTop w:val="240"/>
          <w:marBottom w:val="0"/>
          <w:divBdr>
            <w:top w:val="none" w:sz="0" w:space="0" w:color="auto"/>
            <w:left w:val="none" w:sz="0" w:space="0" w:color="auto"/>
            <w:bottom w:val="none" w:sz="0" w:space="0" w:color="auto"/>
            <w:right w:val="none" w:sz="0" w:space="0" w:color="auto"/>
          </w:divBdr>
        </w:div>
        <w:div w:id="1105341968">
          <w:marLeft w:val="425"/>
          <w:marRight w:val="0"/>
          <w:marTop w:val="0"/>
          <w:marBottom w:val="0"/>
          <w:divBdr>
            <w:top w:val="none" w:sz="0" w:space="0" w:color="auto"/>
            <w:left w:val="none" w:sz="0" w:space="0" w:color="auto"/>
            <w:bottom w:val="none" w:sz="0" w:space="0" w:color="auto"/>
            <w:right w:val="none" w:sz="0" w:space="0" w:color="auto"/>
          </w:divBdr>
        </w:div>
        <w:div w:id="760612416">
          <w:marLeft w:val="425"/>
          <w:marRight w:val="0"/>
          <w:marTop w:val="0"/>
          <w:marBottom w:val="0"/>
          <w:divBdr>
            <w:top w:val="none" w:sz="0" w:space="0" w:color="auto"/>
            <w:left w:val="none" w:sz="0" w:space="0" w:color="auto"/>
            <w:bottom w:val="none" w:sz="0" w:space="0" w:color="auto"/>
            <w:right w:val="none" w:sz="0" w:space="0" w:color="auto"/>
          </w:divBdr>
        </w:div>
        <w:div w:id="1504784066">
          <w:marLeft w:val="0"/>
          <w:marRight w:val="0"/>
          <w:marTop w:val="240"/>
          <w:marBottom w:val="0"/>
          <w:divBdr>
            <w:top w:val="none" w:sz="0" w:space="0" w:color="auto"/>
            <w:left w:val="none" w:sz="0" w:space="0" w:color="auto"/>
            <w:bottom w:val="none" w:sz="0" w:space="0" w:color="auto"/>
            <w:right w:val="none" w:sz="0" w:space="0" w:color="auto"/>
          </w:divBdr>
        </w:div>
        <w:div w:id="1563055793">
          <w:marLeft w:val="0"/>
          <w:marRight w:val="0"/>
          <w:marTop w:val="240"/>
          <w:marBottom w:val="0"/>
          <w:divBdr>
            <w:top w:val="none" w:sz="0" w:space="0" w:color="auto"/>
            <w:left w:val="none" w:sz="0" w:space="0" w:color="auto"/>
            <w:bottom w:val="none" w:sz="0" w:space="0" w:color="auto"/>
            <w:right w:val="none" w:sz="0" w:space="0" w:color="auto"/>
          </w:divBdr>
        </w:div>
        <w:div w:id="1993751932">
          <w:marLeft w:val="0"/>
          <w:marRight w:val="0"/>
          <w:marTop w:val="240"/>
          <w:marBottom w:val="0"/>
          <w:divBdr>
            <w:top w:val="none" w:sz="0" w:space="0" w:color="auto"/>
            <w:left w:val="none" w:sz="0" w:space="0" w:color="auto"/>
            <w:bottom w:val="none" w:sz="0" w:space="0" w:color="auto"/>
            <w:right w:val="none" w:sz="0" w:space="0" w:color="auto"/>
          </w:divBdr>
        </w:div>
        <w:div w:id="1188061807">
          <w:marLeft w:val="425"/>
          <w:marRight w:val="0"/>
          <w:marTop w:val="0"/>
          <w:marBottom w:val="0"/>
          <w:divBdr>
            <w:top w:val="none" w:sz="0" w:space="0" w:color="auto"/>
            <w:left w:val="none" w:sz="0" w:space="0" w:color="auto"/>
            <w:bottom w:val="none" w:sz="0" w:space="0" w:color="auto"/>
            <w:right w:val="none" w:sz="0" w:space="0" w:color="auto"/>
          </w:divBdr>
        </w:div>
        <w:div w:id="1746101419">
          <w:marLeft w:val="425"/>
          <w:marRight w:val="0"/>
          <w:marTop w:val="0"/>
          <w:marBottom w:val="0"/>
          <w:divBdr>
            <w:top w:val="none" w:sz="0" w:space="0" w:color="auto"/>
            <w:left w:val="none" w:sz="0" w:space="0" w:color="auto"/>
            <w:bottom w:val="none" w:sz="0" w:space="0" w:color="auto"/>
            <w:right w:val="none" w:sz="0" w:space="0" w:color="auto"/>
          </w:divBdr>
        </w:div>
        <w:div w:id="512648518">
          <w:marLeft w:val="0"/>
          <w:marRight w:val="0"/>
          <w:marTop w:val="240"/>
          <w:marBottom w:val="0"/>
          <w:divBdr>
            <w:top w:val="none" w:sz="0" w:space="0" w:color="auto"/>
            <w:left w:val="none" w:sz="0" w:space="0" w:color="auto"/>
            <w:bottom w:val="none" w:sz="0" w:space="0" w:color="auto"/>
            <w:right w:val="none" w:sz="0" w:space="0" w:color="auto"/>
          </w:divBdr>
        </w:div>
      </w:divsChild>
    </w:div>
    <w:div w:id="1461457741">
      <w:bodyDiv w:val="1"/>
      <w:marLeft w:val="0"/>
      <w:marRight w:val="0"/>
      <w:marTop w:val="0"/>
      <w:marBottom w:val="0"/>
      <w:divBdr>
        <w:top w:val="none" w:sz="0" w:space="0" w:color="auto"/>
        <w:left w:val="none" w:sz="0" w:space="0" w:color="auto"/>
        <w:bottom w:val="none" w:sz="0" w:space="0" w:color="auto"/>
        <w:right w:val="none" w:sz="0" w:space="0" w:color="auto"/>
      </w:divBdr>
      <w:divsChild>
        <w:div w:id="2047556302">
          <w:marLeft w:val="0"/>
          <w:marRight w:val="0"/>
          <w:marTop w:val="480"/>
          <w:marBottom w:val="0"/>
          <w:divBdr>
            <w:top w:val="none" w:sz="0" w:space="0" w:color="auto"/>
            <w:left w:val="none" w:sz="0" w:space="0" w:color="auto"/>
            <w:bottom w:val="none" w:sz="0" w:space="0" w:color="auto"/>
            <w:right w:val="none" w:sz="0" w:space="0" w:color="auto"/>
          </w:divBdr>
        </w:div>
        <w:div w:id="273901812">
          <w:marLeft w:val="0"/>
          <w:marRight w:val="0"/>
          <w:marTop w:val="0"/>
          <w:marBottom w:val="0"/>
          <w:divBdr>
            <w:top w:val="none" w:sz="0" w:space="0" w:color="auto"/>
            <w:left w:val="none" w:sz="0" w:space="0" w:color="auto"/>
            <w:bottom w:val="none" w:sz="0" w:space="0" w:color="auto"/>
            <w:right w:val="none" w:sz="0" w:space="0" w:color="auto"/>
          </w:divBdr>
        </w:div>
        <w:div w:id="2110539583">
          <w:marLeft w:val="0"/>
          <w:marRight w:val="0"/>
          <w:marTop w:val="240"/>
          <w:marBottom w:val="0"/>
          <w:divBdr>
            <w:top w:val="none" w:sz="0" w:space="0" w:color="auto"/>
            <w:left w:val="none" w:sz="0" w:space="0" w:color="auto"/>
            <w:bottom w:val="none" w:sz="0" w:space="0" w:color="auto"/>
            <w:right w:val="none" w:sz="0" w:space="0" w:color="auto"/>
          </w:divBdr>
        </w:div>
      </w:divsChild>
    </w:div>
    <w:div w:id="1471945480">
      <w:bodyDiv w:val="1"/>
      <w:marLeft w:val="0"/>
      <w:marRight w:val="0"/>
      <w:marTop w:val="0"/>
      <w:marBottom w:val="0"/>
      <w:divBdr>
        <w:top w:val="none" w:sz="0" w:space="0" w:color="auto"/>
        <w:left w:val="none" w:sz="0" w:space="0" w:color="auto"/>
        <w:bottom w:val="none" w:sz="0" w:space="0" w:color="auto"/>
        <w:right w:val="none" w:sz="0" w:space="0" w:color="auto"/>
      </w:divBdr>
      <w:divsChild>
        <w:div w:id="1736927015">
          <w:marLeft w:val="0"/>
          <w:marRight w:val="0"/>
          <w:marTop w:val="480"/>
          <w:marBottom w:val="0"/>
          <w:divBdr>
            <w:top w:val="none" w:sz="0" w:space="0" w:color="auto"/>
            <w:left w:val="none" w:sz="0" w:space="0" w:color="auto"/>
            <w:bottom w:val="none" w:sz="0" w:space="0" w:color="auto"/>
            <w:right w:val="none" w:sz="0" w:space="0" w:color="auto"/>
          </w:divBdr>
        </w:div>
        <w:div w:id="2095203057">
          <w:marLeft w:val="0"/>
          <w:marRight w:val="0"/>
          <w:marTop w:val="0"/>
          <w:marBottom w:val="0"/>
          <w:divBdr>
            <w:top w:val="none" w:sz="0" w:space="0" w:color="auto"/>
            <w:left w:val="none" w:sz="0" w:space="0" w:color="auto"/>
            <w:bottom w:val="none" w:sz="0" w:space="0" w:color="auto"/>
            <w:right w:val="none" w:sz="0" w:space="0" w:color="auto"/>
          </w:divBdr>
        </w:div>
        <w:div w:id="942034403">
          <w:marLeft w:val="0"/>
          <w:marRight w:val="0"/>
          <w:marTop w:val="240"/>
          <w:marBottom w:val="0"/>
          <w:divBdr>
            <w:top w:val="none" w:sz="0" w:space="0" w:color="auto"/>
            <w:left w:val="none" w:sz="0" w:space="0" w:color="auto"/>
            <w:bottom w:val="none" w:sz="0" w:space="0" w:color="auto"/>
            <w:right w:val="none" w:sz="0" w:space="0" w:color="auto"/>
          </w:divBdr>
        </w:div>
        <w:div w:id="317001379">
          <w:marLeft w:val="425"/>
          <w:marRight w:val="0"/>
          <w:marTop w:val="0"/>
          <w:marBottom w:val="0"/>
          <w:divBdr>
            <w:top w:val="none" w:sz="0" w:space="0" w:color="auto"/>
            <w:left w:val="none" w:sz="0" w:space="0" w:color="auto"/>
            <w:bottom w:val="none" w:sz="0" w:space="0" w:color="auto"/>
            <w:right w:val="none" w:sz="0" w:space="0" w:color="auto"/>
          </w:divBdr>
        </w:div>
        <w:div w:id="490105213">
          <w:marLeft w:val="425"/>
          <w:marRight w:val="0"/>
          <w:marTop w:val="0"/>
          <w:marBottom w:val="0"/>
          <w:divBdr>
            <w:top w:val="none" w:sz="0" w:space="0" w:color="auto"/>
            <w:left w:val="none" w:sz="0" w:space="0" w:color="auto"/>
            <w:bottom w:val="none" w:sz="0" w:space="0" w:color="auto"/>
            <w:right w:val="none" w:sz="0" w:space="0" w:color="auto"/>
          </w:divBdr>
        </w:div>
        <w:div w:id="2116365669">
          <w:marLeft w:val="425"/>
          <w:marRight w:val="0"/>
          <w:marTop w:val="0"/>
          <w:marBottom w:val="0"/>
          <w:divBdr>
            <w:top w:val="none" w:sz="0" w:space="0" w:color="auto"/>
            <w:left w:val="none" w:sz="0" w:space="0" w:color="auto"/>
            <w:bottom w:val="none" w:sz="0" w:space="0" w:color="auto"/>
            <w:right w:val="none" w:sz="0" w:space="0" w:color="auto"/>
          </w:divBdr>
        </w:div>
        <w:div w:id="500005274">
          <w:marLeft w:val="425"/>
          <w:marRight w:val="0"/>
          <w:marTop w:val="0"/>
          <w:marBottom w:val="0"/>
          <w:divBdr>
            <w:top w:val="none" w:sz="0" w:space="0" w:color="auto"/>
            <w:left w:val="none" w:sz="0" w:space="0" w:color="auto"/>
            <w:bottom w:val="none" w:sz="0" w:space="0" w:color="auto"/>
            <w:right w:val="none" w:sz="0" w:space="0" w:color="auto"/>
          </w:divBdr>
        </w:div>
        <w:div w:id="881289100">
          <w:marLeft w:val="425"/>
          <w:marRight w:val="0"/>
          <w:marTop w:val="0"/>
          <w:marBottom w:val="0"/>
          <w:divBdr>
            <w:top w:val="none" w:sz="0" w:space="0" w:color="auto"/>
            <w:left w:val="none" w:sz="0" w:space="0" w:color="auto"/>
            <w:bottom w:val="none" w:sz="0" w:space="0" w:color="auto"/>
            <w:right w:val="none" w:sz="0" w:space="0" w:color="auto"/>
          </w:divBdr>
        </w:div>
        <w:div w:id="2102215057">
          <w:marLeft w:val="425"/>
          <w:marRight w:val="0"/>
          <w:marTop w:val="0"/>
          <w:marBottom w:val="0"/>
          <w:divBdr>
            <w:top w:val="none" w:sz="0" w:space="0" w:color="auto"/>
            <w:left w:val="none" w:sz="0" w:space="0" w:color="auto"/>
            <w:bottom w:val="none" w:sz="0" w:space="0" w:color="auto"/>
            <w:right w:val="none" w:sz="0" w:space="0" w:color="auto"/>
          </w:divBdr>
        </w:div>
        <w:div w:id="1917395127">
          <w:marLeft w:val="425"/>
          <w:marRight w:val="0"/>
          <w:marTop w:val="0"/>
          <w:marBottom w:val="0"/>
          <w:divBdr>
            <w:top w:val="none" w:sz="0" w:space="0" w:color="auto"/>
            <w:left w:val="none" w:sz="0" w:space="0" w:color="auto"/>
            <w:bottom w:val="none" w:sz="0" w:space="0" w:color="auto"/>
            <w:right w:val="none" w:sz="0" w:space="0" w:color="auto"/>
          </w:divBdr>
        </w:div>
        <w:div w:id="797840066">
          <w:marLeft w:val="425"/>
          <w:marRight w:val="0"/>
          <w:marTop w:val="0"/>
          <w:marBottom w:val="0"/>
          <w:divBdr>
            <w:top w:val="none" w:sz="0" w:space="0" w:color="auto"/>
            <w:left w:val="none" w:sz="0" w:space="0" w:color="auto"/>
            <w:bottom w:val="none" w:sz="0" w:space="0" w:color="auto"/>
            <w:right w:val="none" w:sz="0" w:space="0" w:color="auto"/>
          </w:divBdr>
        </w:div>
        <w:div w:id="1001273922">
          <w:marLeft w:val="425"/>
          <w:marRight w:val="0"/>
          <w:marTop w:val="0"/>
          <w:marBottom w:val="0"/>
          <w:divBdr>
            <w:top w:val="none" w:sz="0" w:space="0" w:color="auto"/>
            <w:left w:val="none" w:sz="0" w:space="0" w:color="auto"/>
            <w:bottom w:val="none" w:sz="0" w:space="0" w:color="auto"/>
            <w:right w:val="none" w:sz="0" w:space="0" w:color="auto"/>
          </w:divBdr>
        </w:div>
        <w:div w:id="494995162">
          <w:marLeft w:val="0"/>
          <w:marRight w:val="0"/>
          <w:marTop w:val="240"/>
          <w:marBottom w:val="0"/>
          <w:divBdr>
            <w:top w:val="none" w:sz="0" w:space="0" w:color="auto"/>
            <w:left w:val="none" w:sz="0" w:space="0" w:color="auto"/>
            <w:bottom w:val="none" w:sz="0" w:space="0" w:color="auto"/>
            <w:right w:val="none" w:sz="0" w:space="0" w:color="auto"/>
          </w:divBdr>
        </w:div>
        <w:div w:id="1729374943">
          <w:marLeft w:val="0"/>
          <w:marRight w:val="0"/>
          <w:marTop w:val="240"/>
          <w:marBottom w:val="0"/>
          <w:divBdr>
            <w:top w:val="none" w:sz="0" w:space="0" w:color="auto"/>
            <w:left w:val="none" w:sz="0" w:space="0" w:color="auto"/>
            <w:bottom w:val="none" w:sz="0" w:space="0" w:color="auto"/>
            <w:right w:val="none" w:sz="0" w:space="0" w:color="auto"/>
          </w:divBdr>
        </w:div>
        <w:div w:id="889458051">
          <w:marLeft w:val="425"/>
          <w:marRight w:val="0"/>
          <w:marTop w:val="0"/>
          <w:marBottom w:val="0"/>
          <w:divBdr>
            <w:top w:val="none" w:sz="0" w:space="0" w:color="auto"/>
            <w:left w:val="none" w:sz="0" w:space="0" w:color="auto"/>
            <w:bottom w:val="none" w:sz="0" w:space="0" w:color="auto"/>
            <w:right w:val="none" w:sz="0" w:space="0" w:color="auto"/>
          </w:divBdr>
        </w:div>
        <w:div w:id="1642806231">
          <w:marLeft w:val="425"/>
          <w:marRight w:val="0"/>
          <w:marTop w:val="0"/>
          <w:marBottom w:val="0"/>
          <w:divBdr>
            <w:top w:val="none" w:sz="0" w:space="0" w:color="auto"/>
            <w:left w:val="none" w:sz="0" w:space="0" w:color="auto"/>
            <w:bottom w:val="none" w:sz="0" w:space="0" w:color="auto"/>
            <w:right w:val="none" w:sz="0" w:space="0" w:color="auto"/>
          </w:divBdr>
        </w:div>
        <w:div w:id="1055081938">
          <w:marLeft w:val="0"/>
          <w:marRight w:val="0"/>
          <w:marTop w:val="240"/>
          <w:marBottom w:val="0"/>
          <w:divBdr>
            <w:top w:val="none" w:sz="0" w:space="0" w:color="auto"/>
            <w:left w:val="none" w:sz="0" w:space="0" w:color="auto"/>
            <w:bottom w:val="none" w:sz="0" w:space="0" w:color="auto"/>
            <w:right w:val="none" w:sz="0" w:space="0" w:color="auto"/>
          </w:divBdr>
        </w:div>
        <w:div w:id="813957471">
          <w:marLeft w:val="0"/>
          <w:marRight w:val="0"/>
          <w:marTop w:val="240"/>
          <w:marBottom w:val="0"/>
          <w:divBdr>
            <w:top w:val="none" w:sz="0" w:space="0" w:color="auto"/>
            <w:left w:val="none" w:sz="0" w:space="0" w:color="auto"/>
            <w:bottom w:val="none" w:sz="0" w:space="0" w:color="auto"/>
            <w:right w:val="none" w:sz="0" w:space="0" w:color="auto"/>
          </w:divBdr>
        </w:div>
        <w:div w:id="784889627">
          <w:marLeft w:val="0"/>
          <w:marRight w:val="0"/>
          <w:marTop w:val="240"/>
          <w:marBottom w:val="0"/>
          <w:divBdr>
            <w:top w:val="none" w:sz="0" w:space="0" w:color="auto"/>
            <w:left w:val="none" w:sz="0" w:space="0" w:color="auto"/>
            <w:bottom w:val="none" w:sz="0" w:space="0" w:color="auto"/>
            <w:right w:val="none" w:sz="0" w:space="0" w:color="auto"/>
          </w:divBdr>
        </w:div>
        <w:div w:id="1669677366">
          <w:marLeft w:val="0"/>
          <w:marRight w:val="0"/>
          <w:marTop w:val="240"/>
          <w:marBottom w:val="0"/>
          <w:divBdr>
            <w:top w:val="none" w:sz="0" w:space="0" w:color="auto"/>
            <w:left w:val="none" w:sz="0" w:space="0" w:color="auto"/>
            <w:bottom w:val="none" w:sz="0" w:space="0" w:color="auto"/>
            <w:right w:val="none" w:sz="0" w:space="0" w:color="auto"/>
          </w:divBdr>
        </w:div>
      </w:divsChild>
    </w:div>
    <w:div w:id="1479569462">
      <w:bodyDiv w:val="1"/>
      <w:marLeft w:val="0"/>
      <w:marRight w:val="0"/>
      <w:marTop w:val="0"/>
      <w:marBottom w:val="0"/>
      <w:divBdr>
        <w:top w:val="none" w:sz="0" w:space="0" w:color="auto"/>
        <w:left w:val="none" w:sz="0" w:space="0" w:color="auto"/>
        <w:bottom w:val="none" w:sz="0" w:space="0" w:color="auto"/>
        <w:right w:val="none" w:sz="0" w:space="0" w:color="auto"/>
      </w:divBdr>
      <w:divsChild>
        <w:div w:id="1720664030">
          <w:marLeft w:val="0"/>
          <w:marRight w:val="0"/>
          <w:marTop w:val="480"/>
          <w:marBottom w:val="0"/>
          <w:divBdr>
            <w:top w:val="none" w:sz="0" w:space="0" w:color="auto"/>
            <w:left w:val="none" w:sz="0" w:space="0" w:color="auto"/>
            <w:bottom w:val="none" w:sz="0" w:space="0" w:color="auto"/>
            <w:right w:val="none" w:sz="0" w:space="0" w:color="auto"/>
          </w:divBdr>
        </w:div>
        <w:div w:id="814687920">
          <w:marLeft w:val="0"/>
          <w:marRight w:val="0"/>
          <w:marTop w:val="0"/>
          <w:marBottom w:val="0"/>
          <w:divBdr>
            <w:top w:val="none" w:sz="0" w:space="0" w:color="auto"/>
            <w:left w:val="none" w:sz="0" w:space="0" w:color="auto"/>
            <w:bottom w:val="none" w:sz="0" w:space="0" w:color="auto"/>
            <w:right w:val="none" w:sz="0" w:space="0" w:color="auto"/>
          </w:divBdr>
        </w:div>
        <w:div w:id="793131766">
          <w:marLeft w:val="0"/>
          <w:marRight w:val="0"/>
          <w:marTop w:val="240"/>
          <w:marBottom w:val="0"/>
          <w:divBdr>
            <w:top w:val="none" w:sz="0" w:space="0" w:color="auto"/>
            <w:left w:val="none" w:sz="0" w:space="0" w:color="auto"/>
            <w:bottom w:val="none" w:sz="0" w:space="0" w:color="auto"/>
            <w:right w:val="none" w:sz="0" w:space="0" w:color="auto"/>
          </w:divBdr>
        </w:div>
        <w:div w:id="267128112">
          <w:marLeft w:val="425"/>
          <w:marRight w:val="0"/>
          <w:marTop w:val="0"/>
          <w:marBottom w:val="0"/>
          <w:divBdr>
            <w:top w:val="none" w:sz="0" w:space="0" w:color="auto"/>
            <w:left w:val="none" w:sz="0" w:space="0" w:color="auto"/>
            <w:bottom w:val="none" w:sz="0" w:space="0" w:color="auto"/>
            <w:right w:val="none" w:sz="0" w:space="0" w:color="auto"/>
          </w:divBdr>
        </w:div>
        <w:div w:id="48766429">
          <w:marLeft w:val="425"/>
          <w:marRight w:val="0"/>
          <w:marTop w:val="0"/>
          <w:marBottom w:val="0"/>
          <w:divBdr>
            <w:top w:val="none" w:sz="0" w:space="0" w:color="auto"/>
            <w:left w:val="none" w:sz="0" w:space="0" w:color="auto"/>
            <w:bottom w:val="none" w:sz="0" w:space="0" w:color="auto"/>
            <w:right w:val="none" w:sz="0" w:space="0" w:color="auto"/>
          </w:divBdr>
        </w:div>
        <w:div w:id="978996710">
          <w:marLeft w:val="425"/>
          <w:marRight w:val="0"/>
          <w:marTop w:val="0"/>
          <w:marBottom w:val="0"/>
          <w:divBdr>
            <w:top w:val="none" w:sz="0" w:space="0" w:color="auto"/>
            <w:left w:val="none" w:sz="0" w:space="0" w:color="auto"/>
            <w:bottom w:val="none" w:sz="0" w:space="0" w:color="auto"/>
            <w:right w:val="none" w:sz="0" w:space="0" w:color="auto"/>
          </w:divBdr>
        </w:div>
        <w:div w:id="362440220">
          <w:marLeft w:val="425"/>
          <w:marRight w:val="0"/>
          <w:marTop w:val="0"/>
          <w:marBottom w:val="0"/>
          <w:divBdr>
            <w:top w:val="none" w:sz="0" w:space="0" w:color="auto"/>
            <w:left w:val="none" w:sz="0" w:space="0" w:color="auto"/>
            <w:bottom w:val="none" w:sz="0" w:space="0" w:color="auto"/>
            <w:right w:val="none" w:sz="0" w:space="0" w:color="auto"/>
          </w:divBdr>
        </w:div>
      </w:divsChild>
    </w:div>
    <w:div w:id="1480540104">
      <w:bodyDiv w:val="1"/>
      <w:marLeft w:val="0"/>
      <w:marRight w:val="0"/>
      <w:marTop w:val="0"/>
      <w:marBottom w:val="0"/>
      <w:divBdr>
        <w:top w:val="none" w:sz="0" w:space="0" w:color="auto"/>
        <w:left w:val="none" w:sz="0" w:space="0" w:color="auto"/>
        <w:bottom w:val="none" w:sz="0" w:space="0" w:color="auto"/>
        <w:right w:val="none" w:sz="0" w:space="0" w:color="auto"/>
      </w:divBdr>
      <w:divsChild>
        <w:div w:id="489441967">
          <w:marLeft w:val="0"/>
          <w:marRight w:val="0"/>
          <w:marTop w:val="480"/>
          <w:marBottom w:val="0"/>
          <w:divBdr>
            <w:top w:val="none" w:sz="0" w:space="0" w:color="auto"/>
            <w:left w:val="none" w:sz="0" w:space="0" w:color="auto"/>
            <w:bottom w:val="none" w:sz="0" w:space="0" w:color="auto"/>
            <w:right w:val="none" w:sz="0" w:space="0" w:color="auto"/>
          </w:divBdr>
        </w:div>
        <w:div w:id="1198085874">
          <w:marLeft w:val="0"/>
          <w:marRight w:val="0"/>
          <w:marTop w:val="0"/>
          <w:marBottom w:val="0"/>
          <w:divBdr>
            <w:top w:val="none" w:sz="0" w:space="0" w:color="auto"/>
            <w:left w:val="none" w:sz="0" w:space="0" w:color="auto"/>
            <w:bottom w:val="none" w:sz="0" w:space="0" w:color="auto"/>
            <w:right w:val="none" w:sz="0" w:space="0" w:color="auto"/>
          </w:divBdr>
        </w:div>
        <w:div w:id="654995118">
          <w:marLeft w:val="0"/>
          <w:marRight w:val="0"/>
          <w:marTop w:val="240"/>
          <w:marBottom w:val="0"/>
          <w:divBdr>
            <w:top w:val="none" w:sz="0" w:space="0" w:color="auto"/>
            <w:left w:val="none" w:sz="0" w:space="0" w:color="auto"/>
            <w:bottom w:val="none" w:sz="0" w:space="0" w:color="auto"/>
            <w:right w:val="none" w:sz="0" w:space="0" w:color="auto"/>
          </w:divBdr>
        </w:div>
        <w:div w:id="1124083738">
          <w:marLeft w:val="0"/>
          <w:marRight w:val="0"/>
          <w:marTop w:val="240"/>
          <w:marBottom w:val="0"/>
          <w:divBdr>
            <w:top w:val="none" w:sz="0" w:space="0" w:color="auto"/>
            <w:left w:val="none" w:sz="0" w:space="0" w:color="auto"/>
            <w:bottom w:val="none" w:sz="0" w:space="0" w:color="auto"/>
            <w:right w:val="none" w:sz="0" w:space="0" w:color="auto"/>
          </w:divBdr>
        </w:div>
        <w:div w:id="864177256">
          <w:marLeft w:val="425"/>
          <w:marRight w:val="0"/>
          <w:marTop w:val="0"/>
          <w:marBottom w:val="0"/>
          <w:divBdr>
            <w:top w:val="none" w:sz="0" w:space="0" w:color="auto"/>
            <w:left w:val="none" w:sz="0" w:space="0" w:color="auto"/>
            <w:bottom w:val="none" w:sz="0" w:space="0" w:color="auto"/>
            <w:right w:val="none" w:sz="0" w:space="0" w:color="auto"/>
          </w:divBdr>
          <w:divsChild>
            <w:div w:id="1935741014">
              <w:marLeft w:val="0"/>
              <w:marRight w:val="0"/>
              <w:marTop w:val="0"/>
              <w:marBottom w:val="0"/>
              <w:divBdr>
                <w:top w:val="none" w:sz="0" w:space="0" w:color="auto"/>
                <w:left w:val="none" w:sz="0" w:space="0" w:color="auto"/>
                <w:bottom w:val="none" w:sz="0" w:space="0" w:color="auto"/>
                <w:right w:val="none" w:sz="0" w:space="0" w:color="auto"/>
              </w:divBdr>
            </w:div>
          </w:divsChild>
        </w:div>
        <w:div w:id="791241870">
          <w:marLeft w:val="425"/>
          <w:marRight w:val="0"/>
          <w:marTop w:val="0"/>
          <w:marBottom w:val="0"/>
          <w:divBdr>
            <w:top w:val="none" w:sz="0" w:space="0" w:color="auto"/>
            <w:left w:val="none" w:sz="0" w:space="0" w:color="auto"/>
            <w:bottom w:val="none" w:sz="0" w:space="0" w:color="auto"/>
            <w:right w:val="none" w:sz="0" w:space="0" w:color="auto"/>
          </w:divBdr>
          <w:divsChild>
            <w:div w:id="1219711273">
              <w:marLeft w:val="0"/>
              <w:marRight w:val="0"/>
              <w:marTop w:val="0"/>
              <w:marBottom w:val="0"/>
              <w:divBdr>
                <w:top w:val="none" w:sz="0" w:space="0" w:color="auto"/>
                <w:left w:val="none" w:sz="0" w:space="0" w:color="auto"/>
                <w:bottom w:val="none" w:sz="0" w:space="0" w:color="auto"/>
                <w:right w:val="none" w:sz="0" w:space="0" w:color="auto"/>
              </w:divBdr>
            </w:div>
          </w:divsChild>
        </w:div>
        <w:div w:id="135534099">
          <w:marLeft w:val="425"/>
          <w:marRight w:val="0"/>
          <w:marTop w:val="0"/>
          <w:marBottom w:val="0"/>
          <w:divBdr>
            <w:top w:val="none" w:sz="0" w:space="0" w:color="auto"/>
            <w:left w:val="none" w:sz="0" w:space="0" w:color="auto"/>
            <w:bottom w:val="none" w:sz="0" w:space="0" w:color="auto"/>
            <w:right w:val="none" w:sz="0" w:space="0" w:color="auto"/>
          </w:divBdr>
          <w:divsChild>
            <w:div w:id="872352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908850">
      <w:bodyDiv w:val="1"/>
      <w:marLeft w:val="0"/>
      <w:marRight w:val="0"/>
      <w:marTop w:val="0"/>
      <w:marBottom w:val="0"/>
      <w:divBdr>
        <w:top w:val="none" w:sz="0" w:space="0" w:color="auto"/>
        <w:left w:val="none" w:sz="0" w:space="0" w:color="auto"/>
        <w:bottom w:val="none" w:sz="0" w:space="0" w:color="auto"/>
        <w:right w:val="none" w:sz="0" w:space="0" w:color="auto"/>
      </w:divBdr>
      <w:divsChild>
        <w:div w:id="2077704760">
          <w:marLeft w:val="0"/>
          <w:marRight w:val="0"/>
          <w:marTop w:val="480"/>
          <w:marBottom w:val="0"/>
          <w:divBdr>
            <w:top w:val="none" w:sz="0" w:space="0" w:color="auto"/>
            <w:left w:val="none" w:sz="0" w:space="0" w:color="auto"/>
            <w:bottom w:val="none" w:sz="0" w:space="0" w:color="auto"/>
            <w:right w:val="none" w:sz="0" w:space="0" w:color="auto"/>
          </w:divBdr>
        </w:div>
        <w:div w:id="1840656752">
          <w:marLeft w:val="0"/>
          <w:marRight w:val="0"/>
          <w:marTop w:val="0"/>
          <w:marBottom w:val="0"/>
          <w:divBdr>
            <w:top w:val="none" w:sz="0" w:space="0" w:color="auto"/>
            <w:left w:val="none" w:sz="0" w:space="0" w:color="auto"/>
            <w:bottom w:val="none" w:sz="0" w:space="0" w:color="auto"/>
            <w:right w:val="none" w:sz="0" w:space="0" w:color="auto"/>
          </w:divBdr>
        </w:div>
        <w:div w:id="868026299">
          <w:marLeft w:val="0"/>
          <w:marRight w:val="0"/>
          <w:marTop w:val="240"/>
          <w:marBottom w:val="0"/>
          <w:divBdr>
            <w:top w:val="none" w:sz="0" w:space="0" w:color="auto"/>
            <w:left w:val="none" w:sz="0" w:space="0" w:color="auto"/>
            <w:bottom w:val="none" w:sz="0" w:space="0" w:color="auto"/>
            <w:right w:val="none" w:sz="0" w:space="0" w:color="auto"/>
          </w:divBdr>
        </w:div>
        <w:div w:id="218444035">
          <w:marLeft w:val="425"/>
          <w:marRight w:val="0"/>
          <w:marTop w:val="0"/>
          <w:marBottom w:val="0"/>
          <w:divBdr>
            <w:top w:val="none" w:sz="0" w:space="0" w:color="auto"/>
            <w:left w:val="none" w:sz="0" w:space="0" w:color="auto"/>
            <w:bottom w:val="none" w:sz="0" w:space="0" w:color="auto"/>
            <w:right w:val="none" w:sz="0" w:space="0" w:color="auto"/>
          </w:divBdr>
        </w:div>
        <w:div w:id="1539662287">
          <w:marLeft w:val="425"/>
          <w:marRight w:val="0"/>
          <w:marTop w:val="0"/>
          <w:marBottom w:val="0"/>
          <w:divBdr>
            <w:top w:val="none" w:sz="0" w:space="0" w:color="auto"/>
            <w:left w:val="none" w:sz="0" w:space="0" w:color="auto"/>
            <w:bottom w:val="none" w:sz="0" w:space="0" w:color="auto"/>
            <w:right w:val="none" w:sz="0" w:space="0" w:color="auto"/>
          </w:divBdr>
        </w:div>
        <w:div w:id="1544755355">
          <w:marLeft w:val="425"/>
          <w:marRight w:val="0"/>
          <w:marTop w:val="0"/>
          <w:marBottom w:val="0"/>
          <w:divBdr>
            <w:top w:val="none" w:sz="0" w:space="0" w:color="auto"/>
            <w:left w:val="none" w:sz="0" w:space="0" w:color="auto"/>
            <w:bottom w:val="none" w:sz="0" w:space="0" w:color="auto"/>
            <w:right w:val="none" w:sz="0" w:space="0" w:color="auto"/>
          </w:divBdr>
        </w:div>
        <w:div w:id="120271065">
          <w:marLeft w:val="425"/>
          <w:marRight w:val="0"/>
          <w:marTop w:val="0"/>
          <w:marBottom w:val="0"/>
          <w:divBdr>
            <w:top w:val="none" w:sz="0" w:space="0" w:color="auto"/>
            <w:left w:val="none" w:sz="0" w:space="0" w:color="auto"/>
            <w:bottom w:val="none" w:sz="0" w:space="0" w:color="auto"/>
            <w:right w:val="none" w:sz="0" w:space="0" w:color="auto"/>
          </w:divBdr>
        </w:div>
        <w:div w:id="384067005">
          <w:marLeft w:val="425"/>
          <w:marRight w:val="0"/>
          <w:marTop w:val="0"/>
          <w:marBottom w:val="0"/>
          <w:divBdr>
            <w:top w:val="none" w:sz="0" w:space="0" w:color="auto"/>
            <w:left w:val="none" w:sz="0" w:space="0" w:color="auto"/>
            <w:bottom w:val="none" w:sz="0" w:space="0" w:color="auto"/>
            <w:right w:val="none" w:sz="0" w:space="0" w:color="auto"/>
          </w:divBdr>
        </w:div>
        <w:div w:id="775170530">
          <w:marLeft w:val="425"/>
          <w:marRight w:val="0"/>
          <w:marTop w:val="0"/>
          <w:marBottom w:val="0"/>
          <w:divBdr>
            <w:top w:val="none" w:sz="0" w:space="0" w:color="auto"/>
            <w:left w:val="none" w:sz="0" w:space="0" w:color="auto"/>
            <w:bottom w:val="none" w:sz="0" w:space="0" w:color="auto"/>
            <w:right w:val="none" w:sz="0" w:space="0" w:color="auto"/>
          </w:divBdr>
        </w:div>
        <w:div w:id="1700664690">
          <w:marLeft w:val="425"/>
          <w:marRight w:val="0"/>
          <w:marTop w:val="0"/>
          <w:marBottom w:val="0"/>
          <w:divBdr>
            <w:top w:val="none" w:sz="0" w:space="0" w:color="auto"/>
            <w:left w:val="none" w:sz="0" w:space="0" w:color="auto"/>
            <w:bottom w:val="none" w:sz="0" w:space="0" w:color="auto"/>
            <w:right w:val="none" w:sz="0" w:space="0" w:color="auto"/>
          </w:divBdr>
        </w:div>
        <w:div w:id="1137602155">
          <w:marLeft w:val="425"/>
          <w:marRight w:val="0"/>
          <w:marTop w:val="0"/>
          <w:marBottom w:val="0"/>
          <w:divBdr>
            <w:top w:val="none" w:sz="0" w:space="0" w:color="auto"/>
            <w:left w:val="none" w:sz="0" w:space="0" w:color="auto"/>
            <w:bottom w:val="none" w:sz="0" w:space="0" w:color="auto"/>
            <w:right w:val="none" w:sz="0" w:space="0" w:color="auto"/>
          </w:divBdr>
        </w:div>
        <w:div w:id="492720029">
          <w:marLeft w:val="425"/>
          <w:marRight w:val="0"/>
          <w:marTop w:val="0"/>
          <w:marBottom w:val="0"/>
          <w:divBdr>
            <w:top w:val="none" w:sz="0" w:space="0" w:color="auto"/>
            <w:left w:val="none" w:sz="0" w:space="0" w:color="auto"/>
            <w:bottom w:val="none" w:sz="0" w:space="0" w:color="auto"/>
            <w:right w:val="none" w:sz="0" w:space="0" w:color="auto"/>
          </w:divBdr>
        </w:div>
        <w:div w:id="1473711641">
          <w:marLeft w:val="0"/>
          <w:marRight w:val="0"/>
          <w:marTop w:val="240"/>
          <w:marBottom w:val="0"/>
          <w:divBdr>
            <w:top w:val="none" w:sz="0" w:space="0" w:color="auto"/>
            <w:left w:val="none" w:sz="0" w:space="0" w:color="auto"/>
            <w:bottom w:val="none" w:sz="0" w:space="0" w:color="auto"/>
            <w:right w:val="none" w:sz="0" w:space="0" w:color="auto"/>
          </w:divBdr>
        </w:div>
        <w:div w:id="1381905482">
          <w:marLeft w:val="0"/>
          <w:marRight w:val="0"/>
          <w:marTop w:val="240"/>
          <w:marBottom w:val="0"/>
          <w:divBdr>
            <w:top w:val="none" w:sz="0" w:space="0" w:color="auto"/>
            <w:left w:val="none" w:sz="0" w:space="0" w:color="auto"/>
            <w:bottom w:val="none" w:sz="0" w:space="0" w:color="auto"/>
            <w:right w:val="none" w:sz="0" w:space="0" w:color="auto"/>
          </w:divBdr>
        </w:div>
        <w:div w:id="209459752">
          <w:marLeft w:val="425"/>
          <w:marRight w:val="0"/>
          <w:marTop w:val="0"/>
          <w:marBottom w:val="0"/>
          <w:divBdr>
            <w:top w:val="none" w:sz="0" w:space="0" w:color="auto"/>
            <w:left w:val="none" w:sz="0" w:space="0" w:color="auto"/>
            <w:bottom w:val="none" w:sz="0" w:space="0" w:color="auto"/>
            <w:right w:val="none" w:sz="0" w:space="0" w:color="auto"/>
          </w:divBdr>
        </w:div>
        <w:div w:id="2044473438">
          <w:marLeft w:val="425"/>
          <w:marRight w:val="0"/>
          <w:marTop w:val="0"/>
          <w:marBottom w:val="0"/>
          <w:divBdr>
            <w:top w:val="none" w:sz="0" w:space="0" w:color="auto"/>
            <w:left w:val="none" w:sz="0" w:space="0" w:color="auto"/>
            <w:bottom w:val="none" w:sz="0" w:space="0" w:color="auto"/>
            <w:right w:val="none" w:sz="0" w:space="0" w:color="auto"/>
          </w:divBdr>
        </w:div>
        <w:div w:id="403337151">
          <w:marLeft w:val="0"/>
          <w:marRight w:val="0"/>
          <w:marTop w:val="240"/>
          <w:marBottom w:val="0"/>
          <w:divBdr>
            <w:top w:val="none" w:sz="0" w:space="0" w:color="auto"/>
            <w:left w:val="none" w:sz="0" w:space="0" w:color="auto"/>
            <w:bottom w:val="none" w:sz="0" w:space="0" w:color="auto"/>
            <w:right w:val="none" w:sz="0" w:space="0" w:color="auto"/>
          </w:divBdr>
        </w:div>
        <w:div w:id="556432889">
          <w:marLeft w:val="0"/>
          <w:marRight w:val="0"/>
          <w:marTop w:val="240"/>
          <w:marBottom w:val="0"/>
          <w:divBdr>
            <w:top w:val="none" w:sz="0" w:space="0" w:color="auto"/>
            <w:left w:val="none" w:sz="0" w:space="0" w:color="auto"/>
            <w:bottom w:val="none" w:sz="0" w:space="0" w:color="auto"/>
            <w:right w:val="none" w:sz="0" w:space="0" w:color="auto"/>
          </w:divBdr>
        </w:div>
        <w:div w:id="1827814480">
          <w:marLeft w:val="0"/>
          <w:marRight w:val="0"/>
          <w:marTop w:val="240"/>
          <w:marBottom w:val="0"/>
          <w:divBdr>
            <w:top w:val="none" w:sz="0" w:space="0" w:color="auto"/>
            <w:left w:val="none" w:sz="0" w:space="0" w:color="auto"/>
            <w:bottom w:val="none" w:sz="0" w:space="0" w:color="auto"/>
            <w:right w:val="none" w:sz="0" w:space="0" w:color="auto"/>
          </w:divBdr>
        </w:div>
        <w:div w:id="1622571152">
          <w:marLeft w:val="0"/>
          <w:marRight w:val="0"/>
          <w:marTop w:val="240"/>
          <w:marBottom w:val="0"/>
          <w:divBdr>
            <w:top w:val="none" w:sz="0" w:space="0" w:color="auto"/>
            <w:left w:val="none" w:sz="0" w:space="0" w:color="auto"/>
            <w:bottom w:val="none" w:sz="0" w:space="0" w:color="auto"/>
            <w:right w:val="none" w:sz="0" w:space="0" w:color="auto"/>
          </w:divBdr>
        </w:div>
      </w:divsChild>
    </w:div>
    <w:div w:id="1497769792">
      <w:bodyDiv w:val="1"/>
      <w:marLeft w:val="0"/>
      <w:marRight w:val="0"/>
      <w:marTop w:val="0"/>
      <w:marBottom w:val="0"/>
      <w:divBdr>
        <w:top w:val="none" w:sz="0" w:space="0" w:color="auto"/>
        <w:left w:val="none" w:sz="0" w:space="0" w:color="auto"/>
        <w:bottom w:val="none" w:sz="0" w:space="0" w:color="auto"/>
        <w:right w:val="none" w:sz="0" w:space="0" w:color="auto"/>
      </w:divBdr>
      <w:divsChild>
        <w:div w:id="732655596">
          <w:marLeft w:val="0"/>
          <w:marRight w:val="0"/>
          <w:marTop w:val="480"/>
          <w:marBottom w:val="0"/>
          <w:divBdr>
            <w:top w:val="none" w:sz="0" w:space="0" w:color="auto"/>
            <w:left w:val="none" w:sz="0" w:space="0" w:color="auto"/>
            <w:bottom w:val="none" w:sz="0" w:space="0" w:color="auto"/>
            <w:right w:val="none" w:sz="0" w:space="0" w:color="auto"/>
          </w:divBdr>
        </w:div>
        <w:div w:id="1819763447">
          <w:marLeft w:val="0"/>
          <w:marRight w:val="0"/>
          <w:marTop w:val="0"/>
          <w:marBottom w:val="0"/>
          <w:divBdr>
            <w:top w:val="none" w:sz="0" w:space="0" w:color="auto"/>
            <w:left w:val="none" w:sz="0" w:space="0" w:color="auto"/>
            <w:bottom w:val="none" w:sz="0" w:space="0" w:color="auto"/>
            <w:right w:val="none" w:sz="0" w:space="0" w:color="auto"/>
          </w:divBdr>
        </w:div>
        <w:div w:id="1098064983">
          <w:marLeft w:val="0"/>
          <w:marRight w:val="0"/>
          <w:marTop w:val="240"/>
          <w:marBottom w:val="0"/>
          <w:divBdr>
            <w:top w:val="none" w:sz="0" w:space="0" w:color="auto"/>
            <w:left w:val="none" w:sz="0" w:space="0" w:color="auto"/>
            <w:bottom w:val="none" w:sz="0" w:space="0" w:color="auto"/>
            <w:right w:val="none" w:sz="0" w:space="0" w:color="auto"/>
          </w:divBdr>
        </w:div>
        <w:div w:id="1077089087">
          <w:marLeft w:val="0"/>
          <w:marRight w:val="0"/>
          <w:marTop w:val="240"/>
          <w:marBottom w:val="0"/>
          <w:divBdr>
            <w:top w:val="none" w:sz="0" w:space="0" w:color="auto"/>
            <w:left w:val="none" w:sz="0" w:space="0" w:color="auto"/>
            <w:bottom w:val="none" w:sz="0" w:space="0" w:color="auto"/>
            <w:right w:val="none" w:sz="0" w:space="0" w:color="auto"/>
          </w:divBdr>
        </w:div>
      </w:divsChild>
    </w:div>
    <w:div w:id="1512254353">
      <w:bodyDiv w:val="1"/>
      <w:marLeft w:val="0"/>
      <w:marRight w:val="0"/>
      <w:marTop w:val="0"/>
      <w:marBottom w:val="0"/>
      <w:divBdr>
        <w:top w:val="none" w:sz="0" w:space="0" w:color="auto"/>
        <w:left w:val="none" w:sz="0" w:space="0" w:color="auto"/>
        <w:bottom w:val="none" w:sz="0" w:space="0" w:color="auto"/>
        <w:right w:val="none" w:sz="0" w:space="0" w:color="auto"/>
      </w:divBdr>
    </w:div>
    <w:div w:id="1557472695">
      <w:bodyDiv w:val="1"/>
      <w:marLeft w:val="0"/>
      <w:marRight w:val="0"/>
      <w:marTop w:val="0"/>
      <w:marBottom w:val="0"/>
      <w:divBdr>
        <w:top w:val="none" w:sz="0" w:space="0" w:color="auto"/>
        <w:left w:val="none" w:sz="0" w:space="0" w:color="auto"/>
        <w:bottom w:val="none" w:sz="0" w:space="0" w:color="auto"/>
        <w:right w:val="none" w:sz="0" w:space="0" w:color="auto"/>
      </w:divBdr>
      <w:divsChild>
        <w:div w:id="1620911989">
          <w:marLeft w:val="0"/>
          <w:marRight w:val="0"/>
          <w:marTop w:val="480"/>
          <w:marBottom w:val="0"/>
          <w:divBdr>
            <w:top w:val="none" w:sz="0" w:space="0" w:color="auto"/>
            <w:left w:val="none" w:sz="0" w:space="0" w:color="auto"/>
            <w:bottom w:val="none" w:sz="0" w:space="0" w:color="auto"/>
            <w:right w:val="none" w:sz="0" w:space="0" w:color="auto"/>
          </w:divBdr>
        </w:div>
        <w:div w:id="990134975">
          <w:marLeft w:val="0"/>
          <w:marRight w:val="0"/>
          <w:marTop w:val="0"/>
          <w:marBottom w:val="0"/>
          <w:divBdr>
            <w:top w:val="none" w:sz="0" w:space="0" w:color="auto"/>
            <w:left w:val="none" w:sz="0" w:space="0" w:color="auto"/>
            <w:bottom w:val="none" w:sz="0" w:space="0" w:color="auto"/>
            <w:right w:val="none" w:sz="0" w:space="0" w:color="auto"/>
          </w:divBdr>
        </w:div>
        <w:div w:id="1208450669">
          <w:marLeft w:val="0"/>
          <w:marRight w:val="0"/>
          <w:marTop w:val="240"/>
          <w:marBottom w:val="0"/>
          <w:divBdr>
            <w:top w:val="none" w:sz="0" w:space="0" w:color="auto"/>
            <w:left w:val="none" w:sz="0" w:space="0" w:color="auto"/>
            <w:bottom w:val="none" w:sz="0" w:space="0" w:color="auto"/>
            <w:right w:val="none" w:sz="0" w:space="0" w:color="auto"/>
          </w:divBdr>
        </w:div>
        <w:div w:id="1086922361">
          <w:marLeft w:val="0"/>
          <w:marRight w:val="0"/>
          <w:marTop w:val="240"/>
          <w:marBottom w:val="0"/>
          <w:divBdr>
            <w:top w:val="none" w:sz="0" w:space="0" w:color="auto"/>
            <w:left w:val="none" w:sz="0" w:space="0" w:color="auto"/>
            <w:bottom w:val="none" w:sz="0" w:space="0" w:color="auto"/>
            <w:right w:val="none" w:sz="0" w:space="0" w:color="auto"/>
          </w:divBdr>
        </w:div>
        <w:div w:id="196238890">
          <w:marLeft w:val="0"/>
          <w:marRight w:val="0"/>
          <w:marTop w:val="240"/>
          <w:marBottom w:val="0"/>
          <w:divBdr>
            <w:top w:val="none" w:sz="0" w:space="0" w:color="auto"/>
            <w:left w:val="none" w:sz="0" w:space="0" w:color="auto"/>
            <w:bottom w:val="none" w:sz="0" w:space="0" w:color="auto"/>
            <w:right w:val="none" w:sz="0" w:space="0" w:color="auto"/>
          </w:divBdr>
        </w:div>
        <w:div w:id="478619600">
          <w:marLeft w:val="0"/>
          <w:marRight w:val="0"/>
          <w:marTop w:val="240"/>
          <w:marBottom w:val="0"/>
          <w:divBdr>
            <w:top w:val="none" w:sz="0" w:space="0" w:color="auto"/>
            <w:left w:val="none" w:sz="0" w:space="0" w:color="auto"/>
            <w:bottom w:val="none" w:sz="0" w:space="0" w:color="auto"/>
            <w:right w:val="none" w:sz="0" w:space="0" w:color="auto"/>
          </w:divBdr>
        </w:div>
      </w:divsChild>
    </w:div>
    <w:div w:id="1563099438">
      <w:bodyDiv w:val="1"/>
      <w:marLeft w:val="0"/>
      <w:marRight w:val="0"/>
      <w:marTop w:val="0"/>
      <w:marBottom w:val="0"/>
      <w:divBdr>
        <w:top w:val="none" w:sz="0" w:space="0" w:color="auto"/>
        <w:left w:val="none" w:sz="0" w:space="0" w:color="auto"/>
        <w:bottom w:val="none" w:sz="0" w:space="0" w:color="auto"/>
        <w:right w:val="none" w:sz="0" w:space="0" w:color="auto"/>
      </w:divBdr>
      <w:divsChild>
        <w:div w:id="817646900">
          <w:marLeft w:val="0"/>
          <w:marRight w:val="0"/>
          <w:marTop w:val="480"/>
          <w:marBottom w:val="0"/>
          <w:divBdr>
            <w:top w:val="none" w:sz="0" w:space="0" w:color="auto"/>
            <w:left w:val="none" w:sz="0" w:space="0" w:color="auto"/>
            <w:bottom w:val="none" w:sz="0" w:space="0" w:color="auto"/>
            <w:right w:val="none" w:sz="0" w:space="0" w:color="auto"/>
          </w:divBdr>
        </w:div>
        <w:div w:id="1873417360">
          <w:marLeft w:val="0"/>
          <w:marRight w:val="0"/>
          <w:marTop w:val="0"/>
          <w:marBottom w:val="0"/>
          <w:divBdr>
            <w:top w:val="none" w:sz="0" w:space="0" w:color="auto"/>
            <w:left w:val="none" w:sz="0" w:space="0" w:color="auto"/>
            <w:bottom w:val="none" w:sz="0" w:space="0" w:color="auto"/>
            <w:right w:val="none" w:sz="0" w:space="0" w:color="auto"/>
          </w:divBdr>
        </w:div>
        <w:div w:id="1606225450">
          <w:marLeft w:val="0"/>
          <w:marRight w:val="0"/>
          <w:marTop w:val="240"/>
          <w:marBottom w:val="0"/>
          <w:divBdr>
            <w:top w:val="none" w:sz="0" w:space="0" w:color="auto"/>
            <w:left w:val="none" w:sz="0" w:space="0" w:color="auto"/>
            <w:bottom w:val="none" w:sz="0" w:space="0" w:color="auto"/>
            <w:right w:val="none" w:sz="0" w:space="0" w:color="auto"/>
          </w:divBdr>
        </w:div>
      </w:divsChild>
    </w:div>
    <w:div w:id="1563364502">
      <w:bodyDiv w:val="1"/>
      <w:marLeft w:val="0"/>
      <w:marRight w:val="0"/>
      <w:marTop w:val="0"/>
      <w:marBottom w:val="0"/>
      <w:divBdr>
        <w:top w:val="none" w:sz="0" w:space="0" w:color="auto"/>
        <w:left w:val="none" w:sz="0" w:space="0" w:color="auto"/>
        <w:bottom w:val="none" w:sz="0" w:space="0" w:color="auto"/>
        <w:right w:val="none" w:sz="0" w:space="0" w:color="auto"/>
      </w:divBdr>
    </w:div>
    <w:div w:id="1563951250">
      <w:bodyDiv w:val="1"/>
      <w:marLeft w:val="0"/>
      <w:marRight w:val="0"/>
      <w:marTop w:val="0"/>
      <w:marBottom w:val="0"/>
      <w:divBdr>
        <w:top w:val="none" w:sz="0" w:space="0" w:color="auto"/>
        <w:left w:val="none" w:sz="0" w:space="0" w:color="auto"/>
        <w:bottom w:val="none" w:sz="0" w:space="0" w:color="auto"/>
        <w:right w:val="none" w:sz="0" w:space="0" w:color="auto"/>
      </w:divBdr>
      <w:divsChild>
        <w:div w:id="113525215">
          <w:marLeft w:val="0"/>
          <w:marRight w:val="0"/>
          <w:marTop w:val="0"/>
          <w:marBottom w:val="0"/>
          <w:divBdr>
            <w:top w:val="none" w:sz="0" w:space="0" w:color="auto"/>
            <w:left w:val="none" w:sz="0" w:space="0" w:color="auto"/>
            <w:bottom w:val="none" w:sz="0" w:space="0" w:color="auto"/>
            <w:right w:val="none" w:sz="0" w:space="0" w:color="auto"/>
          </w:divBdr>
          <w:divsChild>
            <w:div w:id="432625923">
              <w:marLeft w:val="0"/>
              <w:marRight w:val="0"/>
              <w:marTop w:val="480"/>
              <w:marBottom w:val="0"/>
              <w:divBdr>
                <w:top w:val="none" w:sz="0" w:space="0" w:color="auto"/>
                <w:left w:val="none" w:sz="0" w:space="0" w:color="auto"/>
                <w:bottom w:val="none" w:sz="0" w:space="0" w:color="auto"/>
                <w:right w:val="none" w:sz="0" w:space="0" w:color="auto"/>
              </w:divBdr>
            </w:div>
            <w:div w:id="1567909439">
              <w:marLeft w:val="0"/>
              <w:marRight w:val="0"/>
              <w:marTop w:val="0"/>
              <w:marBottom w:val="0"/>
              <w:divBdr>
                <w:top w:val="none" w:sz="0" w:space="0" w:color="auto"/>
                <w:left w:val="none" w:sz="0" w:space="0" w:color="auto"/>
                <w:bottom w:val="none" w:sz="0" w:space="0" w:color="auto"/>
                <w:right w:val="none" w:sz="0" w:space="0" w:color="auto"/>
              </w:divBdr>
            </w:div>
            <w:div w:id="415784894">
              <w:marLeft w:val="0"/>
              <w:marRight w:val="0"/>
              <w:marTop w:val="240"/>
              <w:marBottom w:val="0"/>
              <w:divBdr>
                <w:top w:val="none" w:sz="0" w:space="0" w:color="auto"/>
                <w:left w:val="none" w:sz="0" w:space="0" w:color="auto"/>
                <w:bottom w:val="none" w:sz="0" w:space="0" w:color="auto"/>
                <w:right w:val="none" w:sz="0" w:space="0" w:color="auto"/>
              </w:divBdr>
            </w:div>
            <w:div w:id="455373467">
              <w:marLeft w:val="425"/>
              <w:marRight w:val="0"/>
              <w:marTop w:val="0"/>
              <w:marBottom w:val="0"/>
              <w:divBdr>
                <w:top w:val="none" w:sz="0" w:space="0" w:color="auto"/>
                <w:left w:val="none" w:sz="0" w:space="0" w:color="auto"/>
                <w:bottom w:val="none" w:sz="0" w:space="0" w:color="auto"/>
                <w:right w:val="none" w:sz="0" w:space="0" w:color="auto"/>
              </w:divBdr>
            </w:div>
            <w:div w:id="1388336638">
              <w:marLeft w:val="425"/>
              <w:marRight w:val="0"/>
              <w:marTop w:val="0"/>
              <w:marBottom w:val="0"/>
              <w:divBdr>
                <w:top w:val="none" w:sz="0" w:space="0" w:color="auto"/>
                <w:left w:val="none" w:sz="0" w:space="0" w:color="auto"/>
                <w:bottom w:val="none" w:sz="0" w:space="0" w:color="auto"/>
                <w:right w:val="none" w:sz="0" w:space="0" w:color="auto"/>
              </w:divBdr>
            </w:div>
            <w:div w:id="96869107">
              <w:marLeft w:val="425"/>
              <w:marRight w:val="0"/>
              <w:marTop w:val="0"/>
              <w:marBottom w:val="0"/>
              <w:divBdr>
                <w:top w:val="none" w:sz="0" w:space="0" w:color="auto"/>
                <w:left w:val="none" w:sz="0" w:space="0" w:color="auto"/>
                <w:bottom w:val="none" w:sz="0" w:space="0" w:color="auto"/>
                <w:right w:val="none" w:sz="0" w:space="0" w:color="auto"/>
              </w:divBdr>
            </w:div>
            <w:div w:id="2065257324">
              <w:marLeft w:val="425"/>
              <w:marRight w:val="0"/>
              <w:marTop w:val="0"/>
              <w:marBottom w:val="0"/>
              <w:divBdr>
                <w:top w:val="none" w:sz="0" w:space="0" w:color="auto"/>
                <w:left w:val="none" w:sz="0" w:space="0" w:color="auto"/>
                <w:bottom w:val="none" w:sz="0" w:space="0" w:color="auto"/>
                <w:right w:val="none" w:sz="0" w:space="0" w:color="auto"/>
              </w:divBdr>
            </w:div>
          </w:divsChild>
        </w:div>
        <w:div w:id="503976734">
          <w:marLeft w:val="0"/>
          <w:marRight w:val="0"/>
          <w:marTop w:val="0"/>
          <w:marBottom w:val="0"/>
          <w:divBdr>
            <w:top w:val="none" w:sz="0" w:space="0" w:color="auto"/>
            <w:left w:val="none" w:sz="0" w:space="0" w:color="auto"/>
            <w:bottom w:val="none" w:sz="0" w:space="0" w:color="auto"/>
            <w:right w:val="none" w:sz="0" w:space="0" w:color="auto"/>
          </w:divBdr>
          <w:divsChild>
            <w:div w:id="402921704">
              <w:marLeft w:val="0"/>
              <w:marRight w:val="0"/>
              <w:marTop w:val="480"/>
              <w:marBottom w:val="0"/>
              <w:divBdr>
                <w:top w:val="none" w:sz="0" w:space="0" w:color="auto"/>
                <w:left w:val="none" w:sz="0" w:space="0" w:color="auto"/>
                <w:bottom w:val="none" w:sz="0" w:space="0" w:color="auto"/>
                <w:right w:val="none" w:sz="0" w:space="0" w:color="auto"/>
              </w:divBdr>
            </w:div>
            <w:div w:id="378483327">
              <w:marLeft w:val="0"/>
              <w:marRight w:val="0"/>
              <w:marTop w:val="0"/>
              <w:marBottom w:val="0"/>
              <w:divBdr>
                <w:top w:val="none" w:sz="0" w:space="0" w:color="auto"/>
                <w:left w:val="none" w:sz="0" w:space="0" w:color="auto"/>
                <w:bottom w:val="none" w:sz="0" w:space="0" w:color="auto"/>
                <w:right w:val="none" w:sz="0" w:space="0" w:color="auto"/>
              </w:divBdr>
            </w:div>
            <w:div w:id="910777301">
              <w:marLeft w:val="0"/>
              <w:marRight w:val="0"/>
              <w:marTop w:val="240"/>
              <w:marBottom w:val="0"/>
              <w:divBdr>
                <w:top w:val="none" w:sz="0" w:space="0" w:color="auto"/>
                <w:left w:val="none" w:sz="0" w:space="0" w:color="auto"/>
                <w:bottom w:val="none" w:sz="0" w:space="0" w:color="auto"/>
                <w:right w:val="none" w:sz="0" w:space="0" w:color="auto"/>
              </w:divBdr>
            </w:div>
            <w:div w:id="753430637">
              <w:marLeft w:val="0"/>
              <w:marRight w:val="0"/>
              <w:marTop w:val="240"/>
              <w:marBottom w:val="0"/>
              <w:divBdr>
                <w:top w:val="none" w:sz="0" w:space="0" w:color="auto"/>
                <w:left w:val="none" w:sz="0" w:space="0" w:color="auto"/>
                <w:bottom w:val="none" w:sz="0" w:space="0" w:color="auto"/>
                <w:right w:val="none" w:sz="0" w:space="0" w:color="auto"/>
              </w:divBdr>
            </w:div>
          </w:divsChild>
        </w:div>
        <w:div w:id="1034572555">
          <w:marLeft w:val="0"/>
          <w:marRight w:val="0"/>
          <w:marTop w:val="0"/>
          <w:marBottom w:val="0"/>
          <w:divBdr>
            <w:top w:val="none" w:sz="0" w:space="0" w:color="auto"/>
            <w:left w:val="none" w:sz="0" w:space="0" w:color="auto"/>
            <w:bottom w:val="none" w:sz="0" w:space="0" w:color="auto"/>
            <w:right w:val="none" w:sz="0" w:space="0" w:color="auto"/>
          </w:divBdr>
          <w:divsChild>
            <w:div w:id="15081905">
              <w:marLeft w:val="0"/>
              <w:marRight w:val="0"/>
              <w:marTop w:val="480"/>
              <w:marBottom w:val="0"/>
              <w:divBdr>
                <w:top w:val="none" w:sz="0" w:space="0" w:color="auto"/>
                <w:left w:val="none" w:sz="0" w:space="0" w:color="auto"/>
                <w:bottom w:val="none" w:sz="0" w:space="0" w:color="auto"/>
                <w:right w:val="none" w:sz="0" w:space="0" w:color="auto"/>
              </w:divBdr>
            </w:div>
            <w:div w:id="346446934">
              <w:marLeft w:val="0"/>
              <w:marRight w:val="0"/>
              <w:marTop w:val="0"/>
              <w:marBottom w:val="0"/>
              <w:divBdr>
                <w:top w:val="none" w:sz="0" w:space="0" w:color="auto"/>
                <w:left w:val="none" w:sz="0" w:space="0" w:color="auto"/>
                <w:bottom w:val="none" w:sz="0" w:space="0" w:color="auto"/>
                <w:right w:val="none" w:sz="0" w:space="0" w:color="auto"/>
              </w:divBdr>
            </w:div>
            <w:div w:id="1687558750">
              <w:marLeft w:val="0"/>
              <w:marRight w:val="0"/>
              <w:marTop w:val="240"/>
              <w:marBottom w:val="0"/>
              <w:divBdr>
                <w:top w:val="none" w:sz="0" w:space="0" w:color="auto"/>
                <w:left w:val="none" w:sz="0" w:space="0" w:color="auto"/>
                <w:bottom w:val="none" w:sz="0" w:space="0" w:color="auto"/>
                <w:right w:val="none" w:sz="0" w:space="0" w:color="auto"/>
              </w:divBdr>
            </w:div>
            <w:div w:id="611593384">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580016461">
      <w:bodyDiv w:val="1"/>
      <w:marLeft w:val="0"/>
      <w:marRight w:val="0"/>
      <w:marTop w:val="0"/>
      <w:marBottom w:val="0"/>
      <w:divBdr>
        <w:top w:val="none" w:sz="0" w:space="0" w:color="auto"/>
        <w:left w:val="none" w:sz="0" w:space="0" w:color="auto"/>
        <w:bottom w:val="none" w:sz="0" w:space="0" w:color="auto"/>
        <w:right w:val="none" w:sz="0" w:space="0" w:color="auto"/>
      </w:divBdr>
      <w:divsChild>
        <w:div w:id="1749158290">
          <w:marLeft w:val="0"/>
          <w:marRight w:val="0"/>
          <w:marTop w:val="480"/>
          <w:marBottom w:val="0"/>
          <w:divBdr>
            <w:top w:val="none" w:sz="0" w:space="0" w:color="auto"/>
            <w:left w:val="none" w:sz="0" w:space="0" w:color="auto"/>
            <w:bottom w:val="none" w:sz="0" w:space="0" w:color="auto"/>
            <w:right w:val="none" w:sz="0" w:space="0" w:color="auto"/>
          </w:divBdr>
        </w:div>
        <w:div w:id="512653082">
          <w:marLeft w:val="0"/>
          <w:marRight w:val="0"/>
          <w:marTop w:val="0"/>
          <w:marBottom w:val="0"/>
          <w:divBdr>
            <w:top w:val="none" w:sz="0" w:space="0" w:color="auto"/>
            <w:left w:val="none" w:sz="0" w:space="0" w:color="auto"/>
            <w:bottom w:val="none" w:sz="0" w:space="0" w:color="auto"/>
            <w:right w:val="none" w:sz="0" w:space="0" w:color="auto"/>
          </w:divBdr>
        </w:div>
        <w:div w:id="1350137453">
          <w:marLeft w:val="0"/>
          <w:marRight w:val="0"/>
          <w:marTop w:val="240"/>
          <w:marBottom w:val="0"/>
          <w:divBdr>
            <w:top w:val="none" w:sz="0" w:space="0" w:color="auto"/>
            <w:left w:val="none" w:sz="0" w:space="0" w:color="auto"/>
            <w:bottom w:val="none" w:sz="0" w:space="0" w:color="auto"/>
            <w:right w:val="none" w:sz="0" w:space="0" w:color="auto"/>
          </w:divBdr>
        </w:div>
      </w:divsChild>
    </w:div>
    <w:div w:id="1593008275">
      <w:bodyDiv w:val="1"/>
      <w:marLeft w:val="0"/>
      <w:marRight w:val="0"/>
      <w:marTop w:val="0"/>
      <w:marBottom w:val="0"/>
      <w:divBdr>
        <w:top w:val="none" w:sz="0" w:space="0" w:color="auto"/>
        <w:left w:val="none" w:sz="0" w:space="0" w:color="auto"/>
        <w:bottom w:val="none" w:sz="0" w:space="0" w:color="auto"/>
        <w:right w:val="none" w:sz="0" w:space="0" w:color="auto"/>
      </w:divBdr>
    </w:div>
    <w:div w:id="1606035551">
      <w:bodyDiv w:val="1"/>
      <w:marLeft w:val="0"/>
      <w:marRight w:val="0"/>
      <w:marTop w:val="0"/>
      <w:marBottom w:val="0"/>
      <w:divBdr>
        <w:top w:val="none" w:sz="0" w:space="0" w:color="auto"/>
        <w:left w:val="none" w:sz="0" w:space="0" w:color="auto"/>
        <w:bottom w:val="none" w:sz="0" w:space="0" w:color="auto"/>
        <w:right w:val="none" w:sz="0" w:space="0" w:color="auto"/>
      </w:divBdr>
    </w:div>
    <w:div w:id="1616249478">
      <w:bodyDiv w:val="1"/>
      <w:marLeft w:val="0"/>
      <w:marRight w:val="0"/>
      <w:marTop w:val="0"/>
      <w:marBottom w:val="0"/>
      <w:divBdr>
        <w:top w:val="none" w:sz="0" w:space="0" w:color="auto"/>
        <w:left w:val="none" w:sz="0" w:space="0" w:color="auto"/>
        <w:bottom w:val="none" w:sz="0" w:space="0" w:color="auto"/>
        <w:right w:val="none" w:sz="0" w:space="0" w:color="auto"/>
      </w:divBdr>
    </w:div>
    <w:div w:id="1661349528">
      <w:bodyDiv w:val="1"/>
      <w:marLeft w:val="0"/>
      <w:marRight w:val="0"/>
      <w:marTop w:val="0"/>
      <w:marBottom w:val="0"/>
      <w:divBdr>
        <w:top w:val="none" w:sz="0" w:space="0" w:color="auto"/>
        <w:left w:val="none" w:sz="0" w:space="0" w:color="auto"/>
        <w:bottom w:val="none" w:sz="0" w:space="0" w:color="auto"/>
        <w:right w:val="none" w:sz="0" w:space="0" w:color="auto"/>
      </w:divBdr>
      <w:divsChild>
        <w:div w:id="1979724081">
          <w:marLeft w:val="0"/>
          <w:marRight w:val="0"/>
          <w:marTop w:val="480"/>
          <w:marBottom w:val="0"/>
          <w:divBdr>
            <w:top w:val="none" w:sz="0" w:space="0" w:color="auto"/>
            <w:left w:val="none" w:sz="0" w:space="0" w:color="auto"/>
            <w:bottom w:val="none" w:sz="0" w:space="0" w:color="auto"/>
            <w:right w:val="none" w:sz="0" w:space="0" w:color="auto"/>
          </w:divBdr>
        </w:div>
        <w:div w:id="1307511366">
          <w:marLeft w:val="0"/>
          <w:marRight w:val="0"/>
          <w:marTop w:val="0"/>
          <w:marBottom w:val="0"/>
          <w:divBdr>
            <w:top w:val="none" w:sz="0" w:space="0" w:color="auto"/>
            <w:left w:val="none" w:sz="0" w:space="0" w:color="auto"/>
            <w:bottom w:val="none" w:sz="0" w:space="0" w:color="auto"/>
            <w:right w:val="none" w:sz="0" w:space="0" w:color="auto"/>
          </w:divBdr>
        </w:div>
        <w:div w:id="477378792">
          <w:marLeft w:val="0"/>
          <w:marRight w:val="0"/>
          <w:marTop w:val="240"/>
          <w:marBottom w:val="0"/>
          <w:divBdr>
            <w:top w:val="none" w:sz="0" w:space="0" w:color="auto"/>
            <w:left w:val="none" w:sz="0" w:space="0" w:color="auto"/>
            <w:bottom w:val="none" w:sz="0" w:space="0" w:color="auto"/>
            <w:right w:val="none" w:sz="0" w:space="0" w:color="auto"/>
          </w:divBdr>
        </w:div>
        <w:div w:id="852262401">
          <w:marLeft w:val="425"/>
          <w:marRight w:val="0"/>
          <w:marTop w:val="0"/>
          <w:marBottom w:val="0"/>
          <w:divBdr>
            <w:top w:val="none" w:sz="0" w:space="0" w:color="auto"/>
            <w:left w:val="none" w:sz="0" w:space="0" w:color="auto"/>
            <w:bottom w:val="none" w:sz="0" w:space="0" w:color="auto"/>
            <w:right w:val="none" w:sz="0" w:space="0" w:color="auto"/>
          </w:divBdr>
        </w:div>
        <w:div w:id="604309487">
          <w:marLeft w:val="425"/>
          <w:marRight w:val="0"/>
          <w:marTop w:val="0"/>
          <w:marBottom w:val="0"/>
          <w:divBdr>
            <w:top w:val="none" w:sz="0" w:space="0" w:color="auto"/>
            <w:left w:val="none" w:sz="0" w:space="0" w:color="auto"/>
            <w:bottom w:val="none" w:sz="0" w:space="0" w:color="auto"/>
            <w:right w:val="none" w:sz="0" w:space="0" w:color="auto"/>
          </w:divBdr>
        </w:div>
        <w:div w:id="1847403738">
          <w:marLeft w:val="425"/>
          <w:marRight w:val="0"/>
          <w:marTop w:val="0"/>
          <w:marBottom w:val="0"/>
          <w:divBdr>
            <w:top w:val="none" w:sz="0" w:space="0" w:color="auto"/>
            <w:left w:val="none" w:sz="0" w:space="0" w:color="auto"/>
            <w:bottom w:val="none" w:sz="0" w:space="0" w:color="auto"/>
            <w:right w:val="none" w:sz="0" w:space="0" w:color="auto"/>
          </w:divBdr>
        </w:div>
      </w:divsChild>
    </w:div>
    <w:div w:id="1661494435">
      <w:bodyDiv w:val="1"/>
      <w:marLeft w:val="0"/>
      <w:marRight w:val="0"/>
      <w:marTop w:val="0"/>
      <w:marBottom w:val="0"/>
      <w:divBdr>
        <w:top w:val="none" w:sz="0" w:space="0" w:color="auto"/>
        <w:left w:val="none" w:sz="0" w:space="0" w:color="auto"/>
        <w:bottom w:val="none" w:sz="0" w:space="0" w:color="auto"/>
        <w:right w:val="none" w:sz="0" w:space="0" w:color="auto"/>
      </w:divBdr>
    </w:div>
    <w:div w:id="1686902708">
      <w:bodyDiv w:val="1"/>
      <w:marLeft w:val="0"/>
      <w:marRight w:val="0"/>
      <w:marTop w:val="0"/>
      <w:marBottom w:val="0"/>
      <w:divBdr>
        <w:top w:val="none" w:sz="0" w:space="0" w:color="auto"/>
        <w:left w:val="none" w:sz="0" w:space="0" w:color="auto"/>
        <w:bottom w:val="none" w:sz="0" w:space="0" w:color="auto"/>
        <w:right w:val="none" w:sz="0" w:space="0" w:color="auto"/>
      </w:divBdr>
      <w:divsChild>
        <w:div w:id="797182166">
          <w:marLeft w:val="0"/>
          <w:marRight w:val="0"/>
          <w:marTop w:val="480"/>
          <w:marBottom w:val="0"/>
          <w:divBdr>
            <w:top w:val="none" w:sz="0" w:space="0" w:color="auto"/>
            <w:left w:val="none" w:sz="0" w:space="0" w:color="auto"/>
            <w:bottom w:val="none" w:sz="0" w:space="0" w:color="auto"/>
            <w:right w:val="none" w:sz="0" w:space="0" w:color="auto"/>
          </w:divBdr>
        </w:div>
        <w:div w:id="100995742">
          <w:marLeft w:val="0"/>
          <w:marRight w:val="0"/>
          <w:marTop w:val="0"/>
          <w:marBottom w:val="0"/>
          <w:divBdr>
            <w:top w:val="none" w:sz="0" w:space="0" w:color="auto"/>
            <w:left w:val="none" w:sz="0" w:space="0" w:color="auto"/>
            <w:bottom w:val="none" w:sz="0" w:space="0" w:color="auto"/>
            <w:right w:val="none" w:sz="0" w:space="0" w:color="auto"/>
          </w:divBdr>
        </w:div>
        <w:div w:id="1070155767">
          <w:marLeft w:val="0"/>
          <w:marRight w:val="0"/>
          <w:marTop w:val="240"/>
          <w:marBottom w:val="0"/>
          <w:divBdr>
            <w:top w:val="none" w:sz="0" w:space="0" w:color="auto"/>
            <w:left w:val="none" w:sz="0" w:space="0" w:color="auto"/>
            <w:bottom w:val="none" w:sz="0" w:space="0" w:color="auto"/>
            <w:right w:val="none" w:sz="0" w:space="0" w:color="auto"/>
          </w:divBdr>
        </w:div>
      </w:divsChild>
    </w:div>
    <w:div w:id="1704287632">
      <w:bodyDiv w:val="1"/>
      <w:marLeft w:val="0"/>
      <w:marRight w:val="0"/>
      <w:marTop w:val="0"/>
      <w:marBottom w:val="0"/>
      <w:divBdr>
        <w:top w:val="none" w:sz="0" w:space="0" w:color="auto"/>
        <w:left w:val="none" w:sz="0" w:space="0" w:color="auto"/>
        <w:bottom w:val="none" w:sz="0" w:space="0" w:color="auto"/>
        <w:right w:val="none" w:sz="0" w:space="0" w:color="auto"/>
      </w:divBdr>
      <w:divsChild>
        <w:div w:id="1326396247">
          <w:marLeft w:val="0"/>
          <w:marRight w:val="0"/>
          <w:marTop w:val="0"/>
          <w:marBottom w:val="0"/>
          <w:divBdr>
            <w:top w:val="none" w:sz="0" w:space="0" w:color="auto"/>
            <w:left w:val="none" w:sz="0" w:space="0" w:color="auto"/>
            <w:bottom w:val="none" w:sz="0" w:space="0" w:color="auto"/>
            <w:right w:val="none" w:sz="0" w:space="0" w:color="auto"/>
          </w:divBdr>
          <w:divsChild>
            <w:div w:id="1860704922">
              <w:marLeft w:val="0"/>
              <w:marRight w:val="0"/>
              <w:marTop w:val="480"/>
              <w:marBottom w:val="0"/>
              <w:divBdr>
                <w:top w:val="none" w:sz="0" w:space="0" w:color="auto"/>
                <w:left w:val="none" w:sz="0" w:space="0" w:color="auto"/>
                <w:bottom w:val="none" w:sz="0" w:space="0" w:color="auto"/>
                <w:right w:val="none" w:sz="0" w:space="0" w:color="auto"/>
              </w:divBdr>
            </w:div>
            <w:div w:id="206719288">
              <w:marLeft w:val="0"/>
              <w:marRight w:val="0"/>
              <w:marTop w:val="0"/>
              <w:marBottom w:val="0"/>
              <w:divBdr>
                <w:top w:val="none" w:sz="0" w:space="0" w:color="auto"/>
                <w:left w:val="none" w:sz="0" w:space="0" w:color="auto"/>
                <w:bottom w:val="none" w:sz="0" w:space="0" w:color="auto"/>
                <w:right w:val="none" w:sz="0" w:space="0" w:color="auto"/>
              </w:divBdr>
            </w:div>
            <w:div w:id="188958628">
              <w:marLeft w:val="0"/>
              <w:marRight w:val="0"/>
              <w:marTop w:val="240"/>
              <w:marBottom w:val="0"/>
              <w:divBdr>
                <w:top w:val="none" w:sz="0" w:space="0" w:color="auto"/>
                <w:left w:val="none" w:sz="0" w:space="0" w:color="auto"/>
                <w:bottom w:val="none" w:sz="0" w:space="0" w:color="auto"/>
                <w:right w:val="none" w:sz="0" w:space="0" w:color="auto"/>
              </w:divBdr>
            </w:div>
            <w:div w:id="1864975834">
              <w:marLeft w:val="0"/>
              <w:marRight w:val="0"/>
              <w:marTop w:val="240"/>
              <w:marBottom w:val="0"/>
              <w:divBdr>
                <w:top w:val="none" w:sz="0" w:space="0" w:color="auto"/>
                <w:left w:val="none" w:sz="0" w:space="0" w:color="auto"/>
                <w:bottom w:val="none" w:sz="0" w:space="0" w:color="auto"/>
                <w:right w:val="none" w:sz="0" w:space="0" w:color="auto"/>
              </w:divBdr>
            </w:div>
            <w:div w:id="1296374699">
              <w:marLeft w:val="0"/>
              <w:marRight w:val="0"/>
              <w:marTop w:val="240"/>
              <w:marBottom w:val="0"/>
              <w:divBdr>
                <w:top w:val="none" w:sz="0" w:space="0" w:color="auto"/>
                <w:left w:val="none" w:sz="0" w:space="0" w:color="auto"/>
                <w:bottom w:val="none" w:sz="0" w:space="0" w:color="auto"/>
                <w:right w:val="none" w:sz="0" w:space="0" w:color="auto"/>
              </w:divBdr>
            </w:div>
            <w:div w:id="248268877">
              <w:marLeft w:val="0"/>
              <w:marRight w:val="0"/>
              <w:marTop w:val="240"/>
              <w:marBottom w:val="0"/>
              <w:divBdr>
                <w:top w:val="none" w:sz="0" w:space="0" w:color="auto"/>
                <w:left w:val="none" w:sz="0" w:space="0" w:color="auto"/>
                <w:bottom w:val="none" w:sz="0" w:space="0" w:color="auto"/>
                <w:right w:val="none" w:sz="0" w:space="0" w:color="auto"/>
              </w:divBdr>
            </w:div>
          </w:divsChild>
        </w:div>
        <w:div w:id="1639144694">
          <w:marLeft w:val="0"/>
          <w:marRight w:val="0"/>
          <w:marTop w:val="0"/>
          <w:marBottom w:val="0"/>
          <w:divBdr>
            <w:top w:val="none" w:sz="0" w:space="0" w:color="auto"/>
            <w:left w:val="none" w:sz="0" w:space="0" w:color="auto"/>
            <w:bottom w:val="none" w:sz="0" w:space="0" w:color="auto"/>
            <w:right w:val="none" w:sz="0" w:space="0" w:color="auto"/>
          </w:divBdr>
          <w:divsChild>
            <w:div w:id="518012026">
              <w:marLeft w:val="0"/>
              <w:marRight w:val="0"/>
              <w:marTop w:val="480"/>
              <w:marBottom w:val="0"/>
              <w:divBdr>
                <w:top w:val="none" w:sz="0" w:space="0" w:color="auto"/>
                <w:left w:val="none" w:sz="0" w:space="0" w:color="auto"/>
                <w:bottom w:val="none" w:sz="0" w:space="0" w:color="auto"/>
                <w:right w:val="none" w:sz="0" w:space="0" w:color="auto"/>
              </w:divBdr>
            </w:div>
            <w:div w:id="748190701">
              <w:marLeft w:val="0"/>
              <w:marRight w:val="0"/>
              <w:marTop w:val="0"/>
              <w:marBottom w:val="0"/>
              <w:divBdr>
                <w:top w:val="none" w:sz="0" w:space="0" w:color="auto"/>
                <w:left w:val="none" w:sz="0" w:space="0" w:color="auto"/>
                <w:bottom w:val="none" w:sz="0" w:space="0" w:color="auto"/>
                <w:right w:val="none" w:sz="0" w:space="0" w:color="auto"/>
              </w:divBdr>
            </w:div>
            <w:div w:id="1929653822">
              <w:marLeft w:val="0"/>
              <w:marRight w:val="0"/>
              <w:marTop w:val="240"/>
              <w:marBottom w:val="0"/>
              <w:divBdr>
                <w:top w:val="none" w:sz="0" w:space="0" w:color="auto"/>
                <w:left w:val="none" w:sz="0" w:space="0" w:color="auto"/>
                <w:bottom w:val="none" w:sz="0" w:space="0" w:color="auto"/>
                <w:right w:val="none" w:sz="0" w:space="0" w:color="auto"/>
              </w:divBdr>
            </w:div>
            <w:div w:id="2059350403">
              <w:marLeft w:val="425"/>
              <w:marRight w:val="0"/>
              <w:marTop w:val="0"/>
              <w:marBottom w:val="0"/>
              <w:divBdr>
                <w:top w:val="none" w:sz="0" w:space="0" w:color="auto"/>
                <w:left w:val="none" w:sz="0" w:space="0" w:color="auto"/>
                <w:bottom w:val="none" w:sz="0" w:space="0" w:color="auto"/>
                <w:right w:val="none" w:sz="0" w:space="0" w:color="auto"/>
              </w:divBdr>
              <w:divsChild>
                <w:div w:id="228737712">
                  <w:marLeft w:val="0"/>
                  <w:marRight w:val="0"/>
                  <w:marTop w:val="0"/>
                  <w:marBottom w:val="0"/>
                  <w:divBdr>
                    <w:top w:val="none" w:sz="0" w:space="0" w:color="auto"/>
                    <w:left w:val="none" w:sz="0" w:space="0" w:color="auto"/>
                    <w:bottom w:val="none" w:sz="0" w:space="0" w:color="auto"/>
                    <w:right w:val="none" w:sz="0" w:space="0" w:color="auto"/>
                  </w:divBdr>
                </w:div>
              </w:divsChild>
            </w:div>
            <w:div w:id="1354526619">
              <w:marLeft w:val="425"/>
              <w:marRight w:val="0"/>
              <w:marTop w:val="0"/>
              <w:marBottom w:val="0"/>
              <w:divBdr>
                <w:top w:val="none" w:sz="0" w:space="0" w:color="auto"/>
                <w:left w:val="none" w:sz="0" w:space="0" w:color="auto"/>
                <w:bottom w:val="none" w:sz="0" w:space="0" w:color="auto"/>
                <w:right w:val="none" w:sz="0" w:space="0" w:color="auto"/>
              </w:divBdr>
              <w:divsChild>
                <w:div w:id="50925491">
                  <w:marLeft w:val="0"/>
                  <w:marRight w:val="0"/>
                  <w:marTop w:val="0"/>
                  <w:marBottom w:val="0"/>
                  <w:divBdr>
                    <w:top w:val="none" w:sz="0" w:space="0" w:color="auto"/>
                    <w:left w:val="none" w:sz="0" w:space="0" w:color="auto"/>
                    <w:bottom w:val="none" w:sz="0" w:space="0" w:color="auto"/>
                    <w:right w:val="none" w:sz="0" w:space="0" w:color="auto"/>
                  </w:divBdr>
                </w:div>
              </w:divsChild>
            </w:div>
            <w:div w:id="1462966650">
              <w:marLeft w:val="425"/>
              <w:marRight w:val="0"/>
              <w:marTop w:val="0"/>
              <w:marBottom w:val="0"/>
              <w:divBdr>
                <w:top w:val="none" w:sz="0" w:space="0" w:color="auto"/>
                <w:left w:val="none" w:sz="0" w:space="0" w:color="auto"/>
                <w:bottom w:val="none" w:sz="0" w:space="0" w:color="auto"/>
                <w:right w:val="none" w:sz="0" w:space="0" w:color="auto"/>
              </w:divBdr>
              <w:divsChild>
                <w:div w:id="951088979">
                  <w:marLeft w:val="0"/>
                  <w:marRight w:val="0"/>
                  <w:marTop w:val="0"/>
                  <w:marBottom w:val="0"/>
                  <w:divBdr>
                    <w:top w:val="none" w:sz="0" w:space="0" w:color="auto"/>
                    <w:left w:val="none" w:sz="0" w:space="0" w:color="auto"/>
                    <w:bottom w:val="none" w:sz="0" w:space="0" w:color="auto"/>
                    <w:right w:val="none" w:sz="0" w:space="0" w:color="auto"/>
                  </w:divBdr>
                </w:div>
              </w:divsChild>
            </w:div>
            <w:div w:id="1763919012">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767651322">
      <w:bodyDiv w:val="1"/>
      <w:marLeft w:val="0"/>
      <w:marRight w:val="0"/>
      <w:marTop w:val="0"/>
      <w:marBottom w:val="0"/>
      <w:divBdr>
        <w:top w:val="none" w:sz="0" w:space="0" w:color="auto"/>
        <w:left w:val="none" w:sz="0" w:space="0" w:color="auto"/>
        <w:bottom w:val="none" w:sz="0" w:space="0" w:color="auto"/>
        <w:right w:val="none" w:sz="0" w:space="0" w:color="auto"/>
      </w:divBdr>
      <w:divsChild>
        <w:div w:id="1601985051">
          <w:marLeft w:val="0"/>
          <w:marRight w:val="0"/>
          <w:marTop w:val="480"/>
          <w:marBottom w:val="0"/>
          <w:divBdr>
            <w:top w:val="none" w:sz="0" w:space="0" w:color="auto"/>
            <w:left w:val="none" w:sz="0" w:space="0" w:color="auto"/>
            <w:bottom w:val="none" w:sz="0" w:space="0" w:color="auto"/>
            <w:right w:val="none" w:sz="0" w:space="0" w:color="auto"/>
          </w:divBdr>
        </w:div>
        <w:div w:id="1496847598">
          <w:marLeft w:val="0"/>
          <w:marRight w:val="0"/>
          <w:marTop w:val="0"/>
          <w:marBottom w:val="0"/>
          <w:divBdr>
            <w:top w:val="none" w:sz="0" w:space="0" w:color="auto"/>
            <w:left w:val="none" w:sz="0" w:space="0" w:color="auto"/>
            <w:bottom w:val="none" w:sz="0" w:space="0" w:color="auto"/>
            <w:right w:val="none" w:sz="0" w:space="0" w:color="auto"/>
          </w:divBdr>
        </w:div>
        <w:div w:id="106699410">
          <w:marLeft w:val="0"/>
          <w:marRight w:val="0"/>
          <w:marTop w:val="240"/>
          <w:marBottom w:val="0"/>
          <w:divBdr>
            <w:top w:val="none" w:sz="0" w:space="0" w:color="auto"/>
            <w:left w:val="none" w:sz="0" w:space="0" w:color="auto"/>
            <w:bottom w:val="none" w:sz="0" w:space="0" w:color="auto"/>
            <w:right w:val="none" w:sz="0" w:space="0" w:color="auto"/>
          </w:divBdr>
        </w:div>
      </w:divsChild>
    </w:div>
    <w:div w:id="1770466038">
      <w:bodyDiv w:val="1"/>
      <w:marLeft w:val="0"/>
      <w:marRight w:val="0"/>
      <w:marTop w:val="0"/>
      <w:marBottom w:val="0"/>
      <w:divBdr>
        <w:top w:val="none" w:sz="0" w:space="0" w:color="auto"/>
        <w:left w:val="none" w:sz="0" w:space="0" w:color="auto"/>
        <w:bottom w:val="none" w:sz="0" w:space="0" w:color="auto"/>
        <w:right w:val="none" w:sz="0" w:space="0" w:color="auto"/>
      </w:divBdr>
      <w:divsChild>
        <w:div w:id="1809009706">
          <w:marLeft w:val="0"/>
          <w:marRight w:val="0"/>
          <w:marTop w:val="480"/>
          <w:marBottom w:val="0"/>
          <w:divBdr>
            <w:top w:val="none" w:sz="0" w:space="0" w:color="auto"/>
            <w:left w:val="none" w:sz="0" w:space="0" w:color="auto"/>
            <w:bottom w:val="none" w:sz="0" w:space="0" w:color="auto"/>
            <w:right w:val="none" w:sz="0" w:space="0" w:color="auto"/>
          </w:divBdr>
        </w:div>
        <w:div w:id="322899541">
          <w:marLeft w:val="0"/>
          <w:marRight w:val="0"/>
          <w:marTop w:val="0"/>
          <w:marBottom w:val="0"/>
          <w:divBdr>
            <w:top w:val="none" w:sz="0" w:space="0" w:color="auto"/>
            <w:left w:val="none" w:sz="0" w:space="0" w:color="auto"/>
            <w:bottom w:val="none" w:sz="0" w:space="0" w:color="auto"/>
            <w:right w:val="none" w:sz="0" w:space="0" w:color="auto"/>
          </w:divBdr>
        </w:div>
        <w:div w:id="1499803588">
          <w:marLeft w:val="0"/>
          <w:marRight w:val="0"/>
          <w:marTop w:val="240"/>
          <w:marBottom w:val="0"/>
          <w:divBdr>
            <w:top w:val="none" w:sz="0" w:space="0" w:color="auto"/>
            <w:left w:val="none" w:sz="0" w:space="0" w:color="auto"/>
            <w:bottom w:val="none" w:sz="0" w:space="0" w:color="auto"/>
            <w:right w:val="none" w:sz="0" w:space="0" w:color="auto"/>
          </w:divBdr>
        </w:div>
        <w:div w:id="2121681349">
          <w:marLeft w:val="0"/>
          <w:marRight w:val="0"/>
          <w:marTop w:val="240"/>
          <w:marBottom w:val="0"/>
          <w:divBdr>
            <w:top w:val="none" w:sz="0" w:space="0" w:color="auto"/>
            <w:left w:val="none" w:sz="0" w:space="0" w:color="auto"/>
            <w:bottom w:val="none" w:sz="0" w:space="0" w:color="auto"/>
            <w:right w:val="none" w:sz="0" w:space="0" w:color="auto"/>
          </w:divBdr>
        </w:div>
        <w:div w:id="537357804">
          <w:marLeft w:val="0"/>
          <w:marRight w:val="0"/>
          <w:marTop w:val="240"/>
          <w:marBottom w:val="0"/>
          <w:divBdr>
            <w:top w:val="none" w:sz="0" w:space="0" w:color="auto"/>
            <w:left w:val="none" w:sz="0" w:space="0" w:color="auto"/>
            <w:bottom w:val="none" w:sz="0" w:space="0" w:color="auto"/>
            <w:right w:val="none" w:sz="0" w:space="0" w:color="auto"/>
          </w:divBdr>
        </w:div>
        <w:div w:id="805313247">
          <w:marLeft w:val="0"/>
          <w:marRight w:val="0"/>
          <w:marTop w:val="240"/>
          <w:marBottom w:val="0"/>
          <w:divBdr>
            <w:top w:val="none" w:sz="0" w:space="0" w:color="auto"/>
            <w:left w:val="none" w:sz="0" w:space="0" w:color="auto"/>
            <w:bottom w:val="none" w:sz="0" w:space="0" w:color="auto"/>
            <w:right w:val="none" w:sz="0" w:space="0" w:color="auto"/>
          </w:divBdr>
        </w:div>
        <w:div w:id="2064210653">
          <w:marLeft w:val="0"/>
          <w:marRight w:val="0"/>
          <w:marTop w:val="240"/>
          <w:marBottom w:val="0"/>
          <w:divBdr>
            <w:top w:val="none" w:sz="0" w:space="0" w:color="auto"/>
            <w:left w:val="none" w:sz="0" w:space="0" w:color="auto"/>
            <w:bottom w:val="none" w:sz="0" w:space="0" w:color="auto"/>
            <w:right w:val="none" w:sz="0" w:space="0" w:color="auto"/>
          </w:divBdr>
        </w:div>
        <w:div w:id="2126657799">
          <w:marLeft w:val="0"/>
          <w:marRight w:val="0"/>
          <w:marTop w:val="240"/>
          <w:marBottom w:val="0"/>
          <w:divBdr>
            <w:top w:val="none" w:sz="0" w:space="0" w:color="auto"/>
            <w:left w:val="none" w:sz="0" w:space="0" w:color="auto"/>
            <w:bottom w:val="none" w:sz="0" w:space="0" w:color="auto"/>
            <w:right w:val="none" w:sz="0" w:space="0" w:color="auto"/>
          </w:divBdr>
        </w:div>
      </w:divsChild>
    </w:div>
    <w:div w:id="1788347693">
      <w:bodyDiv w:val="1"/>
      <w:marLeft w:val="0"/>
      <w:marRight w:val="0"/>
      <w:marTop w:val="0"/>
      <w:marBottom w:val="0"/>
      <w:divBdr>
        <w:top w:val="none" w:sz="0" w:space="0" w:color="auto"/>
        <w:left w:val="none" w:sz="0" w:space="0" w:color="auto"/>
        <w:bottom w:val="none" w:sz="0" w:space="0" w:color="auto"/>
        <w:right w:val="none" w:sz="0" w:space="0" w:color="auto"/>
      </w:divBdr>
      <w:divsChild>
        <w:div w:id="716201543">
          <w:marLeft w:val="0"/>
          <w:marRight w:val="0"/>
          <w:marTop w:val="480"/>
          <w:marBottom w:val="0"/>
          <w:divBdr>
            <w:top w:val="none" w:sz="0" w:space="0" w:color="auto"/>
            <w:left w:val="none" w:sz="0" w:space="0" w:color="auto"/>
            <w:bottom w:val="none" w:sz="0" w:space="0" w:color="auto"/>
            <w:right w:val="none" w:sz="0" w:space="0" w:color="auto"/>
          </w:divBdr>
        </w:div>
        <w:div w:id="1826554641">
          <w:marLeft w:val="0"/>
          <w:marRight w:val="0"/>
          <w:marTop w:val="0"/>
          <w:marBottom w:val="0"/>
          <w:divBdr>
            <w:top w:val="none" w:sz="0" w:space="0" w:color="auto"/>
            <w:left w:val="none" w:sz="0" w:space="0" w:color="auto"/>
            <w:bottom w:val="none" w:sz="0" w:space="0" w:color="auto"/>
            <w:right w:val="none" w:sz="0" w:space="0" w:color="auto"/>
          </w:divBdr>
        </w:div>
        <w:div w:id="572857312">
          <w:marLeft w:val="0"/>
          <w:marRight w:val="0"/>
          <w:marTop w:val="240"/>
          <w:marBottom w:val="0"/>
          <w:divBdr>
            <w:top w:val="none" w:sz="0" w:space="0" w:color="auto"/>
            <w:left w:val="none" w:sz="0" w:space="0" w:color="auto"/>
            <w:bottom w:val="none" w:sz="0" w:space="0" w:color="auto"/>
            <w:right w:val="none" w:sz="0" w:space="0" w:color="auto"/>
          </w:divBdr>
        </w:div>
      </w:divsChild>
    </w:div>
    <w:div w:id="1794708220">
      <w:bodyDiv w:val="1"/>
      <w:marLeft w:val="0"/>
      <w:marRight w:val="0"/>
      <w:marTop w:val="0"/>
      <w:marBottom w:val="0"/>
      <w:divBdr>
        <w:top w:val="none" w:sz="0" w:space="0" w:color="auto"/>
        <w:left w:val="none" w:sz="0" w:space="0" w:color="auto"/>
        <w:bottom w:val="none" w:sz="0" w:space="0" w:color="auto"/>
        <w:right w:val="none" w:sz="0" w:space="0" w:color="auto"/>
      </w:divBdr>
    </w:div>
    <w:div w:id="1850564355">
      <w:bodyDiv w:val="1"/>
      <w:marLeft w:val="0"/>
      <w:marRight w:val="0"/>
      <w:marTop w:val="0"/>
      <w:marBottom w:val="0"/>
      <w:divBdr>
        <w:top w:val="none" w:sz="0" w:space="0" w:color="auto"/>
        <w:left w:val="none" w:sz="0" w:space="0" w:color="auto"/>
        <w:bottom w:val="none" w:sz="0" w:space="0" w:color="auto"/>
        <w:right w:val="none" w:sz="0" w:space="0" w:color="auto"/>
      </w:divBdr>
    </w:div>
    <w:div w:id="1929340030">
      <w:bodyDiv w:val="1"/>
      <w:marLeft w:val="0"/>
      <w:marRight w:val="0"/>
      <w:marTop w:val="0"/>
      <w:marBottom w:val="0"/>
      <w:divBdr>
        <w:top w:val="none" w:sz="0" w:space="0" w:color="auto"/>
        <w:left w:val="none" w:sz="0" w:space="0" w:color="auto"/>
        <w:bottom w:val="none" w:sz="0" w:space="0" w:color="auto"/>
        <w:right w:val="none" w:sz="0" w:space="0" w:color="auto"/>
      </w:divBdr>
    </w:div>
    <w:div w:id="1934627353">
      <w:bodyDiv w:val="1"/>
      <w:marLeft w:val="0"/>
      <w:marRight w:val="0"/>
      <w:marTop w:val="0"/>
      <w:marBottom w:val="0"/>
      <w:divBdr>
        <w:top w:val="none" w:sz="0" w:space="0" w:color="auto"/>
        <w:left w:val="none" w:sz="0" w:space="0" w:color="auto"/>
        <w:bottom w:val="none" w:sz="0" w:space="0" w:color="auto"/>
        <w:right w:val="none" w:sz="0" w:space="0" w:color="auto"/>
      </w:divBdr>
      <w:divsChild>
        <w:div w:id="1584989671">
          <w:marLeft w:val="0"/>
          <w:marRight w:val="0"/>
          <w:marTop w:val="480"/>
          <w:marBottom w:val="0"/>
          <w:divBdr>
            <w:top w:val="none" w:sz="0" w:space="0" w:color="auto"/>
            <w:left w:val="none" w:sz="0" w:space="0" w:color="auto"/>
            <w:bottom w:val="none" w:sz="0" w:space="0" w:color="auto"/>
            <w:right w:val="none" w:sz="0" w:space="0" w:color="auto"/>
          </w:divBdr>
        </w:div>
        <w:div w:id="17047028">
          <w:marLeft w:val="0"/>
          <w:marRight w:val="0"/>
          <w:marTop w:val="0"/>
          <w:marBottom w:val="0"/>
          <w:divBdr>
            <w:top w:val="none" w:sz="0" w:space="0" w:color="auto"/>
            <w:left w:val="none" w:sz="0" w:space="0" w:color="auto"/>
            <w:bottom w:val="none" w:sz="0" w:space="0" w:color="auto"/>
            <w:right w:val="none" w:sz="0" w:space="0" w:color="auto"/>
          </w:divBdr>
        </w:div>
        <w:div w:id="745030750">
          <w:marLeft w:val="0"/>
          <w:marRight w:val="0"/>
          <w:marTop w:val="240"/>
          <w:marBottom w:val="0"/>
          <w:divBdr>
            <w:top w:val="none" w:sz="0" w:space="0" w:color="auto"/>
            <w:left w:val="none" w:sz="0" w:space="0" w:color="auto"/>
            <w:bottom w:val="none" w:sz="0" w:space="0" w:color="auto"/>
            <w:right w:val="none" w:sz="0" w:space="0" w:color="auto"/>
          </w:divBdr>
        </w:div>
        <w:div w:id="1655985758">
          <w:marLeft w:val="0"/>
          <w:marRight w:val="0"/>
          <w:marTop w:val="240"/>
          <w:marBottom w:val="0"/>
          <w:divBdr>
            <w:top w:val="none" w:sz="0" w:space="0" w:color="auto"/>
            <w:left w:val="none" w:sz="0" w:space="0" w:color="auto"/>
            <w:bottom w:val="none" w:sz="0" w:space="0" w:color="auto"/>
            <w:right w:val="none" w:sz="0" w:space="0" w:color="auto"/>
          </w:divBdr>
        </w:div>
        <w:div w:id="1891454578">
          <w:marLeft w:val="0"/>
          <w:marRight w:val="0"/>
          <w:marTop w:val="240"/>
          <w:marBottom w:val="0"/>
          <w:divBdr>
            <w:top w:val="none" w:sz="0" w:space="0" w:color="auto"/>
            <w:left w:val="none" w:sz="0" w:space="0" w:color="auto"/>
            <w:bottom w:val="none" w:sz="0" w:space="0" w:color="auto"/>
            <w:right w:val="none" w:sz="0" w:space="0" w:color="auto"/>
          </w:divBdr>
        </w:div>
        <w:div w:id="2016571151">
          <w:marLeft w:val="0"/>
          <w:marRight w:val="0"/>
          <w:marTop w:val="240"/>
          <w:marBottom w:val="0"/>
          <w:divBdr>
            <w:top w:val="none" w:sz="0" w:space="0" w:color="auto"/>
            <w:left w:val="none" w:sz="0" w:space="0" w:color="auto"/>
            <w:bottom w:val="none" w:sz="0" w:space="0" w:color="auto"/>
            <w:right w:val="none" w:sz="0" w:space="0" w:color="auto"/>
          </w:divBdr>
        </w:div>
        <w:div w:id="693456611">
          <w:marLeft w:val="0"/>
          <w:marRight w:val="0"/>
          <w:marTop w:val="240"/>
          <w:marBottom w:val="0"/>
          <w:divBdr>
            <w:top w:val="none" w:sz="0" w:space="0" w:color="auto"/>
            <w:left w:val="none" w:sz="0" w:space="0" w:color="auto"/>
            <w:bottom w:val="none" w:sz="0" w:space="0" w:color="auto"/>
            <w:right w:val="none" w:sz="0" w:space="0" w:color="auto"/>
          </w:divBdr>
        </w:div>
        <w:div w:id="1934391294">
          <w:marLeft w:val="0"/>
          <w:marRight w:val="0"/>
          <w:marTop w:val="240"/>
          <w:marBottom w:val="0"/>
          <w:divBdr>
            <w:top w:val="none" w:sz="0" w:space="0" w:color="auto"/>
            <w:left w:val="none" w:sz="0" w:space="0" w:color="auto"/>
            <w:bottom w:val="none" w:sz="0" w:space="0" w:color="auto"/>
            <w:right w:val="none" w:sz="0" w:space="0" w:color="auto"/>
          </w:divBdr>
        </w:div>
      </w:divsChild>
    </w:div>
    <w:div w:id="1975211042">
      <w:bodyDiv w:val="1"/>
      <w:marLeft w:val="0"/>
      <w:marRight w:val="0"/>
      <w:marTop w:val="0"/>
      <w:marBottom w:val="0"/>
      <w:divBdr>
        <w:top w:val="none" w:sz="0" w:space="0" w:color="auto"/>
        <w:left w:val="none" w:sz="0" w:space="0" w:color="auto"/>
        <w:bottom w:val="none" w:sz="0" w:space="0" w:color="auto"/>
        <w:right w:val="none" w:sz="0" w:space="0" w:color="auto"/>
      </w:divBdr>
      <w:divsChild>
        <w:div w:id="549458603">
          <w:marLeft w:val="0"/>
          <w:marRight w:val="0"/>
          <w:marTop w:val="480"/>
          <w:marBottom w:val="0"/>
          <w:divBdr>
            <w:top w:val="none" w:sz="0" w:space="0" w:color="auto"/>
            <w:left w:val="none" w:sz="0" w:space="0" w:color="auto"/>
            <w:bottom w:val="none" w:sz="0" w:space="0" w:color="auto"/>
            <w:right w:val="none" w:sz="0" w:space="0" w:color="auto"/>
          </w:divBdr>
        </w:div>
        <w:div w:id="1116169317">
          <w:marLeft w:val="0"/>
          <w:marRight w:val="0"/>
          <w:marTop w:val="0"/>
          <w:marBottom w:val="0"/>
          <w:divBdr>
            <w:top w:val="none" w:sz="0" w:space="0" w:color="auto"/>
            <w:left w:val="none" w:sz="0" w:space="0" w:color="auto"/>
            <w:bottom w:val="none" w:sz="0" w:space="0" w:color="auto"/>
            <w:right w:val="none" w:sz="0" w:space="0" w:color="auto"/>
          </w:divBdr>
        </w:div>
        <w:div w:id="505747527">
          <w:marLeft w:val="0"/>
          <w:marRight w:val="0"/>
          <w:marTop w:val="240"/>
          <w:marBottom w:val="0"/>
          <w:divBdr>
            <w:top w:val="none" w:sz="0" w:space="0" w:color="auto"/>
            <w:left w:val="none" w:sz="0" w:space="0" w:color="auto"/>
            <w:bottom w:val="none" w:sz="0" w:space="0" w:color="auto"/>
            <w:right w:val="none" w:sz="0" w:space="0" w:color="auto"/>
          </w:divBdr>
        </w:div>
        <w:div w:id="1943952672">
          <w:marLeft w:val="425"/>
          <w:marRight w:val="0"/>
          <w:marTop w:val="0"/>
          <w:marBottom w:val="0"/>
          <w:divBdr>
            <w:top w:val="none" w:sz="0" w:space="0" w:color="auto"/>
            <w:left w:val="none" w:sz="0" w:space="0" w:color="auto"/>
            <w:bottom w:val="none" w:sz="0" w:space="0" w:color="auto"/>
            <w:right w:val="none" w:sz="0" w:space="0" w:color="auto"/>
          </w:divBdr>
        </w:div>
        <w:div w:id="798305127">
          <w:marLeft w:val="425"/>
          <w:marRight w:val="0"/>
          <w:marTop w:val="0"/>
          <w:marBottom w:val="0"/>
          <w:divBdr>
            <w:top w:val="none" w:sz="0" w:space="0" w:color="auto"/>
            <w:left w:val="none" w:sz="0" w:space="0" w:color="auto"/>
            <w:bottom w:val="none" w:sz="0" w:space="0" w:color="auto"/>
            <w:right w:val="none" w:sz="0" w:space="0" w:color="auto"/>
          </w:divBdr>
        </w:div>
        <w:div w:id="330261374">
          <w:marLeft w:val="425"/>
          <w:marRight w:val="0"/>
          <w:marTop w:val="0"/>
          <w:marBottom w:val="0"/>
          <w:divBdr>
            <w:top w:val="none" w:sz="0" w:space="0" w:color="auto"/>
            <w:left w:val="none" w:sz="0" w:space="0" w:color="auto"/>
            <w:bottom w:val="none" w:sz="0" w:space="0" w:color="auto"/>
            <w:right w:val="none" w:sz="0" w:space="0" w:color="auto"/>
          </w:divBdr>
        </w:div>
        <w:div w:id="243030639">
          <w:marLeft w:val="425"/>
          <w:marRight w:val="0"/>
          <w:marTop w:val="0"/>
          <w:marBottom w:val="0"/>
          <w:divBdr>
            <w:top w:val="none" w:sz="0" w:space="0" w:color="auto"/>
            <w:left w:val="none" w:sz="0" w:space="0" w:color="auto"/>
            <w:bottom w:val="none" w:sz="0" w:space="0" w:color="auto"/>
            <w:right w:val="none" w:sz="0" w:space="0" w:color="auto"/>
          </w:divBdr>
        </w:div>
        <w:div w:id="62069213">
          <w:marLeft w:val="0"/>
          <w:marRight w:val="0"/>
          <w:marTop w:val="240"/>
          <w:marBottom w:val="0"/>
          <w:divBdr>
            <w:top w:val="none" w:sz="0" w:space="0" w:color="auto"/>
            <w:left w:val="none" w:sz="0" w:space="0" w:color="auto"/>
            <w:bottom w:val="none" w:sz="0" w:space="0" w:color="auto"/>
            <w:right w:val="none" w:sz="0" w:space="0" w:color="auto"/>
          </w:divBdr>
        </w:div>
        <w:div w:id="1201014704">
          <w:marLeft w:val="425"/>
          <w:marRight w:val="0"/>
          <w:marTop w:val="0"/>
          <w:marBottom w:val="0"/>
          <w:divBdr>
            <w:top w:val="none" w:sz="0" w:space="0" w:color="auto"/>
            <w:left w:val="none" w:sz="0" w:space="0" w:color="auto"/>
            <w:bottom w:val="none" w:sz="0" w:space="0" w:color="auto"/>
            <w:right w:val="none" w:sz="0" w:space="0" w:color="auto"/>
          </w:divBdr>
        </w:div>
        <w:div w:id="2004425763">
          <w:marLeft w:val="425"/>
          <w:marRight w:val="0"/>
          <w:marTop w:val="0"/>
          <w:marBottom w:val="0"/>
          <w:divBdr>
            <w:top w:val="none" w:sz="0" w:space="0" w:color="auto"/>
            <w:left w:val="none" w:sz="0" w:space="0" w:color="auto"/>
            <w:bottom w:val="none" w:sz="0" w:space="0" w:color="auto"/>
            <w:right w:val="none" w:sz="0" w:space="0" w:color="auto"/>
          </w:divBdr>
        </w:div>
        <w:div w:id="2106420552">
          <w:marLeft w:val="425"/>
          <w:marRight w:val="0"/>
          <w:marTop w:val="0"/>
          <w:marBottom w:val="0"/>
          <w:divBdr>
            <w:top w:val="none" w:sz="0" w:space="0" w:color="auto"/>
            <w:left w:val="none" w:sz="0" w:space="0" w:color="auto"/>
            <w:bottom w:val="none" w:sz="0" w:space="0" w:color="auto"/>
            <w:right w:val="none" w:sz="0" w:space="0" w:color="auto"/>
          </w:divBdr>
        </w:div>
        <w:div w:id="382603318">
          <w:marLeft w:val="425"/>
          <w:marRight w:val="0"/>
          <w:marTop w:val="0"/>
          <w:marBottom w:val="0"/>
          <w:divBdr>
            <w:top w:val="none" w:sz="0" w:space="0" w:color="auto"/>
            <w:left w:val="none" w:sz="0" w:space="0" w:color="auto"/>
            <w:bottom w:val="none" w:sz="0" w:space="0" w:color="auto"/>
            <w:right w:val="none" w:sz="0" w:space="0" w:color="auto"/>
          </w:divBdr>
        </w:div>
        <w:div w:id="2144733205">
          <w:marLeft w:val="425"/>
          <w:marRight w:val="0"/>
          <w:marTop w:val="0"/>
          <w:marBottom w:val="0"/>
          <w:divBdr>
            <w:top w:val="none" w:sz="0" w:space="0" w:color="auto"/>
            <w:left w:val="none" w:sz="0" w:space="0" w:color="auto"/>
            <w:bottom w:val="none" w:sz="0" w:space="0" w:color="auto"/>
            <w:right w:val="none" w:sz="0" w:space="0" w:color="auto"/>
          </w:divBdr>
        </w:div>
        <w:div w:id="394166237">
          <w:marLeft w:val="425"/>
          <w:marRight w:val="0"/>
          <w:marTop w:val="0"/>
          <w:marBottom w:val="0"/>
          <w:divBdr>
            <w:top w:val="none" w:sz="0" w:space="0" w:color="auto"/>
            <w:left w:val="none" w:sz="0" w:space="0" w:color="auto"/>
            <w:bottom w:val="none" w:sz="0" w:space="0" w:color="auto"/>
            <w:right w:val="none" w:sz="0" w:space="0" w:color="auto"/>
          </w:divBdr>
        </w:div>
        <w:div w:id="7105863">
          <w:marLeft w:val="425"/>
          <w:marRight w:val="0"/>
          <w:marTop w:val="0"/>
          <w:marBottom w:val="0"/>
          <w:divBdr>
            <w:top w:val="none" w:sz="0" w:space="0" w:color="auto"/>
            <w:left w:val="none" w:sz="0" w:space="0" w:color="auto"/>
            <w:bottom w:val="none" w:sz="0" w:space="0" w:color="auto"/>
            <w:right w:val="none" w:sz="0" w:space="0" w:color="auto"/>
          </w:divBdr>
        </w:div>
        <w:div w:id="1984700624">
          <w:marLeft w:val="425"/>
          <w:marRight w:val="0"/>
          <w:marTop w:val="0"/>
          <w:marBottom w:val="0"/>
          <w:divBdr>
            <w:top w:val="none" w:sz="0" w:space="0" w:color="auto"/>
            <w:left w:val="none" w:sz="0" w:space="0" w:color="auto"/>
            <w:bottom w:val="none" w:sz="0" w:space="0" w:color="auto"/>
            <w:right w:val="none" w:sz="0" w:space="0" w:color="auto"/>
          </w:divBdr>
        </w:div>
        <w:div w:id="1307928846">
          <w:marLeft w:val="0"/>
          <w:marRight w:val="0"/>
          <w:marTop w:val="240"/>
          <w:marBottom w:val="0"/>
          <w:divBdr>
            <w:top w:val="none" w:sz="0" w:space="0" w:color="auto"/>
            <w:left w:val="none" w:sz="0" w:space="0" w:color="auto"/>
            <w:bottom w:val="none" w:sz="0" w:space="0" w:color="auto"/>
            <w:right w:val="none" w:sz="0" w:space="0" w:color="auto"/>
          </w:divBdr>
        </w:div>
      </w:divsChild>
    </w:div>
    <w:div w:id="1988437813">
      <w:bodyDiv w:val="1"/>
      <w:marLeft w:val="0"/>
      <w:marRight w:val="0"/>
      <w:marTop w:val="0"/>
      <w:marBottom w:val="0"/>
      <w:divBdr>
        <w:top w:val="none" w:sz="0" w:space="0" w:color="auto"/>
        <w:left w:val="none" w:sz="0" w:space="0" w:color="auto"/>
        <w:bottom w:val="none" w:sz="0" w:space="0" w:color="auto"/>
        <w:right w:val="none" w:sz="0" w:space="0" w:color="auto"/>
      </w:divBdr>
      <w:divsChild>
        <w:div w:id="770517638">
          <w:marLeft w:val="0"/>
          <w:marRight w:val="0"/>
          <w:marTop w:val="480"/>
          <w:marBottom w:val="0"/>
          <w:divBdr>
            <w:top w:val="none" w:sz="0" w:space="0" w:color="auto"/>
            <w:left w:val="none" w:sz="0" w:space="0" w:color="auto"/>
            <w:bottom w:val="none" w:sz="0" w:space="0" w:color="auto"/>
            <w:right w:val="none" w:sz="0" w:space="0" w:color="auto"/>
          </w:divBdr>
        </w:div>
        <w:div w:id="1748378899">
          <w:marLeft w:val="0"/>
          <w:marRight w:val="0"/>
          <w:marTop w:val="0"/>
          <w:marBottom w:val="0"/>
          <w:divBdr>
            <w:top w:val="none" w:sz="0" w:space="0" w:color="auto"/>
            <w:left w:val="none" w:sz="0" w:space="0" w:color="auto"/>
            <w:bottom w:val="none" w:sz="0" w:space="0" w:color="auto"/>
            <w:right w:val="none" w:sz="0" w:space="0" w:color="auto"/>
          </w:divBdr>
        </w:div>
        <w:div w:id="1745491270">
          <w:marLeft w:val="0"/>
          <w:marRight w:val="0"/>
          <w:marTop w:val="240"/>
          <w:marBottom w:val="0"/>
          <w:divBdr>
            <w:top w:val="none" w:sz="0" w:space="0" w:color="auto"/>
            <w:left w:val="none" w:sz="0" w:space="0" w:color="auto"/>
            <w:bottom w:val="none" w:sz="0" w:space="0" w:color="auto"/>
            <w:right w:val="none" w:sz="0" w:space="0" w:color="auto"/>
          </w:divBdr>
        </w:div>
        <w:div w:id="328094027">
          <w:marLeft w:val="425"/>
          <w:marRight w:val="0"/>
          <w:marTop w:val="0"/>
          <w:marBottom w:val="0"/>
          <w:divBdr>
            <w:top w:val="none" w:sz="0" w:space="0" w:color="auto"/>
            <w:left w:val="none" w:sz="0" w:space="0" w:color="auto"/>
            <w:bottom w:val="none" w:sz="0" w:space="0" w:color="auto"/>
            <w:right w:val="none" w:sz="0" w:space="0" w:color="auto"/>
          </w:divBdr>
          <w:divsChild>
            <w:div w:id="755516912">
              <w:marLeft w:val="0"/>
              <w:marRight w:val="0"/>
              <w:marTop w:val="0"/>
              <w:marBottom w:val="0"/>
              <w:divBdr>
                <w:top w:val="none" w:sz="0" w:space="0" w:color="auto"/>
                <w:left w:val="none" w:sz="0" w:space="0" w:color="auto"/>
                <w:bottom w:val="none" w:sz="0" w:space="0" w:color="auto"/>
                <w:right w:val="none" w:sz="0" w:space="0" w:color="auto"/>
              </w:divBdr>
            </w:div>
          </w:divsChild>
        </w:div>
        <w:div w:id="640305378">
          <w:marLeft w:val="425"/>
          <w:marRight w:val="0"/>
          <w:marTop w:val="0"/>
          <w:marBottom w:val="0"/>
          <w:divBdr>
            <w:top w:val="none" w:sz="0" w:space="0" w:color="auto"/>
            <w:left w:val="none" w:sz="0" w:space="0" w:color="auto"/>
            <w:bottom w:val="none" w:sz="0" w:space="0" w:color="auto"/>
            <w:right w:val="none" w:sz="0" w:space="0" w:color="auto"/>
          </w:divBdr>
          <w:divsChild>
            <w:div w:id="1493717973">
              <w:marLeft w:val="0"/>
              <w:marRight w:val="0"/>
              <w:marTop w:val="0"/>
              <w:marBottom w:val="0"/>
              <w:divBdr>
                <w:top w:val="none" w:sz="0" w:space="0" w:color="auto"/>
                <w:left w:val="none" w:sz="0" w:space="0" w:color="auto"/>
                <w:bottom w:val="none" w:sz="0" w:space="0" w:color="auto"/>
                <w:right w:val="none" w:sz="0" w:space="0" w:color="auto"/>
              </w:divBdr>
            </w:div>
          </w:divsChild>
        </w:div>
        <w:div w:id="58941856">
          <w:marLeft w:val="425"/>
          <w:marRight w:val="0"/>
          <w:marTop w:val="0"/>
          <w:marBottom w:val="0"/>
          <w:divBdr>
            <w:top w:val="none" w:sz="0" w:space="0" w:color="auto"/>
            <w:left w:val="none" w:sz="0" w:space="0" w:color="auto"/>
            <w:bottom w:val="none" w:sz="0" w:space="0" w:color="auto"/>
            <w:right w:val="none" w:sz="0" w:space="0" w:color="auto"/>
          </w:divBdr>
          <w:divsChild>
            <w:div w:id="500511661">
              <w:marLeft w:val="0"/>
              <w:marRight w:val="0"/>
              <w:marTop w:val="0"/>
              <w:marBottom w:val="0"/>
              <w:divBdr>
                <w:top w:val="none" w:sz="0" w:space="0" w:color="auto"/>
                <w:left w:val="none" w:sz="0" w:space="0" w:color="auto"/>
                <w:bottom w:val="none" w:sz="0" w:space="0" w:color="auto"/>
                <w:right w:val="none" w:sz="0" w:space="0" w:color="auto"/>
              </w:divBdr>
            </w:div>
          </w:divsChild>
        </w:div>
        <w:div w:id="195429940">
          <w:marLeft w:val="425"/>
          <w:marRight w:val="0"/>
          <w:marTop w:val="0"/>
          <w:marBottom w:val="0"/>
          <w:divBdr>
            <w:top w:val="none" w:sz="0" w:space="0" w:color="auto"/>
            <w:left w:val="none" w:sz="0" w:space="0" w:color="auto"/>
            <w:bottom w:val="none" w:sz="0" w:space="0" w:color="auto"/>
            <w:right w:val="none" w:sz="0" w:space="0" w:color="auto"/>
          </w:divBdr>
          <w:divsChild>
            <w:div w:id="1787306764">
              <w:marLeft w:val="0"/>
              <w:marRight w:val="0"/>
              <w:marTop w:val="0"/>
              <w:marBottom w:val="0"/>
              <w:divBdr>
                <w:top w:val="none" w:sz="0" w:space="0" w:color="auto"/>
                <w:left w:val="none" w:sz="0" w:space="0" w:color="auto"/>
                <w:bottom w:val="none" w:sz="0" w:space="0" w:color="auto"/>
                <w:right w:val="none" w:sz="0" w:space="0" w:color="auto"/>
              </w:divBdr>
            </w:div>
          </w:divsChild>
        </w:div>
        <w:div w:id="943658835">
          <w:marLeft w:val="425"/>
          <w:marRight w:val="0"/>
          <w:marTop w:val="0"/>
          <w:marBottom w:val="0"/>
          <w:divBdr>
            <w:top w:val="none" w:sz="0" w:space="0" w:color="auto"/>
            <w:left w:val="none" w:sz="0" w:space="0" w:color="auto"/>
            <w:bottom w:val="none" w:sz="0" w:space="0" w:color="auto"/>
            <w:right w:val="none" w:sz="0" w:space="0" w:color="auto"/>
          </w:divBdr>
          <w:divsChild>
            <w:div w:id="276838695">
              <w:marLeft w:val="0"/>
              <w:marRight w:val="0"/>
              <w:marTop w:val="0"/>
              <w:marBottom w:val="0"/>
              <w:divBdr>
                <w:top w:val="none" w:sz="0" w:space="0" w:color="auto"/>
                <w:left w:val="none" w:sz="0" w:space="0" w:color="auto"/>
                <w:bottom w:val="none" w:sz="0" w:space="0" w:color="auto"/>
                <w:right w:val="none" w:sz="0" w:space="0" w:color="auto"/>
              </w:divBdr>
            </w:div>
          </w:divsChild>
        </w:div>
        <w:div w:id="1857884176">
          <w:marLeft w:val="425"/>
          <w:marRight w:val="0"/>
          <w:marTop w:val="0"/>
          <w:marBottom w:val="0"/>
          <w:divBdr>
            <w:top w:val="none" w:sz="0" w:space="0" w:color="auto"/>
            <w:left w:val="none" w:sz="0" w:space="0" w:color="auto"/>
            <w:bottom w:val="none" w:sz="0" w:space="0" w:color="auto"/>
            <w:right w:val="none" w:sz="0" w:space="0" w:color="auto"/>
          </w:divBdr>
          <w:divsChild>
            <w:div w:id="1661343345">
              <w:marLeft w:val="0"/>
              <w:marRight w:val="0"/>
              <w:marTop w:val="0"/>
              <w:marBottom w:val="0"/>
              <w:divBdr>
                <w:top w:val="none" w:sz="0" w:space="0" w:color="auto"/>
                <w:left w:val="none" w:sz="0" w:space="0" w:color="auto"/>
                <w:bottom w:val="none" w:sz="0" w:space="0" w:color="auto"/>
                <w:right w:val="none" w:sz="0" w:space="0" w:color="auto"/>
              </w:divBdr>
            </w:div>
          </w:divsChild>
        </w:div>
        <w:div w:id="1114666260">
          <w:marLeft w:val="425"/>
          <w:marRight w:val="0"/>
          <w:marTop w:val="0"/>
          <w:marBottom w:val="0"/>
          <w:divBdr>
            <w:top w:val="none" w:sz="0" w:space="0" w:color="auto"/>
            <w:left w:val="none" w:sz="0" w:space="0" w:color="auto"/>
            <w:bottom w:val="none" w:sz="0" w:space="0" w:color="auto"/>
            <w:right w:val="none" w:sz="0" w:space="0" w:color="auto"/>
          </w:divBdr>
          <w:divsChild>
            <w:div w:id="957682117">
              <w:marLeft w:val="0"/>
              <w:marRight w:val="0"/>
              <w:marTop w:val="0"/>
              <w:marBottom w:val="0"/>
              <w:divBdr>
                <w:top w:val="none" w:sz="0" w:space="0" w:color="auto"/>
                <w:left w:val="none" w:sz="0" w:space="0" w:color="auto"/>
                <w:bottom w:val="none" w:sz="0" w:space="0" w:color="auto"/>
                <w:right w:val="none" w:sz="0" w:space="0" w:color="auto"/>
              </w:divBdr>
            </w:div>
          </w:divsChild>
        </w:div>
        <w:div w:id="1397819264">
          <w:marLeft w:val="425"/>
          <w:marRight w:val="0"/>
          <w:marTop w:val="0"/>
          <w:marBottom w:val="0"/>
          <w:divBdr>
            <w:top w:val="none" w:sz="0" w:space="0" w:color="auto"/>
            <w:left w:val="none" w:sz="0" w:space="0" w:color="auto"/>
            <w:bottom w:val="none" w:sz="0" w:space="0" w:color="auto"/>
            <w:right w:val="none" w:sz="0" w:space="0" w:color="auto"/>
          </w:divBdr>
          <w:divsChild>
            <w:div w:id="851721135">
              <w:marLeft w:val="0"/>
              <w:marRight w:val="0"/>
              <w:marTop w:val="0"/>
              <w:marBottom w:val="0"/>
              <w:divBdr>
                <w:top w:val="none" w:sz="0" w:space="0" w:color="auto"/>
                <w:left w:val="none" w:sz="0" w:space="0" w:color="auto"/>
                <w:bottom w:val="none" w:sz="0" w:space="0" w:color="auto"/>
                <w:right w:val="none" w:sz="0" w:space="0" w:color="auto"/>
              </w:divBdr>
            </w:div>
          </w:divsChild>
        </w:div>
        <w:div w:id="1731688886">
          <w:marLeft w:val="425"/>
          <w:marRight w:val="0"/>
          <w:marTop w:val="0"/>
          <w:marBottom w:val="0"/>
          <w:divBdr>
            <w:top w:val="none" w:sz="0" w:space="0" w:color="auto"/>
            <w:left w:val="none" w:sz="0" w:space="0" w:color="auto"/>
            <w:bottom w:val="none" w:sz="0" w:space="0" w:color="auto"/>
            <w:right w:val="none" w:sz="0" w:space="0" w:color="auto"/>
          </w:divBdr>
          <w:divsChild>
            <w:div w:id="1343816406">
              <w:marLeft w:val="0"/>
              <w:marRight w:val="0"/>
              <w:marTop w:val="0"/>
              <w:marBottom w:val="0"/>
              <w:divBdr>
                <w:top w:val="none" w:sz="0" w:space="0" w:color="auto"/>
                <w:left w:val="none" w:sz="0" w:space="0" w:color="auto"/>
                <w:bottom w:val="none" w:sz="0" w:space="0" w:color="auto"/>
                <w:right w:val="none" w:sz="0" w:space="0" w:color="auto"/>
              </w:divBdr>
            </w:div>
          </w:divsChild>
        </w:div>
        <w:div w:id="222832524">
          <w:marLeft w:val="425"/>
          <w:marRight w:val="0"/>
          <w:marTop w:val="0"/>
          <w:marBottom w:val="0"/>
          <w:divBdr>
            <w:top w:val="none" w:sz="0" w:space="0" w:color="auto"/>
            <w:left w:val="none" w:sz="0" w:space="0" w:color="auto"/>
            <w:bottom w:val="none" w:sz="0" w:space="0" w:color="auto"/>
            <w:right w:val="none" w:sz="0" w:space="0" w:color="auto"/>
          </w:divBdr>
          <w:divsChild>
            <w:div w:id="1712876618">
              <w:marLeft w:val="0"/>
              <w:marRight w:val="0"/>
              <w:marTop w:val="0"/>
              <w:marBottom w:val="0"/>
              <w:divBdr>
                <w:top w:val="none" w:sz="0" w:space="0" w:color="auto"/>
                <w:left w:val="none" w:sz="0" w:space="0" w:color="auto"/>
                <w:bottom w:val="none" w:sz="0" w:space="0" w:color="auto"/>
                <w:right w:val="none" w:sz="0" w:space="0" w:color="auto"/>
              </w:divBdr>
            </w:div>
          </w:divsChild>
        </w:div>
        <w:div w:id="2103723347">
          <w:marLeft w:val="425"/>
          <w:marRight w:val="0"/>
          <w:marTop w:val="0"/>
          <w:marBottom w:val="0"/>
          <w:divBdr>
            <w:top w:val="none" w:sz="0" w:space="0" w:color="auto"/>
            <w:left w:val="none" w:sz="0" w:space="0" w:color="auto"/>
            <w:bottom w:val="none" w:sz="0" w:space="0" w:color="auto"/>
            <w:right w:val="none" w:sz="0" w:space="0" w:color="auto"/>
          </w:divBdr>
          <w:divsChild>
            <w:div w:id="1221407063">
              <w:marLeft w:val="0"/>
              <w:marRight w:val="0"/>
              <w:marTop w:val="0"/>
              <w:marBottom w:val="0"/>
              <w:divBdr>
                <w:top w:val="none" w:sz="0" w:space="0" w:color="auto"/>
                <w:left w:val="none" w:sz="0" w:space="0" w:color="auto"/>
                <w:bottom w:val="none" w:sz="0" w:space="0" w:color="auto"/>
                <w:right w:val="none" w:sz="0" w:space="0" w:color="auto"/>
              </w:divBdr>
            </w:div>
          </w:divsChild>
        </w:div>
        <w:div w:id="1797865672">
          <w:marLeft w:val="425"/>
          <w:marRight w:val="0"/>
          <w:marTop w:val="0"/>
          <w:marBottom w:val="0"/>
          <w:divBdr>
            <w:top w:val="none" w:sz="0" w:space="0" w:color="auto"/>
            <w:left w:val="none" w:sz="0" w:space="0" w:color="auto"/>
            <w:bottom w:val="none" w:sz="0" w:space="0" w:color="auto"/>
            <w:right w:val="none" w:sz="0" w:space="0" w:color="auto"/>
          </w:divBdr>
          <w:divsChild>
            <w:div w:id="470631778">
              <w:marLeft w:val="0"/>
              <w:marRight w:val="0"/>
              <w:marTop w:val="0"/>
              <w:marBottom w:val="0"/>
              <w:divBdr>
                <w:top w:val="none" w:sz="0" w:space="0" w:color="auto"/>
                <w:left w:val="none" w:sz="0" w:space="0" w:color="auto"/>
                <w:bottom w:val="none" w:sz="0" w:space="0" w:color="auto"/>
                <w:right w:val="none" w:sz="0" w:space="0" w:color="auto"/>
              </w:divBdr>
            </w:div>
          </w:divsChild>
        </w:div>
        <w:div w:id="856382559">
          <w:marLeft w:val="425"/>
          <w:marRight w:val="0"/>
          <w:marTop w:val="0"/>
          <w:marBottom w:val="0"/>
          <w:divBdr>
            <w:top w:val="none" w:sz="0" w:space="0" w:color="auto"/>
            <w:left w:val="none" w:sz="0" w:space="0" w:color="auto"/>
            <w:bottom w:val="none" w:sz="0" w:space="0" w:color="auto"/>
            <w:right w:val="none" w:sz="0" w:space="0" w:color="auto"/>
          </w:divBdr>
          <w:divsChild>
            <w:div w:id="1172140595">
              <w:marLeft w:val="0"/>
              <w:marRight w:val="0"/>
              <w:marTop w:val="0"/>
              <w:marBottom w:val="0"/>
              <w:divBdr>
                <w:top w:val="none" w:sz="0" w:space="0" w:color="auto"/>
                <w:left w:val="none" w:sz="0" w:space="0" w:color="auto"/>
                <w:bottom w:val="none" w:sz="0" w:space="0" w:color="auto"/>
                <w:right w:val="none" w:sz="0" w:space="0" w:color="auto"/>
              </w:divBdr>
            </w:div>
          </w:divsChild>
        </w:div>
        <w:div w:id="953905412">
          <w:marLeft w:val="425"/>
          <w:marRight w:val="0"/>
          <w:marTop w:val="0"/>
          <w:marBottom w:val="0"/>
          <w:divBdr>
            <w:top w:val="none" w:sz="0" w:space="0" w:color="auto"/>
            <w:left w:val="none" w:sz="0" w:space="0" w:color="auto"/>
            <w:bottom w:val="none" w:sz="0" w:space="0" w:color="auto"/>
            <w:right w:val="none" w:sz="0" w:space="0" w:color="auto"/>
          </w:divBdr>
          <w:divsChild>
            <w:div w:id="1044719607">
              <w:marLeft w:val="0"/>
              <w:marRight w:val="0"/>
              <w:marTop w:val="0"/>
              <w:marBottom w:val="0"/>
              <w:divBdr>
                <w:top w:val="none" w:sz="0" w:space="0" w:color="auto"/>
                <w:left w:val="none" w:sz="0" w:space="0" w:color="auto"/>
                <w:bottom w:val="none" w:sz="0" w:space="0" w:color="auto"/>
                <w:right w:val="none" w:sz="0" w:space="0" w:color="auto"/>
              </w:divBdr>
            </w:div>
          </w:divsChild>
        </w:div>
        <w:div w:id="1932469202">
          <w:marLeft w:val="425"/>
          <w:marRight w:val="0"/>
          <w:marTop w:val="0"/>
          <w:marBottom w:val="0"/>
          <w:divBdr>
            <w:top w:val="none" w:sz="0" w:space="0" w:color="auto"/>
            <w:left w:val="none" w:sz="0" w:space="0" w:color="auto"/>
            <w:bottom w:val="none" w:sz="0" w:space="0" w:color="auto"/>
            <w:right w:val="none" w:sz="0" w:space="0" w:color="auto"/>
          </w:divBdr>
          <w:divsChild>
            <w:div w:id="1406338084">
              <w:marLeft w:val="0"/>
              <w:marRight w:val="0"/>
              <w:marTop w:val="0"/>
              <w:marBottom w:val="0"/>
              <w:divBdr>
                <w:top w:val="none" w:sz="0" w:space="0" w:color="auto"/>
                <w:left w:val="none" w:sz="0" w:space="0" w:color="auto"/>
                <w:bottom w:val="none" w:sz="0" w:space="0" w:color="auto"/>
                <w:right w:val="none" w:sz="0" w:space="0" w:color="auto"/>
              </w:divBdr>
            </w:div>
          </w:divsChild>
        </w:div>
        <w:div w:id="1943683139">
          <w:marLeft w:val="425"/>
          <w:marRight w:val="0"/>
          <w:marTop w:val="0"/>
          <w:marBottom w:val="0"/>
          <w:divBdr>
            <w:top w:val="none" w:sz="0" w:space="0" w:color="auto"/>
            <w:left w:val="none" w:sz="0" w:space="0" w:color="auto"/>
            <w:bottom w:val="none" w:sz="0" w:space="0" w:color="auto"/>
            <w:right w:val="none" w:sz="0" w:space="0" w:color="auto"/>
          </w:divBdr>
          <w:divsChild>
            <w:div w:id="904800472">
              <w:marLeft w:val="0"/>
              <w:marRight w:val="0"/>
              <w:marTop w:val="0"/>
              <w:marBottom w:val="0"/>
              <w:divBdr>
                <w:top w:val="none" w:sz="0" w:space="0" w:color="auto"/>
                <w:left w:val="none" w:sz="0" w:space="0" w:color="auto"/>
                <w:bottom w:val="none" w:sz="0" w:space="0" w:color="auto"/>
                <w:right w:val="none" w:sz="0" w:space="0" w:color="auto"/>
              </w:divBdr>
            </w:div>
          </w:divsChild>
        </w:div>
        <w:div w:id="782532106">
          <w:marLeft w:val="425"/>
          <w:marRight w:val="0"/>
          <w:marTop w:val="0"/>
          <w:marBottom w:val="0"/>
          <w:divBdr>
            <w:top w:val="none" w:sz="0" w:space="0" w:color="auto"/>
            <w:left w:val="none" w:sz="0" w:space="0" w:color="auto"/>
            <w:bottom w:val="none" w:sz="0" w:space="0" w:color="auto"/>
            <w:right w:val="none" w:sz="0" w:space="0" w:color="auto"/>
          </w:divBdr>
          <w:divsChild>
            <w:div w:id="1427656003">
              <w:marLeft w:val="0"/>
              <w:marRight w:val="0"/>
              <w:marTop w:val="0"/>
              <w:marBottom w:val="0"/>
              <w:divBdr>
                <w:top w:val="none" w:sz="0" w:space="0" w:color="auto"/>
                <w:left w:val="none" w:sz="0" w:space="0" w:color="auto"/>
                <w:bottom w:val="none" w:sz="0" w:space="0" w:color="auto"/>
                <w:right w:val="none" w:sz="0" w:space="0" w:color="auto"/>
              </w:divBdr>
            </w:div>
          </w:divsChild>
        </w:div>
        <w:div w:id="1994681432">
          <w:marLeft w:val="0"/>
          <w:marRight w:val="0"/>
          <w:marTop w:val="240"/>
          <w:marBottom w:val="0"/>
          <w:divBdr>
            <w:top w:val="none" w:sz="0" w:space="0" w:color="auto"/>
            <w:left w:val="none" w:sz="0" w:space="0" w:color="auto"/>
            <w:bottom w:val="none" w:sz="0" w:space="0" w:color="auto"/>
            <w:right w:val="none" w:sz="0" w:space="0" w:color="auto"/>
          </w:divBdr>
        </w:div>
        <w:div w:id="162480656">
          <w:marLeft w:val="0"/>
          <w:marRight w:val="0"/>
          <w:marTop w:val="240"/>
          <w:marBottom w:val="0"/>
          <w:divBdr>
            <w:top w:val="none" w:sz="0" w:space="0" w:color="auto"/>
            <w:left w:val="none" w:sz="0" w:space="0" w:color="auto"/>
            <w:bottom w:val="none" w:sz="0" w:space="0" w:color="auto"/>
            <w:right w:val="none" w:sz="0" w:space="0" w:color="auto"/>
          </w:divBdr>
        </w:div>
        <w:div w:id="1845703089">
          <w:marLeft w:val="0"/>
          <w:marRight w:val="0"/>
          <w:marTop w:val="240"/>
          <w:marBottom w:val="0"/>
          <w:divBdr>
            <w:top w:val="none" w:sz="0" w:space="0" w:color="auto"/>
            <w:left w:val="none" w:sz="0" w:space="0" w:color="auto"/>
            <w:bottom w:val="none" w:sz="0" w:space="0" w:color="auto"/>
            <w:right w:val="none" w:sz="0" w:space="0" w:color="auto"/>
          </w:divBdr>
        </w:div>
      </w:divsChild>
    </w:div>
    <w:div w:id="2030835241">
      <w:bodyDiv w:val="1"/>
      <w:marLeft w:val="0"/>
      <w:marRight w:val="0"/>
      <w:marTop w:val="0"/>
      <w:marBottom w:val="0"/>
      <w:divBdr>
        <w:top w:val="none" w:sz="0" w:space="0" w:color="auto"/>
        <w:left w:val="none" w:sz="0" w:space="0" w:color="auto"/>
        <w:bottom w:val="none" w:sz="0" w:space="0" w:color="auto"/>
        <w:right w:val="none" w:sz="0" w:space="0" w:color="auto"/>
      </w:divBdr>
    </w:div>
    <w:div w:id="2049718480">
      <w:bodyDiv w:val="1"/>
      <w:marLeft w:val="0"/>
      <w:marRight w:val="0"/>
      <w:marTop w:val="0"/>
      <w:marBottom w:val="0"/>
      <w:divBdr>
        <w:top w:val="none" w:sz="0" w:space="0" w:color="auto"/>
        <w:left w:val="none" w:sz="0" w:space="0" w:color="auto"/>
        <w:bottom w:val="none" w:sz="0" w:space="0" w:color="auto"/>
        <w:right w:val="none" w:sz="0" w:space="0" w:color="auto"/>
      </w:divBdr>
      <w:divsChild>
        <w:div w:id="526528457">
          <w:marLeft w:val="0"/>
          <w:marRight w:val="0"/>
          <w:marTop w:val="480"/>
          <w:marBottom w:val="0"/>
          <w:divBdr>
            <w:top w:val="none" w:sz="0" w:space="0" w:color="auto"/>
            <w:left w:val="none" w:sz="0" w:space="0" w:color="auto"/>
            <w:bottom w:val="none" w:sz="0" w:space="0" w:color="auto"/>
            <w:right w:val="none" w:sz="0" w:space="0" w:color="auto"/>
          </w:divBdr>
        </w:div>
        <w:div w:id="1140152830">
          <w:marLeft w:val="0"/>
          <w:marRight w:val="0"/>
          <w:marTop w:val="0"/>
          <w:marBottom w:val="0"/>
          <w:divBdr>
            <w:top w:val="none" w:sz="0" w:space="0" w:color="auto"/>
            <w:left w:val="none" w:sz="0" w:space="0" w:color="auto"/>
            <w:bottom w:val="none" w:sz="0" w:space="0" w:color="auto"/>
            <w:right w:val="none" w:sz="0" w:space="0" w:color="auto"/>
          </w:divBdr>
        </w:div>
        <w:div w:id="2013335992">
          <w:marLeft w:val="0"/>
          <w:marRight w:val="0"/>
          <w:marTop w:val="240"/>
          <w:marBottom w:val="0"/>
          <w:divBdr>
            <w:top w:val="none" w:sz="0" w:space="0" w:color="auto"/>
            <w:left w:val="none" w:sz="0" w:space="0" w:color="auto"/>
            <w:bottom w:val="none" w:sz="0" w:space="0" w:color="auto"/>
            <w:right w:val="none" w:sz="0" w:space="0" w:color="auto"/>
          </w:divBdr>
        </w:div>
        <w:div w:id="1412117487">
          <w:marLeft w:val="0"/>
          <w:marRight w:val="0"/>
          <w:marTop w:val="240"/>
          <w:marBottom w:val="0"/>
          <w:divBdr>
            <w:top w:val="none" w:sz="0" w:space="0" w:color="auto"/>
            <w:left w:val="none" w:sz="0" w:space="0" w:color="auto"/>
            <w:bottom w:val="none" w:sz="0" w:space="0" w:color="auto"/>
            <w:right w:val="none" w:sz="0" w:space="0" w:color="auto"/>
          </w:divBdr>
        </w:div>
      </w:divsChild>
    </w:div>
    <w:div w:id="2064518577">
      <w:bodyDiv w:val="1"/>
      <w:marLeft w:val="0"/>
      <w:marRight w:val="0"/>
      <w:marTop w:val="0"/>
      <w:marBottom w:val="0"/>
      <w:divBdr>
        <w:top w:val="none" w:sz="0" w:space="0" w:color="auto"/>
        <w:left w:val="none" w:sz="0" w:space="0" w:color="auto"/>
        <w:bottom w:val="none" w:sz="0" w:space="0" w:color="auto"/>
        <w:right w:val="none" w:sz="0" w:space="0" w:color="auto"/>
      </w:divBdr>
    </w:div>
    <w:div w:id="2067802259">
      <w:bodyDiv w:val="1"/>
      <w:marLeft w:val="0"/>
      <w:marRight w:val="0"/>
      <w:marTop w:val="0"/>
      <w:marBottom w:val="0"/>
      <w:divBdr>
        <w:top w:val="none" w:sz="0" w:space="0" w:color="auto"/>
        <w:left w:val="none" w:sz="0" w:space="0" w:color="auto"/>
        <w:bottom w:val="none" w:sz="0" w:space="0" w:color="auto"/>
        <w:right w:val="none" w:sz="0" w:space="0" w:color="auto"/>
      </w:divBdr>
    </w:div>
    <w:div w:id="2085639072">
      <w:bodyDiv w:val="1"/>
      <w:marLeft w:val="0"/>
      <w:marRight w:val="0"/>
      <w:marTop w:val="0"/>
      <w:marBottom w:val="0"/>
      <w:divBdr>
        <w:top w:val="none" w:sz="0" w:space="0" w:color="auto"/>
        <w:left w:val="none" w:sz="0" w:space="0" w:color="auto"/>
        <w:bottom w:val="none" w:sz="0" w:space="0" w:color="auto"/>
        <w:right w:val="none" w:sz="0" w:space="0" w:color="auto"/>
      </w:divBdr>
    </w:div>
    <w:div w:id="2089770844">
      <w:bodyDiv w:val="1"/>
      <w:marLeft w:val="0"/>
      <w:marRight w:val="0"/>
      <w:marTop w:val="0"/>
      <w:marBottom w:val="0"/>
      <w:divBdr>
        <w:top w:val="none" w:sz="0" w:space="0" w:color="auto"/>
        <w:left w:val="none" w:sz="0" w:space="0" w:color="auto"/>
        <w:bottom w:val="none" w:sz="0" w:space="0" w:color="auto"/>
        <w:right w:val="none" w:sz="0" w:space="0" w:color="auto"/>
      </w:divBdr>
      <w:divsChild>
        <w:div w:id="641423265">
          <w:marLeft w:val="0"/>
          <w:marRight w:val="0"/>
          <w:marTop w:val="480"/>
          <w:marBottom w:val="0"/>
          <w:divBdr>
            <w:top w:val="none" w:sz="0" w:space="0" w:color="auto"/>
            <w:left w:val="none" w:sz="0" w:space="0" w:color="auto"/>
            <w:bottom w:val="none" w:sz="0" w:space="0" w:color="auto"/>
            <w:right w:val="none" w:sz="0" w:space="0" w:color="auto"/>
          </w:divBdr>
        </w:div>
        <w:div w:id="1485469171">
          <w:marLeft w:val="0"/>
          <w:marRight w:val="0"/>
          <w:marTop w:val="0"/>
          <w:marBottom w:val="0"/>
          <w:divBdr>
            <w:top w:val="none" w:sz="0" w:space="0" w:color="auto"/>
            <w:left w:val="none" w:sz="0" w:space="0" w:color="auto"/>
            <w:bottom w:val="none" w:sz="0" w:space="0" w:color="auto"/>
            <w:right w:val="none" w:sz="0" w:space="0" w:color="auto"/>
          </w:divBdr>
        </w:div>
        <w:div w:id="124978685">
          <w:marLeft w:val="0"/>
          <w:marRight w:val="0"/>
          <w:marTop w:val="240"/>
          <w:marBottom w:val="0"/>
          <w:divBdr>
            <w:top w:val="none" w:sz="0" w:space="0" w:color="auto"/>
            <w:left w:val="none" w:sz="0" w:space="0" w:color="auto"/>
            <w:bottom w:val="none" w:sz="0" w:space="0" w:color="auto"/>
            <w:right w:val="none" w:sz="0" w:space="0" w:color="auto"/>
          </w:divBdr>
        </w:div>
        <w:div w:id="1362125143">
          <w:marLeft w:val="0"/>
          <w:marRight w:val="0"/>
          <w:marTop w:val="240"/>
          <w:marBottom w:val="0"/>
          <w:divBdr>
            <w:top w:val="none" w:sz="0" w:space="0" w:color="auto"/>
            <w:left w:val="none" w:sz="0" w:space="0" w:color="auto"/>
            <w:bottom w:val="none" w:sz="0" w:space="0" w:color="auto"/>
            <w:right w:val="none" w:sz="0" w:space="0" w:color="auto"/>
          </w:divBdr>
        </w:div>
        <w:div w:id="1870793534">
          <w:marLeft w:val="0"/>
          <w:marRight w:val="0"/>
          <w:marTop w:val="240"/>
          <w:marBottom w:val="0"/>
          <w:divBdr>
            <w:top w:val="none" w:sz="0" w:space="0" w:color="auto"/>
            <w:left w:val="none" w:sz="0" w:space="0" w:color="auto"/>
            <w:bottom w:val="none" w:sz="0" w:space="0" w:color="auto"/>
            <w:right w:val="none" w:sz="0" w:space="0" w:color="auto"/>
          </w:divBdr>
        </w:div>
        <w:div w:id="1578132803">
          <w:marLeft w:val="0"/>
          <w:marRight w:val="0"/>
          <w:marTop w:val="240"/>
          <w:marBottom w:val="0"/>
          <w:divBdr>
            <w:top w:val="none" w:sz="0" w:space="0" w:color="auto"/>
            <w:left w:val="none" w:sz="0" w:space="0" w:color="auto"/>
            <w:bottom w:val="none" w:sz="0" w:space="0" w:color="auto"/>
            <w:right w:val="none" w:sz="0" w:space="0" w:color="auto"/>
          </w:divBdr>
        </w:div>
        <w:div w:id="1957521498">
          <w:marLeft w:val="0"/>
          <w:marRight w:val="0"/>
          <w:marTop w:val="240"/>
          <w:marBottom w:val="0"/>
          <w:divBdr>
            <w:top w:val="none" w:sz="0" w:space="0" w:color="auto"/>
            <w:left w:val="none" w:sz="0" w:space="0" w:color="auto"/>
            <w:bottom w:val="none" w:sz="0" w:space="0" w:color="auto"/>
            <w:right w:val="none" w:sz="0" w:space="0" w:color="auto"/>
          </w:divBdr>
        </w:div>
      </w:divsChild>
    </w:div>
    <w:div w:id="2102599840">
      <w:bodyDiv w:val="1"/>
      <w:marLeft w:val="0"/>
      <w:marRight w:val="0"/>
      <w:marTop w:val="0"/>
      <w:marBottom w:val="0"/>
      <w:divBdr>
        <w:top w:val="none" w:sz="0" w:space="0" w:color="auto"/>
        <w:left w:val="none" w:sz="0" w:space="0" w:color="auto"/>
        <w:bottom w:val="none" w:sz="0" w:space="0" w:color="auto"/>
        <w:right w:val="none" w:sz="0" w:space="0" w:color="auto"/>
      </w:divBdr>
    </w:div>
    <w:div w:id="2122217908">
      <w:bodyDiv w:val="1"/>
      <w:marLeft w:val="0"/>
      <w:marRight w:val="0"/>
      <w:marTop w:val="0"/>
      <w:marBottom w:val="0"/>
      <w:divBdr>
        <w:top w:val="none" w:sz="0" w:space="0" w:color="auto"/>
        <w:left w:val="none" w:sz="0" w:space="0" w:color="auto"/>
        <w:bottom w:val="none" w:sz="0" w:space="0" w:color="auto"/>
        <w:right w:val="none" w:sz="0" w:space="0" w:color="auto"/>
      </w:divBdr>
      <w:divsChild>
        <w:div w:id="1085498881">
          <w:marLeft w:val="0"/>
          <w:marRight w:val="0"/>
          <w:marTop w:val="480"/>
          <w:marBottom w:val="0"/>
          <w:divBdr>
            <w:top w:val="none" w:sz="0" w:space="0" w:color="auto"/>
            <w:left w:val="none" w:sz="0" w:space="0" w:color="auto"/>
            <w:bottom w:val="none" w:sz="0" w:space="0" w:color="auto"/>
            <w:right w:val="none" w:sz="0" w:space="0" w:color="auto"/>
          </w:divBdr>
        </w:div>
        <w:div w:id="1222591590">
          <w:marLeft w:val="0"/>
          <w:marRight w:val="0"/>
          <w:marTop w:val="0"/>
          <w:marBottom w:val="0"/>
          <w:divBdr>
            <w:top w:val="none" w:sz="0" w:space="0" w:color="auto"/>
            <w:left w:val="none" w:sz="0" w:space="0" w:color="auto"/>
            <w:bottom w:val="none" w:sz="0" w:space="0" w:color="auto"/>
            <w:right w:val="none" w:sz="0" w:space="0" w:color="auto"/>
          </w:divBdr>
        </w:div>
        <w:div w:id="420568064">
          <w:marLeft w:val="0"/>
          <w:marRight w:val="0"/>
          <w:marTop w:val="240"/>
          <w:marBottom w:val="0"/>
          <w:divBdr>
            <w:top w:val="none" w:sz="0" w:space="0" w:color="auto"/>
            <w:left w:val="none" w:sz="0" w:space="0" w:color="auto"/>
            <w:bottom w:val="none" w:sz="0" w:space="0" w:color="auto"/>
            <w:right w:val="none" w:sz="0" w:space="0" w:color="auto"/>
          </w:divBdr>
        </w:div>
        <w:div w:id="577440952">
          <w:marLeft w:val="0"/>
          <w:marRight w:val="0"/>
          <w:marTop w:val="240"/>
          <w:marBottom w:val="0"/>
          <w:divBdr>
            <w:top w:val="none" w:sz="0" w:space="0" w:color="auto"/>
            <w:left w:val="none" w:sz="0" w:space="0" w:color="auto"/>
            <w:bottom w:val="none" w:sz="0" w:space="0" w:color="auto"/>
            <w:right w:val="none" w:sz="0" w:space="0" w:color="auto"/>
          </w:divBdr>
        </w:div>
        <w:div w:id="451940900">
          <w:marLeft w:val="425"/>
          <w:marRight w:val="0"/>
          <w:marTop w:val="0"/>
          <w:marBottom w:val="0"/>
          <w:divBdr>
            <w:top w:val="none" w:sz="0" w:space="0" w:color="auto"/>
            <w:left w:val="none" w:sz="0" w:space="0" w:color="auto"/>
            <w:bottom w:val="none" w:sz="0" w:space="0" w:color="auto"/>
            <w:right w:val="none" w:sz="0" w:space="0" w:color="auto"/>
          </w:divBdr>
          <w:divsChild>
            <w:div w:id="1991013765">
              <w:marLeft w:val="0"/>
              <w:marRight w:val="0"/>
              <w:marTop w:val="0"/>
              <w:marBottom w:val="0"/>
              <w:divBdr>
                <w:top w:val="none" w:sz="0" w:space="0" w:color="auto"/>
                <w:left w:val="none" w:sz="0" w:space="0" w:color="auto"/>
                <w:bottom w:val="none" w:sz="0" w:space="0" w:color="auto"/>
                <w:right w:val="none" w:sz="0" w:space="0" w:color="auto"/>
              </w:divBdr>
            </w:div>
          </w:divsChild>
        </w:div>
        <w:div w:id="459569173">
          <w:marLeft w:val="425"/>
          <w:marRight w:val="0"/>
          <w:marTop w:val="0"/>
          <w:marBottom w:val="0"/>
          <w:divBdr>
            <w:top w:val="none" w:sz="0" w:space="0" w:color="auto"/>
            <w:left w:val="none" w:sz="0" w:space="0" w:color="auto"/>
            <w:bottom w:val="none" w:sz="0" w:space="0" w:color="auto"/>
            <w:right w:val="none" w:sz="0" w:space="0" w:color="auto"/>
          </w:divBdr>
          <w:divsChild>
            <w:div w:id="2037805211">
              <w:marLeft w:val="0"/>
              <w:marRight w:val="0"/>
              <w:marTop w:val="0"/>
              <w:marBottom w:val="0"/>
              <w:divBdr>
                <w:top w:val="none" w:sz="0" w:space="0" w:color="auto"/>
                <w:left w:val="none" w:sz="0" w:space="0" w:color="auto"/>
                <w:bottom w:val="none" w:sz="0" w:space="0" w:color="auto"/>
                <w:right w:val="none" w:sz="0" w:space="0" w:color="auto"/>
              </w:divBdr>
            </w:div>
          </w:divsChild>
        </w:div>
        <w:div w:id="2125732132">
          <w:marLeft w:val="425"/>
          <w:marRight w:val="0"/>
          <w:marTop w:val="0"/>
          <w:marBottom w:val="0"/>
          <w:divBdr>
            <w:top w:val="none" w:sz="0" w:space="0" w:color="auto"/>
            <w:left w:val="none" w:sz="0" w:space="0" w:color="auto"/>
            <w:bottom w:val="none" w:sz="0" w:space="0" w:color="auto"/>
            <w:right w:val="none" w:sz="0" w:space="0" w:color="auto"/>
          </w:divBdr>
          <w:divsChild>
            <w:div w:id="161841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3913012">
      <w:bodyDiv w:val="1"/>
      <w:marLeft w:val="0"/>
      <w:marRight w:val="0"/>
      <w:marTop w:val="0"/>
      <w:marBottom w:val="0"/>
      <w:divBdr>
        <w:top w:val="none" w:sz="0" w:space="0" w:color="auto"/>
        <w:left w:val="none" w:sz="0" w:space="0" w:color="auto"/>
        <w:bottom w:val="none" w:sz="0" w:space="0" w:color="auto"/>
        <w:right w:val="none" w:sz="0" w:space="0" w:color="auto"/>
      </w:divBdr>
    </w:div>
    <w:div w:id="213039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hart" Target="charts/chart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ov_delovni_lis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Reporting obligation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Sheet1!$A$2:$A$36</c:f>
              <c:strCache>
                <c:ptCount val="35"/>
                <c:pt idx="0">
                  <c:v>AD</c:v>
                </c:pt>
                <c:pt idx="1">
                  <c:v>AIFMD</c:v>
                </c:pt>
                <c:pt idx="2">
                  <c:v>AuR</c:v>
                </c:pt>
                <c:pt idx="3">
                  <c:v>BMR</c:v>
                </c:pt>
                <c:pt idx="4">
                  <c:v>BRRD</c:v>
                </c:pt>
                <c:pt idx="5">
                  <c:v>Covered bonds directive</c:v>
                </c:pt>
                <c:pt idx="6">
                  <c:v>CRAR</c:v>
                </c:pt>
                <c:pt idx="7">
                  <c:v>CRD</c:v>
                </c:pt>
                <c:pt idx="8">
                  <c:v>CRR</c:v>
                </c:pt>
                <c:pt idx="9">
                  <c:v>CSDR</c:v>
                </c:pt>
                <c:pt idx="10">
                  <c:v>ELTIF</c:v>
                </c:pt>
                <c:pt idx="11">
                  <c:v>EMIR</c:v>
                </c:pt>
                <c:pt idx="12">
                  <c:v>EuSEF</c:v>
                </c:pt>
                <c:pt idx="13">
                  <c:v>EuVECA</c:v>
                </c:pt>
                <c:pt idx="14">
                  <c:v>FICOD</c:v>
                </c:pt>
                <c:pt idx="15">
                  <c:v>IFD</c:v>
                </c:pt>
                <c:pt idx="16">
                  <c:v>IFR</c:v>
                </c:pt>
                <c:pt idx="17">
                  <c:v>IORP II</c:v>
                </c:pt>
                <c:pt idx="18">
                  <c:v>MAR</c:v>
                </c:pt>
                <c:pt idx="19">
                  <c:v>MIFID II</c:v>
                </c:pt>
                <c:pt idx="20">
                  <c:v>MIFIR</c:v>
                </c:pt>
                <c:pt idx="21">
                  <c:v>MMF</c:v>
                </c:pt>
                <c:pt idx="22">
                  <c:v>PEPP</c:v>
                </c:pt>
                <c:pt idx="23">
                  <c:v>PR</c:v>
                </c:pt>
                <c:pt idx="24">
                  <c:v>PRIIPs</c:v>
                </c:pt>
                <c:pt idx="25">
                  <c:v>REMIT</c:v>
                </c:pt>
                <c:pt idx="26">
                  <c:v>Securitisation Regulation</c:v>
                </c:pt>
                <c:pt idx="27">
                  <c:v>SFTR</c:v>
                </c:pt>
                <c:pt idx="28">
                  <c:v>Shareholders rights</c:v>
                </c:pt>
                <c:pt idx="29">
                  <c:v>Solvency II</c:v>
                </c:pt>
                <c:pt idx="30">
                  <c:v>SSR</c:v>
                </c:pt>
                <c:pt idx="31">
                  <c:v>Sustainability</c:v>
                </c:pt>
                <c:pt idx="32">
                  <c:v>Take-over bid</c:v>
                </c:pt>
                <c:pt idx="33">
                  <c:v>Transparency Directive</c:v>
                </c:pt>
                <c:pt idx="34">
                  <c:v>UCITS</c:v>
                </c:pt>
              </c:strCache>
            </c:strRef>
          </c:cat>
          <c:val>
            <c:numRef>
              <c:f>Sheet1!$B$2:$B$36</c:f>
              <c:numCache>
                <c:formatCode>General</c:formatCode>
                <c:ptCount val="35"/>
                <c:pt idx="0">
                  <c:v>3</c:v>
                </c:pt>
                <c:pt idx="1">
                  <c:v>1</c:v>
                </c:pt>
                <c:pt idx="2">
                  <c:v>1</c:v>
                </c:pt>
                <c:pt idx="3">
                  <c:v>19</c:v>
                </c:pt>
                <c:pt idx="4">
                  <c:v>1</c:v>
                </c:pt>
                <c:pt idx="5">
                  <c:v>1</c:v>
                </c:pt>
                <c:pt idx="6">
                  <c:v>11</c:v>
                </c:pt>
                <c:pt idx="7">
                  <c:v>2</c:v>
                </c:pt>
                <c:pt idx="8">
                  <c:v>30</c:v>
                </c:pt>
                <c:pt idx="9">
                  <c:v>12</c:v>
                </c:pt>
                <c:pt idx="10">
                  <c:v>1</c:v>
                </c:pt>
                <c:pt idx="11">
                  <c:v>12</c:v>
                </c:pt>
                <c:pt idx="12">
                  <c:v>2</c:v>
                </c:pt>
                <c:pt idx="13">
                  <c:v>2</c:v>
                </c:pt>
                <c:pt idx="14">
                  <c:v>1</c:v>
                </c:pt>
                <c:pt idx="15">
                  <c:v>3</c:v>
                </c:pt>
                <c:pt idx="16">
                  <c:v>1</c:v>
                </c:pt>
                <c:pt idx="17">
                  <c:v>3</c:v>
                </c:pt>
                <c:pt idx="18">
                  <c:v>6</c:v>
                </c:pt>
                <c:pt idx="19">
                  <c:v>14</c:v>
                </c:pt>
                <c:pt idx="20">
                  <c:v>14</c:v>
                </c:pt>
                <c:pt idx="21">
                  <c:v>5</c:v>
                </c:pt>
                <c:pt idx="22">
                  <c:v>2</c:v>
                </c:pt>
                <c:pt idx="23">
                  <c:v>9</c:v>
                </c:pt>
                <c:pt idx="24">
                  <c:v>1</c:v>
                </c:pt>
                <c:pt idx="25">
                  <c:v>1</c:v>
                </c:pt>
                <c:pt idx="26">
                  <c:v>3</c:v>
                </c:pt>
                <c:pt idx="27">
                  <c:v>1</c:v>
                </c:pt>
                <c:pt idx="28">
                  <c:v>12</c:v>
                </c:pt>
                <c:pt idx="29">
                  <c:v>5</c:v>
                </c:pt>
                <c:pt idx="30">
                  <c:v>1</c:v>
                </c:pt>
                <c:pt idx="31">
                  <c:v>11</c:v>
                </c:pt>
                <c:pt idx="32">
                  <c:v>3</c:v>
                </c:pt>
                <c:pt idx="33">
                  <c:v>8</c:v>
                </c:pt>
                <c:pt idx="34">
                  <c:v>5</c:v>
                </c:pt>
              </c:numCache>
            </c:numRef>
          </c:val>
          <c:extLst xmlns:c16r2="http://schemas.microsoft.com/office/drawing/2015/06/chart">
            <c:ext xmlns:c16="http://schemas.microsoft.com/office/drawing/2014/chart" uri="{C3380CC4-5D6E-409C-BE32-E72D297353CC}">
              <c16:uniqueId val="{00000000-AA62-4947-A099-092237BC9229}"/>
            </c:ext>
          </c:extLst>
        </c:ser>
        <c:dLbls>
          <c:showLegendKey val="0"/>
          <c:showVal val="0"/>
          <c:showCatName val="0"/>
          <c:showSerName val="0"/>
          <c:showPercent val="0"/>
          <c:showBubbleSize val="0"/>
        </c:dLbls>
        <c:gapWidth val="219"/>
        <c:overlap val="-27"/>
        <c:axId val="287779464"/>
        <c:axId val="287778680"/>
      </c:barChart>
      <c:catAx>
        <c:axId val="287779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287778680"/>
        <c:crosses val="autoZero"/>
        <c:auto val="1"/>
        <c:lblAlgn val="ctr"/>
        <c:lblOffset val="100"/>
        <c:noMultiLvlLbl val="0"/>
      </c:catAx>
      <c:valAx>
        <c:axId val="287778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7794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1">
    <c:autoUpdate val="0"/>
  </c:externalData>
</c:chartSpac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7A7E6561E108F4F8A4FBEBE24469AE6" ma:contentTypeVersion="2" ma:contentTypeDescription="Ustvari nov dokument." ma:contentTypeScope="" ma:versionID="4bd608e0ccb92a5e77f9d49492452c62">
  <xsd:schema xmlns:xsd="http://www.w3.org/2001/XMLSchema" xmlns:xs="http://www.w3.org/2001/XMLSchema" xmlns:p="http://schemas.microsoft.com/office/2006/metadata/properties" xmlns:ns2="151a32cb-68d4-46e2-8990-209d00cbea1a" xmlns:ns3="5e3a6384-3b6b-49ae-bcf7-b979de823623" targetNamespace="http://schemas.microsoft.com/office/2006/metadata/properties" ma:root="true" ma:fieldsID="b2566c72db5190d614a1ad4ee8095677" ns2:_="" ns3:_="">
    <xsd:import namespace="151a32cb-68d4-46e2-8990-209d00cbea1a"/>
    <xsd:import namespace="5e3a6384-3b6b-49ae-bcf7-b979de82362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e3a6384-3b6b-49ae-bcf7-b979de82362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6AC8CD8-70E2-43CD-A4AC-D7B21D54F0C8}">
  <ds:schemaRefs>
    <ds:schemaRef ds:uri="http://schemas.microsoft.com/sharepoint/v3/contenttype/forms"/>
  </ds:schemaRefs>
</ds:datastoreItem>
</file>

<file path=customXml/itemProps2.xml><?xml version="1.0" encoding="utf-8"?>
<ds:datastoreItem xmlns:ds="http://schemas.openxmlformats.org/officeDocument/2006/customXml" ds:itemID="{750ACD3D-635E-4CF3-B984-3217F033F82D}">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151a32cb-68d4-46e2-8990-209d00cbea1a"/>
    <ds:schemaRef ds:uri="http://purl.org/dc/dcmitype/"/>
    <ds:schemaRef ds:uri="http://schemas.microsoft.com/office/infopath/2007/PartnerControls"/>
    <ds:schemaRef ds:uri="5e3a6384-3b6b-49ae-bcf7-b979de823623"/>
    <ds:schemaRef ds:uri="http://www.w3.org/XML/1998/namespace"/>
  </ds:schemaRefs>
</ds:datastoreItem>
</file>

<file path=customXml/itemProps3.xml><?xml version="1.0" encoding="utf-8"?>
<ds:datastoreItem xmlns:ds="http://schemas.openxmlformats.org/officeDocument/2006/customXml" ds:itemID="{253094C8-34BF-4C61-A72C-FF558FBC7F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5e3a6384-3b6b-49ae-bcf7-b979de8236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9308AA-E5C6-42CA-ACA1-6562FD46C53D}">
  <ds:schemaRefs>
    <ds:schemaRef ds:uri="http://schemas.microsoft.com/sharepoint/events"/>
  </ds:schemaRefs>
</ds:datastoreItem>
</file>

<file path=customXml/itemProps5.xml><?xml version="1.0" encoding="utf-8"?>
<ds:datastoreItem xmlns:ds="http://schemas.openxmlformats.org/officeDocument/2006/customXml" ds:itemID="{5D7ED604-EAF7-421A-BF48-5C46275442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34433</Words>
  <Characters>196269</Characters>
  <Application>Microsoft Office Word</Application>
  <DocSecurity>0</DocSecurity>
  <Lines>1635</Lines>
  <Paragraphs>460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230242</CharactersWithSpaces>
  <SharedDoc>false</SharedDoc>
  <HLinks>
    <vt:vector size="36" baseType="variant">
      <vt:variant>
        <vt:i4>2031687</vt:i4>
      </vt:variant>
      <vt:variant>
        <vt:i4>15</vt:i4>
      </vt:variant>
      <vt:variant>
        <vt:i4>0</vt:i4>
      </vt:variant>
      <vt:variant>
        <vt:i4>5</vt:i4>
      </vt:variant>
      <vt:variant>
        <vt:lpwstr>https://e-uprava.gov.si/drzava-in-druzba/e-demokracija/predlogi-predpisov/predlog-predpisa.html?id=12096</vt:lpwstr>
      </vt:variant>
      <vt:variant>
        <vt:lpwstr/>
      </vt:variant>
      <vt:variant>
        <vt:i4>8257583</vt:i4>
      </vt:variant>
      <vt:variant>
        <vt:i4>12</vt:i4>
      </vt:variant>
      <vt:variant>
        <vt:i4>0</vt:i4>
      </vt:variant>
      <vt:variant>
        <vt:i4>5</vt:i4>
      </vt:variant>
      <vt:variant>
        <vt:lpwstr>http://www.uradni-list.si/1/objava.jsp?sop=2015-01-1299</vt:lpwstr>
      </vt:variant>
      <vt:variant>
        <vt:lpwstr/>
      </vt:variant>
      <vt:variant>
        <vt:i4>8192044</vt:i4>
      </vt:variant>
      <vt:variant>
        <vt:i4>9</vt:i4>
      </vt:variant>
      <vt:variant>
        <vt:i4>0</vt:i4>
      </vt:variant>
      <vt:variant>
        <vt:i4>5</vt:i4>
      </vt:variant>
      <vt:variant>
        <vt:lpwstr>http://www.uradni-list.si/1/objava.jsp?sop=2015-01-3189</vt:lpwstr>
      </vt:variant>
      <vt:variant>
        <vt:lpwstr/>
      </vt:variant>
      <vt:variant>
        <vt:i4>8257583</vt:i4>
      </vt:variant>
      <vt:variant>
        <vt:i4>6</vt:i4>
      </vt:variant>
      <vt:variant>
        <vt:i4>0</vt:i4>
      </vt:variant>
      <vt:variant>
        <vt:i4>5</vt:i4>
      </vt:variant>
      <vt:variant>
        <vt:lpwstr>http://www.uradni-list.si/1/objava.jsp?sop=2015-01-1299</vt:lpwstr>
      </vt:variant>
      <vt:variant>
        <vt:lpwstr/>
      </vt:variant>
      <vt:variant>
        <vt:i4>2031687</vt:i4>
      </vt:variant>
      <vt:variant>
        <vt:i4>3</vt:i4>
      </vt:variant>
      <vt:variant>
        <vt:i4>0</vt:i4>
      </vt:variant>
      <vt:variant>
        <vt:i4>5</vt:i4>
      </vt:variant>
      <vt:variant>
        <vt:lpwstr>https://e-uprava.gov.si/drzava-in-druzba/e-demokracija/predlogi-predpisov/predlog-predpisa.html?id=12096</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Nada Bizjak</dc:creator>
  <cp:lastModifiedBy>Ingrid Hribar</cp:lastModifiedBy>
  <cp:revision>3</cp:revision>
  <cp:lastPrinted>2021-06-07T08:14:00Z</cp:lastPrinted>
  <dcterms:created xsi:type="dcterms:W3CDTF">2025-12-11T13:16:00Z</dcterms:created>
  <dcterms:modified xsi:type="dcterms:W3CDTF">2025-12-11T13:19:00Z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5692d07ae9d6b40ab9d6e48a39dda2cd3c6c539b7d939ef9b9ec56e97d75df3f</vt:lpwstr>
  </property>
  <property fmtid="{D5CDD505-2E9C-101B-9397-08002B2CF9AE}" pid="3" name="ContentTypeId">
    <vt:lpwstr>0x010100A7A7E6561E108F4F8A4FBEBE24469AE6</vt:lpwstr>
  </property>
</Properties>
</file>