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929414" w14:textId="77777777" w:rsidR="00DB145F" w:rsidRPr="004B132E" w:rsidRDefault="00DB145F" w:rsidP="00DB145F">
      <w:pPr>
        <w:pageBreakBefore/>
        <w:spacing w:after="0" w:line="240" w:lineRule="atLeast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6B3BF4E7" w14:textId="77777777" w:rsidR="00EC6AE9" w:rsidRDefault="00EC6AE9"/>
    <w:p w14:paraId="49E3809F" w14:textId="77777777" w:rsidR="00DB145F" w:rsidRPr="00935507" w:rsidRDefault="00DB145F" w:rsidP="00DB145F">
      <w:pPr>
        <w:spacing w:after="0" w:line="260" w:lineRule="atLeast"/>
        <w:jc w:val="right"/>
        <w:rPr>
          <w:rFonts w:ascii="Arial" w:eastAsia="Times New Roman" w:hAnsi="Arial" w:cs="Arial"/>
          <w:b/>
          <w:kern w:val="0"/>
          <w:lang w:eastAsia="sl-SI"/>
        </w:rPr>
      </w:pPr>
      <w:r w:rsidRPr="00935507">
        <w:rPr>
          <w:rFonts w:ascii="Arial" w:eastAsia="Times New Roman" w:hAnsi="Arial" w:cs="Arial"/>
          <w:b/>
          <w:kern w:val="0"/>
          <w:lang w:eastAsia="sl-SI"/>
        </w:rPr>
        <w:t xml:space="preserve">PREDLOG </w:t>
      </w:r>
    </w:p>
    <w:p w14:paraId="37CA35C5" w14:textId="18BE1958" w:rsidR="00DB145F" w:rsidRPr="00935507" w:rsidRDefault="00DB145F" w:rsidP="00DB145F">
      <w:pPr>
        <w:spacing w:after="0" w:line="260" w:lineRule="atLeast"/>
        <w:jc w:val="right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b/>
          <w:kern w:val="0"/>
          <w:lang w:eastAsia="sl-SI"/>
        </w:rPr>
        <w:t xml:space="preserve">      EVA</w:t>
      </w:r>
      <w:r w:rsidRPr="00935507">
        <w:rPr>
          <w:rFonts w:ascii="Arial" w:eastAsia="Times New Roman" w:hAnsi="Arial" w:cs="Arial"/>
          <w:b/>
          <w:bCs/>
          <w:kern w:val="0"/>
          <w:lang w:eastAsia="sl-SI"/>
        </w:rPr>
        <w:t xml:space="preserve"> 202</w:t>
      </w:r>
      <w:r w:rsidR="00DE5E79">
        <w:rPr>
          <w:rFonts w:ascii="Arial" w:eastAsia="Times New Roman" w:hAnsi="Arial" w:cs="Arial"/>
          <w:b/>
          <w:bCs/>
          <w:kern w:val="0"/>
          <w:lang w:eastAsia="sl-SI"/>
        </w:rPr>
        <w:t>5</w:t>
      </w:r>
      <w:r w:rsidRPr="00935507">
        <w:rPr>
          <w:rFonts w:ascii="Arial" w:eastAsia="Times New Roman" w:hAnsi="Arial" w:cs="Arial"/>
          <w:b/>
          <w:bCs/>
          <w:kern w:val="0"/>
          <w:lang w:eastAsia="sl-SI"/>
        </w:rPr>
        <w:t>-2570-00</w:t>
      </w:r>
      <w:r w:rsidR="00DE5E79">
        <w:rPr>
          <w:rFonts w:ascii="Arial" w:eastAsia="Times New Roman" w:hAnsi="Arial" w:cs="Arial"/>
          <w:b/>
          <w:bCs/>
          <w:kern w:val="0"/>
          <w:lang w:eastAsia="sl-SI"/>
        </w:rPr>
        <w:t>69</w:t>
      </w:r>
    </w:p>
    <w:p w14:paraId="637D9BFC" w14:textId="77777777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color w:val="000000"/>
          <w:kern w:val="0"/>
          <w:highlight w:val="yellow"/>
          <w:lang w:eastAsia="sl-SI"/>
          <w14:ligatures w14:val="none"/>
        </w:rPr>
      </w:pPr>
    </w:p>
    <w:p w14:paraId="64D5EF15" w14:textId="77777777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 podlagi</w:t>
      </w:r>
      <w:bookmarkStart w:id="0" w:name="_Hlk214886212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enajstega in štirinajstega odstavka 20. člena Zakona o varstvu okolja (Uradni list RS, št. 39/06 – uradno prečiščeno besedilo, 49/06 – ZMetD, 66/06 – </w:t>
      </w:r>
      <w:proofErr w:type="spellStart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odl</w:t>
      </w:r>
      <w:proofErr w:type="spellEnd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ZNOrg</w:t>
      </w:r>
      <w:proofErr w:type="spellEnd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84/18 – ZIURKOE, 158/20 in 44/22 – ZVO-2) ter šeste točke tretjega odstavka 21. člena in šestega odstavka 24. člena 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Zakona o varstvu okolja (Uradni list RS</w:t>
      </w:r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št. </w:t>
      </w:r>
      <w:hyperlink r:id="rId11" w:tgtFrame="_blank" w:tooltip="Zakon o varstvu okolja (ZVO-2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44/22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</w:t>
      </w:r>
      <w:hyperlink r:id="rId12" w:tgtFrame="_blank" w:tooltip="Zakon o spremembah in dopolnitvah Zakona o državni upravi (ZDU-1O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18/23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ZDU-1O, </w:t>
      </w:r>
      <w:hyperlink r:id="rId13" w:tgtFrame="_blank" w:tooltip="Zakon o uvajanju naprav za proizvodnjo električne energije iz obnovljivih virov energije (ZUNPEOVE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78/23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ZUNPEOVE, </w:t>
      </w:r>
      <w:hyperlink r:id="rId14" w:tgtFrame="_blank" w:tooltip="Zakon o spremembah in dopolnitvah Zakona o varstvu okolja (ZVO-2A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23/24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</w:t>
      </w:r>
      <w:hyperlink r:id="rId15" w:tgtFrame="_blank" w:tooltip="Zakon o oskrbi s pitno vodo ter odvajanju in čiščenju komunalne odpadne vode (ZOPVOOV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21/25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ZOPVOOV in </w:t>
      </w:r>
      <w:hyperlink r:id="rId16" w:tgtFrame="_blank" w:tooltip="Podnebni zakon (PoZ)" w:history="1">
        <w:r w:rsidRPr="00935507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56/25</w:t>
        </w:r>
      </w:hyperlink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</w:t>
      </w:r>
      <w:proofErr w:type="spellStart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PoZ</w:t>
      </w:r>
      <w:proofErr w:type="spellEnd"/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 v zvezi s prvim odstavkom 264. člena Zakona o varstvu okolja (Uradni list RS, št. 44/22)</w:t>
      </w:r>
      <w:bookmarkEnd w:id="0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r w:rsidRPr="00935507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Vlada Republike Slovenije izdaja</w:t>
      </w:r>
    </w:p>
    <w:p w14:paraId="7E41DEFA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401421AB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UREDBO</w:t>
      </w:r>
    </w:p>
    <w:p w14:paraId="5F5C78E8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o spremembah in dopolnitvah Uredbe o odpadni električni in elektronski opremi</w:t>
      </w:r>
    </w:p>
    <w:p w14:paraId="799749A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3BF2532E" w14:textId="77777777" w:rsidR="00DB145F" w:rsidRPr="00935507" w:rsidRDefault="00DB145F" w:rsidP="00DB145F">
      <w:pPr>
        <w:numPr>
          <w:ilvl w:val="0"/>
          <w:numId w:val="2"/>
        </w:numPr>
        <w:tabs>
          <w:tab w:val="left" w:pos="426"/>
        </w:tabs>
        <w:suppressAutoHyphens/>
        <w:autoSpaceDN w:val="0"/>
        <w:spacing w:after="0" w:line="260" w:lineRule="atLeast"/>
        <w:jc w:val="center"/>
        <w:rPr>
          <w:rFonts w:ascii="Arial" w:hAnsi="Arial" w:cs="Arial"/>
          <w:b/>
        </w:rPr>
      </w:pPr>
      <w:r w:rsidRPr="00935507">
        <w:rPr>
          <w:rFonts w:ascii="Arial" w:hAnsi="Arial" w:cs="Arial"/>
          <w:b/>
        </w:rPr>
        <w:t>člen</w:t>
      </w:r>
    </w:p>
    <w:p w14:paraId="5A6DE3C0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</w:p>
    <w:p w14:paraId="44C72700" w14:textId="77777777" w:rsidR="00DB145F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>V Uredbi o odpadni električni in elektronski opremi (Uradni list RS, št. 55/15, 47/16, 72/18 in 84/18 – ZIURKOE, 108/20 in 44/22 – ZVO-2, v nadaljnjem besedilu: uredba) se v 1. členu v prvem odstavku prva alineja spremeni tako, da se glasi:</w:t>
      </w:r>
    </w:p>
    <w:p w14:paraId="272FF435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</w:p>
    <w:p w14:paraId="75B85A7C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 xml:space="preserve">»- </w:t>
      </w:r>
      <w:hyperlink r:id="rId17" w:tgtFrame="_blank" w:tooltip="to EUR-Lex" w:history="1">
        <w:r w:rsidRPr="00935507">
          <w:rPr>
            <w:rFonts w:ascii="Arial" w:hAnsi="Arial" w:cs="Arial"/>
            <w:bCs/>
          </w:rPr>
          <w:t>Direktivo 2012/19/EU</w:t>
        </w:r>
      </w:hyperlink>
      <w:r w:rsidRPr="00935507">
        <w:rPr>
          <w:rFonts w:ascii="Arial" w:hAnsi="Arial" w:cs="Arial"/>
          <w:bCs/>
        </w:rPr>
        <w:t xml:space="preserve"> Evropskega parlamenta in Sveta z dne 4. julija 2012 o odpadni električni in elektronski opremi (OEEO) (UL L št. 197 z dne 24. 7. 2012, str. 38), zadnjič spremenjeno z 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Direktivo (EU) 2024/884 Evropskega parlamenta in Sveta z dne 13. marca 2024 o spremembi Direktive 2012/19/EU o odpadni električni in elektronski opremi (OEEO) (UL L št. 2024/884 z dne 19. 3. 2024)</w:t>
      </w:r>
      <w:r w:rsidRPr="00935507">
        <w:rPr>
          <w:rFonts w:ascii="Arial" w:hAnsi="Arial" w:cs="Arial"/>
          <w:bCs/>
        </w:rPr>
        <w:t xml:space="preserve">,«. </w:t>
      </w:r>
    </w:p>
    <w:p w14:paraId="3C7440F5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 xml:space="preserve"> </w:t>
      </w:r>
    </w:p>
    <w:p w14:paraId="52ECBEDC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>V drugi alineji se na koncu pika nadomesti z vejico.</w:t>
      </w:r>
    </w:p>
    <w:p w14:paraId="5F62DF2D" w14:textId="77777777" w:rsidR="00DB145F" w:rsidRPr="00935507" w:rsidRDefault="00DB145F" w:rsidP="00DB145F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Cs/>
        </w:rPr>
      </w:pPr>
    </w:p>
    <w:p w14:paraId="6F18B8B5" w14:textId="77777777" w:rsidR="00DB145F" w:rsidRPr="00935507" w:rsidRDefault="00DB145F" w:rsidP="00DB145F">
      <w:pPr>
        <w:tabs>
          <w:tab w:val="left" w:pos="284"/>
        </w:tabs>
        <w:spacing w:after="0" w:line="260" w:lineRule="atLeast"/>
        <w:contextualSpacing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>Za drugo alinejo se dodata novi tretja in četrta alineja, ki se glasita:</w:t>
      </w:r>
    </w:p>
    <w:p w14:paraId="2272DF28" w14:textId="77777777" w:rsidR="00DB145F" w:rsidRPr="00935507" w:rsidRDefault="00DB145F" w:rsidP="00DB145F">
      <w:pPr>
        <w:tabs>
          <w:tab w:val="left" w:pos="284"/>
        </w:tabs>
        <w:spacing w:after="0" w:line="260" w:lineRule="atLeast"/>
        <w:contextualSpacing/>
        <w:jc w:val="both"/>
        <w:rPr>
          <w:rFonts w:ascii="Arial" w:hAnsi="Arial" w:cs="Arial"/>
          <w:bCs/>
        </w:rPr>
      </w:pPr>
    </w:p>
    <w:p w14:paraId="2BE7CE7C" w14:textId="77777777" w:rsidR="00DB145F" w:rsidRPr="00935507" w:rsidRDefault="00DB145F" w:rsidP="00DB145F">
      <w:pPr>
        <w:tabs>
          <w:tab w:val="left" w:pos="284"/>
        </w:tabs>
        <w:spacing w:after="0" w:line="260" w:lineRule="atLeast"/>
        <w:contextualSpacing/>
        <w:jc w:val="both"/>
        <w:rPr>
          <w:rFonts w:ascii="Arial" w:hAnsi="Arial" w:cs="Arial"/>
          <w:bCs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»- Izvedbeno uredbo Komisije (EU) 2017/699 z dne 18. aprila 2017</w:t>
      </w:r>
      <w:r w:rsidRPr="00935507">
        <w:rPr>
          <w:rFonts w:ascii="Arial" w:hAnsi="Arial" w:cs="Arial"/>
          <w:b/>
          <w:bCs/>
          <w:shd w:val="clear" w:color="auto" w:fill="FFFFFF"/>
        </w:rPr>
        <w:t xml:space="preserve"> </w:t>
      </w:r>
      <w:r w:rsidRPr="00935507">
        <w:rPr>
          <w:rFonts w:ascii="Arial" w:hAnsi="Arial" w:cs="Arial"/>
          <w:shd w:val="clear" w:color="auto" w:fill="FFFFFF"/>
        </w:rPr>
        <w:t>o določitvi skupne metodologije za izračun teže električne in elektronske opreme (EEO), dane v promet v posamezni državi članici, in skupne metodologije za izračun količine odpadne električne in elektronske opreme (OEEO), izražene v teži, nastale v posamezni državi članici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(UL L št.103 z dne 19. 4. 2017, str. 17), (v nadaljnjem besedilu: Izvedbena uredba 2017/699/EU) in </w:t>
      </w:r>
    </w:p>
    <w:p w14:paraId="76E9336D" w14:textId="77777777" w:rsidR="00DB145F" w:rsidRPr="00935507" w:rsidRDefault="00DB145F" w:rsidP="00DB145F">
      <w:pPr>
        <w:spacing w:after="0" w:line="260" w:lineRule="atLeast"/>
        <w:ind w:left="720"/>
        <w:contextualSpacing/>
        <w:jc w:val="both"/>
        <w:rPr>
          <w:rFonts w:ascii="Arial" w:hAnsi="Arial" w:cs="Arial"/>
          <w:bCs/>
        </w:rPr>
      </w:pPr>
    </w:p>
    <w:p w14:paraId="6B66C844" w14:textId="77777777" w:rsidR="00DB145F" w:rsidRPr="00935507" w:rsidRDefault="00DB145F" w:rsidP="00DB145F">
      <w:pPr>
        <w:numPr>
          <w:ilvl w:val="0"/>
          <w:numId w:val="3"/>
        </w:numPr>
        <w:tabs>
          <w:tab w:val="left" w:pos="284"/>
        </w:tabs>
        <w:spacing w:after="0" w:line="260" w:lineRule="atLeast"/>
        <w:ind w:left="284" w:hanging="284"/>
        <w:contextualSpacing/>
        <w:jc w:val="both"/>
        <w:rPr>
          <w:rFonts w:ascii="Arial" w:hAnsi="Arial" w:cs="Arial"/>
          <w:bCs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Izvedbenim sklepom Komisije (EU) 2019/2193 z dne 17. decembra 2019 </w:t>
      </w:r>
      <w:r w:rsidRPr="00935507">
        <w:rPr>
          <w:rFonts w:ascii="Arial" w:hAnsi="Arial" w:cs="Arial"/>
          <w:shd w:val="clear" w:color="auto" w:fill="FFFFFF"/>
        </w:rPr>
        <w:t>o določitvi pravil za izračun, preverjanje in sporočanje podatkov ter vzpostavitvi oblik podatkov za namene Direktive 2012/19/EU Evropskega parlamenta in Sveta o odpadni električni in elektronski opremi (OEEO)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(UL L št. 330 z dne 20.12. 2019 , str. 72), (v nadaljnjem besedilu: Izvedbeni sklep 2019/2193/EU).«.</w:t>
      </w:r>
    </w:p>
    <w:p w14:paraId="611DD9A7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hAnsi="Arial" w:cs="Arial"/>
          <w:bCs/>
        </w:rPr>
      </w:pPr>
    </w:p>
    <w:p w14:paraId="5133CCBC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>Drugi odstavek se spremeni tako, da se glasi:</w:t>
      </w:r>
    </w:p>
    <w:p w14:paraId="4B4225CF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hAnsi="Arial" w:cs="Arial"/>
          <w:bCs/>
        </w:rPr>
      </w:pPr>
    </w:p>
    <w:p w14:paraId="43B1440D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hAnsi="Arial" w:cs="Arial"/>
          <w:bCs/>
        </w:rPr>
      </w:pPr>
      <w:r w:rsidRPr="00935507">
        <w:rPr>
          <w:rFonts w:ascii="Arial" w:hAnsi="Arial" w:cs="Arial"/>
          <w:bCs/>
        </w:rPr>
        <w:t xml:space="preserve">»(2) Ta uredba z namenom prispevanja k trajnostnemu razvoju določa preprečevanje ali zmanjševanje škodljivih vplivov nastajanja odpadne električne in elektronske opreme ter ravnanja z njo zaradi varstva okolja in varovanja človekovega zdravja ter zmanjševanja celotnega vpliva uporabe naravnih virov in izboljšanja učinkovitosti njihove uporabe v skladu s 1. in 4. členom </w:t>
      </w:r>
      <w:hyperlink r:id="rId18" w:tgtFrame="_blank" w:tooltip="to EUR-Lex" w:history="1">
        <w:r w:rsidRPr="00935507">
          <w:rPr>
            <w:rFonts w:ascii="Arial" w:hAnsi="Arial" w:cs="Arial"/>
            <w:bCs/>
          </w:rPr>
          <w:t>Direktive 2008/98/ES</w:t>
        </w:r>
      </w:hyperlink>
      <w:r w:rsidRPr="00935507">
        <w:rPr>
          <w:rFonts w:ascii="Arial" w:hAnsi="Arial" w:cs="Arial"/>
          <w:bCs/>
        </w:rPr>
        <w:t xml:space="preserve"> Evropskega parlamenta in Sveta z dne 19. novembra 2008 o odpadkih in razveljavitvi nekaterih direktiv (UL L št. 312 z dne 22. 11. 2008, str. 3), </w:t>
      </w:r>
      <w:r w:rsidRPr="00935507">
        <w:rPr>
          <w:rFonts w:ascii="Arial" w:hAnsi="Arial" w:cs="Arial"/>
          <w:bCs/>
        </w:rPr>
        <w:lastRenderedPageBreak/>
        <w:t xml:space="preserve">zadnjič spremenjene z Direktivo (EU) 2025/1892 Evropskega parlamenta in Sveta z dne 10. septembra 2025 o spremembi Direktive 2008/98/ES o odpadkih (UL L 2025/1892 z dne 26. 9. 2025).«. </w:t>
      </w:r>
    </w:p>
    <w:p w14:paraId="028C7600" w14:textId="77777777" w:rsidR="00DB145F" w:rsidRPr="00935507" w:rsidRDefault="00DB145F" w:rsidP="00DB145F">
      <w:pPr>
        <w:spacing w:after="0" w:line="260" w:lineRule="atLeast"/>
        <w:ind w:left="720"/>
        <w:contextualSpacing/>
        <w:jc w:val="both"/>
        <w:rPr>
          <w:rFonts w:ascii="Arial" w:hAnsi="Arial" w:cs="Arial"/>
          <w:bCs/>
        </w:rPr>
      </w:pPr>
    </w:p>
    <w:p w14:paraId="61979838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2. člen</w:t>
      </w:r>
    </w:p>
    <w:p w14:paraId="0FB77B5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strike/>
          <w:color w:val="212529"/>
          <w:kern w:val="0"/>
          <w:lang w:eastAsia="sl-SI"/>
          <w14:ligatures w14:val="none"/>
        </w:rPr>
      </w:pPr>
    </w:p>
    <w:p w14:paraId="0D0428D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3. 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členu se 2. točka spremeni tako, da se glasi:</w:t>
      </w:r>
    </w:p>
    <w:p w14:paraId="739F0D87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37D6DCF2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FF0000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»2. dati na trg je omogočiti, da je proizvod prvič dostopen na trgu Republike Slovenije (v nadaljnjem besedilu: RS);«.</w:t>
      </w:r>
    </w:p>
    <w:p w14:paraId="48E6EEC7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5E633157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3. člen</w:t>
      </w:r>
    </w:p>
    <w:p w14:paraId="1E68C9C6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35116B60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5. členu se v prvem in drugem odstavku </w:t>
      </w:r>
      <w:r w:rsidRPr="00935507">
        <w:rPr>
          <w:rFonts w:ascii="Arial" w:eastAsia="Times New Roman" w:hAnsi="Arial" w:cs="Arial"/>
          <w:color w:val="212529"/>
          <w:lang w:eastAsia="sl-SI"/>
        </w:rPr>
        <w:t>oznaka</w:t>
      </w:r>
      <w:r>
        <w:rPr>
          <w:rFonts w:ascii="Arial" w:eastAsia="Times New Roman" w:hAnsi="Arial" w:cs="Arial"/>
          <w:color w:val="212529"/>
          <w:lang w:eastAsia="sl-SI"/>
        </w:rPr>
        <w:t xml:space="preserve"> 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»SIST EN 50419« nadomesti z </w:t>
      </w:r>
      <w:r w:rsidRPr="00935507">
        <w:rPr>
          <w:rFonts w:ascii="Arial" w:eastAsia="Times New Roman" w:hAnsi="Arial" w:cs="Arial"/>
          <w:color w:val="212529"/>
          <w:lang w:eastAsia="sl-SI"/>
        </w:rPr>
        <w:t>oznako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 »SIST EN 50419:2022«.</w:t>
      </w:r>
    </w:p>
    <w:p w14:paraId="78510F6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58C9A25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Za drugim odstavkom se dodata nova tretji in četrti odstavek, ki se glasita:</w:t>
      </w:r>
    </w:p>
    <w:p w14:paraId="4A6694A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5C611CA9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»(3) Ne glede na prejšnji odstavek </w:t>
      </w:r>
      <w:r w:rsidRPr="00935507">
        <w:rPr>
          <w:rFonts w:ascii="Arial" w:hAnsi="Arial" w:cs="Arial"/>
        </w:rPr>
        <w:t>mora proizvajalec v skladu s tem členom označiti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proofErr w:type="spellStart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fotonapetostne</w:t>
      </w:r>
      <w:proofErr w:type="spellEnd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r w:rsidRPr="00935507">
        <w:rPr>
          <w:rFonts w:ascii="Arial" w:eastAsia="Times New Roman" w:hAnsi="Arial" w:cs="Arial"/>
          <w:lang w:eastAsia="sl-SI"/>
        </w:rPr>
        <w:t>module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, </w:t>
      </w:r>
      <w:r w:rsidRPr="00935507">
        <w:rPr>
          <w:rFonts w:ascii="Arial" w:eastAsia="Times New Roman" w:hAnsi="Arial" w:cs="Arial"/>
          <w:lang w:eastAsia="sl-SI"/>
        </w:rPr>
        <w:t>dane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na trg </w:t>
      </w:r>
      <w:r w:rsidRPr="00935507">
        <w:rPr>
          <w:rFonts w:ascii="Arial" w:hAnsi="Arial" w:cs="Arial"/>
        </w:rPr>
        <w:t xml:space="preserve">od 13. avgusta 2012. </w:t>
      </w:r>
    </w:p>
    <w:p w14:paraId="14956B5F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4344C52C" w14:textId="12888152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hAnsi="Arial" w:cs="Arial"/>
        </w:rPr>
        <w:t xml:space="preserve">(4) Ne glede na drugi odstavek tega člena mora proizvajalec v skladu s tem členom označiti EEO, </w:t>
      </w:r>
      <w:bookmarkStart w:id="1" w:name="_Hlk216097157"/>
      <w:r w:rsidRPr="00935507">
        <w:rPr>
          <w:rFonts w:ascii="Arial" w:hAnsi="Arial" w:cs="Arial"/>
        </w:rPr>
        <w:t xml:space="preserve">dano na trg od 15. avgusta 2018, ki se uvršča v razrede iz priloge 1 te uredbe in </w:t>
      </w:r>
      <w:r w:rsidR="003820EF">
        <w:rPr>
          <w:rFonts w:ascii="Arial" w:hAnsi="Arial" w:cs="Arial"/>
        </w:rPr>
        <w:t xml:space="preserve">se ni uvrščala </w:t>
      </w:r>
      <w:r w:rsidRPr="00935507">
        <w:rPr>
          <w:rFonts w:ascii="Arial" w:hAnsi="Arial" w:cs="Arial"/>
        </w:rPr>
        <w:t>v razrede iz priloge 3 te uredbe</w:t>
      </w:r>
      <w:bookmarkEnd w:id="1"/>
      <w:r w:rsidRPr="00935507">
        <w:rPr>
          <w:rFonts w:ascii="Arial" w:hAnsi="Arial" w:cs="Arial"/>
        </w:rPr>
        <w:t xml:space="preserve">.«.   </w:t>
      </w:r>
    </w:p>
    <w:p w14:paraId="404D0286" w14:textId="77777777" w:rsidR="00DB145F" w:rsidRDefault="00DB145F" w:rsidP="00DB145F">
      <w:pPr>
        <w:shd w:val="clear" w:color="auto" w:fill="FFFFFF" w:themeFill="background1"/>
        <w:spacing w:after="0" w:line="260" w:lineRule="atLeast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6566AAD7" w14:textId="77777777" w:rsidR="00DB145F" w:rsidRPr="00935507" w:rsidRDefault="00DB145F" w:rsidP="00DB145F">
      <w:pPr>
        <w:shd w:val="clear" w:color="auto" w:fill="FFFFFF" w:themeFill="background1"/>
        <w:spacing w:after="0" w:line="260" w:lineRule="atLeast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935507">
        <w:rPr>
          <w:rFonts w:ascii="Arial" w:eastAsia="Times New Roman" w:hAnsi="Arial" w:cs="Arial"/>
          <w:color w:val="000000" w:themeColor="text1"/>
          <w:lang w:eastAsia="sl-SI"/>
        </w:rPr>
        <w:t xml:space="preserve">V dosedanjem tretjem odstavku, ki postane peti odstavek, se besedilo »prejšnjega odstavka« nadomesti z besedilom »drugega odstavka tega člena«. </w:t>
      </w:r>
    </w:p>
    <w:p w14:paraId="2EB4E3FB" w14:textId="77777777" w:rsidR="00DB145F" w:rsidRDefault="00DB145F" w:rsidP="00DB145F">
      <w:pPr>
        <w:shd w:val="clear" w:color="auto" w:fill="FFFFFF" w:themeFill="background1"/>
        <w:spacing w:after="0" w:line="260" w:lineRule="atLeast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6C9AE0E8" w14:textId="77777777" w:rsidR="00DB145F" w:rsidRPr="00935507" w:rsidRDefault="00DB145F" w:rsidP="00DB145F">
      <w:pPr>
        <w:shd w:val="clear" w:color="auto" w:fill="FFFFFF" w:themeFill="background1"/>
        <w:spacing w:after="0" w:line="260" w:lineRule="atLeast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000000" w:themeColor="text1"/>
          <w:lang w:eastAsia="sl-SI"/>
        </w:rPr>
        <w:t>Dosedanji četrti odstavek postane šesti odstavek.</w:t>
      </w:r>
    </w:p>
    <w:p w14:paraId="0CB3247D" w14:textId="77777777" w:rsidR="00DB145F" w:rsidRPr="00935507" w:rsidRDefault="00DB145F" w:rsidP="00DB145F">
      <w:pPr>
        <w:shd w:val="clear" w:color="auto" w:fill="FFFFFF" w:themeFill="background1"/>
        <w:spacing w:after="0" w:line="260" w:lineRule="atLeast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4F8B7ACB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4. člen</w:t>
      </w:r>
    </w:p>
    <w:p w14:paraId="34F29E1B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5AA83BE9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8. členu se v prvem odstavku v 3. točki za besedilom »v predhodnih treh letih, ali« doda beseda »alternativno«, za besedilom »na območju RS« pa doda 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besedilo »,v skladu z Izvedbeno uredbo 2017/699/EU«.</w:t>
      </w:r>
    </w:p>
    <w:p w14:paraId="030F4C2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7CE8A32B" w14:textId="77777777" w:rsidR="00DB145F" w:rsidRPr="00DE05DB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5. člen</w:t>
      </w:r>
    </w:p>
    <w:p w14:paraId="03C89B45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41F946CF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V 10. členu se v prvem odstavku v 1. točki na koncu podtočke b) beseda »ali« črta. </w:t>
      </w:r>
    </w:p>
    <w:p w14:paraId="131E5B81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0EA91159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V 2. točki se na koncu pika nadomesti z besedilom », ali«. </w:t>
      </w:r>
    </w:p>
    <w:p w14:paraId="070B40A1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55BB03EE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Za 2. točko se doda nova, 3. točka, ki se glasi:</w:t>
      </w:r>
    </w:p>
    <w:p w14:paraId="02929815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4CE1103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»3. v okviru sistemov za zbiranje OEEO, ki so jih v skladu z namenom in </w:t>
      </w:r>
      <w:proofErr w:type="spellStart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okoljskimi</w:t>
      </w:r>
      <w:proofErr w:type="spellEnd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cilji te uredbe vzpostavili proizvajalci.«.</w:t>
      </w:r>
    </w:p>
    <w:p w14:paraId="71378C08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7B040A63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  <w:t>6. člen</w:t>
      </w:r>
    </w:p>
    <w:p w14:paraId="650F5EFD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19BC06D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V 16. členu se v šestem odstavku besedilo »s splošnimi« nadomesti s črko »z«, besedilo »SIST EN 50574-1 in SIST EN 50574-2« pa nadomesti z besedilom »SIST EN 50625-2-4, SIST EN 50625-3-1, SIST EN 50625-3-2, SIST EN 50625-3-3, SIST EN 50625-3-4 in SIST EN 50625-3«. </w:t>
      </w:r>
    </w:p>
    <w:p w14:paraId="5D5E8A3E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0EEA523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Za šestim odstavkom se doda novi, sedmi odstavek, ki se glasi: </w:t>
      </w:r>
    </w:p>
    <w:p w14:paraId="4E605B06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6190CF9E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»(7) Priprava za ponovno uporabo OEEO se mora izvajati v skladu z zahtevami iz standarda SIST EN 50614.«.</w:t>
      </w:r>
    </w:p>
    <w:p w14:paraId="0B79C375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594C17E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Dosedanji sedmi do deveti odstavek postanejo osmi do deseti odstavek.</w:t>
      </w:r>
    </w:p>
    <w:p w14:paraId="573EB052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1AFF0FBC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7. člen</w:t>
      </w:r>
    </w:p>
    <w:p w14:paraId="460B5FE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3D6A50F8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V 17. členu se drugi odstavek spremeni tako, da se glasi:</w:t>
      </w:r>
    </w:p>
    <w:p w14:paraId="32B11B3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4F6D5CF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»(2) Proizvajalec mora na svoje stroške zagotavljati zbiranje OEEO in obdelavo vse zbrane OEEO v skladu s to uredbo, in sicer za:</w:t>
      </w:r>
    </w:p>
    <w:p w14:paraId="3193C5EC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0D1CBAF1" w14:textId="77777777" w:rsidR="00DB145F" w:rsidRPr="00935507" w:rsidRDefault="00DB145F" w:rsidP="00DB145F">
      <w:pPr>
        <w:pStyle w:val="Odstavekseznama"/>
        <w:numPr>
          <w:ilvl w:val="0"/>
          <w:numId w:val="1"/>
        </w:num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OEEO, ki nastaja iz EEO, ki se uvršča v razrede iz priloge 3 te uredbe, dane na trg po 13. avgustu 2005,</w:t>
      </w:r>
    </w:p>
    <w:p w14:paraId="223C589D" w14:textId="77777777" w:rsidR="00DB145F" w:rsidRPr="00935507" w:rsidRDefault="00DB145F" w:rsidP="00DB145F">
      <w:pPr>
        <w:numPr>
          <w:ilvl w:val="0"/>
          <w:numId w:val="1"/>
        </w:numPr>
        <w:spacing w:after="0" w:line="260" w:lineRule="atLeast"/>
        <w:contextualSpacing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OEEO, ki nastaja iz </w:t>
      </w:r>
      <w:proofErr w:type="spellStart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fotonapetostnih</w:t>
      </w:r>
      <w:proofErr w:type="spellEnd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 </w:t>
      </w:r>
      <w:r w:rsidRPr="00935507">
        <w:rPr>
          <w:rFonts w:ascii="Arial" w:eastAsia="Times New Roman" w:hAnsi="Arial" w:cs="Arial"/>
          <w:lang w:eastAsia="sl-SI"/>
        </w:rPr>
        <w:t>modulov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, danih na trg od 13. avgusta 2012,</w:t>
      </w:r>
    </w:p>
    <w:p w14:paraId="00204732" w14:textId="77777777" w:rsidR="00DB145F" w:rsidRPr="00935507" w:rsidRDefault="00DB145F" w:rsidP="00DB145F">
      <w:pPr>
        <w:numPr>
          <w:ilvl w:val="0"/>
          <w:numId w:val="1"/>
        </w:numPr>
        <w:spacing w:after="0" w:line="260" w:lineRule="atLeast"/>
        <w:contextualSpacing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OEEO, ki nastaja iz EEO, </w:t>
      </w:r>
      <w:r w:rsidRPr="00935507">
        <w:rPr>
          <w:rFonts w:ascii="Arial" w:hAnsi="Arial" w:cs="Arial"/>
        </w:rPr>
        <w:t>dane na trg od 15. avgusta 2018, ki se uvršča v razrede  iz priloge 1 te uredbe in ni spadala v razrede iz priloge 3 te uredbe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.«.</w:t>
      </w:r>
    </w:p>
    <w:p w14:paraId="7157F991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570E168D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tretjem odstavku za besedilom »tudi na stara bremena,« doda besedilo »razen na </w:t>
      </w:r>
      <w:proofErr w:type="spellStart"/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fotonapetostne</w:t>
      </w:r>
      <w:proofErr w:type="spellEnd"/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 module,«.</w:t>
      </w:r>
    </w:p>
    <w:p w14:paraId="52841695" w14:textId="77777777" w:rsidR="00DB145F" w:rsidRPr="00935507" w:rsidRDefault="00DB145F" w:rsidP="00DB145F">
      <w:pPr>
        <w:spacing w:after="0" w:line="260" w:lineRule="atLeast"/>
        <w:contextualSpacing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30633988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8. člen</w:t>
      </w:r>
    </w:p>
    <w:p w14:paraId="69A2E35B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28F908CE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44. členu se </w:t>
      </w:r>
      <w:r w:rsidRPr="00935507">
        <w:rPr>
          <w:rFonts w:ascii="Arial" w:eastAsia="Times New Roman" w:hAnsi="Arial" w:cs="Arial"/>
          <w:color w:val="212529"/>
          <w:lang w:eastAsia="sl-SI"/>
        </w:rPr>
        <w:t xml:space="preserve">v šestem odstavku za besedo »Ministrstvo« doda besedilo »po uradni dolžnosti ali«. </w:t>
      </w:r>
    </w:p>
    <w:p w14:paraId="74D38C2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72B441F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Za šestim odstavkom se doda novi, sedmi odstavek, ki se glasi: </w:t>
      </w:r>
    </w:p>
    <w:p w14:paraId="085317AB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76BFAF7E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»(7) Ne glede na prejšnji odstavek ministrstvo v evidenci iz prvega odstavka tega člena po uradni </w:t>
      </w:r>
      <w:bookmarkStart w:id="2" w:name="_Hlk214950979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dolžnosti spremeni podatek o nosilcu skupnega načrta na podlagi spremembe skupnega načrta iz 31. člena te uredbe, če se ta sprememba nanaša na pristop proizvajalca k skupnemu načrtu, izstop proizvajalca iz skupnega načrta ali prestop proizvajalca iz enega skupnega načrta v drugi skupni načrt</w:t>
      </w:r>
      <w:bookmarkEnd w:id="2"/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>.«.</w:t>
      </w:r>
    </w:p>
    <w:p w14:paraId="32BC73B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02AF8ED8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Dosedanja sedmi in osmi odstavek postaneta osmi in deveti odstavek. </w:t>
      </w:r>
    </w:p>
    <w:p w14:paraId="2407AEC4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55C854D2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  <w:t>9. člen</w:t>
      </w:r>
    </w:p>
    <w:p w14:paraId="016ACEF0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79918E12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V 49. členu se v prvem odstavku besedilo »Direktivo 2012/19/EU« nadomesti z besedilom »Izvedbenim sklepom 2019/2193/EU«.</w:t>
      </w:r>
    </w:p>
    <w:p w14:paraId="60045448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21222A65" w14:textId="77777777" w:rsidR="00DB145F" w:rsidRPr="00935507" w:rsidRDefault="00DB145F" w:rsidP="00DB145F">
      <w:pPr>
        <w:spacing w:after="0" w:line="260" w:lineRule="atLeast"/>
        <w:jc w:val="center"/>
        <w:rPr>
          <w:rFonts w:ascii="Arial" w:hAnsi="Arial" w:cs="Arial"/>
          <w:b/>
          <w:bCs/>
        </w:rPr>
      </w:pPr>
      <w:r w:rsidRPr="00935507">
        <w:rPr>
          <w:rFonts w:ascii="Arial" w:hAnsi="Arial" w:cs="Arial"/>
          <w:b/>
          <w:bCs/>
        </w:rPr>
        <w:t>10. člen</w:t>
      </w:r>
    </w:p>
    <w:p w14:paraId="36C12F2C" w14:textId="77777777" w:rsidR="00DB145F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2C3B7397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  <w:r w:rsidRPr="00935507">
        <w:rPr>
          <w:rFonts w:ascii="Arial" w:hAnsi="Arial" w:cs="Arial"/>
        </w:rPr>
        <w:t>V 56. členu se v tretjem in četrtem odstavku beseda »zbiralec« nadomesti z besedilom »pooblaščeni zastopnik«.</w:t>
      </w:r>
    </w:p>
    <w:p w14:paraId="7FCE4211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26C97AB1" w14:textId="77777777" w:rsidR="00DB145F" w:rsidRPr="00935507" w:rsidRDefault="00DB145F" w:rsidP="00DB145F">
      <w:pPr>
        <w:spacing w:after="0" w:line="260" w:lineRule="atLeast"/>
        <w:jc w:val="center"/>
        <w:rPr>
          <w:rFonts w:ascii="Arial" w:hAnsi="Arial" w:cs="Arial"/>
          <w:b/>
          <w:bCs/>
        </w:rPr>
      </w:pPr>
      <w:r w:rsidRPr="00935507">
        <w:rPr>
          <w:rFonts w:ascii="Arial" w:hAnsi="Arial" w:cs="Arial"/>
          <w:b/>
          <w:bCs/>
        </w:rPr>
        <w:t>11. člen</w:t>
      </w:r>
    </w:p>
    <w:p w14:paraId="1A749D2A" w14:textId="77777777" w:rsidR="00DB145F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06BE04F7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V </w:t>
      </w:r>
      <w:r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p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rilogi 1</w:t>
      </w:r>
      <w:r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 uredbe 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se v </w:t>
      </w:r>
      <w:r w:rsidRPr="00935507">
        <w:rPr>
          <w:rFonts w:ascii="Arial" w:hAnsi="Arial" w:cs="Arial"/>
        </w:rPr>
        <w:t>točki b. v podtočki 4. besedilo »</w:t>
      </w:r>
      <w:proofErr w:type="spellStart"/>
      <w:r w:rsidRPr="00935507">
        <w:rPr>
          <w:rFonts w:ascii="Arial" w:hAnsi="Arial" w:cs="Arial"/>
        </w:rPr>
        <w:t>fotovoltaični</w:t>
      </w:r>
      <w:proofErr w:type="spellEnd"/>
      <w:r w:rsidRPr="00935507">
        <w:rPr>
          <w:rFonts w:ascii="Arial" w:hAnsi="Arial" w:cs="Arial"/>
        </w:rPr>
        <w:t xml:space="preserve"> paneli.« nadomesti z besedilom »</w:t>
      </w:r>
      <w:proofErr w:type="spellStart"/>
      <w:r w:rsidRPr="00935507">
        <w:rPr>
          <w:rFonts w:ascii="Arial" w:hAnsi="Arial" w:cs="Arial"/>
        </w:rPr>
        <w:t>fotonapetostni</w:t>
      </w:r>
      <w:proofErr w:type="spellEnd"/>
      <w:r w:rsidRPr="00935507">
        <w:rPr>
          <w:rFonts w:ascii="Arial" w:hAnsi="Arial" w:cs="Arial"/>
        </w:rPr>
        <w:t xml:space="preserve"> moduli«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.</w:t>
      </w:r>
    </w:p>
    <w:p w14:paraId="42D12DC1" w14:textId="77777777" w:rsidR="00DB145F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6DD51D87" w14:textId="77777777" w:rsidR="00DB145F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V</w:t>
      </w:r>
      <w:r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 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 xml:space="preserve">5. podtočki se </w:t>
      </w:r>
      <w:r w:rsidRPr="00935507">
        <w:rPr>
          <w:rFonts w:ascii="Arial" w:hAnsi="Arial" w:cs="Arial"/>
        </w:rPr>
        <w:t>besedilo »</w:t>
      </w:r>
      <w:proofErr w:type="spellStart"/>
      <w:r w:rsidRPr="00935507">
        <w:rPr>
          <w:rFonts w:ascii="Arial" w:hAnsi="Arial" w:cs="Arial"/>
        </w:rPr>
        <w:t>fotonapetostnimi</w:t>
      </w:r>
      <w:proofErr w:type="spellEnd"/>
      <w:r w:rsidRPr="00935507">
        <w:rPr>
          <w:rFonts w:ascii="Arial" w:hAnsi="Arial" w:cs="Arial"/>
        </w:rPr>
        <w:t xml:space="preserve"> paneli.« nadomesti z besedilom »</w:t>
      </w:r>
      <w:proofErr w:type="spellStart"/>
      <w:r w:rsidRPr="00935507">
        <w:rPr>
          <w:rFonts w:ascii="Arial" w:hAnsi="Arial" w:cs="Arial"/>
        </w:rPr>
        <w:t>fotonapetostnimi</w:t>
      </w:r>
      <w:proofErr w:type="spellEnd"/>
      <w:r w:rsidRPr="00935507">
        <w:rPr>
          <w:rFonts w:ascii="Arial" w:hAnsi="Arial" w:cs="Arial"/>
        </w:rPr>
        <w:t xml:space="preserve"> moduli«</w:t>
      </w:r>
      <w:r w:rsidRPr="00935507"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  <w:t>.</w:t>
      </w:r>
    </w:p>
    <w:p w14:paraId="23DAAAC6" w14:textId="77777777" w:rsidR="00DB145F" w:rsidRPr="00DE05DB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color w:val="212529"/>
          <w:kern w:val="0"/>
          <w:lang w:eastAsia="sl-SI"/>
          <w14:ligatures w14:val="none"/>
        </w:rPr>
      </w:pPr>
    </w:p>
    <w:p w14:paraId="16D6229B" w14:textId="77777777" w:rsidR="00DB145F" w:rsidRPr="00935507" w:rsidRDefault="00DB145F" w:rsidP="00DB145F">
      <w:pPr>
        <w:spacing w:after="0" w:line="260" w:lineRule="atLeast"/>
        <w:jc w:val="center"/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  <w:t>12. člen</w:t>
      </w:r>
    </w:p>
    <w:p w14:paraId="2FFA626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339D2DC8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V </w:t>
      </w:r>
      <w:r>
        <w:rPr>
          <w:rFonts w:ascii="Arial" w:eastAsia="Times New Roman" w:hAnsi="Arial" w:cs="Arial"/>
          <w:kern w:val="0"/>
          <w:lang w:eastAsia="sl-SI"/>
          <w14:ligatures w14:val="none"/>
        </w:rPr>
        <w:t>p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rilogi 4 </w:t>
      </w:r>
      <w:r>
        <w:rPr>
          <w:rFonts w:ascii="Arial" w:eastAsia="Times New Roman" w:hAnsi="Arial" w:cs="Arial"/>
          <w:kern w:val="0"/>
          <w:lang w:eastAsia="sl-SI"/>
          <w14:ligatures w14:val="none"/>
        </w:rPr>
        <w:t xml:space="preserve">uredbe </w:t>
      </w:r>
      <w:r w:rsidRPr="00935507">
        <w:rPr>
          <w:rFonts w:ascii="Arial" w:eastAsia="Times New Roman" w:hAnsi="Arial" w:cs="Arial"/>
          <w:kern w:val="0"/>
          <w:lang w:eastAsia="sl-SI"/>
          <w14:ligatures w14:val="none"/>
        </w:rPr>
        <w:t xml:space="preserve">se besedilo »Zbirno-predelovalne skupine OEEO so« nadomesti z besedilom »Zbirno-predelovalne skupine za zbiranje OEEO pri izvajalcu javne službe so«. </w:t>
      </w:r>
    </w:p>
    <w:p w14:paraId="2FF225E1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  <w14:ligatures w14:val="none"/>
        </w:rPr>
      </w:pPr>
    </w:p>
    <w:p w14:paraId="77A3E281" w14:textId="77777777" w:rsidR="00DB145F" w:rsidRPr="00935507" w:rsidRDefault="00DB145F" w:rsidP="00DB145F">
      <w:pPr>
        <w:spacing w:after="0" w:line="260" w:lineRule="atLeast"/>
        <w:jc w:val="center"/>
        <w:rPr>
          <w:rFonts w:ascii="Arial" w:hAnsi="Arial" w:cs="Arial"/>
          <w:b/>
          <w:bCs/>
        </w:rPr>
      </w:pPr>
      <w:r w:rsidRPr="00935507">
        <w:rPr>
          <w:rFonts w:ascii="Arial" w:hAnsi="Arial" w:cs="Arial"/>
          <w:b/>
          <w:bCs/>
        </w:rPr>
        <w:t xml:space="preserve"> Končna določba</w:t>
      </w:r>
    </w:p>
    <w:p w14:paraId="653570C9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4E34CE06" w14:textId="77777777" w:rsidR="00DB145F" w:rsidRDefault="00DB145F" w:rsidP="00DB145F">
      <w:pPr>
        <w:spacing w:after="0" w:line="260" w:lineRule="atLeast"/>
        <w:jc w:val="center"/>
        <w:rPr>
          <w:rFonts w:ascii="Arial" w:hAnsi="Arial" w:cs="Arial"/>
          <w:b/>
          <w:bCs/>
        </w:rPr>
      </w:pPr>
      <w:r w:rsidRPr="00935507">
        <w:rPr>
          <w:rFonts w:ascii="Arial" w:hAnsi="Arial" w:cs="Arial"/>
          <w:b/>
          <w:bCs/>
        </w:rPr>
        <w:t>13. člen</w:t>
      </w:r>
    </w:p>
    <w:p w14:paraId="2BEDC3DE" w14:textId="704FD618" w:rsidR="003E6088" w:rsidRPr="00935507" w:rsidRDefault="003E6088" w:rsidP="00DB145F">
      <w:pPr>
        <w:spacing w:after="0" w:line="260" w:lineRule="atLeas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(začetek veljavnosti)</w:t>
      </w:r>
    </w:p>
    <w:p w14:paraId="5AD09172" w14:textId="77777777" w:rsidR="00DB145F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0E68B761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  <w:r w:rsidRPr="00935507">
        <w:rPr>
          <w:rFonts w:ascii="Arial" w:hAnsi="Arial" w:cs="Arial"/>
        </w:rPr>
        <w:t>Ta uredba začne veljati naslednji dan po objavi v Uradnem listu Republike Slovenije.</w:t>
      </w:r>
    </w:p>
    <w:p w14:paraId="624FCC78" w14:textId="77777777" w:rsidR="00DB145F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</w:rPr>
      </w:pPr>
    </w:p>
    <w:p w14:paraId="2A63F555" w14:textId="77777777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 xml:space="preserve">Št. </w:t>
      </w:r>
    </w:p>
    <w:p w14:paraId="57C77A45" w14:textId="77777777" w:rsidR="00DB145F" w:rsidRPr="00935507" w:rsidRDefault="00DB145F" w:rsidP="00DB145F">
      <w:pPr>
        <w:shd w:val="clear" w:color="auto" w:fill="FFFFFF"/>
        <w:spacing w:after="0" w:line="260" w:lineRule="atLeast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>Ljubljana, dne __________</w:t>
      </w:r>
    </w:p>
    <w:p w14:paraId="1AAA9258" w14:textId="6A70FB65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 xml:space="preserve">EVA </w:t>
      </w:r>
      <w:r w:rsidR="00FE7657">
        <w:rPr>
          <w:rFonts w:ascii="Arial" w:eastAsia="Times New Roman" w:hAnsi="Arial" w:cs="Arial"/>
          <w:kern w:val="0"/>
          <w:lang w:eastAsia="sl-SI"/>
        </w:rPr>
        <w:t>2025-2570-0069</w:t>
      </w:r>
    </w:p>
    <w:p w14:paraId="1CBCF550" w14:textId="77777777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</w:rPr>
      </w:pPr>
    </w:p>
    <w:p w14:paraId="181BD282" w14:textId="77777777" w:rsidR="00DB145F" w:rsidRPr="00935507" w:rsidRDefault="00DB145F" w:rsidP="00DB145F">
      <w:pPr>
        <w:shd w:val="clear" w:color="auto" w:fill="FFFFFF"/>
        <w:spacing w:after="0" w:line="260" w:lineRule="atLeast"/>
        <w:jc w:val="both"/>
        <w:rPr>
          <w:rFonts w:ascii="Arial" w:eastAsia="Times New Roman" w:hAnsi="Arial" w:cs="Arial"/>
          <w:kern w:val="0"/>
          <w:lang w:eastAsia="sl-SI"/>
        </w:rPr>
      </w:pPr>
    </w:p>
    <w:p w14:paraId="7E6793E6" w14:textId="77777777" w:rsidR="00DB145F" w:rsidRPr="00935507" w:rsidRDefault="00DB145F" w:rsidP="00DB145F">
      <w:pPr>
        <w:shd w:val="clear" w:color="auto" w:fill="FFFFFF"/>
        <w:spacing w:after="0" w:line="260" w:lineRule="atLeast"/>
        <w:ind w:left="2832" w:firstLine="708"/>
        <w:jc w:val="center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>Vlada Republike Slovenije</w:t>
      </w:r>
    </w:p>
    <w:p w14:paraId="66A1D41D" w14:textId="77777777" w:rsidR="00DB145F" w:rsidRPr="00935507" w:rsidRDefault="00DB145F" w:rsidP="00DB145F">
      <w:pPr>
        <w:shd w:val="clear" w:color="auto" w:fill="FFFFFF"/>
        <w:spacing w:after="0" w:line="260" w:lineRule="atLeast"/>
        <w:ind w:left="2832" w:firstLine="708"/>
        <w:jc w:val="center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 xml:space="preserve">dr. Robert Golob </w:t>
      </w:r>
    </w:p>
    <w:p w14:paraId="69535C96" w14:textId="77777777" w:rsidR="00DB145F" w:rsidRPr="00935507" w:rsidRDefault="00DB145F" w:rsidP="00DB145F">
      <w:pPr>
        <w:shd w:val="clear" w:color="auto" w:fill="FFFFFF"/>
        <w:spacing w:after="0" w:line="260" w:lineRule="atLeast"/>
        <w:ind w:left="4248" w:firstLine="708"/>
        <w:rPr>
          <w:rFonts w:ascii="Arial" w:eastAsia="Times New Roman" w:hAnsi="Arial" w:cs="Arial"/>
          <w:kern w:val="0"/>
          <w:lang w:eastAsia="sl-SI"/>
        </w:rPr>
      </w:pPr>
      <w:r w:rsidRPr="00935507">
        <w:rPr>
          <w:rFonts w:ascii="Arial" w:eastAsia="Times New Roman" w:hAnsi="Arial" w:cs="Arial"/>
          <w:kern w:val="0"/>
          <w:lang w:eastAsia="sl-SI"/>
        </w:rPr>
        <w:t xml:space="preserve">             predsednik</w:t>
      </w:r>
    </w:p>
    <w:p w14:paraId="3E13D097" w14:textId="77777777" w:rsidR="00DB145F" w:rsidRPr="00935507" w:rsidRDefault="00DB145F" w:rsidP="00DB145F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</w:rPr>
      </w:pPr>
    </w:p>
    <w:p w14:paraId="1936127D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4A7012E3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</w:p>
    <w:p w14:paraId="48916143" w14:textId="77777777" w:rsidR="00DB145F" w:rsidRPr="00935507" w:rsidRDefault="00DB145F" w:rsidP="00DB145F">
      <w:pPr>
        <w:spacing w:after="0" w:line="260" w:lineRule="atLeast"/>
        <w:jc w:val="both"/>
        <w:rPr>
          <w:rFonts w:ascii="Arial" w:eastAsia="Times New Roman" w:hAnsi="Arial" w:cs="Arial"/>
          <w:b/>
          <w:bCs/>
          <w:color w:val="212529"/>
          <w:kern w:val="0"/>
          <w:lang w:eastAsia="sl-SI"/>
          <w14:ligatures w14:val="none"/>
        </w:rPr>
      </w:pPr>
    </w:p>
    <w:p w14:paraId="0C4D162B" w14:textId="77777777" w:rsidR="00DB145F" w:rsidRPr="00935507" w:rsidRDefault="00DB145F" w:rsidP="00DB145F">
      <w:pPr>
        <w:spacing w:after="0" w:line="260" w:lineRule="atLeast"/>
        <w:jc w:val="both"/>
        <w:rPr>
          <w:rFonts w:ascii="Arial" w:hAnsi="Arial" w:cs="Arial"/>
        </w:rPr>
      </w:pPr>
      <w:r w:rsidRPr="00935507">
        <w:rPr>
          <w:rFonts w:ascii="Arial" w:hAnsi="Arial" w:cs="Arial"/>
        </w:rPr>
        <w:br w:type="page"/>
      </w:r>
    </w:p>
    <w:p w14:paraId="18AFAF48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b/>
        </w:rPr>
      </w:pPr>
      <w:r w:rsidRPr="00E70B1B">
        <w:rPr>
          <w:rFonts w:ascii="Arial" w:hAnsi="Arial" w:cs="Arial"/>
          <w:b/>
        </w:rPr>
        <w:lastRenderedPageBreak/>
        <w:t>OBRAZLOŽITEV</w:t>
      </w:r>
    </w:p>
    <w:p w14:paraId="26E42CA8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1A91F828" w14:textId="77777777" w:rsidR="00E70B1B" w:rsidRPr="00E70B1B" w:rsidRDefault="00E70B1B" w:rsidP="00E70B1B">
      <w:pPr>
        <w:numPr>
          <w:ilvl w:val="0"/>
          <w:numId w:val="5"/>
        </w:numPr>
        <w:tabs>
          <w:tab w:val="left" w:pos="708"/>
        </w:tabs>
        <w:spacing w:after="0" w:line="260" w:lineRule="atLeast"/>
        <w:contextualSpacing/>
        <w:jc w:val="both"/>
        <w:rPr>
          <w:rFonts w:ascii="Arial" w:hAnsi="Arial" w:cs="Arial"/>
          <w:b/>
          <w:bCs/>
        </w:rPr>
      </w:pPr>
      <w:r w:rsidRPr="00E70B1B">
        <w:rPr>
          <w:rFonts w:ascii="Arial" w:hAnsi="Arial" w:cs="Arial"/>
          <w:b/>
          <w:bCs/>
        </w:rPr>
        <w:t>UVOD</w:t>
      </w:r>
    </w:p>
    <w:p w14:paraId="6CE9E92D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ind w:left="1080"/>
        <w:contextualSpacing/>
        <w:jc w:val="both"/>
        <w:rPr>
          <w:rFonts w:ascii="Arial" w:hAnsi="Arial" w:cs="Arial"/>
        </w:rPr>
      </w:pPr>
    </w:p>
    <w:p w14:paraId="64A34A99" w14:textId="77777777" w:rsidR="00E70B1B" w:rsidRPr="00E70B1B" w:rsidRDefault="00E70B1B" w:rsidP="00E70B1B">
      <w:pPr>
        <w:numPr>
          <w:ilvl w:val="0"/>
          <w:numId w:val="4"/>
        </w:numPr>
        <w:tabs>
          <w:tab w:val="num" w:pos="-360"/>
        </w:tabs>
        <w:spacing w:after="0" w:line="260" w:lineRule="atLeast"/>
        <w:jc w:val="both"/>
        <w:rPr>
          <w:rFonts w:ascii="Arial" w:hAnsi="Arial" w:cs="Arial"/>
          <w:b/>
          <w:bCs/>
        </w:rPr>
      </w:pPr>
      <w:r w:rsidRPr="00E70B1B">
        <w:rPr>
          <w:rFonts w:ascii="Arial" w:hAnsi="Arial" w:cs="Arial"/>
          <w:b/>
          <w:bCs/>
        </w:rPr>
        <w:t>Pravna podlaga (besedilo, vsebina zakonske določbe, ki je podlaga za izdajo uredbe)</w:t>
      </w:r>
    </w:p>
    <w:p w14:paraId="6771B51C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103DD1BC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  <w:color w:val="FF0000"/>
          <w:highlight w:val="yellow"/>
        </w:rPr>
      </w:pPr>
      <w:r w:rsidRPr="00E70B1B">
        <w:rPr>
          <w:rFonts w:ascii="Arial" w:hAnsi="Arial" w:cs="Arial"/>
        </w:rPr>
        <w:t xml:space="preserve">Pravno podlago za sprejem predlagane Uredbe o spremembah in dopolnitvah Uredbe o odpadni električni in elektronski opremi (v nadaljnjem besedilu: predlog uredbe) predstavljajo </w:t>
      </w:r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enajsti in štirinajsti odstavek 20. člena Zakona o varstvu okolja (Uradni list RS, št. 39/06 – uradno prečiščeno besedilo, 49/06 – ZMetD, 66/06 – </w:t>
      </w:r>
      <w:proofErr w:type="spellStart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odl</w:t>
      </w:r>
      <w:proofErr w:type="spellEnd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ZNOrg</w:t>
      </w:r>
      <w:proofErr w:type="spellEnd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84/18 – ZIURKOE, 158/20 in 44/22 – ZVO-2, v nadaljnjem besedilu: ZVO-1) ter šesta točka tretjega odstavka 21. člena in šesti odstavek 24. člena </w:t>
      </w:r>
      <w:r w:rsidRPr="00E70B1B">
        <w:rPr>
          <w:rFonts w:ascii="Arial" w:eastAsia="Times New Roman" w:hAnsi="Arial" w:cs="Arial"/>
          <w:kern w:val="0"/>
          <w:lang w:eastAsia="sl-SI"/>
          <w14:ligatures w14:val="none"/>
        </w:rPr>
        <w:t>Zakona o varstvu okolja (Uradni list RS</w:t>
      </w:r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št. </w:t>
      </w:r>
      <w:hyperlink r:id="rId19" w:tgtFrame="_blank" w:tooltip="Zakon o varstvu okolja (ZVO-2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44/22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</w:t>
      </w:r>
      <w:hyperlink r:id="rId20" w:tgtFrame="_blank" w:tooltip="Zakon o spremembah in dopolnitvah Zakona o državni upravi (ZDU-1O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18/23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ZDU-1O, </w:t>
      </w:r>
      <w:hyperlink r:id="rId21" w:tgtFrame="_blank" w:tooltip="Zakon o uvajanju naprav za proizvodnjo električne energije iz obnovljivih virov energije (ZUNPEOVE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78/23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ZUNPEOVE, </w:t>
      </w:r>
      <w:hyperlink r:id="rId22" w:tgtFrame="_blank" w:tooltip="Zakon o spremembah in dopolnitvah Zakona o varstvu okolja (ZVO-2A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23/24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, </w:t>
      </w:r>
      <w:hyperlink r:id="rId23" w:tgtFrame="_blank" w:tooltip="Zakon o oskrbi s pitno vodo ter odvajanju in čiščenju komunalne odpadne vode (ZOPVOOV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21/25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ZOPVOOV in </w:t>
      </w:r>
      <w:hyperlink r:id="rId24" w:tgtFrame="_blank" w:tooltip="Podnebni zakon (PoZ)" w:history="1">
        <w:r w:rsidRPr="00E70B1B">
          <w:rPr>
            <w:rFonts w:ascii="Arial" w:eastAsia="Times New Roman" w:hAnsi="Arial" w:cs="Arial"/>
            <w:color w:val="000000"/>
            <w:kern w:val="0"/>
            <w:lang w:eastAsia="sl-SI"/>
            <w14:ligatures w14:val="none"/>
          </w:rPr>
          <w:t>56/25</w:t>
        </w:r>
      </w:hyperlink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– </w:t>
      </w:r>
      <w:proofErr w:type="spellStart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PoZ</w:t>
      </w:r>
      <w:proofErr w:type="spellEnd"/>
      <w:r w:rsidRPr="00E70B1B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, v nadaljnjem besedilu: ZVO-2) v zvezi s prvim odstavkom 264. člena ZVO-2.</w:t>
      </w:r>
    </w:p>
    <w:p w14:paraId="2EA3D59E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5E46CA57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</w:rPr>
        <w:t xml:space="preserve">Zadevna pravna podlaga, med drugim, temelji na dejstvu, da je izvajanje določb podpoglavja »Sistem PRO« ZVO-2 zaradi ustavne presoje zadržano in da se do končne odločitve Ustavnega sodišča Republike Slovenije (sklepa št. U-I-104/22-15 z dne 19.5.2022 in U-I-104/22-36 z dne 14.12.2022) uporabljajo predpisi, ki uvajajo proizvajalčevo razširjeno odgovornost (v nadaljnjem besedilu: PRO) na podlagi ZVO-1. </w:t>
      </w:r>
    </w:p>
    <w:p w14:paraId="5CCD516E" w14:textId="77777777" w:rsidR="00E70B1B" w:rsidRPr="00E70B1B" w:rsidRDefault="00E70B1B" w:rsidP="00E70B1B">
      <w:pPr>
        <w:spacing w:after="0" w:line="260" w:lineRule="atLeast"/>
        <w:ind w:left="360"/>
        <w:jc w:val="both"/>
        <w:rPr>
          <w:rFonts w:ascii="Arial" w:hAnsi="Arial" w:cs="Arial"/>
          <w:b/>
          <w:bCs/>
        </w:rPr>
      </w:pPr>
    </w:p>
    <w:p w14:paraId="4BB9E365" w14:textId="77777777" w:rsidR="00E70B1B" w:rsidRPr="00E70B1B" w:rsidRDefault="00E70B1B" w:rsidP="00E70B1B">
      <w:pPr>
        <w:numPr>
          <w:ilvl w:val="0"/>
          <w:numId w:val="4"/>
        </w:numPr>
        <w:tabs>
          <w:tab w:val="num" w:pos="-360"/>
        </w:tabs>
        <w:spacing w:after="0" w:line="260" w:lineRule="atLeast"/>
        <w:jc w:val="both"/>
        <w:rPr>
          <w:rFonts w:ascii="Arial" w:hAnsi="Arial" w:cs="Arial"/>
          <w:b/>
          <w:bCs/>
        </w:rPr>
      </w:pPr>
      <w:r w:rsidRPr="00E70B1B">
        <w:rPr>
          <w:rFonts w:ascii="Arial" w:hAnsi="Arial" w:cs="Arial"/>
          <w:b/>
          <w:bCs/>
        </w:rPr>
        <w:t>Rok za izdajo uredbe, določen z zakonom</w:t>
      </w:r>
    </w:p>
    <w:p w14:paraId="35556BE4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2918C745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</w:rPr>
        <w:t xml:space="preserve">Rok za sprejem predloga uredbe in uskladitev slovenskega pravnega reda z evropskim je določen z </w:t>
      </w:r>
      <w:r w:rsidRPr="00E70B1B">
        <w:rPr>
          <w:rFonts w:ascii="Arial" w:eastAsia="Times New Roman" w:hAnsi="Arial" w:cs="Arial"/>
          <w:kern w:val="0"/>
          <w:lang w:eastAsia="sl-SI"/>
          <w14:ligatures w14:val="none"/>
        </w:rPr>
        <w:t xml:space="preserve">Direktivo (EU) 2024/884 Evropskega parlamenta in Sveta z dne 13. marca 2024 o spremembi Direktive 2012/19/EU o odpadni električni in elektronski opremi (OEEO) (UL L št. 2024/884 z dne 19. 3. 2024), (v nadaljnjem besedilu: Direktiva 2024/884/EU), </w:t>
      </w:r>
      <w:r w:rsidRPr="00E70B1B">
        <w:rPr>
          <w:rFonts w:ascii="Arial" w:hAnsi="Arial" w:cs="Arial"/>
        </w:rPr>
        <w:t>in sicer najkasneje do 9. oktobra 2025.</w:t>
      </w:r>
    </w:p>
    <w:p w14:paraId="36A179CF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6BCAC892" w14:textId="77777777" w:rsidR="00E70B1B" w:rsidRPr="00E70B1B" w:rsidRDefault="00E70B1B" w:rsidP="00E70B1B">
      <w:pPr>
        <w:numPr>
          <w:ilvl w:val="0"/>
          <w:numId w:val="4"/>
        </w:numPr>
        <w:tabs>
          <w:tab w:val="num" w:pos="0"/>
        </w:tabs>
        <w:spacing w:after="0" w:line="260" w:lineRule="atLeast"/>
        <w:jc w:val="both"/>
        <w:rPr>
          <w:rFonts w:ascii="Arial" w:hAnsi="Arial" w:cs="Arial"/>
          <w:b/>
          <w:bCs/>
        </w:rPr>
      </w:pPr>
      <w:r w:rsidRPr="00E70B1B">
        <w:rPr>
          <w:rFonts w:ascii="Arial" w:hAnsi="Arial" w:cs="Arial"/>
          <w:b/>
          <w:bCs/>
        </w:rPr>
        <w:t>Splošna obrazložitev predloga uredbe</w:t>
      </w:r>
    </w:p>
    <w:p w14:paraId="5D7D8917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34012188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</w:rPr>
        <w:t xml:space="preserve">Osnovni namen predloga uredbe je ciljna sprememba  </w:t>
      </w:r>
      <w:r w:rsidRPr="00E70B1B">
        <w:rPr>
          <w:rFonts w:ascii="Arial" w:hAnsi="Arial" w:cs="Arial"/>
          <w:bCs/>
        </w:rPr>
        <w:t xml:space="preserve">Uredbe o odpadni električni in elektronski opremi (Uradni list RS, št. 55/15, 47/16, 72/18 in 84/18 – ZIURKOE, 108/20 in 44/22 – ZVO-2, v nadaljnjem besedilu: uredba) </w:t>
      </w:r>
      <w:r w:rsidRPr="00E70B1B">
        <w:rPr>
          <w:rFonts w:ascii="Arial" w:hAnsi="Arial" w:cs="Arial"/>
        </w:rPr>
        <w:t>za zagotovitev prenosa Direktive</w:t>
      </w:r>
      <w:r w:rsidRPr="00E70B1B">
        <w:rPr>
          <w:rFonts w:ascii="Arial" w:hAnsi="Arial" w:cs="Arial"/>
          <w:bCs/>
          <w:shd w:val="clear" w:color="auto" w:fill="FFFFFF"/>
        </w:rPr>
        <w:t xml:space="preserve"> 2024/884/EU</w:t>
      </w:r>
      <w:r w:rsidRPr="00E70B1B">
        <w:rPr>
          <w:rFonts w:ascii="Arial" w:hAnsi="Arial" w:cs="Arial"/>
        </w:rPr>
        <w:t xml:space="preserve"> v pravni red Republike Slovenije. </w:t>
      </w:r>
    </w:p>
    <w:p w14:paraId="2A7020A5" w14:textId="77777777" w:rsidR="00E70B1B" w:rsidRPr="00E70B1B" w:rsidRDefault="00E70B1B" w:rsidP="00E70B1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60" w:lineRule="atLeast"/>
        <w:jc w:val="both"/>
        <w:rPr>
          <w:rFonts w:ascii="Arial" w:hAnsi="Arial" w:cs="Arial"/>
          <w:noProof/>
        </w:rPr>
      </w:pPr>
    </w:p>
    <w:p w14:paraId="2AA1234C" w14:textId="77777777" w:rsidR="00E70B1B" w:rsidRPr="00E70B1B" w:rsidRDefault="00E70B1B" w:rsidP="00E70B1B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60" w:lineRule="atLeast"/>
        <w:jc w:val="both"/>
        <w:rPr>
          <w:rFonts w:ascii="Arial" w:hAnsi="Arial" w:cs="Arial"/>
          <w:noProof/>
        </w:rPr>
      </w:pPr>
      <w:r w:rsidRPr="00E70B1B">
        <w:rPr>
          <w:rFonts w:ascii="Arial" w:hAnsi="Arial" w:cs="Arial"/>
          <w:noProof/>
        </w:rPr>
        <w:t>Sodišče Evropske unije je 25. januarja 2022 v sodbi v zadevi C-181/20</w:t>
      </w:r>
      <w:r w:rsidRPr="00E70B1B">
        <w:rPr>
          <w:rFonts w:ascii="Arial" w:hAnsi="Arial" w:cs="Arial"/>
          <w:noProof/>
          <w:vertAlign w:val="superscript"/>
        </w:rPr>
        <w:footnoteReference w:id="2"/>
      </w:r>
      <w:r w:rsidRPr="00E70B1B">
        <w:rPr>
          <w:rFonts w:ascii="Arial" w:hAnsi="Arial" w:cs="Arial"/>
          <w:noProof/>
        </w:rPr>
        <w:t xml:space="preserve"> razsodilo, da je člen 13(1) Direktive 2012/19/</w:t>
      </w:r>
      <w:r w:rsidRPr="00E70B1B">
        <w:rPr>
          <w:rFonts w:ascii="Arial" w:hAnsi="Arial" w:cs="Arial"/>
        </w:rPr>
        <w:t xml:space="preserve">EU Evropskega parlamenta in Sveta z dne 4. julija 2012 o odpadni električni in elektronski opremi (OEEO) (UL L št. 197 z dne 24. 7. 2012, str. 38), zadnjič spremenjene z Direktivo 2024/884/EU (v nadaljnjem besedilu: Direktiva 2012/19/EU) </w:t>
      </w:r>
      <w:r w:rsidRPr="00E70B1B">
        <w:rPr>
          <w:rFonts w:ascii="Arial" w:hAnsi="Arial" w:cs="Arial"/>
          <w:noProof/>
        </w:rPr>
        <w:t xml:space="preserve">zaradi neupravičenega retroaktivnega učinka delno neveljaven. Določal je namreč finančno obveznost kritja stroškov ravnanja z odpadki iz fotonapetostnih modulov, danih na trg med 13. avgustom 2005 in 13. avgustom 2012. 13. avgust 2012 je datum začetka veljavnosti takratne nove </w:t>
      </w:r>
      <w:r w:rsidRPr="00E70B1B">
        <w:rPr>
          <w:rFonts w:ascii="Arial" w:hAnsi="Arial" w:cs="Arial"/>
        </w:rPr>
        <w:t>Direktive 2012/19/EU</w:t>
      </w:r>
      <w:r w:rsidRPr="00E70B1B">
        <w:rPr>
          <w:rFonts w:ascii="Arial" w:hAnsi="Arial" w:cs="Arial"/>
          <w:noProof/>
        </w:rPr>
        <w:t xml:space="preserve">, ki je nadomestila Direktivo 2002/96/ES Evroposkega parlamenta in Sveta z dne 27. januarja 2003 o odpadni električni in elektronski opremi (OEEO) (UL L št. 37 z dne 13.2.2003, str. 24) (v nadaljnjem besedilu: Direktiva 2002/96/EU) in s katero so bili v področje uporabe dodatno vključeni tudi fotonapetosni moduli. Po mnenju Sodišča Evropske unije je treba šteti, da se pozneje sprejeto pravilo iz člena 13(1) Direktive 2012/19/EU, v skladu </w:t>
      </w:r>
      <w:r w:rsidRPr="00E70B1B">
        <w:rPr>
          <w:rFonts w:ascii="Arial" w:hAnsi="Arial" w:cs="Arial"/>
          <w:noProof/>
        </w:rPr>
        <w:lastRenderedPageBreak/>
        <w:t>s katerim morajo  stroške, povezane z ravnanjem s fotonapetostnimi moduli ob koncu življenjske dobe, kriti proizvajalci, četudi so bili proizvodi že dani na trg v obdobju, ko je veljala prejšnja zakonodaja, uporablja retroaktivno. Zato lahko krši načelo pravne varnosti. Sodba je zahtevala nadaljnje ukrepanje s ciljno usmerjeno spremembo Direktive 2012/19/EU o odpadni električni in elektronski opremi (v nadaljnjem besedilu: OEEO) in njenega člena 13(1) o kritju stroškov zbiranja in obdelave OEEO.</w:t>
      </w:r>
    </w:p>
    <w:p w14:paraId="02D3EDC9" w14:textId="77777777" w:rsidR="00E70B1B" w:rsidRPr="00E70B1B" w:rsidRDefault="00E70B1B" w:rsidP="00E70B1B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  <w:bCs/>
        </w:rPr>
      </w:pPr>
    </w:p>
    <w:p w14:paraId="1755DCF6" w14:textId="77777777" w:rsidR="00E70B1B" w:rsidRPr="00E70B1B" w:rsidRDefault="00E70B1B" w:rsidP="00E70B1B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  <w:noProof/>
        </w:rPr>
      </w:pPr>
      <w:r w:rsidRPr="00E70B1B">
        <w:rPr>
          <w:rFonts w:ascii="Arial" w:hAnsi="Arial" w:cs="Arial"/>
          <w:bCs/>
        </w:rPr>
        <w:t xml:space="preserve">Za ta namen je bila, v zvezi s citirano sodbo Sodišča Evropske Unije, </w:t>
      </w:r>
      <w:r w:rsidRPr="00E70B1B">
        <w:rPr>
          <w:rFonts w:ascii="Arial" w:hAnsi="Arial" w:cs="Arial"/>
          <w:bCs/>
          <w:color w:val="000000"/>
        </w:rPr>
        <w:t xml:space="preserve">zaradi spoštovanja načela </w:t>
      </w:r>
      <w:proofErr w:type="spellStart"/>
      <w:r w:rsidRPr="00E70B1B">
        <w:rPr>
          <w:rFonts w:ascii="Arial" w:hAnsi="Arial" w:cs="Arial"/>
          <w:bCs/>
          <w:color w:val="000000"/>
        </w:rPr>
        <w:t>neretroaktivnosti</w:t>
      </w:r>
      <w:proofErr w:type="spellEnd"/>
      <w:r w:rsidRPr="00E70B1B">
        <w:rPr>
          <w:rFonts w:ascii="Arial" w:hAnsi="Arial" w:cs="Arial"/>
          <w:bCs/>
          <w:color w:val="000000"/>
        </w:rPr>
        <w:t xml:space="preserve"> in s tem preprečitve kršitve pravne varnosti pri izvajanju direktive,</w:t>
      </w:r>
      <w:r w:rsidRPr="00E70B1B">
        <w:rPr>
          <w:rFonts w:ascii="Arial" w:hAnsi="Arial" w:cs="Arial"/>
          <w:bCs/>
        </w:rPr>
        <w:t xml:space="preserve"> sprejeta </w:t>
      </w:r>
      <w:r w:rsidRPr="00E70B1B">
        <w:rPr>
          <w:rFonts w:ascii="Arial" w:hAnsi="Arial" w:cs="Arial"/>
          <w:bCs/>
          <w:shd w:val="clear" w:color="auto" w:fill="FFFFFF"/>
        </w:rPr>
        <w:t xml:space="preserve">Direktiva </w:t>
      </w:r>
      <w:bookmarkStart w:id="3" w:name="_Hlk205893192"/>
      <w:r w:rsidRPr="00E70B1B">
        <w:rPr>
          <w:rFonts w:ascii="Arial" w:hAnsi="Arial" w:cs="Arial"/>
          <w:bCs/>
          <w:shd w:val="clear" w:color="auto" w:fill="FFFFFF"/>
        </w:rPr>
        <w:t>2024/884/EU</w:t>
      </w:r>
      <w:bookmarkEnd w:id="3"/>
      <w:r w:rsidRPr="00E70B1B">
        <w:rPr>
          <w:rFonts w:ascii="Arial" w:hAnsi="Arial" w:cs="Arial"/>
          <w:bCs/>
          <w:shd w:val="clear" w:color="auto" w:fill="FFFFFF"/>
        </w:rPr>
        <w:t xml:space="preserve">. </w:t>
      </w:r>
      <w:r w:rsidRPr="00E70B1B">
        <w:rPr>
          <w:rFonts w:ascii="Arial" w:hAnsi="Arial" w:cs="Arial"/>
          <w:noProof/>
        </w:rPr>
        <w:t xml:space="preserve">Z njo je bilo glede na sodbo sodišča zagotovljeno spoštovanje načela neretroaktivnosti in s tem preprečitev kršitve pravne varnosti pri izvajanju direktive ter spoštovanje povezanih interesov gospodarskih subjektov za obdobje, ko se </w:t>
      </w:r>
      <w:r w:rsidRPr="00E70B1B">
        <w:rPr>
          <w:rFonts w:ascii="Arial" w:hAnsi="Arial" w:cs="Arial"/>
        </w:rPr>
        <w:t>Direktiva 2012/19/EU</w:t>
      </w:r>
      <w:r w:rsidRPr="00E70B1B">
        <w:rPr>
          <w:rFonts w:ascii="Arial" w:hAnsi="Arial" w:cs="Arial"/>
          <w:noProof/>
        </w:rPr>
        <w:t xml:space="preserve"> še ni uporabljala za fotonapetostne module in druge proizvode, ki so bili na novo vključeni na njeno področje uporabe. Spremenjena direktiva torej uvaja obveznost PRO za proizvajalce fotonapetostnih modulov, danih na trg </w:t>
      </w:r>
      <w:r w:rsidRPr="00E70B1B">
        <w:rPr>
          <w:rFonts w:ascii="Arial" w:hAnsi="Arial" w:cs="Arial"/>
        </w:rPr>
        <w:t>od 13. avgusta 2012</w:t>
      </w:r>
      <w:r w:rsidRPr="00E70B1B">
        <w:rPr>
          <w:rFonts w:ascii="Arial" w:hAnsi="Arial" w:cs="Arial"/>
          <w:noProof/>
        </w:rPr>
        <w:t xml:space="preserve"> dalje, ko so bili fotonapetostni moduli vključeni v področje uporabe </w:t>
      </w:r>
      <w:r w:rsidRPr="00E70B1B">
        <w:rPr>
          <w:rFonts w:ascii="Arial" w:hAnsi="Arial" w:cs="Arial"/>
        </w:rPr>
        <w:t>Direktive 2012/19/EU</w:t>
      </w:r>
      <w:r w:rsidRPr="00E70B1B" w:rsidDel="00EB26BF">
        <w:rPr>
          <w:rFonts w:ascii="Arial" w:hAnsi="Arial" w:cs="Arial"/>
          <w:noProof/>
        </w:rPr>
        <w:t xml:space="preserve"> </w:t>
      </w:r>
      <w:r w:rsidRPr="00E70B1B">
        <w:rPr>
          <w:rFonts w:ascii="Arial" w:hAnsi="Arial" w:cs="Arial"/>
          <w:noProof/>
        </w:rPr>
        <w:t xml:space="preserve">(in ne </w:t>
      </w:r>
      <w:r w:rsidRPr="00E70B1B">
        <w:rPr>
          <w:rFonts w:ascii="Arial" w:hAnsi="Arial" w:cs="Arial"/>
        </w:rPr>
        <w:t>od 13. avgusta 2005</w:t>
      </w:r>
      <w:r w:rsidRPr="00E70B1B">
        <w:rPr>
          <w:rFonts w:ascii="Arial" w:hAnsi="Arial" w:cs="Arial"/>
          <w:noProof/>
        </w:rPr>
        <w:t xml:space="preserve">). Prav tako se obveznost označevanja fotonapetostnih modulov, v skladu s  standardom SIST EN 50419:2022, uporablja od </w:t>
      </w:r>
      <w:r w:rsidRPr="00E70B1B">
        <w:rPr>
          <w:rFonts w:ascii="Arial" w:hAnsi="Arial" w:cs="Arial"/>
        </w:rPr>
        <w:t>1</w:t>
      </w:r>
      <w:r w:rsidRPr="00E70B1B">
        <w:rPr>
          <w:rFonts w:ascii="Arial" w:hAnsi="Arial" w:cs="Arial"/>
          <w:noProof/>
        </w:rPr>
        <w:t>3</w:t>
      </w:r>
      <w:r w:rsidRPr="00E70B1B">
        <w:rPr>
          <w:rFonts w:ascii="Arial" w:hAnsi="Arial" w:cs="Arial"/>
        </w:rPr>
        <w:t>. avgusta 2012</w:t>
      </w:r>
      <w:r w:rsidRPr="00E70B1B">
        <w:rPr>
          <w:rFonts w:ascii="Arial" w:hAnsi="Arial" w:cs="Arial"/>
          <w:noProof/>
        </w:rPr>
        <w:t xml:space="preserve"> in </w:t>
      </w:r>
      <w:r w:rsidRPr="00E70B1B">
        <w:rPr>
          <w:rFonts w:ascii="Arial" w:hAnsi="Arial" w:cs="Arial"/>
        </w:rPr>
        <w:t>ne od 1</w:t>
      </w:r>
      <w:r w:rsidRPr="00E70B1B">
        <w:rPr>
          <w:rFonts w:ascii="Arial" w:hAnsi="Arial" w:cs="Arial"/>
          <w:noProof/>
        </w:rPr>
        <w:t>3</w:t>
      </w:r>
      <w:r w:rsidRPr="00E70B1B">
        <w:rPr>
          <w:rFonts w:ascii="Arial" w:hAnsi="Arial" w:cs="Arial"/>
        </w:rPr>
        <w:t>. avgusta 2005</w:t>
      </w:r>
      <w:r w:rsidRPr="00E70B1B">
        <w:rPr>
          <w:rFonts w:ascii="Arial" w:hAnsi="Arial" w:cs="Arial"/>
          <w:noProof/>
        </w:rPr>
        <w:t xml:space="preserve">. </w:t>
      </w:r>
    </w:p>
    <w:p w14:paraId="540A91E6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noProof/>
        </w:rPr>
      </w:pPr>
    </w:p>
    <w:p w14:paraId="348C0ECE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noProof/>
        </w:rPr>
      </w:pPr>
      <w:r w:rsidRPr="00E70B1B">
        <w:rPr>
          <w:rFonts w:ascii="Arial" w:hAnsi="Arial" w:cs="Arial"/>
          <w:noProof/>
        </w:rPr>
        <w:t xml:space="preserve">Proizvajalcem fotonapetostnih modulov se torej s to spremembo ne nalagajo nikakršne nove obveznosti, ampak se jasno določa, da ta obveznost velja od 13. avgusta 2012, ko so bili v področje uporabe predpisa vključeni tudi fotonapetostni moduli, in ne od 13. avgusta 2005, ko je bila uveljavljena prvotna Direktiva 2002/96/EU. </w:t>
      </w:r>
    </w:p>
    <w:p w14:paraId="7C20BE0A" w14:textId="77777777" w:rsidR="00E70B1B" w:rsidRPr="00E70B1B" w:rsidRDefault="00E70B1B" w:rsidP="00E70B1B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</w:p>
    <w:p w14:paraId="0F27713C" w14:textId="77777777" w:rsidR="00E70B1B" w:rsidRPr="00E70B1B" w:rsidRDefault="00E70B1B" w:rsidP="00E70B1B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  <w:bCs/>
        </w:rPr>
      </w:pPr>
      <w:r w:rsidRPr="00E70B1B">
        <w:rPr>
          <w:rFonts w:ascii="Arial" w:hAnsi="Arial" w:cs="Arial"/>
        </w:rPr>
        <w:t>Ministrstvo pristojno za okolje, je načrtovalo spremembo uredbe primarno zaradi uskladitve z novimi zakonskimi podlagami glede sistema PRO, v skladu z ZVO-2. Ob tem naj bi bil zagotovljen tudi prenos določb spremenjene Direktive 2012/19/EU. Vendar zaradi postopka ustavne presoje podpoglavja »Sistem PRO« iz ZVO-2 do tega še ni prišlo. Zaradi zagotovitve prenosa Direktive</w:t>
      </w:r>
      <w:r w:rsidRPr="00E70B1B">
        <w:rPr>
          <w:rFonts w:ascii="Arial" w:hAnsi="Arial" w:cs="Arial"/>
          <w:bCs/>
          <w:shd w:val="clear" w:color="auto" w:fill="FFFFFF"/>
        </w:rPr>
        <w:t xml:space="preserve"> 2024/884/EU (ki je spremenila</w:t>
      </w:r>
      <w:r w:rsidRPr="00E70B1B">
        <w:rPr>
          <w:rFonts w:ascii="Arial" w:hAnsi="Arial" w:cs="Arial"/>
          <w:noProof/>
        </w:rPr>
        <w:t xml:space="preserve"> Direktivo 2012/19/</w:t>
      </w:r>
      <w:r w:rsidRPr="00E70B1B">
        <w:rPr>
          <w:rFonts w:ascii="Arial" w:hAnsi="Arial" w:cs="Arial"/>
        </w:rPr>
        <w:t>EU)</w:t>
      </w:r>
      <w:r w:rsidRPr="00E70B1B">
        <w:rPr>
          <w:rFonts w:ascii="Arial" w:hAnsi="Arial" w:cs="Arial"/>
          <w:bCs/>
          <w:shd w:val="clear" w:color="auto" w:fill="FFFFFF"/>
        </w:rPr>
        <w:t xml:space="preserve"> v pravni red Republike Slovenije, je ministrstvo pripravilo ciljno </w:t>
      </w:r>
      <w:r w:rsidRPr="00E70B1B">
        <w:rPr>
          <w:rFonts w:ascii="Arial" w:hAnsi="Arial" w:cs="Arial"/>
        </w:rPr>
        <w:t>spremembo uredbe.</w:t>
      </w:r>
    </w:p>
    <w:p w14:paraId="772FB7FA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</w:p>
    <w:p w14:paraId="7CB1DFF6" w14:textId="77777777" w:rsidR="00E70B1B" w:rsidRPr="00E70B1B" w:rsidRDefault="00E70B1B" w:rsidP="00E70B1B">
      <w:pPr>
        <w:tabs>
          <w:tab w:val="left" w:pos="708"/>
        </w:tabs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</w:rPr>
        <w:t>Poleg navedene ciljne spremembe uredbe, se z nekaterimi dodatnimi manjšimi spremembami in dopolnitvami  zagotavlja odprava nekaterih napak v uredbi, jasnejša usklajenost z Direktivo 2012/19/EU, posodobitev zahtev in s tem jasnejše zakonodajno okolje.</w:t>
      </w:r>
    </w:p>
    <w:p w14:paraId="4EE9E12B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lang w:eastAsia="sl-SI"/>
        </w:rPr>
      </w:pPr>
    </w:p>
    <w:p w14:paraId="7D7011BF" w14:textId="77777777" w:rsidR="00E70B1B" w:rsidRPr="00E70B1B" w:rsidRDefault="00E70B1B" w:rsidP="00E70B1B">
      <w:pPr>
        <w:numPr>
          <w:ilvl w:val="0"/>
          <w:numId w:val="5"/>
        </w:numPr>
        <w:tabs>
          <w:tab w:val="left" w:pos="708"/>
        </w:tabs>
        <w:spacing w:after="0" w:line="260" w:lineRule="atLeast"/>
        <w:contextualSpacing/>
        <w:jc w:val="both"/>
        <w:rPr>
          <w:rFonts w:ascii="Arial" w:hAnsi="Arial" w:cs="Arial"/>
          <w:b/>
          <w:bCs/>
        </w:rPr>
      </w:pPr>
      <w:r w:rsidRPr="00E70B1B">
        <w:rPr>
          <w:rFonts w:ascii="Arial" w:hAnsi="Arial" w:cs="Arial"/>
          <w:b/>
          <w:bCs/>
        </w:rPr>
        <w:t>VSEBINSKA OBRAZLOŽITEV PREDLAGANIH REŠITEV</w:t>
      </w:r>
    </w:p>
    <w:p w14:paraId="4F65D881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112F9A1E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color w:val="FF0000"/>
        </w:rPr>
      </w:pPr>
      <w:r w:rsidRPr="00E70B1B">
        <w:rPr>
          <w:rFonts w:ascii="Arial" w:hAnsi="Arial" w:cs="Arial"/>
          <w:u w:val="single"/>
        </w:rPr>
        <w:t>1. člen</w:t>
      </w:r>
      <w:r w:rsidRPr="00E70B1B">
        <w:rPr>
          <w:rFonts w:ascii="Arial" w:hAnsi="Arial" w:cs="Arial"/>
        </w:rPr>
        <w:t xml:space="preserve"> – predlog uredbe zagotavlja ažurno stanje glede navajanja zakonodaje (Evropske unije), v skladu s katero uredba določa pravila ravnanja z OEEO</w:t>
      </w:r>
      <w:r w:rsidRPr="00E70B1B">
        <w:rPr>
          <w:rFonts w:ascii="Arial" w:hAnsi="Arial" w:cs="Arial"/>
          <w:color w:val="FF0000"/>
        </w:rPr>
        <w:t>.</w:t>
      </w:r>
    </w:p>
    <w:p w14:paraId="6A382EC9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0867D693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color w:val="FF0000"/>
        </w:rPr>
      </w:pPr>
      <w:r w:rsidRPr="00E70B1B">
        <w:rPr>
          <w:rFonts w:ascii="Arial" w:hAnsi="Arial" w:cs="Arial"/>
          <w:u w:val="single"/>
        </w:rPr>
        <w:t>2. člen</w:t>
      </w:r>
      <w:r w:rsidRPr="00E70B1B">
        <w:rPr>
          <w:rFonts w:ascii="Arial" w:hAnsi="Arial" w:cs="Arial"/>
        </w:rPr>
        <w:t xml:space="preserve"> – v skladu z Direktivo 2012/19/EU je ustrezno opredeljen izraz »dajanje na trg«, z navezavo na v 5. točki 3. člena uredbe opredeljen izraz zagotavljanja »dostopnosti na trgu«. </w:t>
      </w:r>
    </w:p>
    <w:p w14:paraId="129F7B0E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0B407DAA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  <w:r w:rsidRPr="00E70B1B">
        <w:rPr>
          <w:rFonts w:ascii="Arial" w:hAnsi="Arial" w:cs="Arial"/>
          <w:u w:val="single"/>
        </w:rPr>
        <w:t>3. člen</w:t>
      </w:r>
      <w:r w:rsidRPr="00E70B1B">
        <w:rPr>
          <w:rFonts w:ascii="Arial" w:hAnsi="Arial" w:cs="Arial"/>
        </w:rPr>
        <w:t xml:space="preserve"> – v 5. členu uredbe se ustrezno posodobi sklic na SIST EN standard za označevanje električne in elektronske opreme (v nadaljnjem besedilu: EEO). Ta standard je bil revidiran, da bi se posodobili sklici na Direktivo 2012/19/EU. Prav tako se kot posledica sprememb Direktive 2012/19/EU jasno časovno opredeli začetek obveznosti označevanja za </w:t>
      </w:r>
      <w:proofErr w:type="spellStart"/>
      <w:r w:rsidRPr="00E70B1B">
        <w:rPr>
          <w:rFonts w:ascii="Arial" w:hAnsi="Arial" w:cs="Arial"/>
        </w:rPr>
        <w:t>fotonapetostne</w:t>
      </w:r>
      <w:proofErr w:type="spellEnd"/>
      <w:r w:rsidRPr="00E70B1B">
        <w:rPr>
          <w:rFonts w:ascii="Arial" w:hAnsi="Arial" w:cs="Arial"/>
        </w:rPr>
        <w:t xml:space="preserve"> module in EEO s področja uporabe predpisa, ki velja od leta 2018 in se ni uvrščala v področje uporabe predpisa pred tem.  </w:t>
      </w:r>
    </w:p>
    <w:p w14:paraId="4421915D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56D275E0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4. člen</w:t>
      </w:r>
      <w:r w:rsidRPr="00E70B1B">
        <w:rPr>
          <w:rFonts w:ascii="Arial" w:hAnsi="Arial" w:cs="Arial"/>
        </w:rPr>
        <w:t xml:space="preserve"> – besedilo 8. člena uredbe glede poročevalske obveznosti je usklajeno z Direktivo 2012/19/EU in relevantno sekundarno zakonodajo Evropske unije. </w:t>
      </w:r>
    </w:p>
    <w:p w14:paraId="6300EB17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3547AD98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lastRenderedPageBreak/>
        <w:t>5. člen</w:t>
      </w:r>
      <w:r w:rsidRPr="00E70B1B">
        <w:rPr>
          <w:rFonts w:ascii="Arial" w:hAnsi="Arial" w:cs="Arial"/>
        </w:rPr>
        <w:t xml:space="preserve"> –  s tem členom predloga uredbe se dopolnjuje 10. člen uredbe. Dopolnjujejo se možnosti glede prepuščanja OEEO iz gospodinjstev s strani končnega uporabnika posameznika, v okviru sistemov za zbiranje, ki jih vzpostavijo proizvajalci. S tem se ta določba usklajuje z</w:t>
      </w:r>
      <w:r w:rsidRPr="00E70B1B">
        <w:rPr>
          <w:rFonts w:ascii="Arial" w:hAnsi="Arial" w:cs="Arial"/>
          <w:shd w:val="clear" w:color="auto" w:fill="FFFFFF"/>
        </w:rPr>
        <w:t xml:space="preserve"> določbo Direktive 2012/19/EU, da se proizvajalcem dovoli, da pod določenimi pogoji vzpostavijo in upravljajo sisteme prevzemanja OEEO iz zasebnih gospodinjstev. </w:t>
      </w:r>
      <w:r w:rsidRPr="00E70B1B">
        <w:rPr>
          <w:rFonts w:ascii="Arial" w:hAnsi="Arial" w:cs="Arial"/>
        </w:rPr>
        <w:t xml:space="preserve"> </w:t>
      </w:r>
    </w:p>
    <w:p w14:paraId="19DB6AB3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11991DA3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6. člen</w:t>
      </w:r>
      <w:r w:rsidRPr="00E70B1B">
        <w:rPr>
          <w:rFonts w:ascii="Arial" w:hAnsi="Arial" w:cs="Arial"/>
        </w:rPr>
        <w:t xml:space="preserve"> –  zahteve za obdelavo OEEO v 16. členu uredbe , ki ga dopolnjuje 6. člen predloga uredbe, so dopolnjene z upoštevanjem zadnjih SIST EN standardov, ki se nanašajo na obdelavo OEEO in pripravo za ponovno uporabo OEEO. </w:t>
      </w:r>
    </w:p>
    <w:p w14:paraId="3A12AA11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79131C53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7. člen</w:t>
      </w:r>
      <w:r w:rsidRPr="00E70B1B">
        <w:rPr>
          <w:rFonts w:ascii="Arial" w:hAnsi="Arial" w:cs="Arial"/>
        </w:rPr>
        <w:t xml:space="preserve"> – ta člen predloga uredbe dopolnjuje 17. člen uredbe. Jasno se določa (časovni) začetek finančne obveznosti proizvajalca EEO glede na uveljavljeno področje uporabe predpisa oziroma vrsto EEO, ki se uvršča v področje uporabe predpisa ter posebej za </w:t>
      </w:r>
      <w:proofErr w:type="spellStart"/>
      <w:r w:rsidRPr="00E70B1B">
        <w:rPr>
          <w:rFonts w:ascii="Arial" w:hAnsi="Arial" w:cs="Arial"/>
        </w:rPr>
        <w:t>fotonapetostne</w:t>
      </w:r>
      <w:proofErr w:type="spellEnd"/>
      <w:r w:rsidRPr="00E70B1B">
        <w:rPr>
          <w:rFonts w:ascii="Arial" w:hAnsi="Arial" w:cs="Arial"/>
        </w:rPr>
        <w:t xml:space="preserve"> module. Iz obveznosti glede starih bremen (OEEO, nastala iz EEO, dane na trg pred 13. avgustom 2005) se jasno izloča obveznost glede </w:t>
      </w:r>
      <w:proofErr w:type="spellStart"/>
      <w:r w:rsidRPr="00E70B1B">
        <w:rPr>
          <w:rFonts w:ascii="Arial" w:hAnsi="Arial" w:cs="Arial"/>
        </w:rPr>
        <w:t>fotonapetostnih</w:t>
      </w:r>
      <w:proofErr w:type="spellEnd"/>
      <w:r w:rsidRPr="00E70B1B">
        <w:rPr>
          <w:rFonts w:ascii="Arial" w:hAnsi="Arial" w:cs="Arial"/>
        </w:rPr>
        <w:t xml:space="preserve"> modulov. </w:t>
      </w:r>
    </w:p>
    <w:p w14:paraId="6D32874C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467D6539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8. člen</w:t>
      </w:r>
      <w:r w:rsidRPr="00E70B1B">
        <w:rPr>
          <w:rFonts w:ascii="Arial" w:hAnsi="Arial" w:cs="Arial"/>
        </w:rPr>
        <w:t xml:space="preserve"> -  z namenom poenostavitve in večje učinkovitosti upravnih postopkov v zvezi z vodenjem evidence proizvajalcev EEO ter medsebojne usklajenosti uradnih evidenc, sprememba  44. člena uredbe omogoča spremembo nekaterih podatkov v evidenci proizvajalcev po uradni dolžnosti.   </w:t>
      </w:r>
    </w:p>
    <w:p w14:paraId="53A103DD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631E0C0D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9. člen</w:t>
      </w:r>
      <w:r w:rsidRPr="00E70B1B">
        <w:rPr>
          <w:rFonts w:ascii="Arial" w:hAnsi="Arial" w:cs="Arial"/>
        </w:rPr>
        <w:t xml:space="preserve"> – prvi odstavek 49. člena uredbe je ažuriran s sklicem na ustrezno sekundarno zakonodajo Evropske unije, ki določa način poročanja o ravnanju z OEEO Evropski komisiji.</w:t>
      </w:r>
    </w:p>
    <w:p w14:paraId="12C1359A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1932177C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10. člen</w:t>
      </w:r>
      <w:r w:rsidRPr="00E70B1B">
        <w:rPr>
          <w:rFonts w:ascii="Arial" w:hAnsi="Arial" w:cs="Arial"/>
        </w:rPr>
        <w:t xml:space="preserve"> – v tretjem in četrtem odstavku 56. člena uredbe se odpravi napaka; zadevni prekrški se namreč nanašajo na pooblaščenega zastopnika in ne na zbiralca. </w:t>
      </w:r>
    </w:p>
    <w:p w14:paraId="31BBAEEA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083209B3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11. člen</w:t>
      </w:r>
      <w:r w:rsidRPr="00E70B1B">
        <w:rPr>
          <w:rFonts w:ascii="Arial" w:hAnsi="Arial" w:cs="Arial"/>
        </w:rPr>
        <w:t xml:space="preserve"> -  v prilogi 1 uredbe se besedilo »</w:t>
      </w:r>
      <w:proofErr w:type="spellStart"/>
      <w:r w:rsidRPr="00E70B1B">
        <w:rPr>
          <w:rFonts w:ascii="Arial" w:hAnsi="Arial" w:cs="Arial"/>
        </w:rPr>
        <w:t>fotovoltaični</w:t>
      </w:r>
      <w:proofErr w:type="spellEnd"/>
      <w:r w:rsidRPr="00E70B1B">
        <w:rPr>
          <w:rFonts w:ascii="Arial" w:hAnsi="Arial" w:cs="Arial"/>
        </w:rPr>
        <w:t xml:space="preserve"> paneli« uskladi z besedilom členov uredbe »</w:t>
      </w:r>
      <w:proofErr w:type="spellStart"/>
      <w:r w:rsidRPr="00E70B1B">
        <w:rPr>
          <w:rFonts w:ascii="Arial" w:hAnsi="Arial" w:cs="Arial"/>
        </w:rPr>
        <w:t>fotonapetostni</w:t>
      </w:r>
      <w:proofErr w:type="spellEnd"/>
      <w:r w:rsidRPr="00E70B1B">
        <w:rPr>
          <w:rFonts w:ascii="Arial" w:hAnsi="Arial" w:cs="Arial"/>
        </w:rPr>
        <w:t xml:space="preserve"> moduli«.</w:t>
      </w:r>
    </w:p>
    <w:p w14:paraId="02AABE78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  <w:u w:val="single"/>
        </w:rPr>
      </w:pPr>
    </w:p>
    <w:p w14:paraId="6B59BC09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12. člen</w:t>
      </w:r>
      <w:r w:rsidRPr="00E70B1B">
        <w:rPr>
          <w:rFonts w:ascii="Arial" w:hAnsi="Arial" w:cs="Arial"/>
        </w:rPr>
        <w:t xml:space="preserve"> – priloga 4 uredbe je s tem členom predloga uredbe usklajena z drugim odstavkom 13. člena uredbe, z namenom razjasnitve, da gre za zbiranje OEEO pri izvajalcu občinske javne službe zbiranja komunalnih odpadkov.   </w:t>
      </w:r>
    </w:p>
    <w:p w14:paraId="6C8F992F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</w:p>
    <w:p w14:paraId="5BF490D7" w14:textId="77777777" w:rsidR="00E70B1B" w:rsidRPr="00E70B1B" w:rsidRDefault="00E70B1B" w:rsidP="00E70B1B">
      <w:pPr>
        <w:spacing w:after="0" w:line="260" w:lineRule="atLeast"/>
        <w:jc w:val="both"/>
        <w:rPr>
          <w:rFonts w:ascii="Arial" w:hAnsi="Arial" w:cs="Arial"/>
        </w:rPr>
      </w:pPr>
      <w:r w:rsidRPr="00E70B1B">
        <w:rPr>
          <w:rFonts w:ascii="Arial" w:hAnsi="Arial" w:cs="Arial"/>
          <w:u w:val="single"/>
        </w:rPr>
        <w:t>13.člen</w:t>
      </w:r>
      <w:r w:rsidRPr="00E70B1B">
        <w:rPr>
          <w:rFonts w:ascii="Arial" w:hAnsi="Arial" w:cs="Arial"/>
        </w:rPr>
        <w:t xml:space="preserve"> - določa začetek veljavnosti uredbe.  </w:t>
      </w:r>
    </w:p>
    <w:p w14:paraId="7AE2782C" w14:textId="5DCD18C9" w:rsidR="000B20A8" w:rsidRDefault="000B20A8"/>
    <w:sectPr w:rsidR="000B2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B25424" w14:textId="77777777" w:rsidR="00042B98" w:rsidRDefault="00042B98" w:rsidP="00DB145F">
      <w:pPr>
        <w:spacing w:after="0" w:line="240" w:lineRule="auto"/>
      </w:pPr>
      <w:r>
        <w:separator/>
      </w:r>
    </w:p>
  </w:endnote>
  <w:endnote w:type="continuationSeparator" w:id="0">
    <w:p w14:paraId="7896D3DA" w14:textId="77777777" w:rsidR="00042B98" w:rsidRDefault="00042B98" w:rsidP="00DB145F">
      <w:pPr>
        <w:spacing w:after="0" w:line="240" w:lineRule="auto"/>
      </w:pPr>
      <w:r>
        <w:continuationSeparator/>
      </w:r>
    </w:p>
  </w:endnote>
  <w:endnote w:type="continuationNotice" w:id="1">
    <w:p w14:paraId="3702E7E8" w14:textId="77777777" w:rsidR="00042B98" w:rsidRDefault="00042B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6C011" w14:textId="77777777" w:rsidR="00042B98" w:rsidRDefault="00042B98" w:rsidP="00DB145F">
      <w:pPr>
        <w:spacing w:after="0" w:line="240" w:lineRule="auto"/>
      </w:pPr>
      <w:r>
        <w:separator/>
      </w:r>
    </w:p>
  </w:footnote>
  <w:footnote w:type="continuationSeparator" w:id="0">
    <w:p w14:paraId="16A6A6DA" w14:textId="77777777" w:rsidR="00042B98" w:rsidRDefault="00042B98" w:rsidP="00DB145F">
      <w:pPr>
        <w:spacing w:after="0" w:line="240" w:lineRule="auto"/>
      </w:pPr>
      <w:r>
        <w:continuationSeparator/>
      </w:r>
    </w:p>
  </w:footnote>
  <w:footnote w:type="continuationNotice" w:id="1">
    <w:p w14:paraId="6526AFAF" w14:textId="77777777" w:rsidR="00042B98" w:rsidRDefault="00042B98">
      <w:pPr>
        <w:spacing w:after="0" w:line="240" w:lineRule="auto"/>
      </w:pPr>
    </w:p>
  </w:footnote>
  <w:footnote w:id="2">
    <w:p w14:paraId="5065702E" w14:textId="77777777" w:rsidR="00E70B1B" w:rsidRDefault="00E70B1B" w:rsidP="00E70B1B">
      <w:pPr>
        <w:pStyle w:val="Sprotnaopomba-besedilo"/>
      </w:pPr>
      <w:r>
        <w:rPr>
          <w:rStyle w:val="Sprotnaopomba-sklic"/>
        </w:rPr>
        <w:footnoteRef/>
      </w:r>
      <w:r>
        <w:tab/>
      </w:r>
      <w:r>
        <w:rPr>
          <w:i/>
        </w:rPr>
        <w:t>UL C 222, 6.7.2020.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F30EAD"/>
    <w:multiLevelType w:val="hybridMultilevel"/>
    <w:tmpl w:val="39EC6FDA"/>
    <w:lvl w:ilvl="0" w:tplc="C7A802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913984"/>
    <w:multiLevelType w:val="hybridMultilevel"/>
    <w:tmpl w:val="9A94966E"/>
    <w:lvl w:ilvl="0" w:tplc="B5B67F7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0C2AEB"/>
    <w:multiLevelType w:val="hybridMultilevel"/>
    <w:tmpl w:val="3A86A740"/>
    <w:lvl w:ilvl="0" w:tplc="B14C3E82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B3292F"/>
    <w:multiLevelType w:val="hybridMultilevel"/>
    <w:tmpl w:val="2BD631A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51820">
    <w:abstractNumId w:val="3"/>
  </w:num>
  <w:num w:numId="2" w16cid:durableId="1651901197">
    <w:abstractNumId w:val="4"/>
  </w:num>
  <w:num w:numId="3" w16cid:durableId="496656015">
    <w:abstractNumId w:val="2"/>
  </w:num>
  <w:num w:numId="4" w16cid:durableId="195432220">
    <w:abstractNumId w:val="1"/>
  </w:num>
  <w:num w:numId="5" w16cid:durableId="851257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0A8"/>
    <w:rsid w:val="00042B98"/>
    <w:rsid w:val="000B20A8"/>
    <w:rsid w:val="00267C97"/>
    <w:rsid w:val="002F1CEB"/>
    <w:rsid w:val="00351871"/>
    <w:rsid w:val="00363D18"/>
    <w:rsid w:val="003820EF"/>
    <w:rsid w:val="003E6088"/>
    <w:rsid w:val="0075781F"/>
    <w:rsid w:val="007E0E1E"/>
    <w:rsid w:val="00855422"/>
    <w:rsid w:val="009927B5"/>
    <w:rsid w:val="00995805"/>
    <w:rsid w:val="00A36B45"/>
    <w:rsid w:val="00A47741"/>
    <w:rsid w:val="00B559E3"/>
    <w:rsid w:val="00BE599A"/>
    <w:rsid w:val="00DB145F"/>
    <w:rsid w:val="00DE5E79"/>
    <w:rsid w:val="00E70B1B"/>
    <w:rsid w:val="00EA659C"/>
    <w:rsid w:val="00EC6AE9"/>
    <w:rsid w:val="00ED6543"/>
    <w:rsid w:val="00FA1B3B"/>
    <w:rsid w:val="00FC5518"/>
    <w:rsid w:val="00FE7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1E8BF"/>
  <w15:chartTrackingRefBased/>
  <w15:docId w15:val="{BAD2D5D0-4C1A-435C-AA82-B7D469D2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B20A8"/>
  </w:style>
  <w:style w:type="paragraph" w:styleId="Naslov1">
    <w:name w:val="heading 1"/>
    <w:basedOn w:val="Navaden"/>
    <w:next w:val="Navaden"/>
    <w:link w:val="Naslov1Znak"/>
    <w:uiPriority w:val="9"/>
    <w:qFormat/>
    <w:rsid w:val="000B20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B20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B20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B20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B20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B20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B20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B20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B20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B20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B20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B20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B20A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B20A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B20A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B20A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B20A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B20A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B20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B20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B20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B20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B20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B20A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B20A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B20A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B20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B20A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B20A8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0B20A8"/>
    <w:rPr>
      <w:color w:val="467886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B145F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B145F"/>
    <w:rPr>
      <w:sz w:val="20"/>
      <w:szCs w:val="20"/>
    </w:rPr>
  </w:style>
  <w:style w:type="character" w:styleId="Sprotnaopomba-sklic">
    <w:name w:val="footnote reference"/>
    <w:aliases w:val="EN Footnote Reference,Times 10 Point,Exposant 3 Point,Footnote symbol,Footnote reference number,note TESI,stylish,number,SUPERS,Footnote Reference Superscript,16 Point,Superscript 6 Point,BVI fnr,-E Fußnotenzeichen,Source Referenc"/>
    <w:uiPriority w:val="99"/>
    <w:rsid w:val="00DB145F"/>
    <w:rPr>
      <w:shd w:val="clear" w:color="auto" w:fill="auto"/>
      <w:vertAlign w:val="superscript"/>
    </w:rPr>
  </w:style>
  <w:style w:type="paragraph" w:styleId="Glava">
    <w:name w:val="header"/>
    <w:basedOn w:val="Navaden"/>
    <w:link w:val="GlavaZnak"/>
    <w:uiPriority w:val="99"/>
    <w:semiHidden/>
    <w:unhideWhenUsed/>
    <w:rsid w:val="00FC55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FC5518"/>
  </w:style>
  <w:style w:type="paragraph" w:styleId="Noga">
    <w:name w:val="footer"/>
    <w:basedOn w:val="Navaden"/>
    <w:link w:val="NogaZnak"/>
    <w:uiPriority w:val="99"/>
    <w:semiHidden/>
    <w:unhideWhenUsed/>
    <w:rsid w:val="00FC55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FC5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radni-list.si/glasilo-uradni-list-rs/vsebina/2023-01-2478" TargetMode="External"/><Relationship Id="rId18" Type="http://schemas.openxmlformats.org/officeDocument/2006/relationships/hyperlink" Target="http://data.europa.eu/eli/dir/2008/98/oj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uradni-list.si/glasilo-uradni-list-rs/vsebina/2023-01-2478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uradni-list.si/glasilo-uradni-list-rs/vsebina/2023-01-0348" TargetMode="External"/><Relationship Id="rId17" Type="http://schemas.openxmlformats.org/officeDocument/2006/relationships/hyperlink" Target="http://data.europa.eu/eli/dir/2012/19/oj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radni-list.si/glasilo-uradni-list-rs/vsebina/2025-01-2264" TargetMode="External"/><Relationship Id="rId20" Type="http://schemas.openxmlformats.org/officeDocument/2006/relationships/hyperlink" Target="https://www.uradni-list.si/glasilo-uradni-list-rs/vsebina/2023-01-0348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radni-list.si/glasilo-uradni-list-rs/vsebina/2022-01-0873" TargetMode="External"/><Relationship Id="rId24" Type="http://schemas.openxmlformats.org/officeDocument/2006/relationships/hyperlink" Target="https://www.uradni-list.si/glasilo-uradni-list-rs/vsebina/2025-01-2264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radni-list.si/glasilo-uradni-list-rs/vsebina/2025-01-0757" TargetMode="External"/><Relationship Id="rId23" Type="http://schemas.openxmlformats.org/officeDocument/2006/relationships/hyperlink" Target="https://www.uradni-list.si/glasilo-uradni-list-rs/vsebina/2025-01-0757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.uradni-list.si/glasilo-uradni-list-rs/vsebina/2022-01-0873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radni-list.si/glasilo-uradni-list-rs/vsebina/2024-01-0693" TargetMode="External"/><Relationship Id="rId22" Type="http://schemas.openxmlformats.org/officeDocument/2006/relationships/hyperlink" Target="https://www.uradni-list.si/glasilo-uradni-list-rs/vsebina/2024-01-069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F8641DB58B0C4CB2D9F7F2892B9419" ma:contentTypeVersion="3" ma:contentTypeDescription="Create a new document." ma:contentTypeScope="" ma:versionID="6fdd5bf2dff899d4ed56df8f9becffff">
  <xsd:schema xmlns:xsd="http://www.w3.org/2001/XMLSchema" xmlns:xs="http://www.w3.org/2001/XMLSchema" xmlns:p="http://schemas.microsoft.com/office/2006/metadata/properties" xmlns:ns2="2f673fca-8e50-44ca-aa12-482e92daabea" targetNamespace="http://schemas.microsoft.com/office/2006/metadata/properties" ma:root="true" ma:fieldsID="6055a32d96d5e64fdebe49398c79b196" ns2:_="">
    <xsd:import namespace="2f673fca-8e50-44ca-aa12-482e92daabe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673fca-8e50-44ca-aa12-482e92daab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A01A7E-DEF9-40F6-875D-C0F4E42A4D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C0FB1A-BF8B-488F-B6EC-B861C00B4D7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C4D746-C031-497C-BAFD-A4D6AC80C94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AD36CC-7F94-4468-8A55-0B99164B75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673fca-8e50-44ca-aa12-482e92daab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2752</Words>
  <Characters>15692</Characters>
  <Application>Microsoft Office Word</Application>
  <DocSecurity>0</DocSecurity>
  <Lines>130</Lines>
  <Paragraphs>36</Paragraphs>
  <ScaleCrop>false</ScaleCrop>
  <Company/>
  <LinksUpToDate>false</LinksUpToDate>
  <CharactersWithSpaces>18408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Polanc</dc:creator>
  <cp:keywords/>
  <dc:description/>
  <cp:lastModifiedBy>Avtor</cp:lastModifiedBy>
  <cp:revision>2</cp:revision>
  <dcterms:created xsi:type="dcterms:W3CDTF">2025-12-12T12:29:00Z</dcterms:created>
  <dcterms:modified xsi:type="dcterms:W3CDTF">2025-12-12T12:29:00Z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0x01010033F8641DB58B0C4CB2D9F7F2892B9419</vt:lpwstr>
  </property>
</Properties>
</file>